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87A7"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TITLE:</w:t>
      </w:r>
    </w:p>
    <w:p w14:paraId="2002C838" w14:textId="4C15716A" w:rsidR="00E1719E" w:rsidRPr="00B93BC6" w:rsidRDefault="00E1719E" w:rsidP="00237CA1">
      <w:pPr>
        <w:pStyle w:val="a3"/>
        <w:spacing w:before="0" w:beforeAutospacing="0" w:after="0" w:afterAutospacing="0"/>
        <w:rPr>
          <w:rFonts w:asciiTheme="majorHAnsi" w:hAnsiTheme="majorHAnsi" w:cstheme="majorHAnsi"/>
        </w:rPr>
      </w:pPr>
      <w:r w:rsidRPr="00B93BC6">
        <w:rPr>
          <w:rFonts w:asciiTheme="majorHAnsi" w:hAnsiTheme="majorHAnsi" w:cstheme="majorHAnsi"/>
        </w:rPr>
        <w:t>Isolation</w:t>
      </w:r>
      <w:r>
        <w:rPr>
          <w:rFonts w:asciiTheme="majorHAnsi" w:hAnsiTheme="majorHAnsi" w:cstheme="majorHAnsi"/>
        </w:rPr>
        <w:t xml:space="preserve"> of</w:t>
      </w:r>
      <w:r w:rsidRPr="00B93BC6">
        <w:rPr>
          <w:rFonts w:asciiTheme="majorHAnsi" w:hAnsiTheme="majorHAnsi" w:cstheme="majorHAnsi"/>
        </w:rPr>
        <w:t xml:space="preserve"> </w:t>
      </w:r>
      <w:r>
        <w:rPr>
          <w:rFonts w:asciiTheme="majorHAnsi" w:hAnsiTheme="majorHAnsi" w:cstheme="majorHAnsi"/>
        </w:rPr>
        <w:t>CD4</w:t>
      </w:r>
      <w:r w:rsidRPr="006D51B2">
        <w:rPr>
          <w:rFonts w:asciiTheme="majorHAnsi" w:hAnsiTheme="majorHAnsi" w:cstheme="majorHAnsi"/>
          <w:vertAlign w:val="superscript"/>
        </w:rPr>
        <w:t>+</w:t>
      </w:r>
      <w:r>
        <w:rPr>
          <w:rFonts w:asciiTheme="majorHAnsi" w:hAnsiTheme="majorHAnsi" w:cstheme="majorHAnsi"/>
        </w:rPr>
        <w:t xml:space="preserve"> T-cells </w:t>
      </w:r>
      <w:r w:rsidRPr="00B93BC6">
        <w:rPr>
          <w:rFonts w:asciiTheme="majorHAnsi" w:hAnsiTheme="majorHAnsi" w:cstheme="majorHAnsi"/>
        </w:rPr>
        <w:t xml:space="preserve">and </w:t>
      </w:r>
      <w:r w:rsidR="00ED23C1">
        <w:rPr>
          <w:rFonts w:asciiTheme="majorHAnsi" w:hAnsiTheme="majorHAnsi" w:cstheme="majorHAnsi"/>
        </w:rPr>
        <w:t>A</w:t>
      </w:r>
      <w:r w:rsidRPr="00B93BC6">
        <w:rPr>
          <w:rFonts w:asciiTheme="majorHAnsi" w:hAnsiTheme="majorHAnsi" w:cstheme="majorHAnsi"/>
        </w:rPr>
        <w:t xml:space="preserve">nalysis of </w:t>
      </w:r>
      <w:r w:rsidR="00ED23C1">
        <w:rPr>
          <w:rFonts w:asciiTheme="majorHAnsi" w:hAnsiTheme="majorHAnsi" w:cstheme="majorHAnsi"/>
        </w:rPr>
        <w:t>C</w:t>
      </w:r>
      <w:r w:rsidRPr="00B93BC6">
        <w:rPr>
          <w:rFonts w:asciiTheme="majorHAnsi" w:hAnsiTheme="majorHAnsi" w:cstheme="majorHAnsi"/>
        </w:rPr>
        <w:t xml:space="preserve">irculating T-follicular </w:t>
      </w:r>
      <w:r w:rsidR="00ED23C1" w:rsidRPr="00B93BC6">
        <w:rPr>
          <w:rFonts w:asciiTheme="majorHAnsi" w:hAnsiTheme="majorHAnsi" w:cstheme="majorHAnsi"/>
        </w:rPr>
        <w:t>H</w:t>
      </w:r>
      <w:r w:rsidRPr="00B93BC6">
        <w:rPr>
          <w:rFonts w:asciiTheme="majorHAnsi" w:hAnsiTheme="majorHAnsi" w:cstheme="majorHAnsi"/>
        </w:rPr>
        <w:t>elper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w:t>
      </w:r>
      <w:r w:rsidR="00ED23C1" w:rsidRPr="00B93BC6">
        <w:rPr>
          <w:rFonts w:asciiTheme="majorHAnsi" w:hAnsiTheme="majorHAnsi" w:cstheme="majorHAnsi"/>
        </w:rPr>
        <w:t xml:space="preserve">Cell Subsets </w:t>
      </w:r>
      <w:r w:rsidRPr="00B93BC6">
        <w:rPr>
          <w:rFonts w:asciiTheme="majorHAnsi" w:hAnsiTheme="majorHAnsi" w:cstheme="majorHAnsi"/>
        </w:rPr>
        <w:t xml:space="preserve">from </w:t>
      </w:r>
      <w:r w:rsidR="00ED23C1" w:rsidRPr="00B93BC6">
        <w:rPr>
          <w:rFonts w:asciiTheme="majorHAnsi" w:hAnsiTheme="majorHAnsi" w:cstheme="majorHAnsi"/>
        </w:rPr>
        <w:t xml:space="preserve">Peripheral Blood Using </w:t>
      </w:r>
      <w:r w:rsidRPr="00B93BC6">
        <w:rPr>
          <w:rFonts w:asciiTheme="majorHAnsi" w:hAnsiTheme="majorHAnsi" w:cstheme="majorHAnsi"/>
        </w:rPr>
        <w:t xml:space="preserve">6-colour </w:t>
      </w:r>
      <w:r w:rsidR="00ED23C1" w:rsidRPr="00B93BC6">
        <w:rPr>
          <w:rFonts w:asciiTheme="majorHAnsi" w:hAnsiTheme="majorHAnsi" w:cstheme="majorHAnsi"/>
        </w:rPr>
        <w:t>Flow Cytometry</w:t>
      </w:r>
    </w:p>
    <w:p w14:paraId="25C7C8D0" w14:textId="77777777" w:rsidR="00E1719E" w:rsidRPr="00B93BC6" w:rsidRDefault="00E1719E" w:rsidP="00237CA1">
      <w:pPr>
        <w:pStyle w:val="a3"/>
        <w:spacing w:before="0" w:beforeAutospacing="0" w:after="0" w:afterAutospacing="0"/>
        <w:rPr>
          <w:rFonts w:asciiTheme="majorHAnsi" w:hAnsiTheme="majorHAnsi" w:cstheme="majorHAnsi"/>
        </w:rPr>
      </w:pPr>
    </w:p>
    <w:p w14:paraId="7C6F9D70" w14:textId="77777777" w:rsidR="00E1719E" w:rsidRPr="00B93BC6" w:rsidRDefault="00E1719E" w:rsidP="00237CA1">
      <w:pPr>
        <w:pStyle w:val="a3"/>
        <w:spacing w:before="0" w:beforeAutospacing="0" w:after="0" w:afterAutospacing="0"/>
        <w:rPr>
          <w:rFonts w:asciiTheme="majorHAnsi" w:hAnsiTheme="majorHAnsi" w:cstheme="majorHAnsi"/>
          <w:b/>
        </w:rPr>
      </w:pPr>
      <w:r w:rsidRPr="00B93BC6">
        <w:rPr>
          <w:rFonts w:asciiTheme="majorHAnsi" w:hAnsiTheme="majorHAnsi" w:cstheme="majorHAnsi"/>
          <w:b/>
        </w:rPr>
        <w:t>AUTHORS AND AFFILIATIONS:</w:t>
      </w:r>
    </w:p>
    <w:p w14:paraId="60F7D5A2" w14:textId="77777777" w:rsidR="00E1719E" w:rsidRPr="00B93BC6" w:rsidRDefault="00E1719E" w:rsidP="00237CA1">
      <w:pPr>
        <w:pStyle w:val="a3"/>
        <w:spacing w:before="0" w:beforeAutospacing="0" w:after="0" w:afterAutospacing="0"/>
        <w:rPr>
          <w:rFonts w:asciiTheme="majorHAnsi" w:hAnsiTheme="majorHAnsi" w:cstheme="majorHAnsi"/>
        </w:rPr>
      </w:pPr>
      <w:r w:rsidRPr="00B93BC6">
        <w:rPr>
          <w:rFonts w:asciiTheme="majorHAnsi" w:hAnsiTheme="majorHAnsi" w:cstheme="majorHAnsi"/>
        </w:rPr>
        <w:t>Elliot Byford, Matthew Carr, Matthew J. Ahearne, Simon D. Wagner</w:t>
      </w:r>
    </w:p>
    <w:p w14:paraId="1ECBA31C"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Leicester Cancer Research Centre and Ernest and Helen Scott Haematology Research Institute, University of Leicester, Leicester</w:t>
      </w:r>
      <w:r>
        <w:rPr>
          <w:rFonts w:asciiTheme="majorHAnsi" w:hAnsiTheme="majorHAnsi" w:cstheme="majorHAnsi"/>
          <w:lang w:val="en-GB"/>
        </w:rPr>
        <w:t>,</w:t>
      </w:r>
      <w:r w:rsidRPr="00B93BC6">
        <w:rPr>
          <w:rFonts w:asciiTheme="majorHAnsi" w:hAnsiTheme="majorHAnsi" w:cstheme="majorHAnsi"/>
          <w:lang w:val="en-GB"/>
        </w:rPr>
        <w:t xml:space="preserve"> UK</w:t>
      </w:r>
    </w:p>
    <w:p w14:paraId="053D3B4C" w14:textId="77777777" w:rsidR="00E1719E" w:rsidRPr="008C1032" w:rsidRDefault="00E1719E" w:rsidP="00237CA1">
      <w:pPr>
        <w:pStyle w:val="a3"/>
        <w:spacing w:before="0" w:beforeAutospacing="0" w:after="0" w:afterAutospacing="0"/>
        <w:rPr>
          <w:rFonts w:asciiTheme="majorHAnsi" w:hAnsiTheme="majorHAnsi" w:cstheme="majorHAnsi"/>
          <w:b/>
          <w:lang w:val="en-GB"/>
        </w:rPr>
      </w:pPr>
    </w:p>
    <w:p w14:paraId="19188916" w14:textId="77777777" w:rsidR="00E1719E" w:rsidRPr="008C1032" w:rsidRDefault="00E1719E" w:rsidP="00237CA1">
      <w:pPr>
        <w:pStyle w:val="a3"/>
        <w:spacing w:before="0" w:beforeAutospacing="0" w:after="0" w:afterAutospacing="0"/>
        <w:rPr>
          <w:rFonts w:asciiTheme="majorHAnsi" w:hAnsiTheme="majorHAnsi" w:cstheme="majorHAnsi"/>
          <w:b/>
          <w:lang w:val="en-GB"/>
        </w:rPr>
      </w:pPr>
      <w:r w:rsidRPr="008C1032">
        <w:rPr>
          <w:rFonts w:asciiTheme="majorHAnsi" w:hAnsiTheme="majorHAnsi" w:cstheme="majorHAnsi"/>
          <w:b/>
          <w:lang w:val="en-GB"/>
        </w:rPr>
        <w:t>Corresponding Author:</w:t>
      </w:r>
    </w:p>
    <w:p w14:paraId="5D4FC67D"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Simon D. Wagner</w:t>
      </w:r>
    </w:p>
    <w:p w14:paraId="587E9DC6"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sw227@le.ac.uk</w:t>
      </w:r>
    </w:p>
    <w:p w14:paraId="0C779225"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Tel: (+44) 1162523414</w:t>
      </w:r>
    </w:p>
    <w:p w14:paraId="622E476B" w14:textId="77777777" w:rsidR="00E1719E" w:rsidRPr="008C1032" w:rsidRDefault="00E1719E" w:rsidP="00237CA1">
      <w:pPr>
        <w:pStyle w:val="a3"/>
        <w:spacing w:before="0" w:beforeAutospacing="0" w:after="0" w:afterAutospacing="0"/>
        <w:rPr>
          <w:rFonts w:asciiTheme="majorHAnsi" w:hAnsiTheme="majorHAnsi" w:cstheme="majorHAnsi"/>
          <w:b/>
          <w:lang w:val="en-GB"/>
        </w:rPr>
      </w:pPr>
    </w:p>
    <w:p w14:paraId="2476B3A2" w14:textId="77777777" w:rsidR="00E1719E" w:rsidRPr="008C1032" w:rsidRDefault="00E1719E" w:rsidP="00237CA1">
      <w:pPr>
        <w:pStyle w:val="a3"/>
        <w:spacing w:before="0" w:beforeAutospacing="0" w:after="0" w:afterAutospacing="0"/>
        <w:rPr>
          <w:rFonts w:asciiTheme="majorHAnsi" w:hAnsiTheme="majorHAnsi" w:cstheme="majorHAnsi"/>
          <w:b/>
          <w:lang w:val="en-GB"/>
        </w:rPr>
      </w:pPr>
      <w:r w:rsidRPr="008C1032">
        <w:rPr>
          <w:rFonts w:asciiTheme="majorHAnsi" w:hAnsiTheme="majorHAnsi" w:cstheme="majorHAnsi"/>
          <w:b/>
          <w:lang w:val="en-GB"/>
        </w:rPr>
        <w:t>Email Addresses of Co-authors:</w:t>
      </w:r>
    </w:p>
    <w:p w14:paraId="78D60692"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Elliot Byford (</w:t>
      </w:r>
      <w:r w:rsidRPr="00B05C42">
        <w:rPr>
          <w:rFonts w:asciiTheme="majorHAnsi" w:hAnsiTheme="majorHAnsi" w:cstheme="majorHAnsi"/>
          <w:lang w:val="en-GB"/>
        </w:rPr>
        <w:t>Elliot.Byford@Doctors.org.uk</w:t>
      </w:r>
      <w:r w:rsidRPr="00B93BC6">
        <w:rPr>
          <w:rFonts w:asciiTheme="majorHAnsi" w:hAnsiTheme="majorHAnsi" w:cstheme="majorHAnsi"/>
          <w:lang w:val="en-GB"/>
        </w:rPr>
        <w:t>)</w:t>
      </w:r>
    </w:p>
    <w:p w14:paraId="45C6FC22"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Matthew Carr (mc513@le.ac.uk)</w:t>
      </w:r>
    </w:p>
    <w:p w14:paraId="7DC3902C" w14:textId="77777777" w:rsidR="00E1719E" w:rsidRPr="00B93BC6" w:rsidRDefault="00E1719E" w:rsidP="00237CA1">
      <w:pPr>
        <w:pStyle w:val="a3"/>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Matthew J. Ahearne (mja40@le.ac.uk)</w:t>
      </w:r>
    </w:p>
    <w:p w14:paraId="527ED06F" w14:textId="77777777" w:rsidR="00E1719E" w:rsidRPr="00B93BC6" w:rsidRDefault="00E1719E" w:rsidP="00237CA1">
      <w:pPr>
        <w:pStyle w:val="a3"/>
        <w:spacing w:before="0" w:beforeAutospacing="0" w:after="0" w:afterAutospacing="0"/>
        <w:rPr>
          <w:rFonts w:asciiTheme="majorHAnsi" w:hAnsiTheme="majorHAnsi" w:cstheme="majorHAnsi"/>
          <w:b/>
        </w:rPr>
      </w:pPr>
    </w:p>
    <w:p w14:paraId="660F1441" w14:textId="77777777" w:rsidR="00E1719E" w:rsidRPr="00B93BC6" w:rsidRDefault="00E1719E" w:rsidP="00237CA1">
      <w:pPr>
        <w:pStyle w:val="a3"/>
        <w:spacing w:before="0" w:beforeAutospacing="0" w:after="0" w:afterAutospacing="0"/>
        <w:rPr>
          <w:rFonts w:asciiTheme="majorHAnsi" w:hAnsiTheme="majorHAnsi" w:cstheme="majorHAnsi"/>
          <w:b/>
        </w:rPr>
      </w:pPr>
      <w:r w:rsidRPr="00B93BC6">
        <w:rPr>
          <w:rFonts w:asciiTheme="majorHAnsi" w:hAnsiTheme="majorHAnsi" w:cstheme="majorHAnsi"/>
          <w:b/>
        </w:rPr>
        <w:t>KEYWORDS:</w:t>
      </w:r>
    </w:p>
    <w:p w14:paraId="6B88EAF6" w14:textId="18BBBAE7" w:rsidR="00E1719E" w:rsidRPr="00B93BC6" w:rsidRDefault="00E1719E" w:rsidP="00237CA1">
      <w:pPr>
        <w:pStyle w:val="a3"/>
        <w:spacing w:before="0" w:beforeAutospacing="0" w:after="0" w:afterAutospacing="0"/>
        <w:rPr>
          <w:rFonts w:asciiTheme="majorHAnsi" w:hAnsiTheme="majorHAnsi" w:cstheme="majorHAnsi"/>
        </w:rPr>
      </w:pPr>
      <w:r w:rsidRPr="00B93BC6">
        <w:rPr>
          <w:rFonts w:asciiTheme="majorHAnsi" w:hAnsiTheme="majorHAnsi" w:cstheme="majorHAnsi"/>
        </w:rPr>
        <w:t>CD4 T-cell</w:t>
      </w:r>
      <w:r w:rsidR="00ED23C1">
        <w:rPr>
          <w:rFonts w:asciiTheme="majorHAnsi" w:hAnsiTheme="majorHAnsi" w:cstheme="majorHAnsi"/>
        </w:rPr>
        <w:t>,</w:t>
      </w:r>
      <w:r w:rsidRPr="00B93BC6">
        <w:rPr>
          <w:rFonts w:asciiTheme="majorHAnsi" w:hAnsiTheme="majorHAnsi" w:cstheme="majorHAnsi"/>
        </w:rPr>
        <w:t xml:space="preserve"> flow cytometry</w:t>
      </w:r>
      <w:r w:rsidR="00ED23C1">
        <w:rPr>
          <w:rFonts w:asciiTheme="majorHAnsi" w:hAnsiTheme="majorHAnsi" w:cstheme="majorHAnsi"/>
        </w:rPr>
        <w:t>,</w:t>
      </w:r>
      <w:r w:rsidRPr="00B93BC6">
        <w:rPr>
          <w:rFonts w:asciiTheme="majorHAnsi" w:hAnsiTheme="majorHAnsi" w:cstheme="majorHAnsi"/>
        </w:rPr>
        <w:t xml:space="preserve"> peripheral blood</w:t>
      </w:r>
      <w:r w:rsidR="00ED23C1">
        <w:rPr>
          <w:rFonts w:asciiTheme="majorHAnsi" w:hAnsiTheme="majorHAnsi" w:cstheme="majorHAnsi"/>
        </w:rPr>
        <w:t>,</w:t>
      </w:r>
      <w:r w:rsidRPr="00B93BC6">
        <w:rPr>
          <w:rFonts w:asciiTheme="majorHAnsi" w:hAnsiTheme="majorHAnsi" w:cstheme="majorHAnsi"/>
        </w:rPr>
        <w:t xml:space="preserve"> T-follicular helper cell</w:t>
      </w:r>
      <w:r w:rsidR="00ED23C1">
        <w:rPr>
          <w:rFonts w:asciiTheme="majorHAnsi" w:hAnsiTheme="majorHAnsi" w:cstheme="majorHAnsi"/>
        </w:rPr>
        <w:t>,</w:t>
      </w:r>
      <w:r w:rsidRPr="00B93BC6">
        <w:rPr>
          <w:rFonts w:asciiTheme="majorHAnsi" w:hAnsiTheme="majorHAnsi" w:cstheme="majorHAnsi"/>
        </w:rPr>
        <w:t xml:space="preserve"> circulating T-follicular helper cel</w:t>
      </w:r>
      <w:r>
        <w:rPr>
          <w:rFonts w:asciiTheme="majorHAnsi" w:hAnsiTheme="majorHAnsi" w:cstheme="majorHAnsi"/>
        </w:rPr>
        <w:t>l</w:t>
      </w:r>
      <w:r w:rsidR="00ED23C1">
        <w:rPr>
          <w:rFonts w:asciiTheme="majorHAnsi" w:hAnsiTheme="majorHAnsi" w:cstheme="majorHAnsi"/>
        </w:rPr>
        <w:t xml:space="preserve">, </w:t>
      </w:r>
      <w:r w:rsidR="00ED23C1" w:rsidRPr="00B93BC6">
        <w:rPr>
          <w:rFonts w:asciiTheme="majorHAnsi" w:hAnsiTheme="majorHAnsi" w:cstheme="majorHAnsi"/>
        </w:rPr>
        <w:t>cell subsets</w:t>
      </w:r>
    </w:p>
    <w:p w14:paraId="7EAAC80A" w14:textId="77777777" w:rsidR="00E1719E" w:rsidRPr="00B93BC6" w:rsidRDefault="00E1719E" w:rsidP="00237CA1">
      <w:pPr>
        <w:pStyle w:val="a3"/>
        <w:spacing w:before="0" w:beforeAutospacing="0" w:after="0" w:afterAutospacing="0"/>
        <w:rPr>
          <w:rFonts w:asciiTheme="majorHAnsi" w:hAnsiTheme="majorHAnsi" w:cstheme="majorHAnsi"/>
        </w:rPr>
      </w:pPr>
    </w:p>
    <w:p w14:paraId="78C91E64"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SHORT ABSTRACT:</w:t>
      </w:r>
    </w:p>
    <w:p w14:paraId="569FDEC8" w14:textId="013D44F3" w:rsidR="00E1719E" w:rsidRPr="00B93BC6" w:rsidRDefault="00E1719E" w:rsidP="00237CA1">
      <w:pPr>
        <w:rPr>
          <w:rFonts w:asciiTheme="majorHAnsi" w:hAnsiTheme="majorHAnsi" w:cstheme="majorHAnsi"/>
        </w:rPr>
      </w:pPr>
      <w:r w:rsidRPr="00B93BC6">
        <w:t xml:space="preserve">Here, a protocol </w:t>
      </w:r>
      <w:r w:rsidRPr="00B93BC6">
        <w:rPr>
          <w:rFonts w:asciiTheme="majorHAnsi" w:hAnsiTheme="majorHAnsi" w:cstheme="majorHAnsi"/>
        </w:rPr>
        <w:t>for the isolation and characteri</w:t>
      </w:r>
      <w:r w:rsidR="00ED23C1">
        <w:rPr>
          <w:rFonts w:asciiTheme="majorHAnsi" w:hAnsiTheme="majorHAnsi" w:cstheme="majorHAnsi"/>
        </w:rPr>
        <w:t>z</w:t>
      </w:r>
      <w:r w:rsidRPr="00B93BC6">
        <w:rPr>
          <w:rFonts w:asciiTheme="majorHAnsi" w:hAnsiTheme="majorHAnsi" w:cstheme="majorHAnsi"/>
        </w:rPr>
        <w:t>ation of CD4</w:t>
      </w:r>
      <w:r w:rsidRPr="00B93BC6">
        <w:rPr>
          <w:rFonts w:asciiTheme="majorHAnsi" w:hAnsiTheme="majorHAnsi" w:cstheme="majorHAnsi"/>
          <w:vertAlign w:val="superscript"/>
        </w:rPr>
        <w:t>+</w:t>
      </w:r>
      <w:r w:rsidRPr="00B93BC6">
        <w:rPr>
          <w:rFonts w:asciiTheme="majorHAnsi" w:hAnsiTheme="majorHAnsi" w:cstheme="majorHAnsi"/>
        </w:rPr>
        <w:t xml:space="preserve"> T-cell subsets from human peripheral blood</w:t>
      </w:r>
      <w:r>
        <w:rPr>
          <w:rFonts w:asciiTheme="majorHAnsi" w:hAnsiTheme="majorHAnsi" w:cstheme="majorHAnsi"/>
        </w:rPr>
        <w:t xml:space="preserve"> is described</w:t>
      </w:r>
      <w:r w:rsidRPr="00B93BC6">
        <w:rPr>
          <w:rFonts w:asciiTheme="majorHAnsi" w:hAnsiTheme="majorHAnsi" w:cstheme="majorHAnsi"/>
        </w:rPr>
        <w:t>. Purified CD4</w:t>
      </w:r>
      <w:r w:rsidRPr="00B93BC6">
        <w:rPr>
          <w:rFonts w:asciiTheme="majorHAnsi" w:hAnsiTheme="majorHAnsi" w:cstheme="majorHAnsi"/>
          <w:vertAlign w:val="superscript"/>
        </w:rPr>
        <w:t>+</w:t>
      </w:r>
      <w:r w:rsidRPr="00B93BC6">
        <w:rPr>
          <w:rFonts w:asciiTheme="majorHAnsi" w:hAnsiTheme="majorHAnsi" w:cstheme="majorHAnsi"/>
        </w:rPr>
        <w:t xml:space="preserve"> T-cells are analy</w:t>
      </w:r>
      <w:r w:rsidR="00ED23C1">
        <w:rPr>
          <w:rFonts w:asciiTheme="majorHAnsi" w:hAnsiTheme="majorHAnsi" w:cstheme="majorHAnsi"/>
        </w:rPr>
        <w:t>z</w:t>
      </w:r>
      <w:r w:rsidRPr="00B93BC6">
        <w:rPr>
          <w:rFonts w:asciiTheme="majorHAnsi" w:hAnsiTheme="majorHAnsi" w:cstheme="majorHAnsi"/>
        </w:rPr>
        <w:t xml:space="preserve">ed by flow cytometry to determine proportions of </w:t>
      </w:r>
      <w:r>
        <w:rPr>
          <w:rFonts w:asciiTheme="majorHAnsi" w:hAnsiTheme="majorHAnsi" w:cstheme="majorHAnsi"/>
        </w:rPr>
        <w:t>T-</w:t>
      </w:r>
      <w:r w:rsidRPr="00B93BC6">
        <w:rPr>
          <w:rFonts w:asciiTheme="majorHAnsi" w:hAnsiTheme="majorHAnsi" w:cstheme="majorHAnsi"/>
        </w:rPr>
        <w:t xml:space="preserve">follicular helper cell subsets. </w:t>
      </w:r>
    </w:p>
    <w:p w14:paraId="4E32939E" w14:textId="77777777" w:rsidR="00E1719E" w:rsidRPr="00B93BC6" w:rsidRDefault="00E1719E" w:rsidP="00237CA1">
      <w:pPr>
        <w:rPr>
          <w:rFonts w:asciiTheme="majorHAnsi" w:hAnsiTheme="majorHAnsi" w:cstheme="majorHAnsi"/>
        </w:rPr>
      </w:pPr>
    </w:p>
    <w:p w14:paraId="055602FF"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LONG ABSTRACT:</w:t>
      </w:r>
    </w:p>
    <w:p w14:paraId="4FBDA802" w14:textId="66060F8F" w:rsidR="00E1719E" w:rsidRPr="00B93BC6" w:rsidRDefault="00E1719E" w:rsidP="00237CA1">
      <w:pPr>
        <w:rPr>
          <w:rFonts w:asciiTheme="majorHAnsi" w:hAnsiTheme="majorHAnsi" w:cstheme="majorHAnsi"/>
        </w:rPr>
      </w:pPr>
      <w:r w:rsidRPr="00B93BC6">
        <w:rPr>
          <w:rFonts w:asciiTheme="majorHAnsi" w:hAnsiTheme="majorHAnsi" w:cstheme="majorHAnsi"/>
          <w:color w:val="auto"/>
        </w:rPr>
        <w:t>Aberrant T-follicular helper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cell activity is detectable in autoimmune conditions and their presence is associated with clinical outcomes when the lymph node microenvironment in B-cell non-Hodgkin's lymphoma is analy</w:t>
      </w:r>
      <w:r w:rsidR="00ED23C1">
        <w:rPr>
          <w:rFonts w:asciiTheme="majorHAnsi" w:hAnsiTheme="majorHAnsi" w:cstheme="majorHAnsi"/>
          <w:color w:val="auto"/>
        </w:rPr>
        <w:t>z</w:t>
      </w:r>
      <w:r w:rsidRPr="00B93BC6">
        <w:rPr>
          <w:rFonts w:asciiTheme="majorHAnsi" w:hAnsiTheme="majorHAnsi" w:cstheme="majorHAnsi"/>
          <w:color w:val="auto"/>
        </w:rPr>
        <w:t>ed. Subsets of circulating T-follicular helper cells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w:t>
      </w:r>
      <w:r>
        <w:rPr>
          <w:rFonts w:asciiTheme="majorHAnsi" w:hAnsiTheme="majorHAnsi" w:cstheme="majorHAnsi"/>
          <w:color w:val="auto"/>
        </w:rPr>
        <w:t xml:space="preserve">, the circulating memory compartment of </w:t>
      </w:r>
      <w:proofErr w:type="spellStart"/>
      <w:r>
        <w:rPr>
          <w:rFonts w:asciiTheme="majorHAnsi" w:hAnsiTheme="majorHAnsi" w:cstheme="majorHAnsi"/>
          <w:color w:val="auto"/>
        </w:rPr>
        <w:t>Tfh</w:t>
      </w:r>
      <w:proofErr w:type="spellEnd"/>
      <w:r>
        <w:rPr>
          <w:rFonts w:asciiTheme="majorHAnsi" w:hAnsiTheme="majorHAnsi" w:cstheme="majorHAnsi"/>
          <w:color w:val="auto"/>
        </w:rPr>
        <w:t xml:space="preserve"> cells in the blood,</w:t>
      </w:r>
      <w:r w:rsidRPr="00B93BC6">
        <w:rPr>
          <w:rFonts w:asciiTheme="majorHAnsi" w:hAnsiTheme="majorHAnsi" w:cstheme="majorHAnsi"/>
          <w:color w:val="auto"/>
        </w:rPr>
        <w:t xml:space="preserve"> are</w:t>
      </w:r>
      <w:r>
        <w:rPr>
          <w:rFonts w:asciiTheme="majorHAnsi" w:hAnsiTheme="majorHAnsi" w:cstheme="majorHAnsi"/>
          <w:color w:val="auto"/>
        </w:rPr>
        <w:t xml:space="preserve"> also</w:t>
      </w:r>
      <w:r w:rsidRPr="00B93BC6">
        <w:rPr>
          <w:rFonts w:asciiTheme="majorHAnsi" w:hAnsiTheme="majorHAnsi" w:cstheme="majorHAnsi"/>
          <w:color w:val="auto"/>
        </w:rPr>
        <w:t xml:space="preserve"> perturbed in disease and therefore represent potential novel predictive biomarkers. Peripheral blood-based testing is advantageous because it is relatively non-invasive and allows simple serial monitoring.</w:t>
      </w:r>
      <w:r w:rsidRPr="00B93BC6">
        <w:rPr>
          <w:rFonts w:asciiTheme="majorHAnsi" w:hAnsiTheme="majorHAnsi" w:cstheme="majorHAnsi"/>
          <w:color w:val="808080"/>
        </w:rPr>
        <w:t xml:space="preserve"> </w:t>
      </w:r>
      <w:r w:rsidRPr="00B93BC6">
        <w:rPr>
          <w:rFonts w:asciiTheme="majorHAnsi" w:hAnsiTheme="majorHAnsi" w:cstheme="majorHAnsi"/>
        </w:rPr>
        <w:t>This article describes a method for isolating CD4</w:t>
      </w:r>
      <w:r w:rsidRPr="00B93BC6">
        <w:rPr>
          <w:rFonts w:asciiTheme="majorHAnsi" w:hAnsiTheme="majorHAnsi" w:cstheme="majorHAnsi"/>
          <w:vertAlign w:val="superscript"/>
        </w:rPr>
        <w:t>+</w:t>
      </w:r>
      <w:r w:rsidRPr="00B93BC6">
        <w:rPr>
          <w:rFonts w:asciiTheme="majorHAnsi" w:hAnsiTheme="majorHAnsi" w:cstheme="majorHAnsi"/>
        </w:rPr>
        <w:t xml:space="preserve"> T-cells from human blood, and further analysis by flow-cytometry to enumerate </w:t>
      </w:r>
      <w:proofErr w:type="spellStart"/>
      <w:r>
        <w:rPr>
          <w:rFonts w:asciiTheme="majorHAnsi" w:hAnsiTheme="majorHAnsi" w:cstheme="majorHAnsi"/>
        </w:rPr>
        <w:t>cTfh</w:t>
      </w:r>
      <w:proofErr w:type="spellEnd"/>
      <w:r>
        <w:rPr>
          <w:rFonts w:asciiTheme="majorHAnsi" w:hAnsiTheme="majorHAnsi" w:cstheme="majorHAnsi"/>
        </w:rPr>
        <w:t xml:space="preserve"> cells</w:t>
      </w:r>
      <w:r w:rsidRPr="00B93BC6">
        <w:rPr>
          <w:rFonts w:asciiTheme="majorHAnsi" w:hAnsiTheme="majorHAnsi" w:cstheme="majorHAnsi"/>
        </w:rPr>
        <w:t xml:space="preserve"> and the proportions of the</w:t>
      </w:r>
      <w:r>
        <w:rPr>
          <w:rFonts w:asciiTheme="majorHAnsi" w:hAnsiTheme="majorHAnsi" w:cstheme="majorHAnsi"/>
        </w:rPr>
        <w:t>ir</w:t>
      </w:r>
      <w:r w:rsidRPr="00B93BC6">
        <w:rPr>
          <w:rFonts w:asciiTheme="majorHAnsi" w:hAnsiTheme="majorHAnsi" w:cstheme="majorHAnsi"/>
        </w:rPr>
        <w:t xml:space="preserve"> various subsets</w:t>
      </w:r>
      <w:r>
        <w:rPr>
          <w:rFonts w:asciiTheme="majorHAnsi" w:hAnsiTheme="majorHAnsi" w:cstheme="majorHAnsi"/>
        </w:rPr>
        <w:t xml:space="preserve"> </w:t>
      </w:r>
      <w:r w:rsidRPr="00B93BC6">
        <w:rPr>
          <w:rFonts w:asciiTheme="majorHAnsi" w:hAnsiTheme="majorHAnsi" w:cstheme="majorHAnsi"/>
        </w:rPr>
        <w:t>(cTfhPD-1</w:t>
      </w:r>
      <w:r w:rsidRPr="00B93BC6">
        <w:rPr>
          <w:rFonts w:asciiTheme="majorHAnsi" w:hAnsiTheme="majorHAnsi" w:cstheme="majorHAnsi"/>
          <w:vertAlign w:val="superscript"/>
        </w:rPr>
        <w:t>-/+/hi</w:t>
      </w:r>
      <w:r w:rsidRPr="00B93BC6">
        <w:rPr>
          <w:rFonts w:asciiTheme="majorHAnsi" w:hAnsiTheme="majorHAnsi" w:cstheme="majorHAnsi"/>
        </w:rPr>
        <w:t xml:space="preserve">, cTfh1,2,17 and cTfh1/17). The level of these subsets was then compared between </w:t>
      </w:r>
      <w:r>
        <w:rPr>
          <w:rFonts w:asciiTheme="majorHAnsi" w:hAnsiTheme="majorHAnsi" w:cstheme="majorHAnsi"/>
        </w:rPr>
        <w:t>normal subjects</w:t>
      </w:r>
      <w:r w:rsidRPr="00B93BC6">
        <w:rPr>
          <w:rFonts w:asciiTheme="majorHAnsi" w:hAnsiTheme="majorHAnsi" w:cstheme="majorHAnsi"/>
        </w:rPr>
        <w:t xml:space="preserve"> and patients with lymphoma. We found that the method was robust enough to obtain reliable results from routinely collected patient material. The technique we describe for </w:t>
      </w:r>
      <w:r w:rsidR="00ED23C1">
        <w:rPr>
          <w:rFonts w:asciiTheme="majorHAnsi" w:hAnsiTheme="majorHAnsi" w:cstheme="majorHAnsi"/>
        </w:rPr>
        <w:t xml:space="preserve">the </w:t>
      </w:r>
      <w:r w:rsidRPr="00B93BC6">
        <w:rPr>
          <w:rFonts w:asciiTheme="majorHAnsi" w:hAnsiTheme="majorHAnsi" w:cstheme="majorHAnsi"/>
        </w:rPr>
        <w:t>analysis can be easily adapted to cell sorting and downstream applications such as RT-PCR.</w:t>
      </w:r>
    </w:p>
    <w:p w14:paraId="39E3377C" w14:textId="77777777" w:rsidR="00E1719E" w:rsidRPr="00B93BC6" w:rsidRDefault="00E1719E" w:rsidP="00237CA1">
      <w:pPr>
        <w:rPr>
          <w:rFonts w:asciiTheme="majorHAnsi" w:hAnsiTheme="majorHAnsi" w:cstheme="majorHAnsi"/>
        </w:rPr>
      </w:pPr>
    </w:p>
    <w:p w14:paraId="5CD452F5"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INTRODUCTION:</w:t>
      </w:r>
    </w:p>
    <w:p w14:paraId="587F62B6" w14:textId="7918EF79" w:rsidR="00E1719E" w:rsidRPr="00B93BC6" w:rsidRDefault="00E1719E" w:rsidP="00237CA1">
      <w:pPr>
        <w:rPr>
          <w:rFonts w:asciiTheme="majorHAnsi" w:hAnsiTheme="majorHAnsi" w:cstheme="majorHAnsi"/>
        </w:rPr>
      </w:pPr>
      <w:r w:rsidRPr="00B93BC6">
        <w:rPr>
          <w:rFonts w:asciiTheme="majorHAnsi" w:hAnsiTheme="majorHAnsi" w:cstheme="majorHAnsi"/>
        </w:rPr>
        <w:t>T-follicular helper cells (</w:t>
      </w:r>
      <w:proofErr w:type="spellStart"/>
      <w:r w:rsidRPr="00B93BC6">
        <w:rPr>
          <w:rFonts w:asciiTheme="majorHAnsi" w:hAnsiTheme="majorHAnsi" w:cstheme="majorHAnsi"/>
        </w:rPr>
        <w:t>Tfh</w:t>
      </w:r>
      <w:proofErr w:type="spellEnd"/>
      <w:r w:rsidRPr="00B93BC6">
        <w:rPr>
          <w:rFonts w:asciiTheme="majorHAnsi" w:hAnsiTheme="majorHAnsi" w:cstheme="majorHAnsi"/>
        </w:rPr>
        <w:t>) are a CD4</w:t>
      </w:r>
      <w:r w:rsidRPr="00B93BC6">
        <w:rPr>
          <w:rFonts w:asciiTheme="majorHAnsi" w:hAnsiTheme="majorHAnsi" w:cstheme="majorHAnsi"/>
          <w:vertAlign w:val="superscript"/>
        </w:rPr>
        <w:t>+</w:t>
      </w:r>
      <w:r w:rsidRPr="00B93BC6">
        <w:rPr>
          <w:rFonts w:asciiTheme="majorHAnsi" w:hAnsiTheme="majorHAnsi" w:cstheme="majorHAnsi"/>
        </w:rPr>
        <w:t xml:space="preserve"> T-cell subset that was initially characteri</w:t>
      </w:r>
      <w:r w:rsidR="00ED23C1">
        <w:rPr>
          <w:rFonts w:asciiTheme="majorHAnsi" w:hAnsiTheme="majorHAnsi" w:cstheme="majorHAnsi"/>
        </w:rPr>
        <w:t>z</w:t>
      </w:r>
      <w:r w:rsidRPr="00B93BC6">
        <w:rPr>
          <w:rFonts w:asciiTheme="majorHAnsi" w:hAnsiTheme="majorHAnsi" w:cstheme="majorHAnsi"/>
        </w:rPr>
        <w:t>ed in lymphoid tissues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{"citationID":"Y2byhDxn","properties":{"formattedCitation":"\\super 1\\nosupersub{}","plainCitation":"1","noteIndex":0},"citationItems":[{"id":22,"uris":["http://zotero.org/users/4841313/items/YAJDRPAK"],"uri":["http://zotero.org/users/4841313/items/YAJDRPAK"],"itemData":{"id":22,"type":"article-journal","title":"Follicular Helper T Cells","container-title":"Annual Review of Immunology","page":"335-368","volume":"34","issue":"1","source":"CrossRef","abstract":"Although T cell help for B cells was described several decades ago, it was the identiﬁcation of CXCR5 expression by B follicular helper T (Tfh) cells and the subsequent discovery of their dependence on BCL6 that led to the recognition of Tfh cells as an independent helper subset and accelerated the pace of discovery. More than 20 transcription factors, together with RNAbinding proteins and microRNAs, control the expression of chemotactic receptors and molecules important for the function and homeostasis of Tfh cells. Tfh cells prime B cells to initiate extrafollicular and germinal center antibody responses and are crucial for afﬁnity maturation and maintenance of humoral memory. In addition to the roles that Tfh cells have in antimicrobial defense, in cancer, and as HIV reservoirs, regulation of these cells is critical to prevent autoimmunity. The realization that follicular T cells are heterogeneous, comprising helper and regulatory subsets, has raised questions regarding a possible division of labor in germinal center B cell selection and elimination.","DOI":"10.1146/annurev-immunol-041015-055605","ISSN":"0732-0582, 1545-3278","language":"en","author":[{"family":"Vinuesa","given":"Carola G."},{"family":"Linterman","given":"Michelle A."},{"family":"Yu","given":"Di"},{"family":"MacLennan","given":"Ian C.M."}],"issued":{"date-parts":[["2016",5,20]]}}}],"schema":"https://github.com/citation-style-language/schema/raw/master/csl-citation.json"}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w:t>
      </w:r>
      <w:r w:rsidRPr="00B93BC6">
        <w:rPr>
          <w:rFonts w:asciiTheme="majorHAnsi" w:hAnsiTheme="majorHAnsi" w:cstheme="majorHAnsi"/>
        </w:rPr>
        <w:fldChar w:fldCharType="end"/>
      </w:r>
      <w:r w:rsidRPr="00B93BC6">
        <w:rPr>
          <w:rFonts w:asciiTheme="majorHAnsi" w:hAnsiTheme="majorHAnsi" w:cstheme="majorHAnsi"/>
        </w:rPr>
        <w:t>. These cells express PD-1 and CXCR5 surface receptors, secrete IL-21 and IL-4 and show nuclear expression of the transcription factor, BCL-6</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{"citationID":"lv3aqzgE","properties":{"formattedCitation":"\\super 2, 3\\nosupersub{}","plainCitation":"2, 3","noteIndex":0},"citationItems":[{"id":86,"uris":["http://zotero.org/users/4841313/items/RS9Z6MTK"],"uri":["http://zotero.org/users/4841313/items/RS9Z6MTK"],"itemData":{"id":86,"type":"article-journal","title":"Bcl6 Mediates the Development of T Follicular Helper Cells","container-title":"Science (New York, N.Y.)","page":"1001-1005","volume":"325","issue":"5943","source":"PubMed Central","abstract":"A fundamental function of CD4+ helper T (TH) cells is the regulation of B cell–mediated humoral immunity. Development of T follicular helper (TFH) cells that provide help to B cells is mediated by the cytokines interleukin-6 and interleukin-21 but is independent of TH1, TH2, and TH17 effector cell lineages. Here, we characterize the function of Bcl6, a transcription factor selectively expressed in TFH cells. Bcl6 expression is regulated by interleukin-6 and interleukin-21. Bcl6 overexpression induced TFH-related gene expression and inhibited other TH lineage cell differentiation in a DNA binding–dependent manner. Moreover, Bcl6 deficiency in T cells resulted in impaired TFH cell development and germinal center reactions, and altered production of other effector T cell subsets. Our data thus illustrate that Bcl6 is required for programming of TFH cell generation.","DOI":"10.1126/science.1176676","ISSN":"0036-8075","note":"PMID: 19628815\nPMCID: PMC2857334","journalAbbreviation":"Science","author":[{"family":"Nurieva","given":"Roza I."},{"family":"Chung","given":"Yeonseok"},{"family":"Martinez","given":"Gustavo J."},{"family":"Yang","given":"Xuexian O."},{"family":"Tanaka","given":"Shinya"},{"family":"Matskevitch","given":"Tatyana D."},{"family":"Wang","given":"Yi-Hong"},{"family":"Dong","given":"Chen"}],"issued":{"date-parts":[["2009",8,21]]}}},{"id":83,"uris":["http://zotero.org/users/4841313/items/BK4QVU7W"],"uri":["http://zotero.org/users/4841313/items/BK4QVU7W"],"itemData":{"id":83,"type":"article-journal","title":"Follicular B Helper T Cells Express Cxc Chemokine Receptor 5, Localize to B Cell Follicles, and Support Immunoglobulin Production","container-title":"The Journal of Experimental Medicine","page":"1545-1552","volume":"192","issue":"11","source":"PubMed Central","abstract":"Chemokines and their receptors have been identified as major regulators controlling the functional organization of secondary lymphoid organs. Here we show that expression of CXC chemokine receptor 5 (CXCR5), a chemokine receptor required for B cell homing to B cell follicles, defines a novel subpopulation of B helper T cells localizing to follicles. In peripheral blood these cells coexpress CD45RO and the T cell homing CC chemokine receptor 7 (CCR7). In secondary lymphoid organs, CD4+CXCR5+ cells lose expression of CCR7, which allows them to localize to B cell follicles and germinal centers where they express high levels of CD40 ligand (CD40L), a costimulatory molecule required for B cell activation and inducible costimulator (ICOS), a recently identified costimulatory molecule of the CD28 family. Thus, when compared with CD4+CD45RO+CXCR5− cells, CD4+CD45RO+CXCR5+ tonsillar T cells efficiently support the production of immunoglobulin (Ig)A and IgG. In contrast, analysis of the memory response revealed that long-lasting memory cells are found within the CD4+CD45RO+CXCR5− population, suggesting that CXCR5+CD4 cells represent recently activated effector cells. Based on the characteristic localization within secondary lymphoid organs, we suggest to term these cells “follicular B helper T cells” (TFH).","ISSN":"0022-1007","note":"PMID: 11104797\nPMCID: PMC2193094","journalAbbreviation":"J Exp Med","author":[{"family":"Breitfeld","given":"Dagmar"},{"family":"Ohl","given":"Lars"},{"family":"Kremmer","given":"Elisabeth"},{"family":"Ellwart","given":"Joachim"},{"family":"Sallusto","given":"Federica"},{"family":"Lipp","given":"Martin"},{"family":"Förster","given":"Reinhold"}],"issued":{"date-parts":[["2000",12,4]]}}}],"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2,3</w:t>
      </w:r>
      <w:r w:rsidRPr="00B93BC6">
        <w:rPr>
          <w:rFonts w:asciiTheme="majorHAnsi" w:hAnsiTheme="majorHAnsi" w:cstheme="majorHAnsi"/>
        </w:rPr>
        <w:fldChar w:fldCharType="end"/>
      </w:r>
      <w:r w:rsidRPr="00B93BC6">
        <w:rPr>
          <w:rFonts w:asciiTheme="majorHAnsi" w:hAnsiTheme="majorHAnsi" w:cstheme="majorHAnsi"/>
        </w:rPr>
        <w:t>.</w:t>
      </w:r>
      <w:r w:rsidR="00CC58C8">
        <w:rPr>
          <w:rFonts w:asciiTheme="majorHAnsi" w:hAnsiTheme="majorHAnsi" w:cstheme="majorHAnsi"/>
        </w:rPr>
        <w:t xml:space="preserve"> </w:t>
      </w:r>
      <w:r w:rsidRPr="00B93BC6">
        <w:rPr>
          <w:rFonts w:asciiTheme="majorHAnsi" w:hAnsiTheme="majorHAnsi" w:cstheme="majorHAnsi"/>
        </w:rPr>
        <w:t xml:space="preserve">As their name </w:t>
      </w:r>
      <w:r w:rsidRPr="00B93BC6">
        <w:rPr>
          <w:rFonts w:asciiTheme="majorHAnsi" w:hAnsiTheme="majorHAnsi" w:cstheme="majorHAnsi"/>
        </w:rPr>
        <w:lastRenderedPageBreak/>
        <w:t>suggests</w:t>
      </w:r>
      <w:r w:rsidR="00ED23C1">
        <w:rPr>
          <w:rFonts w:asciiTheme="majorHAnsi" w:hAnsiTheme="majorHAnsi" w:cstheme="majorHAnsi"/>
        </w:rPr>
        <w:t>,</w:t>
      </w:r>
      <w:r w:rsidRPr="00B93BC6">
        <w:rPr>
          <w:rFonts w:asciiTheme="majorHAnsi" w:hAnsiTheme="majorHAnsi" w:cstheme="majorHAnsi"/>
        </w:rPr>
        <w:t xml:space="preserve"> they are found in germinal centers and are essential for high affinity antibody production</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{"citationID":"U7WyLyQD","properties":{"formattedCitation":"\\super 1\\nosupersub{}","plainCitation":"1","noteIndex":0},"citationItems":[{"id":22,"uris":["http://zotero.org/users/4841313/items/YAJDRPAK"],"uri":["http://zotero.org/users/4841313/items/YAJDRPAK"],"itemData":{"id":22,"type":"article-journal","title":"Follicular Helper T Cells","container-title":"Annual Review of Immunology","page":"335-368","volume":"34","issue":"1","source":"CrossRef","abstract":"Although T cell help for B cells was described several decades ago, it was the identiﬁcation of CXCR5 expression by B follicular helper T (Tfh) cells and the subsequent discovery of their dependence on BCL6 that led to the recognition of Tfh cells as an independent helper subset and accelerated the pace of discovery. More than 20 transcription factors, together with RNAbinding proteins and microRNAs, control the expression of chemotactic receptors and molecules important for the function and homeostasis of Tfh cells. Tfh cells prime B cells to initiate extrafollicular and germinal center antibody responses and are crucial for afﬁnity maturation and maintenance of humoral memory. In addition to the roles that Tfh cells have in antimicrobial defense, in cancer, and as HIV reservoirs, regulation of these cells is critical to prevent autoimmunity. The realization that follicular T cells are heterogeneous, comprising helper and regulatory subsets, has raised questions regarding a possible division of labor in germinal center B cell selection and elimination.","DOI":"10.1146/annurev-immunol-041015-055605","ISSN":"0732-0582, 1545-3278","language":"en","author":[{"family":"Vinuesa","given":"Carola G."},{"family":"Linterman","given":"Michelle A."},{"family":"Yu","given":"Di"},{"family":"MacLennan","given":"Ian C.M."}],"issued":{"date-parts":[["2016",5,20]]}}}],"schema":"https://github.com/citation-style-language/schema/raw/master/csl-citation.json"}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w:t>
      </w:r>
      <w:r w:rsidRPr="00B93BC6">
        <w:rPr>
          <w:rFonts w:asciiTheme="majorHAnsi" w:hAnsiTheme="majorHAnsi" w:cstheme="majorHAnsi"/>
        </w:rPr>
        <w:fldChar w:fldCharType="end"/>
      </w:r>
      <w:r w:rsidRPr="00B93BC6">
        <w:rPr>
          <w:rFonts w:asciiTheme="majorHAnsi" w:hAnsiTheme="majorHAnsi" w:cstheme="majorHAnsi"/>
        </w:rPr>
        <w:t>.</w:t>
      </w:r>
    </w:p>
    <w:p w14:paraId="29FAB490" w14:textId="77777777" w:rsidR="00E1719E" w:rsidRPr="00B93BC6" w:rsidRDefault="00E1719E" w:rsidP="00237CA1">
      <w:pPr>
        <w:rPr>
          <w:rFonts w:asciiTheme="majorHAnsi" w:hAnsiTheme="majorHAnsi" w:cstheme="majorHAnsi"/>
        </w:rPr>
      </w:pPr>
    </w:p>
    <w:p w14:paraId="11EDC6FE" w14:textId="11368EE0" w:rsidR="00E1719E" w:rsidRPr="00B93BC6" w:rsidRDefault="00E1719E" w:rsidP="00237CA1">
      <w:pPr>
        <w:rPr>
          <w:rFonts w:asciiTheme="majorHAnsi" w:hAnsiTheme="majorHAnsi" w:cstheme="majorHAnsi"/>
        </w:rPr>
      </w:pPr>
      <w:r w:rsidRPr="00B93BC6">
        <w:rPr>
          <w:rFonts w:asciiTheme="majorHAnsi" w:hAnsiTheme="majorHAnsi" w:cstheme="majorHAnsi"/>
        </w:rPr>
        <w:t xml:space="preserve">Dysregulated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responses have been implicated in disease pathogenesis, most notably autoimmune disease, where they promote the expansion of autoreactive B cells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{"citationID":"OrECfUae","properties":{"formattedCitation":"\\super 4\\nosupersub{}","plainCitation":"4","noteIndex":0},"citationItems":[{"id":89,"uris":["http://zotero.org/users/4841313/items/GNTHNEEV"],"uri":["http://zotero.org/users/4841313/items/GNTHNEEV"],"itemData":{"id":89,"type":"article-journal","title":"Follicular helper T cells are required for systemic autoimmunity","container-title":"The Journal of Experimental Medicine","page":"561-576","volume":"206","issue":"3","source":"PubMed Central","abstract":"Production of high-affinity pathogenic autoantibodies appears to be central to the pathogenesis of lupus. Because normal high-affinity antibodies arise from germinal centers (GCs), aberrant selection of GC B cells, caused by either failure of negative selection or enhanced positive selection by follicular helper T (TFH) cells, is a plausible explanation for these autoantibodies. Mice homozygous for the san allele of Roquin, which encodes a RING-type ubiquitin ligase, develop GCs in the absence of foreign antigen, excessive TFH cell numbers, and features of lupus. We postulated a positive selection defect in GCs to account for autoantibodies. We first demonstrate that autoimmunity in Roquinsan/san (sanroque) mice is GC dependent: deletion of one allele of Bcl6 specifically reduces the number of GC cells, ameliorating pathology. We show that Roquinsan acts autonomously to cause accumulation of TFH cells. Introduction of a null allele of the signaling lymphocyte activation molecule family adaptor Sap into the sanroque background resulted in a substantial and selective reduction in sanroque TFH cells, and abrogated formation of GCs, autoantibody formation, and renal pathology. In contrast, adoptive transfer of sanroque TFH cells led to spontaneous GC formation. These findings identify TFH dysfunction within GCs and aberrant positive selection as a pathway to systemic autoimmunity.","DOI":"10.1084/jem.20081886","ISSN":"0022-1007","note":"PMID: 19221396\nPMCID: PMC2699132","journalAbbreviation":"J Exp Med","author":[{"family":"Linterman","given":"Michelle A."},{"family":"Rigby","given":"Robert J."},{"family":"Wong","given":"Raphael. K."},{"family":"Yu","given":"Di"},{"family":"Brink","given":"Robert"},{"family":"Cannons","given":"Jennifer L."},{"family":"Schwartzberg","given":"Pamela L."},{"family":"Cook","given":"Matthew C."},{"family":"Walters","given":"Giles D."},{"family":"Vinuesa","given":"Carola G."}],"issued":{"date-parts":[["2009",3,16]]}}}],"schema":"https://github.com/citation-style-language/schema/raw/master/csl-citation.json"}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4</w:t>
      </w:r>
      <w:r w:rsidRPr="00B93BC6">
        <w:rPr>
          <w:rFonts w:asciiTheme="majorHAnsi" w:hAnsiTheme="majorHAnsi" w:cstheme="majorHAnsi"/>
        </w:rPr>
        <w:fldChar w:fldCharType="end"/>
      </w:r>
      <w:r w:rsidRPr="00B93BC6">
        <w:rPr>
          <w:rFonts w:asciiTheme="majorHAnsi" w:hAnsiTheme="majorHAnsi" w:cstheme="majorHAnsi"/>
        </w:rPr>
        <w:t xml:space="preserve">. </w:t>
      </w:r>
      <w:r w:rsidRPr="00B93BC6">
        <w:rPr>
          <w:rFonts w:asciiTheme="majorHAnsi" w:hAnsiTheme="majorHAnsi" w:cstheme="majorHAnsi"/>
          <w:color w:val="auto"/>
        </w:rPr>
        <w:t xml:space="preserve">They also play a role in the </w:t>
      </w:r>
      <w:r w:rsidR="00ED23C1" w:rsidRPr="00DD0376">
        <w:rPr>
          <w:rFonts w:asciiTheme="majorHAnsi" w:hAnsiTheme="majorHAnsi" w:cstheme="majorHAnsi"/>
          <w:color w:val="auto"/>
        </w:rPr>
        <w:t>tumor</w:t>
      </w:r>
      <w:r w:rsidRPr="00B93BC6">
        <w:rPr>
          <w:rFonts w:asciiTheme="majorHAnsi" w:hAnsiTheme="majorHAnsi" w:cstheme="majorHAnsi"/>
          <w:color w:val="auto"/>
        </w:rPr>
        <w:t xml:space="preserve"> microenvironment of both solid</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{"citationID":"z0f6a8iD","properties":{"formattedCitation":"\\super 5, 6\\nosupersub{}","plainCitation":"5, 6","noteIndex":0},"citationItems":[{"id":96,"uris":["http://zotero.org/users/4841313/items/V5S4A2JH"],"uri":["http://zotero.org/users/4841313/items/V5S4A2JH"],"itemData":{"id":96,"type":"article-journal","title":"Spatiotemporal Dynamics of Intratumoral Immune Cells Reveal the Immune Landscape in Human Cancer","container-title":"Immunity","page":"782-795","volume":"39","issue":"4","source":"ScienceDirect","abstract":"Summary\nThe complex interactions between tumors and their microenvironment remain to be elucidated. Combining large-scale approaches, we examined the spatio-temporal dynamics of 28 different immune cell types (immunome) infiltrating tumors. We found that the immune infiltrate composition changed at each tumor stage and that particular cells had a major impact on survival. Densities of T follicular helper (Tfh) cells and innate cells increased, whereas most T cell densities decreased along with tumor progression. The number of B cells, which are key players in the core immune network and are associated with prolonged survival, increased at a late stage and showed a dual effect on recurrence and tumor progression. The immune control relevance was demonstrated in three endoscopic orthotopic colon-cancer mouse models. Genomic instability of the chemokine CXCL13 was a mechanism associated with Tfh and B cell infiltration. CXCL13 and IL21 were pivotal factors for the Tfh/B cell axis correlating with survival. This integrative study reveals the immune landscape in human colorectal cancer and the major hallmarks of the microenvironment associated with tumor progression and recurrence.","DOI":"10.1016/j.immuni.2013.10.003","ISSN":"1074-7613","journalAbbreviation":"Immunity","author":[{"family":"Bindea","given":"Gabriela"},{"family":"Mlecnik","given":"Bernhard"},{"family":"Tosolini","given":"Marie"},{"family":"Kirilovsky","given":"Amos"},{"family":"Waldner","given":"Maximilian"},{"family":"Obenauf","given":"Anna C."},{"family":"Angell","given":"Helen"},{"family":"Fredriksen","given":"Tessa"},{"family":"Lafontaine","given":"Lucie"},{"family":"Berger","given":"Anne"},{"family":"Bruneval","given":"Patrick"},{"family":"Fridman","given":"Wolf Herman"},{"family":"Becker","given":"Christoph"},{"family":"Pagès","given":"Franck"},{"family":"Speicher","given":"Michael R."},{"family":"Trajanoski","given":"Zlatko"},{"family":"Galon","given":"Jérôme"}],"issued":{"date-parts":[["2013",10,17]]}}},{"id":92,"uris":["http://zotero.org/users/4841313/items/P8PVGNP8"],"uri":["http://zotero.org/users/4841313/items/P8PVGNP8"],"itemData":{"id":92,"type":"article-journal","title":"CD4+ follicular helper T cell infiltration predicts breast cancer survival","container-title":"The Journal of Clinical Investigation","page":"2873-2892","volume":"123","issue":"7","source":"www.jci.org","DOI":"10.1172/JCI67428","ISSN":"0021-9738","note":"PMID: 0","journalAbbreviation":"J Clin Invest","language":"en","author":[{"family":"Gu-Trantien","given":"Chunyan"},{"family":"Loi","given":"Sherene"},{"family":"Garaud","given":"Soizic"},{"family":"Equeter","given":"Carole"},{"family":"Libin","given":"Myriam"},{"family":"Wind","given":"Alexandre","dropping-particle":"de"},{"family":"Ravoet","given":"Marie"},{"family":"Buanec","given":"Hélène Le"},{"family":"Sibille","given":"Catherine"},{"family":"Manfouo-Foutsop","given":"Germain"},{"family":"Veys","given":"Isabelle"},{"family":"Haibe-Kains","given":"Benjamin"},{"family":"Singhal","given":"Sandeep K."},{"family":"Michiels","given":"Stefan"},{"family":"Rothé","given":"Françoise"},{"family":"Salgado","given":"Roberto"},{"family":"Duvillier","given":"Hugues"},{"family":"Ignatiadis","given":"Michail"},{"family":"Desmedt","given":"Christine"},{"family":"Bron","given":"Dominique"},{"family":"Larsimont","given":"Denis"},{"family":"Piccart","given":"Martine"},{"family":"Sotiriou","given":"Christos"},{"family":"Willard-Gallo","given":"Karen"}],"issued":{"date-parts":[["2013",7,1]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5,6</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and lymphoid cancers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{"citationID":"gL2uJL8I","properties":{"formattedCitation":"\\super 7\\nosupersub{}","plainCitation":"7","noteIndex":0},"citationItems":[{"id":99,"uris":["http://zotero.org/users/4841313/items/RH4RNZNA"],"uri":["http://zotero.org/users/4841313/items/RH4RNZNA"],"itemData":{"id":99,"type":"article-journal","title":"Characterization of intratumoral follicular helper T cells in follicular lymphoma: role in the survival of malignant B cells","container-title":"Leukemia","page":"1053-1063","volume":"26","issue":"5","source":"PubMed Central","abstract":"Accumulating evidences indicate that the cellular and molecular microenvironment of follicular lymphoma (FL) plays a key role in both lymphomagenesis and patient outcome. Malignant FL B cells are found admixed to specific stromal and immune cell subsets, in particular CD4pos T cells displaying phenotypic features of follicular helper T cells (TFH). The goal of our study was to functionally characterize intratumoral CD4pos T cells. We showed that CXCR5hiICOShiCD4pos T cells sorted from FL biopsies comprise at least two separate cell populations with distinct genetic and functional features: i) CD25pos follicular regulatory T cells (TFR), and ii) CD25neg TFH displaying a FL-B cell supportive activity without regulatory functions. Furthermore, despite their strong similarities with tonsil-derived TFH, purified FL-derived TFH displayed a specific gene expression profile including an overexpression of several genes potentially involved directly or indirectly in lymphomagenesis, in particular TNF, LTA, IL4, or CD40LG. Interestingly, we further demonstrated that these two last signals efficiently rescued malignant B cells from spontaneous and Rituximab-induced apoptosis. Altogether, our study demonstrates that tumor-infiltrating CD4pos T cells are more heterogeneous than previously presumed, and underlines for the first time the crucial role of TFH in the complex set of cellular interactions within FL microenvironment.","DOI":"10.1038/leu.2011.301","ISSN":"0887-6924","note":"PMID: 22015774\nPMCID: PMC3428269","shortTitle":"Characterization of intratumoral follicular helper T cells in follicular lymphoma","journalAbbreviation":"Leukemia","author":[{"family":"Amé-Thomas","given":"Patricia"},{"family":"Le Priol","given":"Jérôme"},{"family":"Yssel","given":"Hans"},{"family":"Caron","given":"Gersende"},{"family":"Pangault","given":"Céline"},{"family":"Jean","given":"Rachel"},{"family":"Martin","given":"Nadine"},{"family":"Marafioti","given":"Teresa"},{"family":"Gaulard","given":"Philippe"},{"family":"Lamy","given":"Thierry"},{"family":"Fest","given":"Thierry"},{"family":"Semana","given":"Gilbert"},{"family":"Tarte","given":"Karin"}],"issued":{"date-parts":[["2012",5]]}}}],"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7</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Conversely, genetic defects of surface proteins essential for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function such as inducible T-cell </w:t>
      </w:r>
      <w:proofErr w:type="spellStart"/>
      <w:r w:rsidRPr="00B93BC6">
        <w:rPr>
          <w:rFonts w:asciiTheme="majorHAnsi" w:hAnsiTheme="majorHAnsi" w:cstheme="majorHAnsi"/>
          <w:color w:val="auto"/>
        </w:rPr>
        <w:t>costimulator</w:t>
      </w:r>
      <w:proofErr w:type="spellEnd"/>
      <w:r w:rsidRPr="00B93BC6">
        <w:rPr>
          <w:rFonts w:asciiTheme="majorHAnsi" w:hAnsiTheme="majorHAnsi" w:cstheme="majorHAnsi"/>
          <w:color w:val="auto"/>
        </w:rPr>
        <w:t xml:space="preserve"> (ICOS) result in human immunodeficiency syndromes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{"citationID":"bWTUVzgP","properties":{"formattedCitation":"\\super 8\\nosupersub{}","plainCitation":"8","noteIndex":0},"citationItems":[{"id":101,"uris":["http://zotero.org/users/4841313/items/DMRSI28U"],"uri":["http://zotero.org/users/4841313/items/DMRSI28U"],"itemData":{"id":101,"type":"article-journal","title":"ICOS Deficiency Is Associated with a Severe Reduction of CXCR5+CD4 Germinal Center Th Cells","container-title":"The Journal of Immunology","page":"4927-4932","volume":"177","issue":"7","source":"www.jimmunol.org","abstract":"ICOS is expressed on activated T cells and particularly on CXCR5+ follicular Th cells in germinal centers (GC). Its deletion leads to a profound deficiency in memory B cell formation and switched Ab response in humans. Here, we show that in ICOS-deficient patients the generation of GCs is severely disturbed, and the numbers of circulating CXCR5+CD45RO+ memory CD4 T cells are significantly reduced, indicating an essential role of ICOS in the differentiation of CXCR5+CD4 T cells. The GC-specific CD57+CXCR5+ subpopulation is virtually absent. In ICOS−/− mice, the decrease of circulating CXCR5+CD4 T cells reflects the reduction of CXCR5+ follicular Th cells in lymph nodes and spleen. Therefore, in concurrence with the absence of CXCR5+ T cells in the blood of CD40L-deficient patients, these data support the hypothesis that circulating CD57+CXCR5+ T cells are GC derived and thus may serve as a surrogate marker for the presence of functional GCs in humans.","DOI":"10.4049/jimmunol.177.7.4927","ISSN":"0022-1767, 1550-6606","note":"PMID: 16982935","language":"en","author":[{"family":"Bossaller","given":"Lukas"},{"family":"Burger","given":"Jan"},{"family":"Draeger","given":"Ruth"},{"family":"Grimbacher","given":"Bodo"},{"family":"Knoth","given":"Rolf"},{"family":"Plebani","given":"Alessandro"},{"family":"Durandy","given":"Anne"},{"family":"Baumann","given":"Ulrich"},{"family":"Schlesier","given":"Michael"},{"family":"Welcher","given":"Andrew A."},{"family":"Peter","given":"Hans Hartmut"},{"family":"Warnatz","given":"Klaus"}],"issued":{"date-parts":[["2006",10,1]]}}}],"schema":"https://github.com/citation-style-language/schema/raw/master/csl-citation.json"}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8</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w:t>
      </w:r>
      <w:r w:rsidRPr="00B93BC6">
        <w:rPr>
          <w:rFonts w:asciiTheme="majorHAnsi" w:hAnsiTheme="majorHAnsi" w:cstheme="majorHAnsi"/>
        </w:rPr>
        <w:t>CD4</w:t>
      </w:r>
      <w:r w:rsidRPr="00B93BC6">
        <w:rPr>
          <w:rFonts w:asciiTheme="majorHAnsi" w:hAnsiTheme="majorHAnsi" w:cstheme="majorHAnsi"/>
          <w:vertAlign w:val="superscript"/>
        </w:rPr>
        <w:t>+</w:t>
      </w:r>
      <w:r w:rsidRPr="00B93BC6">
        <w:rPr>
          <w:rFonts w:asciiTheme="majorHAnsi" w:hAnsiTheme="majorHAnsi" w:cstheme="majorHAnsi"/>
        </w:rPr>
        <w:t xml:space="preserve"> CXCR5</w:t>
      </w:r>
      <w:r w:rsidRPr="00B93BC6">
        <w:rPr>
          <w:rFonts w:asciiTheme="majorHAnsi" w:hAnsiTheme="majorHAnsi" w:cstheme="majorHAnsi"/>
          <w:vertAlign w:val="superscript"/>
        </w:rPr>
        <w:t>+</w:t>
      </w:r>
      <w:r w:rsidRPr="00B93BC6">
        <w:rPr>
          <w:rFonts w:asciiTheme="majorHAnsi" w:hAnsiTheme="majorHAnsi" w:cstheme="majorHAnsi"/>
        </w:rPr>
        <w:t xml:space="preserve"> cells in human peripheral blood are termed circulating T-follicular helper cells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and are believed to be the memory compartment of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cells in tissues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{"citationID":"DmUoz7EJ","properties":{"formattedCitation":"\\super 9\\nosupersub{}","plainCitation":"9","noteIndex":0},"citationItems":[{"id":105,"uris":["http://zotero.org/users/4841313/items/PKRCX2ZX"],"uri":["http://zotero.org/users/4841313/items/PKRCX2ZX"],"itemData":{"id":105,"type":"article-journal","title":"Human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9</w:t>
      </w:r>
      <w:r w:rsidRPr="00B93BC6">
        <w:rPr>
          <w:rFonts w:asciiTheme="majorHAnsi" w:hAnsiTheme="majorHAnsi" w:cstheme="majorHAnsi"/>
        </w:rPr>
        <w:fldChar w:fldCharType="end"/>
      </w:r>
      <w:r w:rsidRPr="00B93BC6">
        <w:rPr>
          <w:rFonts w:asciiTheme="majorHAnsi" w:hAnsiTheme="majorHAnsi" w:cstheme="majorHAnsi"/>
        </w:rPr>
        <w:t xml:space="preserve">. The purpose of the method described here is the analysis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w:t>
      </w:r>
      <w:r>
        <w:rPr>
          <w:rFonts w:asciiTheme="majorHAnsi" w:hAnsiTheme="majorHAnsi" w:cstheme="majorHAnsi"/>
        </w:rPr>
        <w:t xml:space="preserve"> following CD4</w:t>
      </w:r>
      <w:r w:rsidRPr="006D51B2">
        <w:rPr>
          <w:rFonts w:asciiTheme="majorHAnsi" w:hAnsiTheme="majorHAnsi" w:cstheme="majorHAnsi"/>
          <w:vertAlign w:val="superscript"/>
        </w:rPr>
        <w:t>+</w:t>
      </w:r>
      <w:r>
        <w:rPr>
          <w:rFonts w:asciiTheme="majorHAnsi" w:hAnsiTheme="majorHAnsi" w:cstheme="majorHAnsi"/>
        </w:rPr>
        <w:t xml:space="preserve"> cell isolation from peripheral blood samples</w:t>
      </w:r>
      <w:r w:rsidRPr="00B93BC6">
        <w:rPr>
          <w:rFonts w:asciiTheme="majorHAnsi" w:hAnsiTheme="majorHAnsi" w:cstheme="majorHAnsi"/>
        </w:rPr>
        <w:t xml:space="preserve">. </w:t>
      </w:r>
    </w:p>
    <w:p w14:paraId="69F7A71B" w14:textId="77777777" w:rsidR="00E1719E" w:rsidRPr="00B93BC6" w:rsidRDefault="00E1719E" w:rsidP="00237CA1">
      <w:pPr>
        <w:rPr>
          <w:rFonts w:asciiTheme="majorHAnsi" w:hAnsiTheme="majorHAnsi" w:cstheme="majorHAnsi"/>
        </w:rPr>
      </w:pPr>
    </w:p>
    <w:p w14:paraId="5CD2B6C9" w14:textId="1ADE7595" w:rsidR="00E1719E" w:rsidRPr="00B93BC6" w:rsidRDefault="00E1719E" w:rsidP="00237CA1">
      <w:pPr>
        <w:rPr>
          <w:rFonts w:asciiTheme="majorHAnsi" w:hAnsiTheme="majorHAnsi" w:cstheme="majorHAnsi"/>
        </w:rPr>
      </w:pPr>
      <w:r w:rsidRPr="00B93BC6">
        <w:rPr>
          <w:rFonts w:asciiTheme="majorHAnsi" w:hAnsiTheme="majorHAnsi" w:cstheme="majorHAnsi"/>
        </w:rPr>
        <w:t xml:space="preserve">Several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 have been defined and the efficiency with which they provide B-cell help differs from one subset to another</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{"citationID":"d9iSUxGo","properties":{"formattedCitation":"\\super 9\\uc0\\u8211{}12\\nosupersub{}","plainCitation":"9–12","noteIndex":0},"citationItems":[{"id":105,"uris":["http://zotero.org/users/4841313/items/PKRCX2ZX"],"uri":["http://zotero.org/users/4841313/items/PKRCX2ZX"],"itemData":{"id":105,"type":"article-journal","title":"Human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id":108,"uris":["http://zotero.org/users/4841313/items/FVHTBVLP"],"uri":["http://zotero.org/users/4841313/items/FVHTBVLP"],"itemData":{"id":108,"type":"article-journal","title":"Human circulating PD-1+CXCR3-CXCR5+ memory Tfh cells are highly functional and correlate with broadly neutralizing HIV antibody responses","container-title":"Immunity","page":"758-769","volume":"39","issue":"4","source":"PubMed","abstract":"The vast majority of currently licensed human vaccines work on the basis of long-term protective antibody responses. It is now conceivable that an antibody-dependent HIV vaccine might be possible, given the discovery of HIV broadly neutralizing antibodies (bnAbs) in some HIV-infected individuals. However, these antibodies are difficult to develop and have characteristics indicative of a high degree of affinity maturation in germinal centers (GCs). CD4⁺ T follicular helper (Tfh) cells are specialized for B cell help and necessary for GCs. Therefore, the development of HIV bnAbs might depend on Tfh cells. Here, we identified in normal individuals a subpopulation of circulating memory PD-1⁺CXCR5⁺CD4⁺ T cells that are resting memory cells most related to bona fide GC Tfh cells by gene expression profile, cytokine profile, and functional properties. Importantly, the frequency of these cells correlated with the development of bnAbs against HIV in a large cohort of HIV⁺ individuals.","DOI":"10.1016/j.immuni.2013.08.031","ISSN":"1097-4180","note":"PMID: 24035365\nPMCID: PMC3996844","journalAbbreviation":"Immunity","language":"eng","author":[{"family":"Locci","given":"Michela"},{"family":"Havenar-Daughton","given":"Colin"},{"family":"Landais","given":"Elise"},{"family":"Wu","given":"Jennifer"},{"family":"Kroenke","given":"Mark A."},{"family":"Arlehamn","given":"Cecilia L."},{"family":"Su","given":"Laura F."},{"family":"Cubas","given":"Rafael"},{"family":"Davis","given":"Mark M."},{"family":"Sette","given":"Alessandro"},{"family":"Haddad","given":"Elias K."},{"literal":"International AIDS Vaccine Initiative Protocol C Principal Investigators"},{"family":"Poignard","given":"Pascal"},{"family":"Crotty","given":"Shane"}],"issued":{"date-parts":[["2013",10,17]]}}},{"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9–12</w:t>
      </w:r>
      <w:r w:rsidRPr="00B93BC6">
        <w:rPr>
          <w:rFonts w:asciiTheme="majorHAnsi" w:hAnsiTheme="majorHAnsi" w:cstheme="majorHAnsi"/>
        </w:rPr>
        <w:fldChar w:fldCharType="end"/>
      </w:r>
      <w:r w:rsidRPr="00B93BC6">
        <w:rPr>
          <w:rFonts w:asciiTheme="majorHAnsi" w:hAnsiTheme="majorHAnsi" w:cstheme="majorHAnsi"/>
        </w:rPr>
        <w:t>. The relative proportions of these subsets are altered in a number of diseases, most prominently autoimmune disease in which there is almost always a relative increase in the more functional PD-1</w:t>
      </w:r>
      <w:r w:rsidRPr="00B93BC6">
        <w:rPr>
          <w:rFonts w:asciiTheme="majorHAnsi" w:hAnsiTheme="majorHAnsi" w:cstheme="majorHAnsi"/>
          <w:vertAlign w:val="superscript"/>
        </w:rPr>
        <w:t>+/hi</w:t>
      </w:r>
      <w:r w:rsidRPr="00B93BC6">
        <w:rPr>
          <w:rFonts w:asciiTheme="majorHAnsi" w:hAnsiTheme="majorHAnsi" w:cstheme="majorHAnsi"/>
        </w:rPr>
        <w:t xml:space="preserve"> and/or cTfh2 or cTfh17 subsets in comparison to the less functional PD-1</w:t>
      </w:r>
      <w:r w:rsidRPr="00B93BC6">
        <w:rPr>
          <w:rFonts w:asciiTheme="majorHAnsi" w:hAnsiTheme="majorHAnsi" w:cstheme="majorHAnsi"/>
          <w:vertAlign w:val="superscript"/>
        </w:rPr>
        <w:t>-</w:t>
      </w:r>
      <w:r w:rsidRPr="00B93BC6">
        <w:rPr>
          <w:rFonts w:asciiTheme="majorHAnsi" w:hAnsiTheme="majorHAnsi" w:cstheme="majorHAnsi"/>
        </w:rPr>
        <w:t xml:space="preserve"> and/or cTfh1 subsets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{"citationID":"7j6DOfEK","properties":{"formattedCitation":"\\super 12\\nosupersub{}","plainCitation":"12","noteIndex":0},"citationItems":[{"id":24,"uris":["http://zotero.org/users/4841313/items/F9JJQ66J"],"uri":["http://zotero.org/users/4841313/items/F9JJQ66J"],"itemData":{"id":24,"type":"article-journal","title":"Phenotype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12</w:t>
      </w:r>
      <w:r w:rsidRPr="00B93BC6">
        <w:rPr>
          <w:rFonts w:asciiTheme="majorHAnsi" w:hAnsiTheme="majorHAnsi" w:cstheme="majorHAnsi"/>
        </w:rPr>
        <w:fldChar w:fldCharType="end"/>
      </w:r>
      <w:r w:rsidRPr="00B93BC6">
        <w:rPr>
          <w:rFonts w:asciiTheme="majorHAnsi" w:hAnsiTheme="majorHAnsi" w:cstheme="majorHAnsi"/>
        </w:rPr>
        <w:t xml:space="preserve">. The extent of these changes frequently associate with clinical parameters including disease activity and autoantibody titers, indicating a </w:t>
      </w:r>
      <w:r w:rsidRPr="00B93BC6">
        <w:rPr>
          <w:rFonts w:asciiTheme="majorHAnsi" w:eastAsiaTheme="minorEastAsia" w:hAnsiTheme="majorHAnsi" w:cstheme="majorHAnsi"/>
        </w:rPr>
        <w:t xml:space="preserve">potential role of </w:t>
      </w:r>
      <w:proofErr w:type="spellStart"/>
      <w:r w:rsidRPr="00B93BC6">
        <w:rPr>
          <w:rFonts w:asciiTheme="majorHAnsi" w:eastAsiaTheme="minorEastAsia" w:hAnsiTheme="majorHAnsi" w:cstheme="majorHAnsi"/>
        </w:rPr>
        <w:t>cTfh</w:t>
      </w:r>
      <w:proofErr w:type="spellEnd"/>
      <w:r w:rsidRPr="00B93BC6">
        <w:rPr>
          <w:rFonts w:asciiTheme="majorHAnsi" w:eastAsiaTheme="minorEastAsia" w:hAnsiTheme="majorHAnsi" w:cstheme="majorHAnsi"/>
        </w:rPr>
        <w:t xml:space="preserve"> subset distribution as a prognostic biomarker in disease, which may reflect the activity of </w:t>
      </w:r>
      <w:proofErr w:type="spellStart"/>
      <w:r w:rsidRPr="00B93BC6">
        <w:rPr>
          <w:rFonts w:asciiTheme="majorHAnsi" w:eastAsiaTheme="minorEastAsia" w:hAnsiTheme="majorHAnsi" w:cstheme="majorHAnsi"/>
        </w:rPr>
        <w:t>Tfh</w:t>
      </w:r>
      <w:proofErr w:type="spellEnd"/>
      <w:r w:rsidRPr="00B93BC6">
        <w:rPr>
          <w:rFonts w:asciiTheme="majorHAnsi" w:eastAsiaTheme="minorEastAsia" w:hAnsiTheme="majorHAnsi" w:cstheme="majorHAnsi"/>
        </w:rPr>
        <w:t xml:space="preserve"> in lymphoid tissues</w:t>
      </w:r>
      <w:r w:rsidRPr="00B93BC6">
        <w:rPr>
          <w:rFonts w:asciiTheme="majorHAnsi" w:eastAsiaTheme="minorEastAsia" w:hAnsiTheme="majorHAnsi" w:cstheme="majorHAnsi"/>
        </w:rPr>
        <w:fldChar w:fldCharType="begin"/>
      </w:r>
      <w:r w:rsidRPr="00B93BC6">
        <w:rPr>
          <w:rFonts w:asciiTheme="majorHAnsi" w:eastAsiaTheme="minorEastAsia" w:hAnsiTheme="majorHAnsi" w:cstheme="majorHAnsi"/>
        </w:rPr>
        <w:instrText xml:space="preserve"> ADDIN ZOTERO_ITEM CSL_CITATION {"citationID":"6cGqFgRl","properties":{"formattedCitation":"\\super 9, 12\\uc0\\u8211{}14\\nosupersub{}","plainCitation":"9, 12–14","noteIndex":0},"citationItems":[{"id":105,"uris":["http://zotero.org/users/4841313/items/PKRCX2ZX"],"uri":["http://zotero.org/users/4841313/items/PKRCX2ZX"],"itemData":{"id":105,"type":"article-journal","title":"Human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115,"uris":["http://zotero.org/users/4841313/items/YT7ZAJFA"],"uri":["http://zotero.org/users/4841313/items/YT7ZAJFA"],"itemData":{"id":115,"type":"article-journal","title":"Expansion of circulating T cells resembling follicular helper T cells is a fixed phenotype that identifies a subset of severe systemic lupus erythematosus","container-title":"Arthritis and Rheumatism","page":"234-244","volume":"62","issue":"1","source":"PubMed","abstract":"OBJECTIVE: In the sanroque mouse model of lupus, pathologic germinal centers (GCs) arise due to increased numbers of follicular helper T (Tfh) cells, resulting in high-affinity anti-double-stranded DNA antibodies that cause end-organ inflammation, such as glomerulonephritis. The purpose of this study was to examine the hypothesis that this pathway could account for a subset of patients with systemic lupus erythematosus (SLE).\nMETHODS: An expansion of Tfh cells is a causal, and therefore consistent, component of the sanroque mouse phenotype. We validated the enumeration of circulating T cells resembling Tfh cells as a biomarker of this expansion in sanroque mice, and we performed a comprehensive comparison of the surface phenotype of circulating and tonsillar Tfh cells in humans. This circulating biomarker was enumerated in SLE patients (n = 46), Sjögren's syndrome patients (n = 17), and healthy controls (n = 48) and was correlated with disease activity and end-organ involvement.\nRESULTS: In sanroque mice, circulating Tfh cells increased in proportion to their GC counterparts, making circulating Tfh cells a feasible human biomarker of this novel mechanism of breakdown in GC tolerance. In a subset of SLE patients (14 of 46), but in none of the controls, the levels of circulating Tfh cells (defined as circulating CXCR5+CD4+ cells with high expression of Tfh-associated molecules, such as inducible T cell costimulator or programmed death 1) were increased. This cellular phenotype did not vary with time, disease activity, or treatment, but it did correlate with the diversity and titers of autoantibodies and with the severity of end-organ involvement.\nCONCLUSION: These findings in SLE patients are consistent with the autoimmune mechanism in sanroque mice and identify Tfh effector molecules as possible therapeutic targets in a recognizable subset of patients with SLE.","DOI":"10.1002/art.25032","ISSN":"0004-3591","note":"PMID: 20039395","journalAbbreviation":"Arthritis Rheum.","language":"eng","author":[{"family":"Simpson","given":"Nicholas"},{"family":"Gatenby","given":"Paul A."},{"family":"Wilson","given":"Anastasia"},{"family":"Malik","given":"Shreya"},{"family":"Fulcher","given":"David A."},{"family":"Tangye","given":"Stuart G."},{"family":"Manku","given":"Harinder"},{"family":"Vyse","given":"Timothy J."},{"family":"Roncador","given":"Giovanna"},{"family":"Huttley","given":"Gavin A."},{"family":"Goodnow","given":"Christopher C."},{"family":"Vinuesa","given":"Carola G."},{"family":"Cook","given":"Matthew C."}],"issued":{"date-parts":[["2010",1]]}}},{"id":117,"uris":["http://zotero.org/users/4841313/items/NQQJVQ8B"],"uri":["http://zotero.org/users/4841313/items/NQQJVQ8B"],"itemData":{"id":117,"type":"article-journal","title":"High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eastAsiaTheme="minorEastAsia" w:hAnsiTheme="majorHAnsi" w:cstheme="majorHAnsi"/>
        </w:rPr>
        <w:fldChar w:fldCharType="separate"/>
      </w:r>
      <w:r w:rsidRPr="00B93BC6">
        <w:rPr>
          <w:rFonts w:asciiTheme="majorHAnsi" w:hAnsiTheme="majorHAnsi" w:cstheme="majorHAnsi"/>
          <w:vertAlign w:val="superscript"/>
        </w:rPr>
        <w:t>9,12–14</w:t>
      </w:r>
      <w:r w:rsidRPr="00B93BC6">
        <w:rPr>
          <w:rFonts w:asciiTheme="majorHAnsi" w:eastAsiaTheme="minorEastAsia" w:hAnsiTheme="majorHAnsi" w:cstheme="majorHAnsi"/>
        </w:rPr>
        <w:fldChar w:fldCharType="end"/>
      </w:r>
      <w:r w:rsidRPr="00B93BC6">
        <w:rPr>
          <w:rFonts w:asciiTheme="majorHAnsi" w:eastAsiaTheme="minorEastAsia" w:hAnsiTheme="majorHAnsi" w:cstheme="majorHAnsi"/>
        </w:rPr>
        <w:t>. Additionally, taking blood samples from participants is</w:t>
      </w:r>
      <w:r w:rsidRPr="00B93BC6">
        <w:rPr>
          <w:rFonts w:asciiTheme="majorHAnsi" w:hAnsiTheme="majorHAnsi" w:cstheme="majorHAnsi"/>
        </w:rPr>
        <w:t xml:space="preserve"> quick, safe and acceptable, and so allows serial monitoring for the analysis of disease progression or response to therapy.</w:t>
      </w:r>
    </w:p>
    <w:p w14:paraId="1ABB2027" w14:textId="77777777" w:rsidR="00E1719E" w:rsidRPr="00B93BC6" w:rsidRDefault="00E1719E" w:rsidP="00237CA1">
      <w:pPr>
        <w:rPr>
          <w:rFonts w:asciiTheme="majorHAnsi" w:hAnsiTheme="majorHAnsi" w:cstheme="majorHAnsi"/>
        </w:rPr>
      </w:pPr>
    </w:p>
    <w:p w14:paraId="17CD378F" w14:textId="2AE175AE" w:rsidR="00E1719E" w:rsidRPr="00B93BC6" w:rsidRDefault="00E1719E" w:rsidP="00237CA1">
      <w:pPr>
        <w:rPr>
          <w:rFonts w:asciiTheme="majorHAnsi" w:hAnsiTheme="majorHAnsi" w:cstheme="majorHAnsi"/>
        </w:rPr>
      </w:pPr>
      <w:r w:rsidRPr="00B93BC6">
        <w:rPr>
          <w:rFonts w:asciiTheme="majorHAnsi" w:hAnsiTheme="majorHAnsi" w:cstheme="majorHAnsi"/>
        </w:rPr>
        <w:t>The use of isolated CD4</w:t>
      </w:r>
      <w:r w:rsidRPr="00B93BC6">
        <w:rPr>
          <w:rFonts w:asciiTheme="majorHAnsi" w:hAnsiTheme="majorHAnsi" w:cstheme="majorHAnsi"/>
          <w:vertAlign w:val="superscript"/>
        </w:rPr>
        <w:t>+</w:t>
      </w:r>
      <w:r w:rsidRPr="00B93BC6">
        <w:rPr>
          <w:rFonts w:asciiTheme="majorHAnsi" w:hAnsiTheme="majorHAnsi" w:cstheme="majorHAnsi"/>
        </w:rPr>
        <w:t xml:space="preserve"> T-cells over traditional peripheral blood mononuclear cell (PBMNC)</w:t>
      </w:r>
      <w:r>
        <w:rPr>
          <w:rFonts w:asciiTheme="majorHAnsi" w:hAnsiTheme="majorHAnsi" w:cstheme="majorHAnsi"/>
        </w:rPr>
        <w:t xml:space="preserve"> suspensions</w:t>
      </w:r>
      <w:r w:rsidRPr="00B93BC6">
        <w:rPr>
          <w:rFonts w:asciiTheme="majorHAnsi" w:hAnsiTheme="majorHAnsi" w:cstheme="majorHAnsi"/>
        </w:rPr>
        <w:t xml:space="preserve"> enables higher throughput flow cytometry experiments by reducing the time required to acquire a substantial number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cells for analysis. This is particularly helpful when sorting cells from rare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 using flow activated cell sorting (FACS). To aid </w:t>
      </w:r>
      <w:r w:rsidR="00ED23C1">
        <w:rPr>
          <w:rFonts w:asciiTheme="majorHAnsi" w:hAnsiTheme="majorHAnsi" w:cstheme="majorHAnsi"/>
        </w:rPr>
        <w:t xml:space="preserve">the </w:t>
      </w:r>
      <w:r w:rsidRPr="00B93BC6">
        <w:rPr>
          <w:rFonts w:asciiTheme="majorHAnsi" w:hAnsiTheme="majorHAnsi" w:cstheme="majorHAnsi"/>
        </w:rPr>
        <w:t>efficiency, these suspensions can be cryopreserved to enable “batching” of samples to be used in the flow cytometry experiment. On testing, the CD4</w:t>
      </w:r>
      <w:r w:rsidRPr="00B93BC6">
        <w:rPr>
          <w:rFonts w:asciiTheme="majorHAnsi" w:hAnsiTheme="majorHAnsi" w:cstheme="majorHAnsi"/>
          <w:vertAlign w:val="superscript"/>
        </w:rPr>
        <w:t>+</w:t>
      </w:r>
      <w:r w:rsidRPr="00B93BC6">
        <w:rPr>
          <w:rFonts w:asciiTheme="majorHAnsi" w:hAnsiTheme="majorHAnsi" w:cstheme="majorHAnsi"/>
        </w:rPr>
        <w:t xml:space="preserve"> purity was not reduced by cryopreservation.</w:t>
      </w:r>
    </w:p>
    <w:p w14:paraId="36D9360D" w14:textId="77777777" w:rsidR="00E1719E" w:rsidRPr="00B93BC6" w:rsidRDefault="00E1719E" w:rsidP="00237CA1">
      <w:pPr>
        <w:rPr>
          <w:rFonts w:asciiTheme="majorHAnsi" w:hAnsiTheme="majorHAnsi" w:cstheme="majorHAnsi"/>
        </w:rPr>
      </w:pPr>
    </w:p>
    <w:p w14:paraId="45FB670A" w14:textId="3CBD845E" w:rsidR="00E1719E" w:rsidRPr="00B93BC6" w:rsidRDefault="00E1719E" w:rsidP="00237CA1">
      <w:pPr>
        <w:rPr>
          <w:rFonts w:asciiTheme="majorHAnsi" w:hAnsiTheme="majorHAnsi" w:cstheme="majorHAnsi"/>
        </w:rPr>
      </w:pPr>
      <w:r w:rsidRPr="00B93BC6">
        <w:rPr>
          <w:rFonts w:asciiTheme="majorHAnsi" w:hAnsiTheme="majorHAnsi" w:cstheme="majorHAnsi"/>
        </w:rPr>
        <w:t>While different laboratories use</w:t>
      </w:r>
      <w:r>
        <w:rPr>
          <w:rFonts w:asciiTheme="majorHAnsi" w:hAnsiTheme="majorHAnsi" w:cstheme="majorHAnsi"/>
        </w:rPr>
        <w:t>d</w:t>
      </w:r>
      <w:r w:rsidRPr="00B93BC6">
        <w:rPr>
          <w:rFonts w:asciiTheme="majorHAnsi" w:hAnsiTheme="majorHAnsi" w:cstheme="majorHAnsi"/>
        </w:rPr>
        <w:t xml:space="preserve"> different markers to </w:t>
      </w:r>
      <w:proofErr w:type="spellStart"/>
      <w:r w:rsidRPr="00B93BC6">
        <w:rPr>
          <w:rFonts w:asciiTheme="majorHAnsi" w:hAnsiTheme="majorHAnsi" w:cstheme="majorHAnsi"/>
        </w:rPr>
        <w:t>categorise</w:t>
      </w:r>
      <w:proofErr w:type="spellEnd"/>
      <w:r w:rsidRPr="00B93BC6">
        <w:rPr>
          <w:rFonts w:asciiTheme="majorHAnsi" w:hAnsiTheme="majorHAnsi" w:cstheme="majorHAnsi"/>
        </w:rPr>
        <w:t xml:space="preserve">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cells in the early stages of their discovery, the method presented here makes use of a unified scheme of two groups of cell-surface markers as proposed by Schmidt </w:t>
      </w:r>
      <w:r w:rsidRPr="00B93BC6">
        <w:rPr>
          <w:rFonts w:asciiTheme="majorHAnsi" w:hAnsiTheme="majorHAnsi" w:cstheme="majorHAnsi"/>
          <w:i/>
        </w:rPr>
        <w:t>et al.</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{"citationID":"6AlHlZ1g","properties":{"formattedCitation":"\\super 12, 15\\nosupersub{}","plainCitation":"12, 15","noteIndex":0},"citationItems":[{"id":24,"uris":["http://zotero.org/users/4841313/items/F9JJQ66J"],"uri":["http://zotero.org/users/4841313/items/F9JJQ66J"],"itemData":{"id":24,"type":"article-journal","title":"Phenotype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20,"uris":["http://zotero.org/users/4841313/items/BYIA6WWK"],"uri":["http://zotero.org/users/4841313/items/BYIA6WWK"],"itemData":{"id":20,"type":"article-journal","title":"Human Circulating T Follicular Helper Cell Subsets in Health and Disease","container-title":"Journal of Clinical Immunology","page":"34-39","volume":"36","issue":"S1","source":"CrossRef","abstract":"T follicular helper (Tfh) cells are specialized to provide help to B cells and to induce durable antibody response. Our knowledge on the biology of Tfh cells and their contribution to disease has significantly increased in the past decade. In particular, recent discoveries of functionally distinct subsets within circulating Tfh (cTfh) cells in human blood have provided clues to assess the ongoing Tfh responses in healthy subjects after vaccinations and in patients with autoimmune diseases. The immune pathways associated with Tfh cell differentiation in humans are also getting revealed. In this review, I will first summarize the subsets within human cTfh cells, and discuss their alterations in patients with autoimmune diseases. Then I will discuss the mechanisms associated with the aberrant Tfh responses in human autoimmune diseases.","DOI":"10.1007/s10875-016-0268-3","ISSN":"0271-9142, 1573-2592","language":"en","author":[{"family":"Ueno","given":"Hideki"}],"issued":{"date-parts":[["2016",5]]}}}],"schema":"https://github.com/citation-style-language/schema/raw/master/csl-citation.json"}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12, 15</w:t>
      </w:r>
      <w:r w:rsidRPr="00B93BC6">
        <w:rPr>
          <w:rFonts w:asciiTheme="majorHAnsi" w:hAnsiTheme="majorHAnsi" w:cstheme="majorHAnsi"/>
        </w:rPr>
        <w:fldChar w:fldCharType="end"/>
      </w:r>
      <w:r w:rsidRPr="00B93BC6">
        <w:rPr>
          <w:rFonts w:asciiTheme="majorHAnsi" w:hAnsiTheme="majorHAnsi" w:cstheme="majorHAnsi"/>
        </w:rPr>
        <w:t xml:space="preserve"> to enable the simultaneous identification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and their nine recogni</w:t>
      </w:r>
      <w:r w:rsidR="00ED23C1">
        <w:rPr>
          <w:rFonts w:asciiTheme="majorHAnsi" w:hAnsiTheme="majorHAnsi" w:cstheme="majorHAnsi"/>
        </w:rPr>
        <w:t>z</w:t>
      </w:r>
      <w:r w:rsidRPr="00B93BC6">
        <w:rPr>
          <w:rFonts w:asciiTheme="majorHAnsi" w:hAnsiTheme="majorHAnsi" w:cstheme="majorHAnsi"/>
        </w:rPr>
        <w:t>ed subsets in a single flow cytometry experiment.</w:t>
      </w:r>
    </w:p>
    <w:p w14:paraId="58ACCE10" w14:textId="77777777" w:rsidR="00E1719E" w:rsidRPr="00B93BC6" w:rsidRDefault="00E1719E" w:rsidP="00237CA1">
      <w:pPr>
        <w:rPr>
          <w:rFonts w:asciiTheme="majorHAnsi" w:hAnsiTheme="majorHAnsi" w:cstheme="majorHAnsi"/>
        </w:rPr>
      </w:pPr>
    </w:p>
    <w:p w14:paraId="786A1712" w14:textId="0710BC96"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As only cell surface markers are used, </w:t>
      </w:r>
      <w:r w:rsidR="00ED23C1">
        <w:rPr>
          <w:rFonts w:asciiTheme="majorHAnsi" w:hAnsiTheme="majorHAnsi" w:cstheme="majorHAnsi"/>
          <w:color w:val="auto"/>
        </w:rPr>
        <w:t xml:space="preserve">the </w:t>
      </w:r>
      <w:r w:rsidRPr="00B93BC6">
        <w:rPr>
          <w:rFonts w:asciiTheme="majorHAnsi" w:hAnsiTheme="majorHAnsi" w:cstheme="majorHAnsi"/>
          <w:color w:val="auto"/>
        </w:rPr>
        <w:t>cells do not require fixation or permeabili</w:t>
      </w:r>
      <w:r w:rsidR="00ED23C1">
        <w:rPr>
          <w:rFonts w:asciiTheme="majorHAnsi" w:hAnsiTheme="majorHAnsi" w:cstheme="majorHAnsi"/>
          <w:color w:val="auto"/>
        </w:rPr>
        <w:t>z</w:t>
      </w:r>
      <w:r w:rsidRPr="00B93BC6">
        <w:rPr>
          <w:rFonts w:asciiTheme="majorHAnsi" w:hAnsiTheme="majorHAnsi" w:cstheme="majorHAnsi"/>
          <w:color w:val="auto"/>
        </w:rPr>
        <w:t xml:space="preserve">ation, and thus can remain alive for downstream functional studies. This could be facilitated by cell sorting using FACS with the same antibody panel. This panel could be expanded to include other markers, allowing for the restrictions of the flow cytometer being used. </w:t>
      </w:r>
    </w:p>
    <w:p w14:paraId="190416E3" w14:textId="77777777" w:rsidR="00E1719E" w:rsidRPr="00B93BC6" w:rsidRDefault="00E1719E" w:rsidP="00237CA1">
      <w:pPr>
        <w:rPr>
          <w:rFonts w:asciiTheme="majorHAnsi" w:hAnsiTheme="majorHAnsi" w:cstheme="majorHAnsi"/>
        </w:rPr>
      </w:pPr>
    </w:p>
    <w:p w14:paraId="4CEEB3FE" w14:textId="761198D3"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The analysis of multi-color flow cytometry experiments can be challenging due to the inherently subjective nature of gating on 2-dimensional dot plots, especially when cell populations do not have a clear bi-modal distribution in marker fluorescence, as is the case for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and their subsets. For this reason, it is imperative to set up effective controls to reduce </w:t>
      </w:r>
      <w:r w:rsidR="00ED23C1">
        <w:rPr>
          <w:rFonts w:asciiTheme="majorHAnsi" w:hAnsiTheme="majorHAnsi" w:cstheme="majorHAnsi"/>
          <w:color w:val="auto"/>
        </w:rPr>
        <w:t xml:space="preserve">the </w:t>
      </w:r>
      <w:r w:rsidRPr="00B93BC6">
        <w:rPr>
          <w:rFonts w:asciiTheme="majorHAnsi" w:hAnsiTheme="majorHAnsi" w:cstheme="majorHAnsi"/>
          <w:color w:val="auto"/>
        </w:rPr>
        <w:t>artefacts to enable better resolution of populations and to set gating strategies confidently. As such, antibody panel design and the set-up of basic controls for a flow cytometry experiment</w:t>
      </w:r>
      <w:r w:rsidR="00ED23C1">
        <w:rPr>
          <w:rFonts w:asciiTheme="majorHAnsi" w:hAnsiTheme="majorHAnsi" w:cstheme="majorHAnsi"/>
          <w:color w:val="auto"/>
        </w:rPr>
        <w:t>,</w:t>
      </w:r>
      <w:r w:rsidRPr="00B93BC6">
        <w:rPr>
          <w:rFonts w:asciiTheme="majorHAnsi" w:hAnsiTheme="majorHAnsi" w:cstheme="majorHAnsi"/>
          <w:color w:val="auto"/>
        </w:rPr>
        <w:t xml:space="preserve"> </w:t>
      </w:r>
      <w:r w:rsidRPr="00ED23C1">
        <w:rPr>
          <w:rFonts w:asciiTheme="majorHAnsi" w:hAnsiTheme="majorHAnsi" w:cstheme="majorHAnsi"/>
          <w:i/>
          <w:color w:val="auto"/>
        </w:rPr>
        <w:t>i.e</w:t>
      </w:r>
      <w:r w:rsidRPr="00B93BC6">
        <w:rPr>
          <w:rFonts w:asciiTheme="majorHAnsi" w:hAnsiTheme="majorHAnsi" w:cstheme="majorHAnsi"/>
          <w:color w:val="auto"/>
        </w:rPr>
        <w:t>.</w:t>
      </w:r>
      <w:r w:rsidR="00ED23C1">
        <w:rPr>
          <w:rFonts w:asciiTheme="majorHAnsi" w:hAnsiTheme="majorHAnsi" w:cstheme="majorHAnsi"/>
          <w:color w:val="auto"/>
        </w:rPr>
        <w:t>,</w:t>
      </w:r>
      <w:r w:rsidRPr="00B93BC6">
        <w:rPr>
          <w:rFonts w:asciiTheme="majorHAnsi" w:hAnsiTheme="majorHAnsi" w:cstheme="majorHAnsi"/>
          <w:color w:val="auto"/>
        </w:rPr>
        <w:t xml:space="preserve"> using compensation and FMO controls are outlined in </w:t>
      </w:r>
      <w:r w:rsidR="00ED23C1">
        <w:rPr>
          <w:rFonts w:asciiTheme="majorHAnsi" w:hAnsiTheme="majorHAnsi" w:cstheme="majorHAnsi"/>
          <w:color w:val="auto"/>
        </w:rPr>
        <w:t>Step</w:t>
      </w:r>
      <w:r w:rsidRPr="00B93BC6">
        <w:rPr>
          <w:rFonts w:asciiTheme="majorHAnsi" w:hAnsiTheme="majorHAnsi" w:cstheme="majorHAnsi"/>
          <w:color w:val="auto"/>
        </w:rPr>
        <w:t xml:space="preserve"> 3.4.2 and 3.4.3</w:t>
      </w:r>
      <w:r w:rsidR="00ED23C1">
        <w:rPr>
          <w:rFonts w:asciiTheme="majorHAnsi" w:hAnsiTheme="majorHAnsi" w:cstheme="majorHAnsi"/>
          <w:color w:val="auto"/>
        </w:rPr>
        <w:t>,</w:t>
      </w:r>
      <w:r w:rsidRPr="00B93BC6">
        <w:rPr>
          <w:rFonts w:asciiTheme="majorHAnsi" w:hAnsiTheme="majorHAnsi" w:cstheme="majorHAnsi"/>
          <w:color w:val="FF0000"/>
        </w:rPr>
        <w:t xml:space="preserve"> </w:t>
      </w:r>
      <w:r w:rsidRPr="00B93BC6">
        <w:rPr>
          <w:rFonts w:asciiTheme="majorHAnsi" w:hAnsiTheme="majorHAnsi" w:cstheme="majorHAnsi"/>
          <w:color w:val="auto"/>
        </w:rPr>
        <w:t>respectively.</w:t>
      </w:r>
    </w:p>
    <w:p w14:paraId="7C7BF395" w14:textId="77777777" w:rsidR="00E1719E" w:rsidRPr="00B93BC6" w:rsidRDefault="00E1719E" w:rsidP="00237CA1">
      <w:pPr>
        <w:rPr>
          <w:rFonts w:asciiTheme="majorHAnsi" w:hAnsiTheme="majorHAnsi" w:cstheme="majorHAnsi"/>
          <w:color w:val="auto"/>
        </w:rPr>
      </w:pPr>
    </w:p>
    <w:p w14:paraId="3A3C92F1" w14:textId="5F0DFEC0"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are defined as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CD45RA</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The level of expression of the characteristic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activation marker PD-1 can then be determined to identify </w:t>
      </w:r>
      <w:r w:rsidR="00ED23C1">
        <w:rPr>
          <w:rFonts w:asciiTheme="majorHAnsi" w:hAnsiTheme="majorHAnsi" w:cstheme="majorHAnsi"/>
          <w:color w:val="auto"/>
        </w:rPr>
        <w:t xml:space="preserve">the </w:t>
      </w:r>
      <w:r w:rsidRPr="00B93BC6">
        <w:rPr>
          <w:rFonts w:asciiTheme="majorHAnsi" w:hAnsiTheme="majorHAnsi" w:cstheme="majorHAnsi"/>
          <w:color w:val="auto"/>
        </w:rPr>
        <w:t>subsets of PD-1</w:t>
      </w:r>
      <w:r w:rsidRPr="00B93BC6">
        <w:rPr>
          <w:rFonts w:asciiTheme="majorHAnsi" w:hAnsiTheme="majorHAnsi" w:cstheme="majorHAnsi"/>
          <w:color w:val="auto"/>
          <w:vertAlign w:val="superscript"/>
        </w:rPr>
        <w:t>-</w:t>
      </w:r>
      <w:r w:rsidRPr="00B93BC6">
        <w:rPr>
          <w:rFonts w:asciiTheme="majorHAnsi" w:hAnsiTheme="majorHAnsi" w:cstheme="majorHAnsi"/>
          <w:color w:val="auto"/>
        </w:rPr>
        <w:t>, PD-1</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or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Then, using a combination of the chemokine receptors CXCR3 and CCR6, which are differentially expressed by traditional Th1,2 or 17 cells,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can be characteri</w:t>
      </w:r>
      <w:r w:rsidR="00ED23C1">
        <w:rPr>
          <w:rFonts w:asciiTheme="majorHAnsi" w:hAnsiTheme="majorHAnsi" w:cstheme="majorHAnsi"/>
          <w:color w:val="auto"/>
        </w:rPr>
        <w:t>z</w:t>
      </w:r>
      <w:r w:rsidRPr="00B93BC6">
        <w:rPr>
          <w:rFonts w:asciiTheme="majorHAnsi" w:hAnsiTheme="majorHAnsi" w:cstheme="majorHAnsi"/>
          <w:color w:val="auto"/>
        </w:rPr>
        <w:t>ed as cTfh1,2 or 17-like by a profile of CXCR3</w:t>
      </w:r>
      <w:r w:rsidRPr="00B93BC6">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sidRPr="00B93BC6">
        <w:rPr>
          <w:rFonts w:asciiTheme="majorHAnsi" w:hAnsiTheme="majorHAnsi" w:cstheme="majorHAnsi"/>
          <w:color w:val="auto"/>
        </w:rPr>
        <w:t>, CXCR3</w:t>
      </w:r>
      <w:r w:rsidRPr="00B93BC6">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sidRPr="00B93BC6">
        <w:rPr>
          <w:rFonts w:asciiTheme="majorHAnsi" w:hAnsiTheme="majorHAnsi" w:cstheme="majorHAnsi"/>
          <w:color w:val="auto"/>
        </w:rPr>
        <w:t>, and CXCR3</w:t>
      </w:r>
      <w:r w:rsidRPr="00B93BC6">
        <w:rPr>
          <w:rFonts w:asciiTheme="majorHAnsi" w:hAnsiTheme="majorHAnsi" w:cstheme="majorHAnsi"/>
          <w:color w:val="auto"/>
          <w:vertAlign w:val="superscript"/>
        </w:rPr>
        <w:t>-</w:t>
      </w:r>
      <w:r w:rsidR="00CC58C8">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sidR="00ED23C1">
        <w:rPr>
          <w:rFonts w:asciiTheme="majorHAnsi" w:hAnsiTheme="majorHAnsi" w:cstheme="majorHAnsi"/>
          <w:color w:val="auto"/>
        </w:rPr>
        <w:t>,</w:t>
      </w:r>
      <w:r w:rsidRPr="00B93BC6">
        <w:rPr>
          <w:rFonts w:asciiTheme="majorHAnsi" w:hAnsiTheme="majorHAnsi" w:cstheme="majorHAnsi"/>
          <w:color w:val="auto"/>
        </w:rPr>
        <w:t xml:space="preserve"> respectively.</w:t>
      </w:r>
    </w:p>
    <w:p w14:paraId="40DDEC1C" w14:textId="77777777" w:rsidR="00E1719E" w:rsidRPr="00B93BC6" w:rsidRDefault="00E1719E" w:rsidP="00237CA1">
      <w:pPr>
        <w:rPr>
          <w:rFonts w:asciiTheme="majorHAnsi" w:hAnsiTheme="majorHAnsi" w:cstheme="majorHAnsi"/>
          <w:color w:val="auto"/>
        </w:rPr>
      </w:pPr>
    </w:p>
    <w:p w14:paraId="1CB7CFBB" w14:textId="77777777"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The antibody panel used by our laboratory is displayed in </w:t>
      </w:r>
      <w:r w:rsidRPr="00ED23C1">
        <w:rPr>
          <w:rFonts w:asciiTheme="majorHAnsi" w:hAnsiTheme="majorHAnsi" w:cstheme="majorHAnsi"/>
          <w:b/>
          <w:color w:val="auto"/>
        </w:rPr>
        <w:t>Table 1</w:t>
      </w:r>
      <w:r w:rsidRPr="00B93BC6">
        <w:rPr>
          <w:rFonts w:asciiTheme="majorHAnsi" w:hAnsiTheme="majorHAnsi" w:cstheme="majorHAnsi"/>
          <w:color w:val="auto"/>
        </w:rPr>
        <w:t>. The user may have to adapt their fluorophore selection to account for the laser and light filter configuration available on their local flow cytometer.</w:t>
      </w:r>
      <w:r w:rsidRPr="00B93BC6" w:rsidDel="00C161E0">
        <w:rPr>
          <w:rFonts w:asciiTheme="majorHAnsi" w:hAnsiTheme="majorHAnsi" w:cstheme="majorHAnsi"/>
          <w:color w:val="auto"/>
        </w:rPr>
        <w:t xml:space="preserve"> </w:t>
      </w:r>
    </w:p>
    <w:p w14:paraId="52A8FF71" w14:textId="77777777" w:rsidR="00E1719E" w:rsidRPr="00B93BC6" w:rsidRDefault="00E1719E" w:rsidP="00237CA1">
      <w:pPr>
        <w:rPr>
          <w:rFonts w:asciiTheme="majorHAnsi" w:hAnsiTheme="majorHAnsi" w:cstheme="majorHAnsi"/>
          <w:color w:val="auto"/>
        </w:rPr>
      </w:pPr>
    </w:p>
    <w:p w14:paraId="786E7527" w14:textId="61FEC6D6" w:rsidR="00E1719E" w:rsidRPr="00ED23C1" w:rsidRDefault="00E1719E" w:rsidP="00237CA1">
      <w:pPr>
        <w:rPr>
          <w:rFonts w:asciiTheme="majorHAnsi" w:hAnsiTheme="majorHAnsi" w:cstheme="majorHAnsi"/>
          <w:color w:val="auto"/>
        </w:rPr>
      </w:pPr>
      <w:r w:rsidRPr="00B93BC6">
        <w:rPr>
          <w:rFonts w:asciiTheme="majorHAnsi" w:hAnsiTheme="majorHAnsi" w:cstheme="majorHAnsi"/>
          <w:color w:val="auto"/>
        </w:rPr>
        <w:t>The following considerations influence the choice of fluorophores</w:t>
      </w:r>
      <w:r w:rsidR="00ED23C1">
        <w:rPr>
          <w:rFonts w:asciiTheme="majorHAnsi" w:hAnsiTheme="majorHAnsi" w:cstheme="majorHAnsi"/>
          <w:color w:val="auto"/>
        </w:rPr>
        <w:t xml:space="preserve">. </w:t>
      </w:r>
      <w:r w:rsidRPr="00B93BC6">
        <w:rPr>
          <w:rFonts w:asciiTheme="majorHAnsi" w:hAnsiTheme="majorHAnsi" w:cstheme="majorHAnsi"/>
          <w:color w:val="auto"/>
        </w:rPr>
        <w:t xml:space="preserve">Use bright fluorophores where possible. In particular, use the brightest available fluorophores on the dimmest (less highly expressed) markers. Dimmer markers include PD-1, CXCR3 and CCR6, and to a lesser extent, CXCR5. We specifically made use of the newer BB, BV and BUV fluorophores which provide excellent brightness and thus enable easier resolution of distinct populations of </w:t>
      </w:r>
      <w:r w:rsidR="00237CA1">
        <w:rPr>
          <w:rFonts w:asciiTheme="majorHAnsi" w:hAnsiTheme="majorHAnsi" w:cstheme="majorHAnsi"/>
          <w:color w:val="auto"/>
        </w:rPr>
        <w:t xml:space="preserve">the </w:t>
      </w:r>
      <w:r w:rsidRPr="00ED23C1">
        <w:rPr>
          <w:rFonts w:asciiTheme="majorHAnsi" w:hAnsiTheme="majorHAnsi" w:cstheme="majorHAnsi"/>
          <w:color w:val="auto"/>
        </w:rPr>
        <w:t>cells.</w:t>
      </w:r>
    </w:p>
    <w:p w14:paraId="40913F25" w14:textId="77777777" w:rsidR="00E1719E" w:rsidRPr="00ED23C1" w:rsidRDefault="00E1719E" w:rsidP="00237CA1">
      <w:pPr>
        <w:rPr>
          <w:rFonts w:asciiTheme="majorHAnsi" w:hAnsiTheme="majorHAnsi" w:cstheme="majorHAnsi"/>
          <w:color w:val="auto"/>
        </w:rPr>
      </w:pPr>
    </w:p>
    <w:p w14:paraId="1F305086" w14:textId="5417E163" w:rsidR="00E1719E" w:rsidRPr="00ED23C1" w:rsidRDefault="00E1719E" w:rsidP="00237CA1">
      <w:pPr>
        <w:rPr>
          <w:rFonts w:asciiTheme="majorHAnsi" w:hAnsiTheme="majorHAnsi" w:cstheme="majorHAnsi"/>
          <w:color w:val="auto"/>
        </w:rPr>
      </w:pPr>
      <w:r w:rsidRPr="00ED23C1">
        <w:rPr>
          <w:rFonts w:asciiTheme="majorHAnsi" w:hAnsiTheme="majorHAnsi" w:cstheme="majorHAnsi"/>
          <w:color w:val="auto"/>
        </w:rPr>
        <w:t xml:space="preserve">Spread the fluorophore selection across the emission spectra as much as possible to minimize spectral overlap and thus the level of compensation required. A free, online tool that can be used to assist designing a flow cytometry panel can be found here: </w:t>
      </w:r>
      <w:hyperlink r:id="rId8" w:history="1">
        <w:r w:rsidRPr="00ED23C1">
          <w:rPr>
            <w:rStyle w:val="a4"/>
            <w:rFonts w:asciiTheme="majorHAnsi" w:hAnsiTheme="majorHAnsi" w:cstheme="majorHAnsi"/>
            <w:color w:val="auto"/>
            <w:u w:val="none"/>
          </w:rPr>
          <w:t>http://www.bdbiosciences.com/us/s/spectrumviewer</w:t>
        </w:r>
      </w:hyperlink>
      <w:r w:rsidRPr="00ED23C1">
        <w:rPr>
          <w:rFonts w:asciiTheme="majorHAnsi" w:hAnsiTheme="majorHAnsi" w:cstheme="majorHAnsi"/>
          <w:color w:val="auto"/>
        </w:rPr>
        <w:t>.</w:t>
      </w:r>
      <w:r w:rsidR="00237CA1">
        <w:rPr>
          <w:rFonts w:asciiTheme="majorHAnsi" w:hAnsiTheme="majorHAnsi" w:cstheme="majorHAnsi"/>
          <w:color w:val="auto"/>
        </w:rPr>
        <w:t xml:space="preserve"> </w:t>
      </w:r>
      <w:r w:rsidRPr="00ED23C1">
        <w:rPr>
          <w:rFonts w:asciiTheme="majorHAnsi" w:hAnsiTheme="majorHAnsi" w:cstheme="majorHAnsi"/>
          <w:color w:val="auto"/>
        </w:rPr>
        <w:t>To save space on the emission spectrum, we employed a “dump channel” by using a viability dye with an emission wavelength that overlaps with that of APC-H7 (conjugated to CD45RA) to enable the detection (and exclusion) of both dead and/or CD45RA</w:t>
      </w:r>
      <w:r w:rsidRPr="00ED23C1">
        <w:rPr>
          <w:rFonts w:asciiTheme="majorHAnsi" w:hAnsiTheme="majorHAnsi" w:cstheme="majorHAnsi"/>
          <w:color w:val="auto"/>
          <w:vertAlign w:val="superscript"/>
        </w:rPr>
        <w:t>+</w:t>
      </w:r>
      <w:r w:rsidRPr="00ED23C1">
        <w:rPr>
          <w:rFonts w:asciiTheme="majorHAnsi" w:hAnsiTheme="majorHAnsi" w:cstheme="majorHAnsi"/>
          <w:color w:val="auto"/>
        </w:rPr>
        <w:t xml:space="preserve"> using a single detector.</w:t>
      </w:r>
    </w:p>
    <w:p w14:paraId="1B8DF59B" w14:textId="77777777" w:rsidR="00E1719E" w:rsidRPr="00B93BC6" w:rsidRDefault="00E1719E" w:rsidP="00237CA1">
      <w:pPr>
        <w:rPr>
          <w:rFonts w:asciiTheme="majorHAnsi" w:hAnsiTheme="majorHAnsi" w:cstheme="majorHAnsi"/>
          <w:color w:val="auto"/>
        </w:rPr>
      </w:pPr>
    </w:p>
    <w:p w14:paraId="3013F561" w14:textId="77777777" w:rsidR="00E1719E" w:rsidRDefault="00E1719E" w:rsidP="00237CA1">
      <w:pPr>
        <w:rPr>
          <w:rFonts w:asciiTheme="majorHAnsi" w:hAnsiTheme="majorHAnsi" w:cstheme="majorHAnsi"/>
          <w:color w:val="auto"/>
        </w:rPr>
      </w:pPr>
      <w:r w:rsidRPr="00B93BC6">
        <w:rPr>
          <w:rFonts w:asciiTheme="majorHAnsi" w:hAnsiTheme="majorHAnsi" w:cstheme="majorHAnsi"/>
          <w:color w:val="auto"/>
        </w:rPr>
        <w:t>Here</w:t>
      </w:r>
      <w:r>
        <w:rPr>
          <w:rFonts w:asciiTheme="majorHAnsi" w:hAnsiTheme="majorHAnsi" w:cstheme="majorHAnsi"/>
          <w:color w:val="auto"/>
        </w:rPr>
        <w:t>,</w:t>
      </w:r>
      <w:r w:rsidRPr="00B93BC6">
        <w:rPr>
          <w:rFonts w:asciiTheme="majorHAnsi" w:hAnsiTheme="majorHAnsi" w:cstheme="majorHAnsi"/>
          <w:color w:val="auto"/>
        </w:rPr>
        <w:t xml:space="preserve"> a protocol is presented for the isolation of peripheral blood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T-cells and their subsequent analysis by flow cytometry to determine the proportions of the different and recently described circulating subsets. </w:t>
      </w:r>
    </w:p>
    <w:p w14:paraId="08B95B50" w14:textId="77777777" w:rsidR="00E1719E" w:rsidRPr="00B93BC6" w:rsidRDefault="00E1719E" w:rsidP="00237CA1">
      <w:pPr>
        <w:rPr>
          <w:rFonts w:asciiTheme="majorHAnsi" w:hAnsiTheme="majorHAnsi" w:cstheme="majorHAnsi"/>
          <w:color w:val="auto"/>
        </w:rPr>
      </w:pPr>
    </w:p>
    <w:p w14:paraId="49F0D411" w14:textId="77777777" w:rsidR="00E1719E" w:rsidRPr="00B93BC6"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PROTOCOL:</w:t>
      </w:r>
    </w:p>
    <w:p w14:paraId="3BF0A0DB" w14:textId="52C1EBF4" w:rsidR="00E1719E" w:rsidRPr="00237CA1" w:rsidRDefault="00E1719E" w:rsidP="00237CA1">
      <w:pPr>
        <w:pStyle w:val="aa"/>
        <w:widowControl/>
        <w:autoSpaceDE/>
        <w:autoSpaceDN/>
        <w:adjustRightInd/>
        <w:ind w:left="0"/>
        <w:rPr>
          <w:rFonts w:asciiTheme="majorHAnsi" w:hAnsiTheme="majorHAnsi" w:cstheme="majorHAnsi"/>
        </w:rPr>
      </w:pPr>
      <w:r w:rsidRPr="00A6507E">
        <w:rPr>
          <w:rFonts w:asciiTheme="majorHAnsi" w:hAnsiTheme="majorHAnsi" w:cstheme="majorHAnsi"/>
        </w:rPr>
        <w:t>Blood samples were obtained from normal subjects (NS) (n</w:t>
      </w:r>
      <w:r w:rsidR="00237CA1">
        <w:rPr>
          <w:rFonts w:asciiTheme="majorHAnsi" w:hAnsiTheme="majorHAnsi" w:cstheme="majorHAnsi"/>
        </w:rPr>
        <w:t xml:space="preserve"> </w:t>
      </w:r>
      <w:r w:rsidRPr="00A6507E">
        <w:rPr>
          <w:rFonts w:asciiTheme="majorHAnsi" w:hAnsiTheme="majorHAnsi" w:cstheme="majorHAnsi"/>
        </w:rPr>
        <w:t>=</w:t>
      </w:r>
      <w:r w:rsidR="00237CA1">
        <w:rPr>
          <w:rFonts w:asciiTheme="majorHAnsi" w:hAnsiTheme="majorHAnsi" w:cstheme="majorHAnsi"/>
        </w:rPr>
        <w:t xml:space="preserve"> </w:t>
      </w:r>
      <w:r w:rsidRPr="00A6507E">
        <w:rPr>
          <w:rFonts w:asciiTheme="majorHAnsi" w:hAnsiTheme="majorHAnsi" w:cstheme="majorHAnsi"/>
        </w:rPr>
        <w:t>12) as well as patients with marginal zone lymphoma (MZL) (n=7) and other types of B-cell non-Hodgkin's lymphoma (BNHL) (6 FL patients, 2 lymphoplasmacytic lymphoma patients and 1 low-grade B-cell non-Hodgkin’s lymphoma no</w:t>
      </w:r>
      <w:r>
        <w:rPr>
          <w:rFonts w:asciiTheme="majorHAnsi" w:hAnsiTheme="majorHAnsi" w:cstheme="majorHAnsi"/>
        </w:rPr>
        <w:t>t otherwise specified patient).</w:t>
      </w:r>
      <w:r w:rsidR="00237CA1">
        <w:rPr>
          <w:rFonts w:asciiTheme="majorHAnsi" w:hAnsiTheme="majorHAnsi" w:cstheme="majorHAnsi"/>
        </w:rPr>
        <w:t xml:space="preserve"> </w:t>
      </w:r>
      <w:r w:rsidRPr="008C1032">
        <w:rPr>
          <w:rFonts w:asciiTheme="majorHAnsi" w:hAnsiTheme="majorHAnsi" w:cstheme="majorHAnsi"/>
        </w:rPr>
        <w:t xml:space="preserve">Patients were recruited from the </w:t>
      </w:r>
      <w:r w:rsidR="00237CA1" w:rsidRPr="008C1032">
        <w:rPr>
          <w:rFonts w:asciiTheme="majorHAnsi" w:hAnsiTheme="majorHAnsi" w:cstheme="majorHAnsi"/>
        </w:rPr>
        <w:t>hematology</w:t>
      </w:r>
      <w:r w:rsidRPr="008C1032">
        <w:rPr>
          <w:rFonts w:asciiTheme="majorHAnsi" w:hAnsiTheme="majorHAnsi" w:cstheme="majorHAnsi"/>
        </w:rPr>
        <w:t xml:space="preserve"> clinics at Leicester Royal Infirmary after having given informed, written consent, with ethical approval in place for all studies. </w:t>
      </w:r>
      <w:r w:rsidRPr="008C1032">
        <w:rPr>
          <w:rFonts w:asciiTheme="majorHAnsi" w:hAnsiTheme="majorHAnsi" w:cstheme="majorHAnsi"/>
          <w:lang w:val="en-GB"/>
        </w:rPr>
        <w:t>Ethical approval was obtained by Leicestershire, Northamptonshire and Rutland Research Ethics Committee 1, reference 06/Q2501/122</w:t>
      </w:r>
      <w:r w:rsidRPr="008C1032">
        <w:rPr>
          <w:rFonts w:asciiTheme="majorHAnsi" w:hAnsiTheme="majorHAnsi" w:cstheme="majorHAnsi"/>
        </w:rPr>
        <w:t xml:space="preserve"> for patient samples and</w:t>
      </w:r>
      <w:r w:rsidRPr="008C1032">
        <w:rPr>
          <w:rFonts w:asciiTheme="majorHAnsi" w:hAnsiTheme="majorHAnsi" w:cstheme="majorHAnsi"/>
          <w:lang w:val="en-GB"/>
        </w:rPr>
        <w:t xml:space="preserve"> the Health Research Authority (HRA) NRES Committee East Midlands-Derby, reference 14/EM/1176 for normal subjects.</w:t>
      </w:r>
    </w:p>
    <w:p w14:paraId="1957B778" w14:textId="77777777" w:rsidR="00E1719E" w:rsidRPr="00B93BC6" w:rsidRDefault="00E1719E" w:rsidP="00237CA1">
      <w:pPr>
        <w:pStyle w:val="a3"/>
        <w:spacing w:before="0" w:beforeAutospacing="0" w:after="0" w:afterAutospacing="0"/>
        <w:rPr>
          <w:rFonts w:asciiTheme="majorHAnsi" w:hAnsiTheme="majorHAnsi" w:cstheme="majorHAnsi"/>
        </w:rPr>
      </w:pPr>
    </w:p>
    <w:p w14:paraId="55263C20" w14:textId="0648328F" w:rsidR="00E1719E" w:rsidRPr="00FA319F" w:rsidRDefault="00E1719E" w:rsidP="00237CA1">
      <w:pPr>
        <w:pStyle w:val="a3"/>
        <w:numPr>
          <w:ilvl w:val="0"/>
          <w:numId w:val="1"/>
        </w:numPr>
        <w:spacing w:before="0" w:beforeAutospacing="0" w:after="0" w:afterAutospacing="0"/>
        <w:rPr>
          <w:rFonts w:asciiTheme="majorHAnsi" w:hAnsiTheme="majorHAnsi" w:cstheme="majorHAnsi"/>
          <w:b/>
          <w:highlight w:val="yellow"/>
        </w:rPr>
      </w:pPr>
      <w:bookmarkStart w:id="0" w:name="_Hlk518950945"/>
      <w:r w:rsidRPr="00FA319F">
        <w:rPr>
          <w:rFonts w:asciiTheme="majorHAnsi" w:hAnsiTheme="majorHAnsi" w:cstheme="majorHAnsi"/>
          <w:b/>
          <w:highlight w:val="yellow"/>
        </w:rPr>
        <w:t>Isolation of CD4</w:t>
      </w:r>
      <w:r w:rsidRPr="00FA319F">
        <w:rPr>
          <w:rFonts w:asciiTheme="majorHAnsi" w:hAnsiTheme="majorHAnsi" w:cstheme="majorHAnsi"/>
          <w:b/>
          <w:highlight w:val="yellow"/>
          <w:vertAlign w:val="superscript"/>
        </w:rPr>
        <w:t>+</w:t>
      </w:r>
      <w:r w:rsidRPr="00FA319F">
        <w:rPr>
          <w:rFonts w:asciiTheme="majorHAnsi" w:hAnsiTheme="majorHAnsi" w:cstheme="majorHAnsi"/>
          <w:b/>
          <w:highlight w:val="yellow"/>
        </w:rPr>
        <w:t xml:space="preserve"> T-cells from </w:t>
      </w:r>
      <w:r w:rsidR="00237CA1" w:rsidRPr="00FA319F">
        <w:rPr>
          <w:rFonts w:asciiTheme="majorHAnsi" w:hAnsiTheme="majorHAnsi" w:cstheme="majorHAnsi"/>
          <w:b/>
          <w:highlight w:val="yellow"/>
        </w:rPr>
        <w:t>Whole Peripheral Blood</w:t>
      </w:r>
    </w:p>
    <w:p w14:paraId="36DD870B" w14:textId="77777777" w:rsidR="00E1719E" w:rsidRPr="00B93BC6" w:rsidRDefault="00E1719E" w:rsidP="00237CA1">
      <w:pPr>
        <w:pStyle w:val="a3"/>
        <w:spacing w:before="0" w:beforeAutospacing="0" w:after="0" w:afterAutospacing="0"/>
        <w:rPr>
          <w:rFonts w:asciiTheme="majorHAnsi" w:hAnsiTheme="majorHAnsi" w:cstheme="majorHAnsi"/>
        </w:rPr>
      </w:pPr>
    </w:p>
    <w:p w14:paraId="6B928EA7" w14:textId="77777777" w:rsidR="00E1719E" w:rsidRPr="00FA319F" w:rsidRDefault="00E1719E" w:rsidP="00237CA1">
      <w:pPr>
        <w:pStyle w:val="2"/>
        <w:numPr>
          <w:ilvl w:val="1"/>
          <w:numId w:val="1"/>
        </w:numPr>
        <w:rPr>
          <w:rFonts w:asciiTheme="majorHAnsi" w:hAnsiTheme="majorHAnsi" w:cstheme="majorHAnsi"/>
          <w:b w:val="0"/>
          <w:highlight w:val="yellow"/>
        </w:rPr>
      </w:pPr>
      <w:r w:rsidRPr="00FA319F">
        <w:rPr>
          <w:rFonts w:asciiTheme="majorHAnsi" w:hAnsiTheme="majorHAnsi" w:cstheme="majorHAnsi"/>
          <w:b w:val="0"/>
          <w:szCs w:val="24"/>
          <w:highlight w:val="yellow"/>
        </w:rPr>
        <w:t>Take fresh peripheral blood (2 to 15 mL) into K</w:t>
      </w:r>
      <w:r w:rsidRPr="00FA319F">
        <w:rPr>
          <w:rFonts w:asciiTheme="majorHAnsi" w:hAnsiTheme="majorHAnsi" w:cstheme="majorHAnsi"/>
          <w:b w:val="0"/>
          <w:szCs w:val="24"/>
          <w:highlight w:val="yellow"/>
          <w:vertAlign w:val="subscript"/>
        </w:rPr>
        <w:t>2</w:t>
      </w:r>
      <w:r w:rsidRPr="00FA319F">
        <w:rPr>
          <w:rFonts w:asciiTheme="majorHAnsi" w:hAnsiTheme="majorHAnsi" w:cstheme="majorHAnsi"/>
          <w:b w:val="0"/>
          <w:szCs w:val="24"/>
          <w:highlight w:val="yellow"/>
        </w:rPr>
        <w:t>EDTA tubes by standard venipuncture and process as soon as possible to maintain maximum viability.</w:t>
      </w:r>
    </w:p>
    <w:p w14:paraId="70779ED1" w14:textId="77777777" w:rsidR="00E1719E" w:rsidRDefault="00E1719E" w:rsidP="00237CA1"/>
    <w:p w14:paraId="3814A566" w14:textId="22751FF7" w:rsidR="00E1719E" w:rsidRPr="00B93BC6" w:rsidRDefault="00E1719E" w:rsidP="00237CA1">
      <w:r w:rsidRPr="00B93BC6">
        <w:t>Note: Use standard laboratory personal protective equipment (coat, gloves, glasses)</w:t>
      </w:r>
      <w:r>
        <w:t xml:space="preserve"> and carry out </w:t>
      </w:r>
      <w:r w:rsidR="00237CA1">
        <w:t xml:space="preserve">the </w:t>
      </w:r>
      <w:r>
        <w:t>work in a class II Biosafety Cabinet.</w:t>
      </w:r>
      <w:r w:rsidR="00CC58C8">
        <w:t xml:space="preserve"> </w:t>
      </w:r>
    </w:p>
    <w:p w14:paraId="0B19FC12" w14:textId="77777777" w:rsidR="00E1719E" w:rsidRPr="00B93BC6" w:rsidRDefault="00E1719E" w:rsidP="00237CA1">
      <w:pPr>
        <w:rPr>
          <w:rFonts w:asciiTheme="majorHAnsi" w:hAnsiTheme="majorHAnsi" w:cstheme="majorHAnsi"/>
        </w:rPr>
      </w:pPr>
    </w:p>
    <w:p w14:paraId="7EE7F2FC" w14:textId="7FEB64B6"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Bring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blood and all necessary reagents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enrichment cocktail, 2% fetal bovine serum/phosphate buffered saline (FBS/PBS), density gradient media, and freezing medium if cryopreserving cells) to room temperature.</w:t>
      </w:r>
    </w:p>
    <w:p w14:paraId="2361B372"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762DE6AA" w14:textId="0169916D"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Mix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blood with a commercially available cocktail of antibodies for the enrichment of human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T Cells. Use 50 µL of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reagent for every 1</w:t>
      </w:r>
      <w:r w:rsidR="00237CA1" w:rsidRPr="00FA319F">
        <w:rPr>
          <w:rFonts w:asciiTheme="majorHAnsi" w:hAnsiTheme="majorHAnsi" w:cstheme="majorHAnsi"/>
          <w:highlight w:val="yellow"/>
        </w:rPr>
        <w:t xml:space="preserve"> </w:t>
      </w:r>
      <w:r w:rsidRPr="00FA319F">
        <w:rPr>
          <w:rFonts w:asciiTheme="majorHAnsi" w:hAnsiTheme="majorHAnsi" w:cstheme="majorHAnsi"/>
          <w:highlight w:val="yellow"/>
        </w:rPr>
        <w:t xml:space="preserve">mL of blood. Use a 50 mL conical polypropylene tube for 5 to 15 mL of blood. </w:t>
      </w:r>
    </w:p>
    <w:p w14:paraId="59F7082F" w14:textId="77777777" w:rsidR="00E1719E" w:rsidRPr="003D2A94" w:rsidRDefault="00E1719E" w:rsidP="00237CA1">
      <w:pPr>
        <w:pStyle w:val="a3"/>
        <w:spacing w:before="0" w:beforeAutospacing="0" w:after="0" w:afterAutospacing="0"/>
        <w:rPr>
          <w:rFonts w:asciiTheme="majorHAnsi" w:hAnsiTheme="majorHAnsi" w:cstheme="majorHAnsi"/>
        </w:rPr>
      </w:pPr>
    </w:p>
    <w:p w14:paraId="7501D9CC" w14:textId="77777777" w:rsidR="00E1719E" w:rsidRPr="003D2A94"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rPr>
        <w:t>Note: If using 2 to 4 mL of blood, perform this step in a 14 mL conical polypropylene tube.</w:t>
      </w:r>
    </w:p>
    <w:p w14:paraId="630D686F" w14:textId="77777777" w:rsidR="00E1719E" w:rsidRPr="003D2A94"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rPr>
        <w:t xml:space="preserve"> </w:t>
      </w:r>
    </w:p>
    <w:p w14:paraId="146C57F3" w14:textId="0B34547C"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Incubate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mixture at room temperature for 20 min.</w:t>
      </w:r>
    </w:p>
    <w:p w14:paraId="1B76AECA"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331C46FD" w14:textId="77777777"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Dilute the mixture with an equal volume of 2% FBS/PBS</w:t>
      </w:r>
    </w:p>
    <w:p w14:paraId="5EDC15F3"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3C42F467" w14:textId="47E3646A"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Layer this diluted mixture on top of the density gradient media slowly to avoid disturbing the interface and proceed to centrifugation immediately to avoid diffusion of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blood into the density gradient medium.</w:t>
      </w:r>
    </w:p>
    <w:p w14:paraId="6FA6E72F"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70FFF91F" w14:textId="2FE053DE" w:rsidR="00E1719E" w:rsidRPr="00FA319F" w:rsidRDefault="00E1719E" w:rsidP="00237CA1">
      <w:pPr>
        <w:pStyle w:val="a3"/>
        <w:numPr>
          <w:ilvl w:val="2"/>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For 2 to 3 mL of blood, use 3 mL </w:t>
      </w:r>
      <w:r w:rsidR="00237CA1" w:rsidRPr="00FA319F">
        <w:rPr>
          <w:rFonts w:asciiTheme="majorHAnsi" w:hAnsiTheme="majorHAnsi" w:cstheme="majorHAnsi"/>
          <w:highlight w:val="yellow"/>
        </w:rPr>
        <w:t xml:space="preserve">of </w:t>
      </w:r>
      <w:r w:rsidRPr="00FA319F">
        <w:rPr>
          <w:rFonts w:asciiTheme="majorHAnsi" w:hAnsiTheme="majorHAnsi" w:cstheme="majorHAnsi"/>
          <w:highlight w:val="yellow"/>
        </w:rPr>
        <w:t xml:space="preserve">density gradient medium in a 14 mL conical polypropylene tube, but for 4 mL of blood, use 4 mL </w:t>
      </w:r>
      <w:r w:rsidR="00237CA1" w:rsidRPr="00FA319F">
        <w:rPr>
          <w:rFonts w:asciiTheme="majorHAnsi" w:hAnsiTheme="majorHAnsi" w:cstheme="majorHAnsi"/>
          <w:highlight w:val="yellow"/>
        </w:rPr>
        <w:t xml:space="preserve">of </w:t>
      </w:r>
      <w:r w:rsidRPr="00FA319F">
        <w:rPr>
          <w:rFonts w:asciiTheme="majorHAnsi" w:hAnsiTheme="majorHAnsi" w:cstheme="majorHAnsi"/>
          <w:highlight w:val="yellow"/>
        </w:rPr>
        <w:t xml:space="preserve">density gradient medium in a 14 mL conical polypropylene tube and for 5 to 15 mL blood, use 15 mL </w:t>
      </w:r>
      <w:r w:rsidR="00237CA1" w:rsidRPr="00FA319F">
        <w:rPr>
          <w:rFonts w:asciiTheme="majorHAnsi" w:hAnsiTheme="majorHAnsi" w:cstheme="majorHAnsi"/>
          <w:highlight w:val="yellow"/>
        </w:rPr>
        <w:t xml:space="preserve">of </w:t>
      </w:r>
      <w:r w:rsidRPr="00FA319F">
        <w:rPr>
          <w:rFonts w:asciiTheme="majorHAnsi" w:hAnsiTheme="majorHAnsi" w:cstheme="majorHAnsi"/>
          <w:highlight w:val="yellow"/>
        </w:rPr>
        <w:t>density gradient medium in a 50 mL conical polypropylene tube.</w:t>
      </w:r>
    </w:p>
    <w:p w14:paraId="27050EA1"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080EED6A" w14:textId="77777777"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Centrifuge the layered mixture for 20 min at 1200 x g with the brake off at 20 ˚C. </w:t>
      </w:r>
    </w:p>
    <w:p w14:paraId="3FB6B474" w14:textId="77777777" w:rsidR="00E1719E" w:rsidRPr="003D2A94" w:rsidRDefault="00E1719E" w:rsidP="00237CA1">
      <w:pPr>
        <w:pStyle w:val="a3"/>
        <w:spacing w:before="0" w:beforeAutospacing="0" w:after="0" w:afterAutospacing="0"/>
        <w:rPr>
          <w:rFonts w:asciiTheme="majorHAnsi" w:hAnsiTheme="majorHAnsi" w:cstheme="majorHAnsi"/>
        </w:rPr>
      </w:pPr>
    </w:p>
    <w:p w14:paraId="5F35A1C7" w14:textId="7496D3B1" w:rsidR="00E1719E" w:rsidRPr="003D2A94"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rPr>
        <w:t xml:space="preserve">Note: A temperature below ambient may result in </w:t>
      </w:r>
      <w:r w:rsidR="00237CA1">
        <w:rPr>
          <w:rFonts w:asciiTheme="majorHAnsi" w:hAnsiTheme="majorHAnsi" w:cstheme="majorHAnsi"/>
        </w:rPr>
        <w:t xml:space="preserve">the </w:t>
      </w:r>
      <w:r w:rsidRPr="003D2A94">
        <w:rPr>
          <w:rFonts w:asciiTheme="majorHAnsi" w:hAnsiTheme="majorHAnsi" w:cstheme="majorHAnsi"/>
        </w:rPr>
        <w:t>contamination with red blood cells and granulocytes. A lower speed will cause the CD4</w:t>
      </w:r>
      <w:r w:rsidRPr="003D2A94">
        <w:rPr>
          <w:rFonts w:asciiTheme="majorHAnsi" w:hAnsiTheme="majorHAnsi" w:cstheme="majorHAnsi"/>
          <w:vertAlign w:val="superscript"/>
        </w:rPr>
        <w:t>+</w:t>
      </w:r>
      <w:r w:rsidRPr="003D2A94">
        <w:rPr>
          <w:rFonts w:asciiTheme="majorHAnsi" w:hAnsiTheme="majorHAnsi" w:cstheme="majorHAnsi"/>
        </w:rPr>
        <w:t xml:space="preserve"> isolation process to fail. Leaving the break engaged will decrease cell yield. Use a bench top centrifuge with rotors that can be closed to avoid aerosols.</w:t>
      </w:r>
    </w:p>
    <w:p w14:paraId="278C2EC1" w14:textId="77777777" w:rsidR="00E1719E" w:rsidRPr="003D2A94" w:rsidRDefault="00E1719E" w:rsidP="00237CA1">
      <w:pPr>
        <w:pStyle w:val="a3"/>
        <w:spacing w:before="0" w:beforeAutospacing="0" w:after="0" w:afterAutospacing="0"/>
        <w:rPr>
          <w:rFonts w:asciiTheme="majorHAnsi" w:hAnsiTheme="majorHAnsi" w:cstheme="majorHAnsi"/>
        </w:rPr>
      </w:pPr>
    </w:p>
    <w:p w14:paraId="47EA6553" w14:textId="77777777"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Remove the enriched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 layer from the interface using a Pasteur pipette. </w:t>
      </w:r>
    </w:p>
    <w:p w14:paraId="063DF85F" w14:textId="77777777" w:rsidR="00E1719E" w:rsidRPr="003D2A94" w:rsidRDefault="00E1719E" w:rsidP="00237CA1">
      <w:pPr>
        <w:pStyle w:val="a3"/>
        <w:spacing w:before="0" w:beforeAutospacing="0" w:after="0" w:afterAutospacing="0"/>
        <w:rPr>
          <w:rFonts w:asciiTheme="majorHAnsi" w:hAnsiTheme="majorHAnsi" w:cstheme="majorHAnsi"/>
        </w:rPr>
      </w:pPr>
    </w:p>
    <w:p w14:paraId="126E187A" w14:textId="77777777" w:rsidR="00E1719E" w:rsidRPr="003D2A94"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rPr>
        <w:t>Note: The enriched cell layer will resemble a standard “buffy coat” of white cloudy cells, but as only CD4</w:t>
      </w:r>
      <w:r w:rsidRPr="003D2A94">
        <w:rPr>
          <w:rFonts w:asciiTheme="majorHAnsi" w:hAnsiTheme="majorHAnsi" w:cstheme="majorHAnsi"/>
          <w:vertAlign w:val="superscript"/>
        </w:rPr>
        <w:t>+</w:t>
      </w:r>
      <w:r w:rsidRPr="003D2A94">
        <w:rPr>
          <w:rFonts w:asciiTheme="majorHAnsi" w:hAnsiTheme="majorHAnsi" w:cstheme="majorHAnsi"/>
        </w:rPr>
        <w:t xml:space="preserve"> cells are present, this will naturally be smaller and more difficult to see.</w:t>
      </w:r>
    </w:p>
    <w:p w14:paraId="24ADAA22" w14:textId="77777777" w:rsidR="00E1719E" w:rsidRPr="003D2A94" w:rsidRDefault="00E1719E" w:rsidP="00237CA1">
      <w:pPr>
        <w:pStyle w:val="a3"/>
        <w:spacing w:before="0" w:beforeAutospacing="0" w:after="0" w:afterAutospacing="0"/>
        <w:rPr>
          <w:rFonts w:asciiTheme="majorHAnsi" w:hAnsiTheme="majorHAnsi" w:cstheme="majorHAnsi"/>
        </w:rPr>
      </w:pPr>
    </w:p>
    <w:p w14:paraId="35649B77" w14:textId="08A32FC1"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Add 2%</w:t>
      </w:r>
      <w:r w:rsidR="00237CA1" w:rsidRPr="00FA319F">
        <w:rPr>
          <w:rFonts w:asciiTheme="majorHAnsi" w:hAnsiTheme="majorHAnsi" w:cstheme="majorHAnsi"/>
          <w:highlight w:val="yellow"/>
        </w:rPr>
        <w:t xml:space="preserve"> </w:t>
      </w:r>
      <w:r w:rsidRPr="00FA319F">
        <w:rPr>
          <w:rFonts w:asciiTheme="majorHAnsi" w:hAnsiTheme="majorHAnsi" w:cstheme="majorHAnsi"/>
          <w:highlight w:val="yellow"/>
        </w:rPr>
        <w:t>FBS/PBS to the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up to a total volume of 10 mL and then wash twice </w:t>
      </w:r>
      <w:r w:rsidR="00237CA1" w:rsidRPr="00FA319F">
        <w:rPr>
          <w:rFonts w:asciiTheme="majorHAnsi" w:hAnsiTheme="majorHAnsi" w:cstheme="majorHAnsi"/>
          <w:highlight w:val="yellow"/>
        </w:rPr>
        <w:t>with</w:t>
      </w:r>
      <w:r w:rsidRPr="00FA319F">
        <w:rPr>
          <w:rFonts w:asciiTheme="majorHAnsi" w:hAnsiTheme="majorHAnsi" w:cstheme="majorHAnsi"/>
          <w:highlight w:val="yellow"/>
        </w:rPr>
        <w:t xml:space="preserve"> 2%</w:t>
      </w:r>
      <w:r w:rsidR="00237CA1" w:rsidRPr="00FA319F">
        <w:rPr>
          <w:rFonts w:asciiTheme="majorHAnsi" w:hAnsiTheme="majorHAnsi" w:cstheme="majorHAnsi"/>
          <w:highlight w:val="yellow"/>
        </w:rPr>
        <w:t xml:space="preserve"> </w:t>
      </w:r>
      <w:r w:rsidRPr="00FA319F">
        <w:rPr>
          <w:rFonts w:asciiTheme="majorHAnsi" w:hAnsiTheme="majorHAnsi" w:cstheme="majorHAnsi"/>
          <w:highlight w:val="yellow"/>
        </w:rPr>
        <w:t>FBS/PBS</w:t>
      </w:r>
      <w:r w:rsidR="00237CA1" w:rsidRPr="00FA319F">
        <w:rPr>
          <w:rFonts w:asciiTheme="majorHAnsi" w:hAnsiTheme="majorHAnsi" w:cstheme="majorHAnsi"/>
          <w:highlight w:val="yellow"/>
        </w:rPr>
        <w:t xml:space="preserve"> by c</w:t>
      </w:r>
      <w:r w:rsidRPr="00FA319F">
        <w:rPr>
          <w:rFonts w:asciiTheme="majorHAnsi" w:hAnsiTheme="majorHAnsi" w:cstheme="majorHAnsi"/>
          <w:highlight w:val="yellow"/>
        </w:rPr>
        <w:t>entrifug</w:t>
      </w:r>
      <w:r w:rsidR="00237CA1" w:rsidRPr="00FA319F">
        <w:rPr>
          <w:rFonts w:asciiTheme="majorHAnsi" w:hAnsiTheme="majorHAnsi" w:cstheme="majorHAnsi"/>
          <w:highlight w:val="yellow"/>
        </w:rPr>
        <w:t>ing</w:t>
      </w:r>
      <w:r w:rsidRPr="00FA319F">
        <w:rPr>
          <w:rFonts w:asciiTheme="majorHAnsi" w:hAnsiTheme="majorHAnsi" w:cstheme="majorHAnsi"/>
          <w:highlight w:val="yellow"/>
        </w:rPr>
        <w:t xml:space="preserve"> for 10 min at 400 x g during each wash.</w:t>
      </w:r>
    </w:p>
    <w:p w14:paraId="6FACF826"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59B8B46D" w14:textId="40D73499"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Resuspend the pellet in 2%</w:t>
      </w:r>
      <w:r w:rsidR="00237CA1" w:rsidRPr="00FA319F">
        <w:rPr>
          <w:rFonts w:asciiTheme="majorHAnsi" w:hAnsiTheme="majorHAnsi" w:cstheme="majorHAnsi"/>
          <w:highlight w:val="yellow"/>
        </w:rPr>
        <w:t xml:space="preserve"> </w:t>
      </w:r>
      <w:r w:rsidRPr="00FA319F">
        <w:rPr>
          <w:rFonts w:asciiTheme="majorHAnsi" w:hAnsiTheme="majorHAnsi" w:cstheme="majorHAnsi"/>
          <w:highlight w:val="yellow"/>
        </w:rPr>
        <w:t xml:space="preserve">FBS/PBS and count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 xml:space="preserve">cells stained with a vital dye (trypan blue) to determine </w:t>
      </w:r>
      <w:r w:rsidR="00237CA1" w:rsidRPr="00FA319F">
        <w:rPr>
          <w:rFonts w:asciiTheme="majorHAnsi" w:hAnsiTheme="majorHAnsi" w:cstheme="majorHAnsi"/>
          <w:highlight w:val="yellow"/>
        </w:rPr>
        <w:t xml:space="preserve">the </w:t>
      </w:r>
      <w:r w:rsidRPr="00FA319F">
        <w:rPr>
          <w:rFonts w:asciiTheme="majorHAnsi" w:hAnsiTheme="majorHAnsi" w:cstheme="majorHAnsi"/>
          <w:highlight w:val="yellow"/>
        </w:rPr>
        <w:t>cell numbers and viability.</w:t>
      </w:r>
    </w:p>
    <w:p w14:paraId="1DEEA5B9"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675861CD" w14:textId="1FFC5F8E"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Optional step</w:t>
      </w:r>
      <w:r w:rsidR="00237CA1" w:rsidRPr="00FA319F">
        <w:rPr>
          <w:rFonts w:asciiTheme="majorHAnsi" w:hAnsiTheme="majorHAnsi" w:cstheme="majorHAnsi"/>
          <w:highlight w:val="yellow"/>
        </w:rPr>
        <w:t>:</w:t>
      </w:r>
      <w:r w:rsidRPr="00FA319F">
        <w:rPr>
          <w:rFonts w:asciiTheme="majorHAnsi" w:hAnsiTheme="majorHAnsi" w:cstheme="majorHAnsi"/>
          <w:b/>
          <w:highlight w:val="yellow"/>
        </w:rPr>
        <w:t xml:space="preserve"> </w:t>
      </w:r>
      <w:r w:rsidR="00E4511D" w:rsidRPr="00FA319F">
        <w:rPr>
          <w:rFonts w:asciiTheme="majorHAnsi" w:hAnsiTheme="majorHAnsi" w:cstheme="majorHAnsi"/>
          <w:highlight w:val="yellow"/>
        </w:rPr>
        <w:t>r</w:t>
      </w:r>
      <w:r w:rsidRPr="00FA319F">
        <w:rPr>
          <w:rFonts w:asciiTheme="majorHAnsi" w:hAnsiTheme="majorHAnsi" w:cstheme="majorHAnsi"/>
          <w:highlight w:val="yellow"/>
        </w:rPr>
        <w:t>esuspend 5 x 10</w:t>
      </w:r>
      <w:r w:rsidRPr="00FA319F">
        <w:rPr>
          <w:rFonts w:asciiTheme="majorHAnsi" w:hAnsiTheme="majorHAnsi" w:cstheme="majorHAnsi"/>
          <w:highlight w:val="yellow"/>
          <w:vertAlign w:val="superscript"/>
        </w:rPr>
        <w:t>5</w:t>
      </w:r>
      <w:r w:rsidRPr="00FA319F">
        <w:rPr>
          <w:rFonts w:asciiTheme="majorHAnsi" w:hAnsiTheme="majorHAnsi" w:cstheme="majorHAnsi"/>
          <w:highlight w:val="yellow"/>
        </w:rPr>
        <w:t xml:space="preserve"> and 1 x 10</w:t>
      </w:r>
      <w:r w:rsidRPr="00FA319F">
        <w:rPr>
          <w:rFonts w:asciiTheme="majorHAnsi" w:hAnsiTheme="majorHAnsi" w:cstheme="majorHAnsi"/>
          <w:highlight w:val="yellow"/>
          <w:vertAlign w:val="superscript"/>
        </w:rPr>
        <w:t xml:space="preserve">6 </w:t>
      </w:r>
      <w:r w:rsidRPr="00FA319F">
        <w:rPr>
          <w:rFonts w:asciiTheme="majorHAnsi" w:hAnsiTheme="majorHAnsi" w:cstheme="majorHAnsi"/>
          <w:highlight w:val="yellow"/>
        </w:rPr>
        <w:t xml:space="preserve">cells in freezing medium (10% </w:t>
      </w:r>
      <w:r w:rsidR="00C8445B" w:rsidRPr="00FA319F">
        <w:rPr>
          <w:rFonts w:asciiTheme="majorHAnsi" w:hAnsiTheme="majorHAnsi" w:cstheme="majorHAnsi"/>
          <w:highlight w:val="yellow"/>
        </w:rPr>
        <w:t>d</w:t>
      </w:r>
      <w:r w:rsidRPr="00FA319F">
        <w:rPr>
          <w:rFonts w:asciiTheme="majorHAnsi" w:hAnsiTheme="majorHAnsi" w:cstheme="majorHAnsi"/>
          <w:highlight w:val="yellow"/>
        </w:rPr>
        <w:t>imethyl sulfoxide in FBS) in 1 mL aliquots</w:t>
      </w:r>
      <w:r w:rsidR="00E4511D" w:rsidRPr="00FA319F">
        <w:rPr>
          <w:rFonts w:asciiTheme="majorHAnsi" w:hAnsiTheme="majorHAnsi" w:cstheme="majorHAnsi"/>
          <w:highlight w:val="yellow"/>
        </w:rPr>
        <w:t>.</w:t>
      </w:r>
      <w:r w:rsidRPr="00FA319F">
        <w:rPr>
          <w:rFonts w:asciiTheme="majorHAnsi" w:hAnsiTheme="majorHAnsi" w:cstheme="majorHAnsi"/>
          <w:highlight w:val="yellow"/>
        </w:rPr>
        <w:t xml:space="preserve"> </w:t>
      </w:r>
    </w:p>
    <w:p w14:paraId="44ACED22" w14:textId="77777777" w:rsidR="00E1719E" w:rsidRDefault="00E1719E" w:rsidP="00237CA1">
      <w:pPr>
        <w:pStyle w:val="a3"/>
        <w:spacing w:before="0" w:beforeAutospacing="0" w:after="0" w:afterAutospacing="0"/>
        <w:rPr>
          <w:rFonts w:asciiTheme="majorHAnsi" w:hAnsiTheme="majorHAnsi" w:cstheme="majorHAnsi"/>
        </w:rPr>
      </w:pPr>
    </w:p>
    <w:p w14:paraId="39120E43" w14:textId="2CBB9639" w:rsidR="00E1719E" w:rsidRPr="00A6507E" w:rsidRDefault="00E1719E" w:rsidP="00237CA1">
      <w:pPr>
        <w:pStyle w:val="aa"/>
        <w:widowControl/>
        <w:autoSpaceDE/>
        <w:autoSpaceDN/>
        <w:adjustRightInd/>
        <w:ind w:left="0"/>
        <w:rPr>
          <w:rFonts w:asciiTheme="majorHAnsi" w:hAnsiTheme="majorHAnsi" w:cstheme="majorHAnsi"/>
          <w:lang w:val="en-GB"/>
        </w:rPr>
      </w:pPr>
      <w:r w:rsidRPr="00A6507E">
        <w:rPr>
          <w:rFonts w:asciiTheme="majorHAnsi" w:hAnsiTheme="majorHAnsi" w:cstheme="majorHAnsi"/>
          <w:lang w:val="en-GB"/>
        </w:rPr>
        <w:t xml:space="preserve">Note: Levels of some surface markers may be altered by cryo-preservation and thawing. It is, therefore, very important that </w:t>
      </w:r>
      <w:r w:rsidR="00E4511D">
        <w:rPr>
          <w:rFonts w:asciiTheme="majorHAnsi" w:hAnsiTheme="majorHAnsi" w:cstheme="majorHAnsi"/>
          <w:lang w:val="en-GB"/>
        </w:rPr>
        <w:t xml:space="preserve">all </w:t>
      </w:r>
      <w:r w:rsidRPr="00A6507E">
        <w:rPr>
          <w:rFonts w:asciiTheme="majorHAnsi" w:hAnsiTheme="majorHAnsi" w:cstheme="majorHAnsi"/>
          <w:lang w:val="en-GB"/>
        </w:rPr>
        <w:t xml:space="preserve">samples are processed consistently. </w:t>
      </w:r>
      <w:proofErr w:type="gramStart"/>
      <w:r w:rsidRPr="00A6507E">
        <w:rPr>
          <w:rFonts w:asciiTheme="majorHAnsi" w:hAnsiTheme="majorHAnsi" w:cstheme="majorHAnsi"/>
          <w:lang w:val="en-GB"/>
        </w:rPr>
        <w:t>In order to</w:t>
      </w:r>
      <w:proofErr w:type="gramEnd"/>
      <w:r w:rsidRPr="00A6507E">
        <w:rPr>
          <w:rFonts w:asciiTheme="majorHAnsi" w:hAnsiTheme="majorHAnsi" w:cstheme="majorHAnsi"/>
          <w:lang w:val="en-GB"/>
        </w:rPr>
        <w:t xml:space="preserve"> minimi</w:t>
      </w:r>
      <w:r w:rsidR="00E4511D">
        <w:rPr>
          <w:rFonts w:asciiTheme="majorHAnsi" w:hAnsiTheme="majorHAnsi" w:cstheme="majorHAnsi"/>
          <w:lang w:val="en-GB"/>
        </w:rPr>
        <w:t>z</w:t>
      </w:r>
      <w:r w:rsidRPr="00A6507E">
        <w:rPr>
          <w:rFonts w:asciiTheme="majorHAnsi" w:hAnsiTheme="majorHAnsi" w:cstheme="majorHAnsi"/>
          <w:lang w:val="en-GB"/>
        </w:rPr>
        <w:t xml:space="preserve">e </w:t>
      </w:r>
      <w:r w:rsidR="00E4511D">
        <w:rPr>
          <w:rFonts w:asciiTheme="majorHAnsi" w:hAnsiTheme="majorHAnsi" w:cstheme="majorHAnsi"/>
          <w:lang w:val="en-GB"/>
        </w:rPr>
        <w:t xml:space="preserve">the </w:t>
      </w:r>
      <w:r w:rsidRPr="00A6507E">
        <w:rPr>
          <w:rFonts w:asciiTheme="majorHAnsi" w:hAnsiTheme="majorHAnsi" w:cstheme="majorHAnsi"/>
          <w:lang w:val="en-GB"/>
        </w:rPr>
        <w:t>differences in analytical variables</w:t>
      </w:r>
      <w:r w:rsidR="00E4511D">
        <w:rPr>
          <w:rFonts w:asciiTheme="majorHAnsi" w:hAnsiTheme="majorHAnsi" w:cstheme="majorHAnsi"/>
          <w:lang w:val="en-GB"/>
        </w:rPr>
        <w:t>, the</w:t>
      </w:r>
      <w:r w:rsidRPr="00A6507E">
        <w:rPr>
          <w:rFonts w:asciiTheme="majorHAnsi" w:hAnsiTheme="majorHAnsi" w:cstheme="majorHAnsi"/>
          <w:lang w:val="en-GB"/>
        </w:rPr>
        <w:t xml:space="preserve"> samples were cryo-preserved and batched for analysis in this study.</w:t>
      </w:r>
    </w:p>
    <w:p w14:paraId="6F1878DC" w14:textId="77777777" w:rsidR="00E1719E" w:rsidRPr="00E4511D" w:rsidRDefault="00E1719E" w:rsidP="00237CA1">
      <w:pPr>
        <w:pStyle w:val="a3"/>
        <w:spacing w:before="0" w:beforeAutospacing="0" w:after="0" w:afterAutospacing="0"/>
        <w:rPr>
          <w:rFonts w:asciiTheme="majorHAnsi" w:hAnsiTheme="majorHAnsi" w:cstheme="majorHAnsi"/>
          <w:lang w:val="en-GB"/>
        </w:rPr>
      </w:pPr>
    </w:p>
    <w:p w14:paraId="18E193E0" w14:textId="7E917843" w:rsidR="00E1719E" w:rsidRPr="00FA319F" w:rsidRDefault="00E1719E" w:rsidP="00237CA1">
      <w:pPr>
        <w:pStyle w:val="1"/>
        <w:numPr>
          <w:ilvl w:val="0"/>
          <w:numId w:val="1"/>
        </w:numPr>
        <w:spacing w:before="0" w:after="0"/>
        <w:rPr>
          <w:rFonts w:asciiTheme="majorHAnsi" w:hAnsiTheme="majorHAnsi" w:cstheme="majorHAnsi"/>
          <w:sz w:val="24"/>
          <w:szCs w:val="24"/>
          <w:highlight w:val="yellow"/>
        </w:rPr>
      </w:pPr>
      <w:r w:rsidRPr="00FA319F">
        <w:rPr>
          <w:rFonts w:asciiTheme="majorHAnsi" w:hAnsiTheme="majorHAnsi" w:cstheme="majorHAnsi"/>
          <w:sz w:val="24"/>
          <w:szCs w:val="24"/>
          <w:highlight w:val="yellow"/>
        </w:rPr>
        <w:t xml:space="preserve">Flow </w:t>
      </w:r>
      <w:r w:rsidR="00E4511D" w:rsidRPr="00FA319F">
        <w:rPr>
          <w:rFonts w:asciiTheme="majorHAnsi" w:hAnsiTheme="majorHAnsi" w:cstheme="majorHAnsi"/>
          <w:sz w:val="24"/>
          <w:szCs w:val="24"/>
          <w:highlight w:val="yellow"/>
        </w:rPr>
        <w:t>C</w:t>
      </w:r>
      <w:r w:rsidRPr="00FA319F">
        <w:rPr>
          <w:rFonts w:asciiTheme="majorHAnsi" w:hAnsiTheme="majorHAnsi" w:cstheme="majorHAnsi"/>
          <w:sz w:val="24"/>
          <w:szCs w:val="24"/>
          <w:highlight w:val="yellow"/>
        </w:rPr>
        <w:t>ytometry</w:t>
      </w:r>
    </w:p>
    <w:p w14:paraId="20F2A6E8" w14:textId="77777777" w:rsidR="00E1719E" w:rsidRPr="00FA319F" w:rsidRDefault="00E1719E" w:rsidP="00237CA1">
      <w:pPr>
        <w:pStyle w:val="a3"/>
        <w:spacing w:before="0" w:beforeAutospacing="0" w:after="0" w:afterAutospacing="0"/>
        <w:rPr>
          <w:rFonts w:asciiTheme="majorHAnsi" w:hAnsiTheme="majorHAnsi" w:cstheme="majorHAnsi"/>
          <w:b/>
          <w:highlight w:val="yellow"/>
        </w:rPr>
      </w:pPr>
    </w:p>
    <w:p w14:paraId="17F9E468" w14:textId="0A6D0FC4" w:rsidR="00E1719E" w:rsidRPr="00FA319F" w:rsidRDefault="00E1719E" w:rsidP="00237CA1">
      <w:pPr>
        <w:pStyle w:val="aa"/>
        <w:numPr>
          <w:ilvl w:val="1"/>
          <w:numId w:val="1"/>
        </w:numPr>
        <w:rPr>
          <w:rFonts w:asciiTheme="majorHAnsi" w:hAnsiTheme="majorHAnsi" w:cstheme="majorHAnsi"/>
          <w:highlight w:val="yellow"/>
          <w:lang w:val="en-GB"/>
        </w:rPr>
      </w:pPr>
      <w:r w:rsidRPr="00FA319F">
        <w:rPr>
          <w:rFonts w:asciiTheme="majorHAnsi" w:hAnsiTheme="majorHAnsi" w:cstheme="majorHAnsi"/>
          <w:highlight w:val="yellow"/>
        </w:rPr>
        <w:t>Thaw the cryopreserved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quickly in a water bath at 37 ˚C and wash once in pre-warmed medium (</w:t>
      </w:r>
      <w:r w:rsidRPr="00FA319F">
        <w:rPr>
          <w:rFonts w:asciiTheme="majorHAnsi" w:hAnsiTheme="majorHAnsi" w:cstheme="majorHAnsi"/>
          <w:highlight w:val="yellow"/>
          <w:lang w:val="en-GB"/>
        </w:rPr>
        <w:t>RPMI 1640 + L-</w:t>
      </w:r>
      <w:r w:rsidR="00E4511D" w:rsidRPr="00FA319F">
        <w:rPr>
          <w:rFonts w:asciiTheme="majorHAnsi" w:hAnsiTheme="majorHAnsi" w:cstheme="majorHAnsi"/>
          <w:highlight w:val="yellow"/>
          <w:lang w:val="en-GB"/>
        </w:rPr>
        <w:t>g</w:t>
      </w:r>
      <w:r w:rsidRPr="00FA319F">
        <w:rPr>
          <w:rFonts w:asciiTheme="majorHAnsi" w:hAnsiTheme="majorHAnsi" w:cstheme="majorHAnsi"/>
          <w:highlight w:val="yellow"/>
          <w:lang w:val="en-GB"/>
        </w:rPr>
        <w:t>lutamine supplemented with 10% FBS and 1</w:t>
      </w:r>
      <w:r w:rsidR="00E4511D" w:rsidRPr="00FA319F">
        <w:rPr>
          <w:rFonts w:asciiTheme="majorHAnsi" w:hAnsiTheme="majorHAnsi" w:cstheme="majorHAnsi"/>
          <w:highlight w:val="yellow"/>
          <w:lang w:val="en-GB"/>
        </w:rPr>
        <w:t>x</w:t>
      </w:r>
      <w:r w:rsidRPr="00FA319F">
        <w:rPr>
          <w:rFonts w:asciiTheme="majorHAnsi" w:hAnsiTheme="majorHAnsi" w:cstheme="majorHAnsi"/>
          <w:highlight w:val="yellow"/>
          <w:lang w:val="en-GB"/>
        </w:rPr>
        <w:t xml:space="preserve"> </w:t>
      </w:r>
      <w:r w:rsidR="00E4511D" w:rsidRPr="00FA319F">
        <w:rPr>
          <w:rFonts w:asciiTheme="majorHAnsi" w:hAnsiTheme="majorHAnsi" w:cstheme="majorHAnsi"/>
          <w:highlight w:val="yellow"/>
          <w:lang w:val="en-GB"/>
        </w:rPr>
        <w:t>penicillin-streptomycin</w:t>
      </w:r>
      <w:r w:rsidRPr="00FA319F">
        <w:rPr>
          <w:rFonts w:asciiTheme="majorHAnsi" w:hAnsiTheme="majorHAnsi" w:cstheme="majorHAnsi"/>
          <w:highlight w:val="yellow"/>
          <w:lang w:val="en-GB"/>
        </w:rPr>
        <w:t>).</w:t>
      </w:r>
    </w:p>
    <w:p w14:paraId="68BC2041" w14:textId="77777777" w:rsidR="00E1719E" w:rsidRPr="00FA319F" w:rsidRDefault="00E1719E" w:rsidP="00237CA1">
      <w:pPr>
        <w:rPr>
          <w:rFonts w:asciiTheme="majorHAnsi" w:hAnsiTheme="majorHAnsi" w:cstheme="majorHAnsi"/>
          <w:highlight w:val="yellow"/>
          <w:lang w:val="en-GB"/>
        </w:rPr>
      </w:pPr>
    </w:p>
    <w:p w14:paraId="142E397A" w14:textId="5F73EBEC" w:rsidR="00E1719E" w:rsidRPr="00FA319F" w:rsidRDefault="00E1719E" w:rsidP="00237CA1">
      <w:pPr>
        <w:pStyle w:val="aa"/>
        <w:numPr>
          <w:ilvl w:val="1"/>
          <w:numId w:val="1"/>
        </w:numPr>
        <w:rPr>
          <w:rFonts w:asciiTheme="majorHAnsi" w:hAnsiTheme="majorHAnsi" w:cstheme="majorHAnsi"/>
          <w:highlight w:val="yellow"/>
          <w:lang w:val="en-GB"/>
        </w:rPr>
      </w:pPr>
      <w:r w:rsidRPr="00FA319F">
        <w:rPr>
          <w:rFonts w:asciiTheme="majorHAnsi" w:hAnsiTheme="majorHAnsi" w:cstheme="majorHAnsi"/>
          <w:highlight w:val="yellow"/>
          <w:lang w:val="en-GB"/>
        </w:rPr>
        <w:t xml:space="preserve">Add </w:t>
      </w:r>
      <w:r w:rsidR="00E4511D" w:rsidRPr="00FA319F">
        <w:rPr>
          <w:rFonts w:asciiTheme="majorHAnsi" w:hAnsiTheme="majorHAnsi" w:cstheme="majorHAnsi"/>
          <w:highlight w:val="yellow"/>
          <w:lang w:val="en-GB"/>
        </w:rPr>
        <w:t xml:space="preserve">the </w:t>
      </w:r>
      <w:r w:rsidRPr="00FA319F">
        <w:rPr>
          <w:rFonts w:asciiTheme="majorHAnsi" w:hAnsiTheme="majorHAnsi" w:cstheme="majorHAnsi"/>
          <w:highlight w:val="yellow"/>
          <w:lang w:val="en-GB"/>
        </w:rPr>
        <w:t xml:space="preserve">cells to </w:t>
      </w:r>
      <w:r w:rsidR="00E4511D" w:rsidRPr="00FA319F">
        <w:rPr>
          <w:rFonts w:asciiTheme="majorHAnsi" w:hAnsiTheme="majorHAnsi" w:cstheme="majorHAnsi"/>
          <w:highlight w:val="yellow"/>
          <w:lang w:val="en-GB"/>
        </w:rPr>
        <w:t xml:space="preserve">9 mL of </w:t>
      </w:r>
      <w:r w:rsidRPr="00FA319F">
        <w:rPr>
          <w:rFonts w:asciiTheme="majorHAnsi" w:hAnsiTheme="majorHAnsi" w:cstheme="majorHAnsi"/>
          <w:highlight w:val="yellow"/>
          <w:lang w:val="en-GB"/>
        </w:rPr>
        <w:t>medium, centrifuge for 5 min at 400 x g and remove the supernatant.</w:t>
      </w:r>
    </w:p>
    <w:p w14:paraId="4C5FCB52" w14:textId="77777777" w:rsidR="00E1719E" w:rsidRPr="00FA319F" w:rsidRDefault="00E1719E" w:rsidP="00237CA1">
      <w:pPr>
        <w:rPr>
          <w:rFonts w:asciiTheme="majorHAnsi" w:hAnsiTheme="majorHAnsi" w:cstheme="majorHAnsi"/>
          <w:highlight w:val="yellow"/>
        </w:rPr>
      </w:pPr>
    </w:p>
    <w:p w14:paraId="1207E601" w14:textId="018648CC" w:rsidR="00E1719E" w:rsidRPr="00FA319F" w:rsidRDefault="00E1719E" w:rsidP="00237CA1">
      <w:pPr>
        <w:pStyle w:val="aa"/>
        <w:numPr>
          <w:ilvl w:val="1"/>
          <w:numId w:val="1"/>
        </w:numPr>
        <w:rPr>
          <w:rFonts w:asciiTheme="majorHAnsi" w:hAnsiTheme="majorHAnsi" w:cstheme="majorHAnsi"/>
          <w:highlight w:val="yellow"/>
        </w:rPr>
      </w:pPr>
      <w:r w:rsidRPr="00FA319F">
        <w:rPr>
          <w:rFonts w:asciiTheme="majorHAnsi" w:hAnsiTheme="majorHAnsi" w:cstheme="majorHAnsi"/>
          <w:highlight w:val="yellow"/>
        </w:rPr>
        <w:t xml:space="preserve">Resuspend </w:t>
      </w:r>
      <w:r w:rsidR="00E4511D" w:rsidRPr="00FA319F">
        <w:rPr>
          <w:rFonts w:asciiTheme="majorHAnsi" w:hAnsiTheme="majorHAnsi" w:cstheme="majorHAnsi"/>
          <w:highlight w:val="yellow"/>
        </w:rPr>
        <w:t xml:space="preserve">the </w:t>
      </w:r>
      <w:r w:rsidRPr="00FA319F">
        <w:rPr>
          <w:rFonts w:asciiTheme="majorHAnsi" w:hAnsiTheme="majorHAnsi" w:cstheme="majorHAnsi"/>
          <w:highlight w:val="yellow"/>
        </w:rPr>
        <w:t>cells in 1% bovine serum albumin (BSA) in PBS (50 µL) so that each condition to be tested uses between 5 x 10</w:t>
      </w:r>
      <w:r w:rsidRPr="00FA319F">
        <w:rPr>
          <w:rFonts w:asciiTheme="majorHAnsi" w:hAnsiTheme="majorHAnsi" w:cstheme="majorHAnsi"/>
          <w:highlight w:val="yellow"/>
          <w:vertAlign w:val="superscript"/>
        </w:rPr>
        <w:t>5</w:t>
      </w:r>
      <w:r w:rsidRPr="00FA319F">
        <w:rPr>
          <w:rFonts w:asciiTheme="majorHAnsi" w:hAnsiTheme="majorHAnsi" w:cstheme="majorHAnsi"/>
          <w:highlight w:val="yellow"/>
        </w:rPr>
        <w:t xml:space="preserve"> and 1 x 10</w:t>
      </w:r>
      <w:r w:rsidRPr="00FA319F">
        <w:rPr>
          <w:rFonts w:asciiTheme="majorHAnsi" w:hAnsiTheme="majorHAnsi" w:cstheme="majorHAnsi"/>
          <w:highlight w:val="yellow"/>
          <w:vertAlign w:val="superscript"/>
        </w:rPr>
        <w:t>6</w:t>
      </w:r>
      <w:r w:rsidRPr="00FA319F">
        <w:rPr>
          <w:rFonts w:asciiTheme="majorHAnsi" w:hAnsiTheme="majorHAnsi" w:cstheme="majorHAnsi"/>
          <w:highlight w:val="yellow"/>
        </w:rPr>
        <w:t xml:space="preserve"> cells. </w:t>
      </w:r>
    </w:p>
    <w:p w14:paraId="540F6657" w14:textId="77777777" w:rsidR="00E1719E" w:rsidRPr="00FA319F" w:rsidRDefault="00E1719E" w:rsidP="00237CA1">
      <w:pPr>
        <w:rPr>
          <w:rFonts w:asciiTheme="majorHAnsi" w:hAnsiTheme="majorHAnsi" w:cstheme="majorHAnsi"/>
          <w:highlight w:val="yellow"/>
        </w:rPr>
      </w:pPr>
    </w:p>
    <w:p w14:paraId="6DD5F75D" w14:textId="21620FCF" w:rsidR="00E1719E" w:rsidRPr="00FA319F" w:rsidRDefault="00E1719E" w:rsidP="00237CA1">
      <w:pPr>
        <w:pStyle w:val="aa"/>
        <w:numPr>
          <w:ilvl w:val="1"/>
          <w:numId w:val="1"/>
        </w:numPr>
        <w:rPr>
          <w:rFonts w:asciiTheme="majorHAnsi" w:hAnsiTheme="majorHAnsi" w:cstheme="majorHAnsi"/>
          <w:highlight w:val="yellow"/>
        </w:rPr>
      </w:pPr>
      <w:r w:rsidRPr="00FA319F">
        <w:rPr>
          <w:rFonts w:asciiTheme="majorHAnsi" w:hAnsiTheme="majorHAnsi" w:cstheme="majorHAnsi"/>
          <w:highlight w:val="yellow"/>
        </w:rPr>
        <w:t xml:space="preserve">Mix </w:t>
      </w:r>
      <w:r w:rsidR="00E4511D" w:rsidRPr="00FA319F">
        <w:rPr>
          <w:rFonts w:asciiTheme="majorHAnsi" w:hAnsiTheme="majorHAnsi" w:cstheme="majorHAnsi"/>
          <w:highlight w:val="yellow"/>
        </w:rPr>
        <w:t xml:space="preserve">the </w:t>
      </w:r>
      <w:r w:rsidRPr="00FA319F">
        <w:rPr>
          <w:rFonts w:asciiTheme="majorHAnsi" w:hAnsiTheme="majorHAnsi" w:cstheme="majorHAnsi"/>
          <w:highlight w:val="yellow"/>
        </w:rPr>
        <w:t>cells with Stain</w:t>
      </w:r>
      <w:r w:rsidR="00E0459F" w:rsidRPr="00FA319F">
        <w:rPr>
          <w:rFonts w:asciiTheme="majorHAnsi" w:hAnsiTheme="majorHAnsi" w:cstheme="majorHAnsi"/>
          <w:highlight w:val="yellow"/>
        </w:rPr>
        <w:t>ing</w:t>
      </w:r>
      <w:r w:rsidRPr="00FA319F">
        <w:rPr>
          <w:rFonts w:asciiTheme="majorHAnsi" w:hAnsiTheme="majorHAnsi" w:cstheme="majorHAnsi"/>
          <w:highlight w:val="yellow"/>
        </w:rPr>
        <w:t xml:space="preserve"> Buffer (50 µL).</w:t>
      </w:r>
    </w:p>
    <w:p w14:paraId="447F89DF" w14:textId="77777777" w:rsidR="00E1719E" w:rsidRPr="003D2A94" w:rsidRDefault="00E1719E" w:rsidP="00237CA1">
      <w:pPr>
        <w:rPr>
          <w:rFonts w:asciiTheme="majorHAnsi" w:hAnsiTheme="majorHAnsi" w:cstheme="majorHAnsi"/>
        </w:rPr>
      </w:pPr>
    </w:p>
    <w:p w14:paraId="6BD8F6D1" w14:textId="39F56F0F" w:rsidR="00E1719E" w:rsidRPr="003D2A94" w:rsidRDefault="00E1719E" w:rsidP="00237CA1">
      <w:pPr>
        <w:rPr>
          <w:rFonts w:asciiTheme="majorHAnsi" w:hAnsiTheme="majorHAnsi" w:cstheme="majorHAnsi"/>
        </w:rPr>
      </w:pPr>
      <w:r w:rsidRPr="003D2A94">
        <w:rPr>
          <w:rFonts w:asciiTheme="majorHAnsi" w:hAnsiTheme="majorHAnsi" w:cstheme="majorHAnsi"/>
        </w:rPr>
        <w:t xml:space="preserve">Note: Brilliant Stain Buffer prevents various staining artefacts that may interfere with data analysis when two or more BV or BUV stains are used simultaneously owing to inherent chemical properties of these dyes. In single or unstained conditions, the 50 µL of brilliant stain buffer can be substituted for 50 µL </w:t>
      </w:r>
      <w:r w:rsidR="00E4511D">
        <w:rPr>
          <w:rFonts w:asciiTheme="majorHAnsi" w:hAnsiTheme="majorHAnsi" w:cstheme="majorHAnsi"/>
        </w:rPr>
        <w:t xml:space="preserve">of </w:t>
      </w:r>
      <w:r w:rsidRPr="003D2A94">
        <w:rPr>
          <w:rFonts w:asciiTheme="majorHAnsi" w:hAnsiTheme="majorHAnsi" w:cstheme="majorHAnsi"/>
        </w:rPr>
        <w:t>1% BSA/PBS.</w:t>
      </w:r>
    </w:p>
    <w:p w14:paraId="7D81A2B6" w14:textId="77777777" w:rsidR="00E1719E" w:rsidRPr="003D2A94" w:rsidRDefault="00E1719E" w:rsidP="00237CA1">
      <w:pPr>
        <w:rPr>
          <w:rFonts w:asciiTheme="majorHAnsi" w:hAnsiTheme="majorHAnsi" w:cstheme="majorHAnsi"/>
        </w:rPr>
      </w:pPr>
    </w:p>
    <w:p w14:paraId="714C2ACF" w14:textId="4823396D" w:rsidR="00E1719E" w:rsidRPr="00FA319F" w:rsidRDefault="00E1719E" w:rsidP="00237CA1">
      <w:pPr>
        <w:pStyle w:val="aa"/>
        <w:numPr>
          <w:ilvl w:val="1"/>
          <w:numId w:val="1"/>
        </w:numPr>
        <w:rPr>
          <w:rFonts w:asciiTheme="majorHAnsi" w:hAnsiTheme="majorHAnsi" w:cstheme="majorHAnsi"/>
          <w:highlight w:val="yellow"/>
        </w:rPr>
      </w:pPr>
      <w:r w:rsidRPr="00FA319F">
        <w:rPr>
          <w:rFonts w:asciiTheme="majorHAnsi" w:hAnsiTheme="majorHAnsi" w:cstheme="majorHAnsi"/>
          <w:highlight w:val="yellow"/>
        </w:rPr>
        <w:t xml:space="preserve">Add </w:t>
      </w:r>
      <w:r w:rsidR="00E4511D" w:rsidRPr="00FA319F">
        <w:rPr>
          <w:rFonts w:asciiTheme="majorHAnsi" w:hAnsiTheme="majorHAnsi" w:cstheme="majorHAnsi"/>
          <w:highlight w:val="yellow"/>
        </w:rPr>
        <w:t xml:space="preserve">the </w:t>
      </w:r>
      <w:r w:rsidRPr="00FA319F">
        <w:rPr>
          <w:rFonts w:asciiTheme="majorHAnsi" w:hAnsiTheme="majorHAnsi" w:cstheme="majorHAnsi"/>
          <w:highlight w:val="yellow"/>
        </w:rPr>
        <w:t xml:space="preserve">antibodies to cells (as per the “volume used” column </w:t>
      </w:r>
      <w:r w:rsidRPr="00FA319F">
        <w:rPr>
          <w:rFonts w:asciiTheme="majorHAnsi" w:hAnsiTheme="majorHAnsi" w:cstheme="majorHAnsi"/>
          <w:b/>
          <w:highlight w:val="yellow"/>
        </w:rPr>
        <w:t>in Table 1</w:t>
      </w:r>
      <w:r w:rsidRPr="00FA319F">
        <w:rPr>
          <w:rFonts w:asciiTheme="majorHAnsi" w:hAnsiTheme="majorHAnsi" w:cstheme="majorHAnsi"/>
          <w:highlight w:val="yellow"/>
        </w:rPr>
        <w:t>) and incubate on ice in the dark for 30 min.</w:t>
      </w:r>
    </w:p>
    <w:p w14:paraId="1213296F" w14:textId="77777777" w:rsidR="00E1719E" w:rsidRPr="00FA319F" w:rsidRDefault="00E1719E" w:rsidP="00237CA1">
      <w:pPr>
        <w:rPr>
          <w:rFonts w:asciiTheme="majorHAnsi" w:hAnsiTheme="majorHAnsi" w:cstheme="majorHAnsi"/>
          <w:highlight w:val="yellow"/>
        </w:rPr>
      </w:pPr>
    </w:p>
    <w:p w14:paraId="04293FE6" w14:textId="09DC0650" w:rsidR="00E1719E" w:rsidRPr="00FA319F" w:rsidRDefault="00E1719E" w:rsidP="00237CA1">
      <w:pPr>
        <w:pStyle w:val="aa"/>
        <w:numPr>
          <w:ilvl w:val="1"/>
          <w:numId w:val="1"/>
        </w:numPr>
        <w:rPr>
          <w:rFonts w:asciiTheme="majorHAnsi" w:hAnsiTheme="majorHAnsi" w:cstheme="majorHAnsi"/>
          <w:highlight w:val="yellow"/>
        </w:rPr>
      </w:pPr>
      <w:r w:rsidRPr="00FA319F">
        <w:rPr>
          <w:rFonts w:asciiTheme="majorHAnsi" w:hAnsiTheme="majorHAnsi" w:cstheme="majorHAnsi"/>
          <w:highlight w:val="yellow"/>
        </w:rPr>
        <w:t xml:space="preserve">Wash </w:t>
      </w:r>
      <w:r w:rsidR="00E4511D" w:rsidRPr="00FA319F">
        <w:rPr>
          <w:rFonts w:asciiTheme="majorHAnsi" w:hAnsiTheme="majorHAnsi" w:cstheme="majorHAnsi"/>
          <w:highlight w:val="yellow"/>
        </w:rPr>
        <w:t xml:space="preserve">the </w:t>
      </w:r>
      <w:r w:rsidRPr="00FA319F">
        <w:rPr>
          <w:rFonts w:asciiTheme="majorHAnsi" w:hAnsiTheme="majorHAnsi" w:cstheme="majorHAnsi"/>
          <w:highlight w:val="yellow"/>
        </w:rPr>
        <w:t>cells twice in 1% BSA/PBS</w:t>
      </w:r>
      <w:r w:rsidR="00E4511D" w:rsidRPr="00FA319F">
        <w:rPr>
          <w:rFonts w:asciiTheme="majorHAnsi" w:hAnsiTheme="majorHAnsi" w:cstheme="majorHAnsi"/>
          <w:highlight w:val="yellow"/>
        </w:rPr>
        <w:t xml:space="preserve"> by c</w:t>
      </w:r>
      <w:r w:rsidRPr="00FA319F">
        <w:rPr>
          <w:rFonts w:asciiTheme="majorHAnsi" w:hAnsiTheme="majorHAnsi" w:cstheme="majorHAnsi"/>
          <w:highlight w:val="yellow"/>
        </w:rPr>
        <w:t>entrifug</w:t>
      </w:r>
      <w:r w:rsidR="00E4511D" w:rsidRPr="00FA319F">
        <w:rPr>
          <w:rFonts w:asciiTheme="majorHAnsi" w:hAnsiTheme="majorHAnsi" w:cstheme="majorHAnsi"/>
          <w:highlight w:val="yellow"/>
        </w:rPr>
        <w:t>ing</w:t>
      </w:r>
      <w:r w:rsidRPr="00FA319F">
        <w:rPr>
          <w:rFonts w:asciiTheme="majorHAnsi" w:hAnsiTheme="majorHAnsi" w:cstheme="majorHAnsi"/>
          <w:highlight w:val="yellow"/>
        </w:rPr>
        <w:t xml:space="preserve"> for 3 min at 600 x g during each wash.</w:t>
      </w:r>
    </w:p>
    <w:p w14:paraId="3D85135A" w14:textId="77777777" w:rsidR="00E1719E" w:rsidRPr="00FA319F" w:rsidRDefault="00E1719E" w:rsidP="00237CA1">
      <w:pPr>
        <w:rPr>
          <w:rFonts w:asciiTheme="majorHAnsi" w:hAnsiTheme="majorHAnsi" w:cstheme="majorHAnsi"/>
          <w:highlight w:val="yellow"/>
        </w:rPr>
      </w:pPr>
    </w:p>
    <w:p w14:paraId="35443166" w14:textId="77777777" w:rsidR="00E1719E" w:rsidRPr="00FA319F" w:rsidRDefault="00E1719E" w:rsidP="00237CA1">
      <w:pPr>
        <w:pStyle w:val="aa"/>
        <w:numPr>
          <w:ilvl w:val="1"/>
          <w:numId w:val="1"/>
        </w:numPr>
        <w:rPr>
          <w:rFonts w:asciiTheme="majorHAnsi" w:hAnsiTheme="majorHAnsi" w:cstheme="majorHAnsi"/>
          <w:highlight w:val="yellow"/>
        </w:rPr>
      </w:pPr>
      <w:r w:rsidRPr="00FA319F">
        <w:rPr>
          <w:rFonts w:asciiTheme="majorHAnsi" w:hAnsiTheme="majorHAnsi" w:cstheme="majorHAnsi"/>
          <w:highlight w:val="yellow"/>
        </w:rPr>
        <w:t>Resuspend in 1% BSA/PBS (400 µL) and transfer to a flow cytometry acquisition tube.</w:t>
      </w:r>
    </w:p>
    <w:p w14:paraId="1427D765" w14:textId="77777777" w:rsidR="00E1719E" w:rsidRPr="00FA319F" w:rsidRDefault="00E1719E" w:rsidP="00237CA1">
      <w:pPr>
        <w:rPr>
          <w:rFonts w:asciiTheme="majorHAnsi" w:hAnsiTheme="majorHAnsi" w:cstheme="majorHAnsi"/>
          <w:highlight w:val="yellow"/>
        </w:rPr>
      </w:pPr>
    </w:p>
    <w:p w14:paraId="577F0027" w14:textId="5410F710" w:rsidR="00E1719E" w:rsidRPr="00FA319F" w:rsidRDefault="00E1719E" w:rsidP="00237CA1">
      <w:pPr>
        <w:pStyle w:val="aa"/>
        <w:numPr>
          <w:ilvl w:val="1"/>
          <w:numId w:val="1"/>
        </w:numPr>
        <w:rPr>
          <w:rFonts w:asciiTheme="majorHAnsi" w:hAnsiTheme="majorHAnsi" w:cstheme="majorHAnsi"/>
          <w:highlight w:val="yellow"/>
          <w:lang w:eastAsia="ja-JP"/>
        </w:rPr>
      </w:pPr>
      <w:r w:rsidRPr="00FA319F">
        <w:rPr>
          <w:rFonts w:asciiTheme="majorHAnsi" w:hAnsiTheme="majorHAnsi" w:cstheme="majorHAnsi"/>
          <w:highlight w:val="yellow"/>
          <w:lang w:eastAsia="ja-JP"/>
        </w:rPr>
        <w:t>Vortex</w:t>
      </w:r>
      <w:r w:rsidR="00E4511D" w:rsidRPr="00FA319F">
        <w:rPr>
          <w:rFonts w:asciiTheme="majorHAnsi" w:hAnsiTheme="majorHAnsi" w:cstheme="majorHAnsi"/>
          <w:highlight w:val="yellow"/>
          <w:lang w:eastAsia="ja-JP"/>
        </w:rPr>
        <w:t xml:space="preserve"> the</w:t>
      </w:r>
      <w:r w:rsidRPr="00FA319F">
        <w:rPr>
          <w:rFonts w:asciiTheme="majorHAnsi" w:hAnsiTheme="majorHAnsi" w:cstheme="majorHAnsi"/>
          <w:highlight w:val="yellow"/>
          <w:lang w:eastAsia="ja-JP"/>
        </w:rPr>
        <w:t xml:space="preserve"> cells gently before acquiring data on a flow cytometer:</w:t>
      </w:r>
    </w:p>
    <w:p w14:paraId="3E35B66E" w14:textId="77777777" w:rsidR="00E1719E" w:rsidRPr="00FA319F" w:rsidRDefault="00E1719E" w:rsidP="00237CA1">
      <w:pPr>
        <w:rPr>
          <w:rFonts w:asciiTheme="majorHAnsi" w:hAnsiTheme="majorHAnsi" w:cstheme="majorHAnsi"/>
          <w:highlight w:val="yellow"/>
          <w:lang w:eastAsia="ja-JP"/>
        </w:rPr>
      </w:pPr>
    </w:p>
    <w:p w14:paraId="2DA460C5" w14:textId="77777777" w:rsidR="00E1719E" w:rsidRPr="00FA319F" w:rsidRDefault="00E1719E" w:rsidP="00237CA1">
      <w:pPr>
        <w:pStyle w:val="a3"/>
        <w:numPr>
          <w:ilvl w:val="0"/>
          <w:numId w:val="1"/>
        </w:numPr>
        <w:spacing w:before="0" w:beforeAutospacing="0" w:after="0" w:afterAutospacing="0"/>
        <w:rPr>
          <w:rFonts w:asciiTheme="majorHAnsi" w:hAnsiTheme="majorHAnsi" w:cstheme="majorHAnsi"/>
          <w:b/>
          <w:highlight w:val="yellow"/>
        </w:rPr>
      </w:pPr>
      <w:r w:rsidRPr="00FA319F">
        <w:rPr>
          <w:rFonts w:asciiTheme="majorHAnsi" w:hAnsiTheme="majorHAnsi" w:cstheme="majorHAnsi"/>
          <w:b/>
          <w:highlight w:val="yellow"/>
        </w:rPr>
        <w:t>Flow Cytometry Controls and Set-up</w:t>
      </w:r>
    </w:p>
    <w:p w14:paraId="162131FF" w14:textId="77777777" w:rsidR="00E1719E" w:rsidRPr="00B93BC6" w:rsidRDefault="00E1719E" w:rsidP="00237CA1">
      <w:pPr>
        <w:rPr>
          <w:rFonts w:asciiTheme="majorHAnsi" w:hAnsiTheme="majorHAnsi" w:cstheme="majorHAnsi"/>
          <w:color w:val="auto"/>
        </w:rPr>
      </w:pPr>
    </w:p>
    <w:p w14:paraId="1287C19B" w14:textId="77777777"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Using an unstained sample, set photodiode voltages so that lymphocytes can be separated from obvious debris and dead cells (events with high side scatter (SSC) area and low forward scatter (FSC) area)</w:t>
      </w:r>
      <w:r w:rsidRPr="00FA319F">
        <w:rPr>
          <w:rFonts w:asciiTheme="majorHAnsi" w:hAnsiTheme="majorHAnsi" w:cstheme="majorHAnsi"/>
          <w:color w:val="auto"/>
          <w:highlight w:val="yellow"/>
          <w:vertAlign w:val="superscript"/>
        </w:rPr>
        <w:t>16</w:t>
      </w:r>
      <w:r w:rsidRPr="00FA319F">
        <w:rPr>
          <w:rFonts w:asciiTheme="majorHAnsi" w:hAnsiTheme="majorHAnsi" w:cstheme="majorHAnsi"/>
          <w:color w:val="auto"/>
          <w:highlight w:val="yellow"/>
        </w:rPr>
        <w:t>. Using single stained samples, set photomultiplier (PMT) voltages so that positive fluorescence can be discerned from background fluorescence while making sure that all events fall within the detectable scale.</w:t>
      </w:r>
    </w:p>
    <w:p w14:paraId="7D1B1319" w14:textId="77777777" w:rsidR="00E1719E" w:rsidRDefault="00E1719E" w:rsidP="00237CA1">
      <w:pPr>
        <w:rPr>
          <w:rFonts w:asciiTheme="majorHAnsi" w:hAnsiTheme="majorHAnsi" w:cstheme="majorHAnsi"/>
          <w:color w:val="auto"/>
        </w:rPr>
      </w:pPr>
    </w:p>
    <w:p w14:paraId="12B8A457" w14:textId="53D5C1FD"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Note: An improvement would be to plot CV against PMT voltage for each PMT using dimly fluorescent beads to find the minimum voltage for optimum resolution (The “Peak 2” method</w:t>
      </w:r>
      <w:r w:rsidRPr="00DA55E8">
        <w:rPr>
          <w:rFonts w:asciiTheme="majorHAnsi" w:hAnsiTheme="majorHAnsi" w:cstheme="majorHAnsi"/>
          <w:color w:val="auto"/>
          <w:vertAlign w:val="superscript"/>
        </w:rPr>
        <w:t>1</w:t>
      </w:r>
      <w:r>
        <w:rPr>
          <w:rFonts w:asciiTheme="majorHAnsi" w:hAnsiTheme="majorHAnsi" w:cstheme="majorHAnsi"/>
          <w:color w:val="auto"/>
          <w:vertAlign w:val="superscript"/>
        </w:rPr>
        <w:t>9</w:t>
      </w:r>
      <w:r w:rsidRPr="00B93BC6">
        <w:rPr>
          <w:rFonts w:asciiTheme="majorHAnsi" w:hAnsiTheme="majorHAnsi" w:cstheme="majorHAnsi"/>
          <w:color w:val="auto"/>
        </w:rPr>
        <w:t>)</w:t>
      </w:r>
      <w:r w:rsidR="00BA7852">
        <w:rPr>
          <w:rFonts w:asciiTheme="majorHAnsi" w:hAnsiTheme="majorHAnsi" w:cstheme="majorHAnsi"/>
          <w:color w:val="auto"/>
        </w:rPr>
        <w:t>.</w:t>
      </w:r>
    </w:p>
    <w:p w14:paraId="508553A1" w14:textId="77777777" w:rsidR="00E1719E" w:rsidRPr="00B93BC6" w:rsidRDefault="00E1719E" w:rsidP="00237CA1">
      <w:pPr>
        <w:rPr>
          <w:rFonts w:asciiTheme="majorHAnsi" w:hAnsiTheme="majorHAnsi" w:cstheme="majorHAnsi"/>
          <w:color w:val="auto"/>
        </w:rPr>
      </w:pPr>
    </w:p>
    <w:p w14:paraId="25E61FE8" w14:textId="77777777"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 xml:space="preserve">Account for spectral overlap by generating a compensation matrix using single stains with capture beads. Add commercially available compensation beads (60 µL), and negative control beads (60 µL) to 1% BSA/PBS (100 µL), and vortex. </w:t>
      </w:r>
    </w:p>
    <w:p w14:paraId="0862C7A6" w14:textId="77777777" w:rsidR="00E1719E" w:rsidRDefault="00E1719E" w:rsidP="00237CA1">
      <w:pPr>
        <w:rPr>
          <w:rFonts w:asciiTheme="majorHAnsi" w:hAnsiTheme="majorHAnsi" w:cstheme="majorHAnsi"/>
          <w:color w:val="auto"/>
        </w:rPr>
      </w:pPr>
    </w:p>
    <w:p w14:paraId="5091DFE7" w14:textId="77777777" w:rsidR="00E1719E" w:rsidRPr="00305CBE" w:rsidRDefault="00E1719E" w:rsidP="00237CA1">
      <w:pPr>
        <w:rPr>
          <w:rFonts w:asciiTheme="majorHAnsi" w:hAnsiTheme="majorHAnsi" w:cstheme="majorHAnsi"/>
          <w:color w:val="auto"/>
        </w:rPr>
      </w:pPr>
      <w:r w:rsidRPr="00305CBE">
        <w:rPr>
          <w:rFonts w:asciiTheme="majorHAnsi" w:hAnsiTheme="majorHAnsi" w:cstheme="majorHAnsi"/>
          <w:color w:val="auto"/>
        </w:rPr>
        <w:t>Note: The capture beads used must match the host species and IgG isotype of the antibody being used. The compensation matrix should be re-calculated if the lot number of any tandem dyes changes, as they can display considerable variability in their emission spectra between lots.</w:t>
      </w:r>
    </w:p>
    <w:p w14:paraId="07478E64" w14:textId="77777777" w:rsidR="00E1719E" w:rsidRPr="00305CBE" w:rsidRDefault="00E1719E" w:rsidP="00237CA1">
      <w:pPr>
        <w:pStyle w:val="aa"/>
        <w:ind w:left="360"/>
        <w:rPr>
          <w:rFonts w:asciiTheme="majorHAnsi" w:hAnsiTheme="majorHAnsi" w:cstheme="majorHAnsi"/>
          <w:color w:val="auto"/>
        </w:rPr>
      </w:pPr>
    </w:p>
    <w:p w14:paraId="5F2E5443" w14:textId="77777777"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Add a single antibody (20 µL) and vortex.</w:t>
      </w:r>
    </w:p>
    <w:p w14:paraId="0F63888D" w14:textId="77777777" w:rsidR="00E1719E" w:rsidRPr="00FA319F" w:rsidRDefault="00E1719E" w:rsidP="00237CA1">
      <w:pPr>
        <w:rPr>
          <w:rFonts w:asciiTheme="majorHAnsi" w:hAnsiTheme="majorHAnsi" w:cstheme="majorHAnsi"/>
          <w:color w:val="auto"/>
          <w:highlight w:val="yellow"/>
        </w:rPr>
      </w:pPr>
    </w:p>
    <w:p w14:paraId="787A4683" w14:textId="4C9BDC4A"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Incubate at room temperature in the dark for 30 min</w:t>
      </w:r>
      <w:r w:rsidR="00E4511D" w:rsidRPr="00FA319F">
        <w:rPr>
          <w:rFonts w:asciiTheme="majorHAnsi" w:hAnsiTheme="majorHAnsi" w:cstheme="majorHAnsi"/>
          <w:color w:val="auto"/>
          <w:highlight w:val="yellow"/>
        </w:rPr>
        <w:t>.</w:t>
      </w:r>
    </w:p>
    <w:p w14:paraId="05EFFFC3" w14:textId="77777777" w:rsidR="00E1719E" w:rsidRPr="00FA319F" w:rsidRDefault="00E1719E" w:rsidP="00237CA1">
      <w:pPr>
        <w:rPr>
          <w:rFonts w:asciiTheme="majorHAnsi" w:hAnsiTheme="majorHAnsi" w:cstheme="majorHAnsi"/>
          <w:color w:val="auto"/>
          <w:highlight w:val="yellow"/>
        </w:rPr>
      </w:pPr>
    </w:p>
    <w:p w14:paraId="63338C2B" w14:textId="60FAAAB7"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Centrifuge at 200 x g for 10 min and discard the supernatant</w:t>
      </w:r>
      <w:r w:rsidR="00E4511D" w:rsidRPr="00FA319F">
        <w:rPr>
          <w:rFonts w:asciiTheme="majorHAnsi" w:hAnsiTheme="majorHAnsi" w:cstheme="majorHAnsi"/>
          <w:color w:val="auto"/>
          <w:highlight w:val="yellow"/>
        </w:rPr>
        <w:t>.</w:t>
      </w:r>
    </w:p>
    <w:p w14:paraId="4B952D87" w14:textId="77777777" w:rsidR="00E1719E" w:rsidRPr="00FA319F" w:rsidRDefault="00E1719E" w:rsidP="00237CA1">
      <w:pPr>
        <w:rPr>
          <w:rFonts w:asciiTheme="majorHAnsi" w:hAnsiTheme="majorHAnsi" w:cstheme="majorHAnsi"/>
          <w:color w:val="auto"/>
          <w:highlight w:val="yellow"/>
        </w:rPr>
      </w:pPr>
    </w:p>
    <w:p w14:paraId="35008111" w14:textId="78995DE2"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Resuspend in 1%BSA/PBS (500 µL) and vortex</w:t>
      </w:r>
      <w:r w:rsidR="00E4511D" w:rsidRPr="00FA319F">
        <w:rPr>
          <w:rFonts w:asciiTheme="majorHAnsi" w:hAnsiTheme="majorHAnsi" w:cstheme="majorHAnsi"/>
          <w:color w:val="auto"/>
          <w:highlight w:val="yellow"/>
        </w:rPr>
        <w:t>.</w:t>
      </w:r>
    </w:p>
    <w:p w14:paraId="6F6427AA" w14:textId="77777777" w:rsidR="00E1719E" w:rsidRPr="00FA319F" w:rsidRDefault="00E1719E" w:rsidP="00237CA1">
      <w:pPr>
        <w:rPr>
          <w:rFonts w:asciiTheme="majorHAnsi" w:hAnsiTheme="majorHAnsi" w:cstheme="majorHAnsi"/>
          <w:color w:val="auto"/>
          <w:highlight w:val="yellow"/>
        </w:rPr>
      </w:pPr>
    </w:p>
    <w:p w14:paraId="70529154" w14:textId="77777777" w:rsidR="00E1719E" w:rsidRPr="00FA319F" w:rsidRDefault="00E1719E" w:rsidP="00237CA1">
      <w:pPr>
        <w:pStyle w:val="aa"/>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Acquire the sample with a flow cytometer using the designated compensation matrix generator in the acquisition software according to the manufacturer’s instructions.</w:t>
      </w:r>
    </w:p>
    <w:p w14:paraId="2A9E2500" w14:textId="77777777" w:rsidR="00E1719E" w:rsidRPr="003D2A94" w:rsidRDefault="00E1719E" w:rsidP="00237CA1">
      <w:pPr>
        <w:rPr>
          <w:rFonts w:asciiTheme="majorHAnsi" w:hAnsiTheme="majorHAnsi" w:cstheme="majorHAnsi"/>
          <w:color w:val="auto"/>
        </w:rPr>
      </w:pPr>
    </w:p>
    <w:p w14:paraId="0FFE309E" w14:textId="2A27306E" w:rsidR="00E1719E" w:rsidRPr="003D2A94" w:rsidRDefault="00E1719E" w:rsidP="00237CA1">
      <w:pPr>
        <w:pStyle w:val="aa"/>
        <w:numPr>
          <w:ilvl w:val="1"/>
          <w:numId w:val="1"/>
        </w:numPr>
        <w:rPr>
          <w:rFonts w:asciiTheme="majorHAnsi" w:hAnsiTheme="majorHAnsi" w:cstheme="majorHAnsi"/>
          <w:color w:val="auto"/>
        </w:rPr>
      </w:pPr>
      <w:r w:rsidRPr="003D2A94">
        <w:rPr>
          <w:rFonts w:asciiTheme="majorHAnsi" w:hAnsiTheme="majorHAnsi" w:cstheme="majorHAnsi"/>
          <w:color w:val="auto"/>
        </w:rPr>
        <w:t>Use FMO controls to guide the placement of gates for positive marker fluorescence to account for dye spill over, which is the main source of background fluorescence in experiments using ≥4 colours</w:t>
      </w:r>
      <w:r w:rsidRPr="003D2A94">
        <w:rPr>
          <w:rFonts w:asciiTheme="majorHAnsi" w:hAnsiTheme="majorHAnsi" w:cstheme="majorHAnsi"/>
          <w:color w:val="auto"/>
          <w:vertAlign w:val="superscript"/>
        </w:rPr>
        <w:t>16</w:t>
      </w:r>
      <w:r w:rsidRPr="003D2A94">
        <w:rPr>
          <w:rFonts w:asciiTheme="majorHAnsi" w:hAnsiTheme="majorHAnsi" w:cstheme="majorHAnsi"/>
          <w:color w:val="auto"/>
        </w:rPr>
        <w:t xml:space="preserve">. Follow the general cell-surface staining protocol as described in </w:t>
      </w:r>
      <w:r w:rsidR="00A65C2A">
        <w:rPr>
          <w:rFonts w:asciiTheme="majorHAnsi" w:hAnsiTheme="majorHAnsi" w:cstheme="majorHAnsi"/>
          <w:color w:val="auto"/>
        </w:rPr>
        <w:t>Step</w:t>
      </w:r>
      <w:r w:rsidRPr="003D2A94">
        <w:rPr>
          <w:rFonts w:asciiTheme="majorHAnsi" w:hAnsiTheme="majorHAnsi" w:cstheme="majorHAnsi"/>
          <w:color w:val="auto"/>
        </w:rPr>
        <w:t xml:space="preserve"> 3, but for each condition, omit </w:t>
      </w:r>
      <w:r w:rsidRPr="003D2A94">
        <w:rPr>
          <w:rFonts w:asciiTheme="majorHAnsi" w:hAnsiTheme="majorHAnsi" w:cstheme="majorHAnsi"/>
          <w:b/>
          <w:color w:val="auto"/>
        </w:rPr>
        <w:t>one</w:t>
      </w:r>
      <w:r w:rsidRPr="003D2A94">
        <w:rPr>
          <w:rFonts w:asciiTheme="majorHAnsi" w:hAnsiTheme="majorHAnsi" w:cstheme="majorHAnsi"/>
          <w:color w:val="auto"/>
        </w:rPr>
        <w:t xml:space="preserve"> of the fluorophores from the staining step (where CD45RA is omitted, also omit the live/dead stain). Acquire 100,000 lymphocytes for each condition.</w:t>
      </w:r>
    </w:p>
    <w:p w14:paraId="259BD90B" w14:textId="77777777" w:rsidR="00E1719E" w:rsidRPr="003D2A94" w:rsidRDefault="00E1719E" w:rsidP="00237CA1">
      <w:pPr>
        <w:ind w:left="-720"/>
        <w:rPr>
          <w:rFonts w:asciiTheme="majorHAnsi" w:hAnsiTheme="majorHAnsi" w:cstheme="majorHAnsi"/>
          <w:color w:val="auto"/>
        </w:rPr>
      </w:pPr>
    </w:p>
    <w:p w14:paraId="66E244F3" w14:textId="24DCF160" w:rsidR="00E1719E" w:rsidRPr="003D2A94" w:rsidRDefault="00E1719E" w:rsidP="00237CA1">
      <w:pPr>
        <w:pStyle w:val="aa"/>
        <w:numPr>
          <w:ilvl w:val="1"/>
          <w:numId w:val="1"/>
        </w:numPr>
        <w:rPr>
          <w:rFonts w:asciiTheme="majorHAnsi" w:hAnsiTheme="majorHAnsi" w:cstheme="majorHAnsi"/>
          <w:color w:val="auto"/>
        </w:rPr>
      </w:pPr>
      <w:r w:rsidRPr="00FA319F">
        <w:rPr>
          <w:rFonts w:asciiTheme="majorHAnsi" w:hAnsiTheme="majorHAnsi" w:cstheme="majorHAnsi"/>
          <w:color w:val="auto"/>
          <w:highlight w:val="yellow"/>
        </w:rPr>
        <w:t xml:space="preserve">Set </w:t>
      </w:r>
      <w:r w:rsidR="00A65C2A" w:rsidRPr="00FA319F">
        <w:rPr>
          <w:rFonts w:asciiTheme="majorHAnsi" w:hAnsiTheme="majorHAnsi" w:cstheme="majorHAnsi"/>
          <w:color w:val="auto"/>
          <w:highlight w:val="yellow"/>
        </w:rPr>
        <w:t xml:space="preserve">the </w:t>
      </w:r>
      <w:r w:rsidRPr="00FA319F">
        <w:rPr>
          <w:rFonts w:asciiTheme="majorHAnsi" w:hAnsiTheme="majorHAnsi" w:cstheme="majorHAnsi"/>
          <w:color w:val="auto"/>
          <w:highlight w:val="yellow"/>
        </w:rPr>
        <w:t>gate positivity at ≤0.5% of cells.</w:t>
      </w:r>
      <w:r w:rsidRPr="003D2A94">
        <w:rPr>
          <w:rFonts w:asciiTheme="majorHAnsi" w:hAnsiTheme="majorHAnsi" w:cstheme="majorHAnsi"/>
          <w:color w:val="auto"/>
        </w:rPr>
        <w:t xml:space="preserve"> See </w:t>
      </w:r>
      <w:r w:rsidRPr="00A65C2A">
        <w:rPr>
          <w:rFonts w:asciiTheme="majorHAnsi" w:hAnsiTheme="majorHAnsi" w:cstheme="majorHAnsi"/>
          <w:b/>
          <w:color w:val="auto"/>
        </w:rPr>
        <w:t>Figure 2</w:t>
      </w:r>
      <w:r w:rsidRPr="003D2A94">
        <w:rPr>
          <w:rFonts w:asciiTheme="majorHAnsi" w:hAnsiTheme="majorHAnsi" w:cstheme="majorHAnsi"/>
          <w:color w:val="auto"/>
        </w:rPr>
        <w:t xml:space="preserve"> for an illustrated example of FMO controls.</w:t>
      </w:r>
    </w:p>
    <w:p w14:paraId="117C02D6" w14:textId="77777777" w:rsidR="00E1719E" w:rsidRPr="00B93BC6" w:rsidRDefault="00E1719E" w:rsidP="00237CA1">
      <w:pPr>
        <w:rPr>
          <w:rFonts w:asciiTheme="majorHAnsi" w:hAnsiTheme="majorHAnsi" w:cstheme="majorHAnsi"/>
          <w:lang w:eastAsia="ja-JP"/>
        </w:rPr>
      </w:pPr>
    </w:p>
    <w:p w14:paraId="5D857613" w14:textId="77777777" w:rsidR="00E1719E" w:rsidRPr="00FA319F" w:rsidRDefault="00E1719E" w:rsidP="00237CA1">
      <w:pPr>
        <w:pStyle w:val="aa"/>
        <w:numPr>
          <w:ilvl w:val="0"/>
          <w:numId w:val="1"/>
        </w:numPr>
        <w:rPr>
          <w:rFonts w:asciiTheme="majorHAnsi" w:hAnsiTheme="majorHAnsi" w:cstheme="majorHAnsi"/>
          <w:b/>
          <w:highlight w:val="yellow"/>
        </w:rPr>
      </w:pPr>
      <w:r w:rsidRPr="00FA319F">
        <w:rPr>
          <w:rFonts w:asciiTheme="majorHAnsi" w:hAnsiTheme="majorHAnsi" w:cstheme="majorHAnsi"/>
          <w:b/>
          <w:highlight w:val="yellow"/>
        </w:rPr>
        <w:t>Data Analysis</w:t>
      </w:r>
    </w:p>
    <w:p w14:paraId="640FA8CB" w14:textId="77777777" w:rsidR="00E1719E" w:rsidRPr="00FA319F" w:rsidRDefault="00E1719E" w:rsidP="00237CA1">
      <w:pPr>
        <w:rPr>
          <w:rFonts w:asciiTheme="majorHAnsi" w:hAnsiTheme="majorHAnsi" w:cstheme="majorHAnsi"/>
          <w:b/>
          <w:highlight w:val="yellow"/>
        </w:rPr>
      </w:pPr>
    </w:p>
    <w:p w14:paraId="47CB512E" w14:textId="77777777" w:rsidR="00E1719E" w:rsidRPr="00FA319F" w:rsidRDefault="00E1719E" w:rsidP="00237CA1">
      <w:pPr>
        <w:pStyle w:val="aa"/>
        <w:numPr>
          <w:ilvl w:val="1"/>
          <w:numId w:val="1"/>
        </w:numPr>
        <w:rPr>
          <w:rFonts w:asciiTheme="majorHAnsi" w:hAnsiTheme="majorHAnsi" w:cstheme="majorHAnsi"/>
          <w:highlight w:val="yellow"/>
          <w:lang w:eastAsia="ja-JP"/>
        </w:rPr>
      </w:pPr>
      <w:r w:rsidRPr="00FA319F">
        <w:rPr>
          <w:rFonts w:asciiTheme="majorHAnsi" w:hAnsiTheme="majorHAnsi" w:cstheme="majorHAnsi"/>
          <w:color w:val="auto"/>
          <w:highlight w:val="yellow"/>
          <w:lang w:eastAsia="ja-JP"/>
        </w:rPr>
        <w:t xml:space="preserve">Employ the flow cytometer’s acquisition software to set </w:t>
      </w:r>
      <w:r w:rsidRPr="00FA319F">
        <w:rPr>
          <w:rFonts w:asciiTheme="majorHAnsi" w:hAnsiTheme="majorHAnsi" w:cstheme="majorHAnsi"/>
          <w:highlight w:val="yellow"/>
          <w:lang w:eastAsia="ja-JP"/>
        </w:rPr>
        <w:t>a threshold of 5000 units on the FSC parameter to exclude very small debris.</w:t>
      </w:r>
    </w:p>
    <w:p w14:paraId="5DF63EF4" w14:textId="77777777" w:rsidR="00E1719E" w:rsidRPr="00FA319F" w:rsidRDefault="00E1719E" w:rsidP="00237CA1">
      <w:pPr>
        <w:rPr>
          <w:rFonts w:asciiTheme="majorHAnsi" w:hAnsiTheme="majorHAnsi" w:cstheme="majorHAnsi"/>
          <w:highlight w:val="yellow"/>
          <w:lang w:eastAsia="ja-JP"/>
        </w:rPr>
      </w:pPr>
    </w:p>
    <w:p w14:paraId="4ADA1066" w14:textId="77777777" w:rsidR="00E1719E" w:rsidRPr="00FA319F" w:rsidRDefault="00E1719E" w:rsidP="00237CA1">
      <w:pPr>
        <w:pStyle w:val="aa"/>
        <w:numPr>
          <w:ilvl w:val="1"/>
          <w:numId w:val="1"/>
        </w:numPr>
        <w:rPr>
          <w:rFonts w:asciiTheme="majorHAnsi" w:hAnsiTheme="majorHAnsi" w:cstheme="majorHAnsi"/>
          <w:highlight w:val="yellow"/>
          <w:lang w:eastAsia="ja-JP"/>
        </w:rPr>
      </w:pPr>
      <w:r w:rsidRPr="00FA319F">
        <w:rPr>
          <w:rFonts w:asciiTheme="majorHAnsi" w:hAnsiTheme="majorHAnsi" w:cstheme="majorHAnsi"/>
          <w:highlight w:val="yellow"/>
          <w:lang w:eastAsia="ja-JP"/>
        </w:rPr>
        <w:t xml:space="preserve">Use a stopping gate to acquire 10000 </w:t>
      </w:r>
      <w:proofErr w:type="spellStart"/>
      <w:r w:rsidRPr="00FA319F">
        <w:rPr>
          <w:rFonts w:asciiTheme="majorHAnsi" w:hAnsiTheme="majorHAnsi" w:cstheme="majorHAnsi"/>
          <w:highlight w:val="yellow"/>
          <w:lang w:eastAsia="ja-JP"/>
        </w:rPr>
        <w:t>cTfh</w:t>
      </w:r>
      <w:proofErr w:type="spellEnd"/>
      <w:r w:rsidRPr="00FA319F">
        <w:rPr>
          <w:rFonts w:asciiTheme="majorHAnsi" w:hAnsiTheme="majorHAnsi" w:cstheme="majorHAnsi"/>
          <w:highlight w:val="yellow"/>
          <w:lang w:eastAsia="ja-JP"/>
        </w:rPr>
        <w:t xml:space="preserve"> cells (CD4</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CD45RA</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CXCR5</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w:t>
      </w:r>
    </w:p>
    <w:p w14:paraId="2AB3F944" w14:textId="77777777" w:rsidR="00E1719E" w:rsidRDefault="00E1719E" w:rsidP="00237CA1">
      <w:pPr>
        <w:rPr>
          <w:rFonts w:asciiTheme="majorHAnsi" w:hAnsiTheme="majorHAnsi" w:cstheme="majorHAnsi"/>
          <w:lang w:eastAsia="ja-JP"/>
        </w:rPr>
      </w:pPr>
    </w:p>
    <w:p w14:paraId="556E61DF" w14:textId="0A054575" w:rsidR="00E1719E" w:rsidRDefault="00E1719E" w:rsidP="00237CA1">
      <w:pPr>
        <w:rPr>
          <w:rFonts w:asciiTheme="majorHAnsi" w:hAnsiTheme="majorHAnsi" w:cstheme="majorHAnsi"/>
          <w:lang w:eastAsia="ja-JP"/>
        </w:rPr>
      </w:pPr>
      <w:r w:rsidRPr="00B93BC6">
        <w:rPr>
          <w:rFonts w:asciiTheme="majorHAnsi" w:hAnsiTheme="majorHAnsi" w:cstheme="majorHAnsi"/>
          <w:lang w:eastAsia="ja-JP"/>
        </w:rPr>
        <w:t xml:space="preserve">Note: The individual user can collect more than 10000 cells. This number was a compromise between collecting enough cells to </w:t>
      </w:r>
      <w:r w:rsidRPr="003D2A94">
        <w:rPr>
          <w:rFonts w:asciiTheme="majorHAnsi" w:hAnsiTheme="majorHAnsi" w:cstheme="majorHAnsi"/>
          <w:lang w:eastAsia="ja-JP"/>
        </w:rPr>
        <w:t>provide meaningful results and the time taken for collection.</w:t>
      </w:r>
    </w:p>
    <w:p w14:paraId="074648B6" w14:textId="77777777" w:rsidR="00A65C2A" w:rsidRPr="003D2A94" w:rsidRDefault="00A65C2A" w:rsidP="00237CA1">
      <w:pPr>
        <w:rPr>
          <w:rFonts w:asciiTheme="majorHAnsi" w:hAnsiTheme="majorHAnsi" w:cstheme="majorHAnsi"/>
          <w:lang w:eastAsia="ja-JP"/>
        </w:rPr>
      </w:pPr>
    </w:p>
    <w:p w14:paraId="4889834F" w14:textId="77777777" w:rsidR="00E1719E" w:rsidRPr="003D2A94" w:rsidRDefault="00E1719E" w:rsidP="00237CA1">
      <w:pPr>
        <w:pStyle w:val="a3"/>
        <w:numPr>
          <w:ilvl w:val="1"/>
          <w:numId w:val="1"/>
        </w:numPr>
        <w:spacing w:before="0" w:beforeAutospacing="0" w:after="0" w:afterAutospacing="0"/>
        <w:rPr>
          <w:rFonts w:asciiTheme="majorHAnsi" w:hAnsiTheme="majorHAnsi" w:cstheme="majorHAnsi"/>
        </w:rPr>
      </w:pPr>
      <w:r>
        <w:rPr>
          <w:rFonts w:asciiTheme="majorHAnsi" w:hAnsiTheme="majorHAnsi" w:cstheme="majorHAnsi"/>
        </w:rPr>
        <w:t>Using an FSC-Area / SSC-Area dot plot, draw an ellipse or polygon gate to select the population of</w:t>
      </w:r>
      <w:r w:rsidRPr="003D2A94">
        <w:rPr>
          <w:rFonts w:asciiTheme="majorHAnsi" w:hAnsiTheme="majorHAnsi" w:cstheme="majorHAnsi"/>
        </w:rPr>
        <w:t xml:space="preserve"> lymphocytes </w:t>
      </w:r>
      <w:r>
        <w:rPr>
          <w:rFonts w:asciiTheme="majorHAnsi" w:hAnsiTheme="majorHAnsi" w:cstheme="majorHAnsi"/>
        </w:rPr>
        <w:t>whilst excluding</w:t>
      </w:r>
      <w:r w:rsidRPr="003D2A94">
        <w:rPr>
          <w:rFonts w:asciiTheme="majorHAnsi" w:hAnsiTheme="majorHAnsi" w:cstheme="majorHAnsi"/>
        </w:rPr>
        <w:t xml:space="preserve"> debris and overtly dead cells </w:t>
      </w:r>
      <w:r>
        <w:rPr>
          <w:rFonts w:asciiTheme="majorHAnsi" w:hAnsiTheme="majorHAnsi" w:cstheme="majorHAnsi"/>
        </w:rPr>
        <w:t>(</w:t>
      </w:r>
      <w:r w:rsidRPr="003D2A94">
        <w:rPr>
          <w:rFonts w:asciiTheme="majorHAnsi" w:hAnsiTheme="majorHAnsi" w:cstheme="majorHAnsi"/>
        </w:rPr>
        <w:t>events with a high</w:t>
      </w:r>
      <w:r>
        <w:rPr>
          <w:rFonts w:asciiTheme="majorHAnsi" w:hAnsiTheme="majorHAnsi" w:cstheme="majorHAnsi"/>
        </w:rPr>
        <w:t xml:space="preserve"> SSC-Area and low FSC-Area).</w:t>
      </w:r>
    </w:p>
    <w:p w14:paraId="5E7F4105" w14:textId="77777777" w:rsidR="00E1719E" w:rsidRPr="003D2A94" w:rsidRDefault="00E1719E" w:rsidP="00237CA1">
      <w:pPr>
        <w:pStyle w:val="a3"/>
        <w:spacing w:before="0" w:beforeAutospacing="0" w:after="0" w:afterAutospacing="0"/>
        <w:rPr>
          <w:rFonts w:asciiTheme="majorHAnsi" w:hAnsiTheme="majorHAnsi" w:cstheme="majorHAnsi"/>
        </w:rPr>
      </w:pPr>
    </w:p>
    <w:p w14:paraId="52EE360E" w14:textId="77777777"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FSC-Width dot plot, draw a polygon gate to select single cells while excluding doublets (doublets have an increased area but similar width to single cells).</w:t>
      </w:r>
    </w:p>
    <w:p w14:paraId="179C9DBE"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6E5C2FA7" w14:textId="7BC8E020"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CD45RA and viability marker dot plot, draw a rectangular gate to select live, CD45RA</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(cells with a low fluorescence for this marker)</w:t>
      </w:r>
      <w:r w:rsidR="00A65C2A" w:rsidRPr="00FA319F">
        <w:rPr>
          <w:rFonts w:asciiTheme="majorHAnsi" w:hAnsiTheme="majorHAnsi" w:cstheme="majorHAnsi"/>
          <w:highlight w:val="yellow"/>
        </w:rPr>
        <w:t>.</w:t>
      </w:r>
    </w:p>
    <w:p w14:paraId="619D0B42"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60C5CAE7" w14:textId="0E7A7754"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CD4 dot plot, draw a rectangular gate to select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(cells with a high fluorescence for this marker).</w:t>
      </w:r>
    </w:p>
    <w:p w14:paraId="1F05D749"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3E20DD6B" w14:textId="5E3762FC"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 CD4 / CXCR5 dot plot, draw a rectangular gate to select CXCR5</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w:t>
      </w:r>
      <w:r w:rsidRPr="00FA319F">
        <w:rPr>
          <w:rFonts w:asciiTheme="majorHAnsi" w:hAnsiTheme="majorHAnsi" w:cstheme="majorHAnsi"/>
          <w:i/>
          <w:highlight w:val="yellow"/>
        </w:rPr>
        <w:t>i.e</w:t>
      </w:r>
      <w:r w:rsidRPr="00FA319F">
        <w:rPr>
          <w:rFonts w:asciiTheme="majorHAnsi" w:hAnsiTheme="majorHAnsi" w:cstheme="majorHAnsi"/>
          <w:highlight w:val="yellow"/>
        </w:rPr>
        <w:t>.</w:t>
      </w:r>
      <w:r w:rsidR="00A65C2A" w:rsidRPr="00FA319F">
        <w:rPr>
          <w:rFonts w:asciiTheme="majorHAnsi" w:hAnsiTheme="majorHAnsi" w:cstheme="majorHAnsi"/>
          <w:highlight w:val="yellow"/>
        </w:rPr>
        <w:t>,</w:t>
      </w:r>
      <w:r w:rsidRPr="00FA319F">
        <w:rPr>
          <w:rFonts w:asciiTheme="majorHAnsi" w:hAnsiTheme="majorHAnsi" w:cstheme="majorHAnsi"/>
          <w:highlight w:val="yellow"/>
        </w:rPr>
        <w:t xml:space="preserv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cells (cells with a high fluorescence for this marker)</w:t>
      </w:r>
      <w:r w:rsidR="00A65C2A" w:rsidRPr="00FA319F">
        <w:rPr>
          <w:rFonts w:asciiTheme="majorHAnsi" w:hAnsiTheme="majorHAnsi" w:cstheme="majorHAnsi"/>
          <w:highlight w:val="yellow"/>
        </w:rPr>
        <w:t>.</w:t>
      </w:r>
    </w:p>
    <w:p w14:paraId="0DDB19CE" w14:textId="77777777" w:rsidR="00E1719E" w:rsidRPr="00FA319F" w:rsidRDefault="00E1719E" w:rsidP="00237CA1">
      <w:pPr>
        <w:pStyle w:val="a3"/>
        <w:spacing w:before="0" w:beforeAutospacing="0" w:after="0" w:afterAutospacing="0"/>
        <w:rPr>
          <w:rFonts w:asciiTheme="majorHAnsi" w:hAnsiTheme="majorHAnsi" w:cstheme="majorHAnsi"/>
          <w:highlight w:val="yellow"/>
        </w:rPr>
      </w:pPr>
    </w:p>
    <w:p w14:paraId="2979B5B3" w14:textId="7851630A"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Using a CXCR3 / CCR6 dot plot, place a quad gate to subdivide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xml:space="preserve"> cells into cTfh1,2 and 17 cells (cells that are high and low for each marker)</w:t>
      </w:r>
      <w:r w:rsidR="00A65C2A" w:rsidRPr="00FA319F">
        <w:rPr>
          <w:rFonts w:asciiTheme="majorHAnsi" w:hAnsiTheme="majorHAnsi" w:cstheme="majorHAnsi"/>
          <w:highlight w:val="yellow"/>
        </w:rPr>
        <w:t>.</w:t>
      </w:r>
    </w:p>
    <w:p w14:paraId="3D3C60E7" w14:textId="77777777" w:rsidR="00E1719E" w:rsidRPr="003D2A94" w:rsidRDefault="00E1719E" w:rsidP="00237CA1">
      <w:pPr>
        <w:pStyle w:val="a3"/>
        <w:spacing w:before="0" w:beforeAutospacing="0" w:after="0" w:afterAutospacing="0"/>
        <w:rPr>
          <w:rFonts w:asciiTheme="majorHAnsi" w:hAnsiTheme="majorHAnsi" w:cstheme="majorHAnsi"/>
          <w:color w:val="auto"/>
        </w:rPr>
      </w:pPr>
    </w:p>
    <w:p w14:paraId="505E65B1" w14:textId="2E106B10" w:rsidR="00E1719E" w:rsidRPr="003D2A94"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color w:val="auto"/>
        </w:rPr>
        <w:t>Note: Cells with the phenotype CD4</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CXCR5</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CXCR3</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CCR6</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are poorly characteri</w:t>
      </w:r>
      <w:r w:rsidR="00A65C2A">
        <w:rPr>
          <w:rFonts w:asciiTheme="majorHAnsi" w:hAnsiTheme="majorHAnsi" w:cstheme="majorHAnsi"/>
          <w:color w:val="auto"/>
        </w:rPr>
        <w:t>z</w:t>
      </w:r>
      <w:r w:rsidRPr="003D2A94">
        <w:rPr>
          <w:rFonts w:asciiTheme="majorHAnsi" w:hAnsiTheme="majorHAnsi" w:cstheme="majorHAnsi"/>
          <w:color w:val="auto"/>
        </w:rPr>
        <w:t>ed. We refer to these cells as cTfh1/17</w:t>
      </w:r>
      <w:r w:rsidRPr="003D2A94">
        <w:rPr>
          <w:rFonts w:asciiTheme="majorHAnsi" w:hAnsiTheme="majorHAnsi" w:cstheme="majorHAnsi"/>
          <w:color w:val="auto"/>
          <w:vertAlign w:val="superscript"/>
        </w:rPr>
        <w:t>18</w:t>
      </w:r>
      <w:r w:rsidRPr="003D2A94">
        <w:rPr>
          <w:rFonts w:asciiTheme="majorHAnsi" w:hAnsiTheme="majorHAnsi" w:cstheme="majorHAnsi"/>
          <w:color w:val="auto"/>
        </w:rPr>
        <w:t xml:space="preserve"> because conventional helper T-cells (CD4</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CXCR5</w:t>
      </w:r>
      <w:r w:rsidRPr="003D2A94">
        <w:rPr>
          <w:rFonts w:asciiTheme="majorHAnsi" w:hAnsiTheme="majorHAnsi" w:cstheme="majorHAnsi"/>
          <w:color w:val="auto"/>
          <w:vertAlign w:val="superscript"/>
        </w:rPr>
        <w:t>-</w:t>
      </w:r>
      <w:r w:rsidRPr="003D2A94">
        <w:rPr>
          <w:rFonts w:asciiTheme="majorHAnsi" w:hAnsiTheme="majorHAnsi" w:cstheme="majorHAnsi"/>
          <w:color w:val="auto"/>
        </w:rPr>
        <w:t>) that are transitioning between Th17 and Th1 show expression of CXCR3 and CCR6 and have been described as cTfh1/17</w:t>
      </w:r>
      <w:r w:rsidRPr="003D2A94">
        <w:rPr>
          <w:rFonts w:asciiTheme="majorHAnsi" w:hAnsiTheme="majorHAnsi" w:cstheme="majorHAnsi"/>
          <w:color w:val="auto"/>
          <w:vertAlign w:val="superscript"/>
        </w:rPr>
        <w:t>19</w:t>
      </w:r>
      <w:r w:rsidRPr="003D2A94">
        <w:rPr>
          <w:rFonts w:asciiTheme="majorHAnsi" w:hAnsiTheme="majorHAnsi" w:cstheme="majorHAnsi"/>
          <w:color w:val="auto"/>
        </w:rPr>
        <w:t>.</w:t>
      </w:r>
    </w:p>
    <w:p w14:paraId="50702718" w14:textId="77777777" w:rsidR="00E1719E" w:rsidRPr="003D2A94" w:rsidRDefault="00E1719E" w:rsidP="00237CA1">
      <w:pPr>
        <w:pStyle w:val="a3"/>
        <w:spacing w:before="0" w:beforeAutospacing="0" w:after="0" w:afterAutospacing="0"/>
        <w:rPr>
          <w:rFonts w:asciiTheme="majorHAnsi" w:hAnsiTheme="majorHAnsi" w:cstheme="majorHAnsi"/>
        </w:rPr>
      </w:pPr>
    </w:p>
    <w:p w14:paraId="79989DDB" w14:textId="77777777" w:rsidR="00E1719E" w:rsidRPr="00FA319F" w:rsidRDefault="00E1719E" w:rsidP="00237CA1">
      <w:pPr>
        <w:pStyle w:val="a3"/>
        <w:numPr>
          <w:ilvl w:val="1"/>
          <w:numId w:val="1"/>
        </w:numPr>
        <w:spacing w:before="0" w:beforeAutospacing="0" w:after="0" w:afterAutospacing="0"/>
        <w:rPr>
          <w:rFonts w:asciiTheme="majorHAnsi" w:hAnsiTheme="majorHAnsi" w:cstheme="majorHAnsi"/>
          <w:highlight w:val="yellow"/>
        </w:rPr>
      </w:pPr>
      <w:bookmarkStart w:id="1" w:name="_GoBack"/>
      <w:bookmarkEnd w:id="1"/>
      <w:r w:rsidRPr="00FA319F">
        <w:rPr>
          <w:rFonts w:asciiTheme="majorHAnsi" w:hAnsiTheme="majorHAnsi" w:cstheme="majorHAnsi"/>
          <w:highlight w:val="yellow"/>
        </w:rPr>
        <w:t xml:space="preserve">Using a PD-1 histogram, use the range tool to subdivide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xml:space="preserve"> cells (or if preferred, the individual cTfh1,2,17 or 1/17 subsets) into PD-1</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or </w:t>
      </w:r>
      <w:r w:rsidRPr="00FA319F">
        <w:rPr>
          <w:rFonts w:asciiTheme="majorHAnsi" w:hAnsiTheme="majorHAnsi" w:cstheme="majorHAnsi"/>
          <w:highlight w:val="yellow"/>
          <w:vertAlign w:val="superscript"/>
        </w:rPr>
        <w:t>hi</w:t>
      </w:r>
      <w:r w:rsidRPr="00FA319F">
        <w:rPr>
          <w:rFonts w:asciiTheme="majorHAnsi" w:hAnsiTheme="majorHAnsi" w:cstheme="majorHAnsi"/>
          <w:highlight w:val="yellow"/>
        </w:rPr>
        <w:t xml:space="preserve"> populations.</w:t>
      </w:r>
    </w:p>
    <w:bookmarkEnd w:id="0"/>
    <w:p w14:paraId="6EECC81A" w14:textId="77777777" w:rsidR="00E1719E" w:rsidRPr="003D2A94" w:rsidRDefault="00E1719E" w:rsidP="00237CA1">
      <w:pPr>
        <w:pStyle w:val="a3"/>
        <w:spacing w:before="0" w:beforeAutospacing="0" w:after="0" w:afterAutospacing="0"/>
        <w:rPr>
          <w:rFonts w:asciiTheme="majorHAnsi" w:hAnsiTheme="majorHAnsi" w:cstheme="majorHAnsi"/>
        </w:rPr>
      </w:pPr>
    </w:p>
    <w:p w14:paraId="0CC57CDE" w14:textId="77777777" w:rsidR="00E1719E" w:rsidRDefault="00E1719E" w:rsidP="00237CA1">
      <w:pPr>
        <w:pStyle w:val="a3"/>
        <w:spacing w:before="0" w:beforeAutospacing="0" w:after="0" w:afterAutospacing="0"/>
        <w:rPr>
          <w:rFonts w:asciiTheme="majorHAnsi" w:hAnsiTheme="majorHAnsi" w:cstheme="majorHAnsi"/>
        </w:rPr>
      </w:pPr>
      <w:r w:rsidRPr="003D2A94">
        <w:rPr>
          <w:rFonts w:asciiTheme="majorHAnsi" w:hAnsiTheme="majorHAnsi" w:cstheme="majorHAnsi"/>
        </w:rPr>
        <w:t>Note: The distinction between PD-1</w:t>
      </w:r>
      <w:r w:rsidRPr="003D2A94">
        <w:rPr>
          <w:rFonts w:asciiTheme="majorHAnsi" w:hAnsiTheme="majorHAnsi" w:cstheme="majorHAnsi"/>
          <w:vertAlign w:val="superscript"/>
        </w:rPr>
        <w:t>+</w:t>
      </w:r>
      <w:r w:rsidRPr="003D2A94">
        <w:rPr>
          <w:rFonts w:asciiTheme="majorHAnsi" w:hAnsiTheme="majorHAnsi" w:cstheme="majorHAnsi"/>
        </w:rPr>
        <w:t xml:space="preserve"> and PD-1</w:t>
      </w:r>
      <w:r w:rsidRPr="003D2A94">
        <w:rPr>
          <w:rFonts w:asciiTheme="majorHAnsi" w:hAnsiTheme="majorHAnsi" w:cstheme="majorHAnsi"/>
          <w:vertAlign w:val="superscript"/>
        </w:rPr>
        <w:t>hi</w:t>
      </w:r>
      <w:r w:rsidRPr="003D2A94">
        <w:rPr>
          <w:rFonts w:asciiTheme="majorHAnsi" w:hAnsiTheme="majorHAnsi" w:cstheme="majorHAnsi"/>
        </w:rPr>
        <w:t xml:space="preserve"> is not well defined in the literature. The threshold was set as the same PD-1 intensity required</w:t>
      </w:r>
      <w:r w:rsidRPr="00B93BC6">
        <w:rPr>
          <w:rFonts w:asciiTheme="majorHAnsi" w:hAnsiTheme="majorHAnsi" w:cstheme="majorHAnsi"/>
        </w:rPr>
        <w:t xml:space="preserve"> to detect bona-fide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in human tonsil lymphocyte suspensions using flow cytometry with the same antibody panel. Alternatively, a marker for ICOS can be added to the antibody panel, as only PD1</w:t>
      </w:r>
      <w:r w:rsidRPr="00B93BC6">
        <w:rPr>
          <w:rFonts w:asciiTheme="majorHAnsi" w:hAnsiTheme="majorHAnsi" w:cstheme="majorHAnsi"/>
          <w:vertAlign w:val="superscript"/>
        </w:rPr>
        <w:t>hi</w:t>
      </w:r>
      <w:r w:rsidRPr="00B93BC6">
        <w:rPr>
          <w:rFonts w:asciiTheme="majorHAnsi" w:hAnsiTheme="majorHAnsi" w:cstheme="majorHAnsi"/>
        </w:rPr>
        <w:t xml:space="preserve"> cells are ICOS</w:t>
      </w:r>
      <w:r w:rsidRPr="00B93BC6">
        <w:rPr>
          <w:rFonts w:asciiTheme="majorHAnsi" w:hAnsiTheme="majorHAnsi" w:cstheme="majorHAnsi"/>
          <w:vertAlign w:val="superscript"/>
        </w:rPr>
        <w:t>+</w:t>
      </w:r>
      <w:r w:rsidRPr="00B93BC6">
        <w:rPr>
          <w:rFonts w:asciiTheme="majorHAnsi" w:hAnsiTheme="majorHAnsi" w:cstheme="majorHAnsi"/>
        </w:rPr>
        <w:t>.</w:t>
      </w:r>
    </w:p>
    <w:p w14:paraId="0F540806" w14:textId="77777777" w:rsidR="00E1719E" w:rsidRPr="00B93BC6" w:rsidRDefault="00E1719E" w:rsidP="00237CA1">
      <w:pPr>
        <w:pStyle w:val="a3"/>
        <w:spacing w:before="0" w:beforeAutospacing="0" w:after="0" w:afterAutospacing="0"/>
        <w:rPr>
          <w:rFonts w:asciiTheme="majorHAnsi" w:hAnsiTheme="majorHAnsi" w:cstheme="majorHAnsi"/>
          <w:b/>
        </w:rPr>
      </w:pPr>
    </w:p>
    <w:p w14:paraId="25C48A93"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REPRESENTATIVE RESULTS:</w:t>
      </w:r>
    </w:p>
    <w:p w14:paraId="0004EC51" w14:textId="2F63A8DD" w:rsidR="00E1719E" w:rsidRPr="00B93BC6" w:rsidRDefault="00E1719E" w:rsidP="00237CA1">
      <w:pPr>
        <w:pStyle w:val="a3"/>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High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purity was achieved using the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isolation protocol, which was reliable across all blood samples tested by us (</w:t>
      </w:r>
      <w:r w:rsidR="00D10D24">
        <w:rPr>
          <w:rFonts w:asciiTheme="majorHAnsi" w:hAnsiTheme="majorHAnsi" w:cstheme="majorHAnsi"/>
          <w:color w:val="auto"/>
        </w:rPr>
        <w:t>m</w:t>
      </w:r>
      <w:r w:rsidRPr="00B93BC6">
        <w:rPr>
          <w:rFonts w:asciiTheme="majorHAnsi" w:hAnsiTheme="majorHAnsi" w:cstheme="majorHAnsi"/>
          <w:color w:val="auto"/>
        </w:rPr>
        <w:t>ean</w:t>
      </w:r>
      <w:r w:rsidR="00D10D24">
        <w:rPr>
          <w:rFonts w:asciiTheme="majorHAnsi" w:hAnsiTheme="majorHAnsi" w:cstheme="majorHAnsi"/>
          <w:color w:val="auto"/>
        </w:rPr>
        <w:t>:</w:t>
      </w:r>
      <w:r w:rsidRPr="00B93BC6">
        <w:rPr>
          <w:rFonts w:asciiTheme="majorHAnsi" w:hAnsiTheme="majorHAnsi" w:cstheme="majorHAnsi"/>
          <w:color w:val="auto"/>
        </w:rPr>
        <w:t xml:space="preserve"> 96.6%</w:t>
      </w:r>
      <w:r w:rsidR="00D10D24">
        <w:rPr>
          <w:rFonts w:asciiTheme="majorHAnsi" w:hAnsiTheme="majorHAnsi" w:cstheme="majorHAnsi"/>
          <w:color w:val="auto"/>
        </w:rPr>
        <w:t>,</w:t>
      </w:r>
      <w:r w:rsidRPr="00B93BC6">
        <w:rPr>
          <w:rFonts w:asciiTheme="majorHAnsi" w:hAnsiTheme="majorHAnsi" w:cstheme="majorHAnsi"/>
          <w:color w:val="auto"/>
        </w:rPr>
        <w:t xml:space="preserve"> SD</w:t>
      </w:r>
      <w:r w:rsidR="00D10D24">
        <w:rPr>
          <w:rFonts w:asciiTheme="majorHAnsi" w:hAnsiTheme="majorHAnsi" w:cstheme="majorHAnsi"/>
          <w:color w:val="auto"/>
        </w:rPr>
        <w:t>:</w:t>
      </w:r>
      <w:r w:rsidRPr="00B93BC6">
        <w:rPr>
          <w:rFonts w:asciiTheme="majorHAnsi" w:hAnsiTheme="majorHAnsi" w:cstheme="majorHAnsi"/>
          <w:color w:val="auto"/>
        </w:rPr>
        <w:t xml:space="preserve"> 2.38</w:t>
      </w:r>
      <w:r w:rsidR="00D10D24">
        <w:rPr>
          <w:rFonts w:asciiTheme="majorHAnsi" w:hAnsiTheme="majorHAnsi" w:cstheme="majorHAnsi"/>
          <w:color w:val="auto"/>
        </w:rPr>
        <w:t>,</w:t>
      </w:r>
      <w:r w:rsidRPr="00B93BC6">
        <w:rPr>
          <w:rFonts w:asciiTheme="majorHAnsi" w:hAnsiTheme="majorHAnsi" w:cstheme="majorHAnsi"/>
          <w:color w:val="auto"/>
        </w:rPr>
        <w:t xml:space="preserve"> n=31) (</w:t>
      </w:r>
      <w:r w:rsidRPr="00D10D24">
        <w:rPr>
          <w:rFonts w:asciiTheme="majorHAnsi" w:hAnsiTheme="majorHAnsi" w:cstheme="majorHAnsi"/>
          <w:b/>
          <w:color w:val="auto"/>
        </w:rPr>
        <w:t>Figure 3</w:t>
      </w:r>
      <w:r w:rsidRPr="00B93BC6">
        <w:rPr>
          <w:rFonts w:asciiTheme="majorHAnsi" w:hAnsiTheme="majorHAnsi" w:cstheme="majorHAnsi"/>
          <w:color w:val="auto"/>
        </w:rPr>
        <w:t>).</w:t>
      </w:r>
    </w:p>
    <w:p w14:paraId="57EA9AC5"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5E404C03" w14:textId="01F5FB55" w:rsidR="00E1719E" w:rsidRPr="00B93BC6" w:rsidRDefault="00E1719E" w:rsidP="00237CA1">
      <w:pPr>
        <w:pStyle w:val="a3"/>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 xml:space="preserve">Identification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in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w:t>
      </w:r>
      <w:r w:rsidR="00D10D24">
        <w:rPr>
          <w:rFonts w:asciiTheme="majorHAnsi" w:hAnsiTheme="majorHAnsi" w:cstheme="majorHAnsi"/>
          <w:color w:val="auto"/>
        </w:rPr>
        <w:t xml:space="preserve">is presented </w:t>
      </w:r>
      <w:r w:rsidRPr="00B93BC6">
        <w:rPr>
          <w:rFonts w:asciiTheme="majorHAnsi" w:hAnsiTheme="majorHAnsi" w:cstheme="majorHAnsi"/>
          <w:color w:val="auto"/>
        </w:rPr>
        <w:t>(</w:t>
      </w:r>
      <w:r w:rsidRPr="00D10D24">
        <w:rPr>
          <w:rFonts w:asciiTheme="majorHAnsi" w:hAnsiTheme="majorHAnsi" w:cstheme="majorHAnsi"/>
          <w:b/>
          <w:color w:val="auto"/>
        </w:rPr>
        <w:t>Figure 4A</w:t>
      </w:r>
      <w:r w:rsidRPr="00B93BC6">
        <w:rPr>
          <w:rFonts w:asciiTheme="majorHAnsi" w:hAnsiTheme="majorHAnsi" w:cstheme="majorHAnsi"/>
          <w:color w:val="auto"/>
        </w:rPr>
        <w:t xml:space="preserve">). The proportion of total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within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had a median value of 29.4% (</w:t>
      </w:r>
      <w:r w:rsidRPr="00B93BC6">
        <w:rPr>
          <w:rFonts w:asciiTheme="majorHAnsi" w:hAnsiTheme="majorHAnsi" w:cstheme="majorHAnsi"/>
          <w:lang w:val="en-GB"/>
        </w:rPr>
        <w:t>inter-quartile range (</w:t>
      </w:r>
      <w:r w:rsidRPr="00B93BC6">
        <w:rPr>
          <w:rFonts w:asciiTheme="majorHAnsi" w:hAnsiTheme="majorHAnsi" w:cstheme="majorHAnsi"/>
          <w:color w:val="auto"/>
        </w:rPr>
        <w:t xml:space="preserve">IQR) = 10.8) across 12 </w:t>
      </w:r>
      <w:r>
        <w:rPr>
          <w:rFonts w:asciiTheme="majorHAnsi" w:hAnsiTheme="majorHAnsi" w:cstheme="majorHAnsi"/>
          <w:color w:val="auto"/>
        </w:rPr>
        <w:t>normal subjects</w:t>
      </w:r>
      <w:r w:rsidRPr="00B93BC6">
        <w:rPr>
          <w:rFonts w:asciiTheme="majorHAnsi" w:hAnsiTheme="majorHAnsi" w:cstheme="majorHAnsi"/>
          <w:color w:val="auto"/>
        </w:rPr>
        <w:t>. Multiple studies across several different diseases including hepatocellular carcinoma</w:t>
      </w:r>
      <w:r>
        <w:rPr>
          <w:rFonts w:asciiTheme="majorHAnsi" w:hAnsiTheme="majorHAnsi" w:cstheme="majorHAnsi"/>
          <w:color w:val="auto"/>
          <w:vertAlign w:val="superscript"/>
        </w:rPr>
        <w:t>17</w:t>
      </w:r>
      <w:r w:rsidRPr="00DA55E8">
        <w:rPr>
          <w:rFonts w:asciiTheme="majorHAnsi" w:hAnsiTheme="majorHAnsi" w:cstheme="majorHAnsi"/>
          <w:color w:val="auto"/>
          <w:vertAlign w:val="superscript"/>
        </w:rPr>
        <w:t>,20</w:t>
      </w:r>
      <w:r w:rsidRPr="00B93BC6">
        <w:rPr>
          <w:rFonts w:asciiTheme="majorHAnsi" w:hAnsiTheme="majorHAnsi" w:cstheme="majorHAnsi"/>
          <w:color w:val="auto"/>
        </w:rPr>
        <w:t>, systemic lupus erythematous</w:t>
      </w:r>
      <w:r w:rsidRPr="00DA55E8">
        <w:rPr>
          <w:rFonts w:asciiTheme="majorHAnsi" w:hAnsiTheme="majorHAnsi" w:cstheme="majorHAnsi"/>
          <w:color w:val="auto"/>
          <w:vertAlign w:val="superscript"/>
        </w:rPr>
        <w:t>11,21</w:t>
      </w:r>
      <w:r w:rsidRPr="00B93BC6">
        <w:rPr>
          <w:rFonts w:asciiTheme="majorHAnsi" w:hAnsiTheme="majorHAnsi" w:cstheme="majorHAnsi"/>
          <w:color w:val="auto"/>
        </w:rPr>
        <w:t>, and rheumatoid arthritis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{"citationID":"CLIgyy9y","properties":{"formattedCitation":"\\super 11, 14\\nosupersub{}","plainCitation":"11, 14","noteIndex":0},"citationItems":[{"id":114,"uris":["http://zotero.org/users/4841313/items/Z3FQZLY4"],"uri":["http://zotero.org/users/4841313/items/Z3FQZLY4"],"itemData":{"id":114,"type":"article-journal","title":"Circulating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11,14</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have been conflicting in the ability to detect a difference in overall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between heathy controls and patients. </w:t>
      </w:r>
      <w:r>
        <w:rPr>
          <w:rFonts w:asciiTheme="majorHAnsi" w:hAnsiTheme="majorHAnsi" w:cstheme="majorHAnsi"/>
          <w:color w:val="auto"/>
        </w:rPr>
        <w:t>N</w:t>
      </w:r>
      <w:r w:rsidRPr="00B93BC6">
        <w:rPr>
          <w:rFonts w:asciiTheme="majorHAnsi" w:hAnsiTheme="majorHAnsi" w:cstheme="majorHAnsi"/>
          <w:color w:val="auto"/>
        </w:rPr>
        <w:t>o significant differences</w:t>
      </w:r>
      <w:r>
        <w:rPr>
          <w:rFonts w:asciiTheme="majorHAnsi" w:hAnsiTheme="majorHAnsi" w:cstheme="majorHAnsi"/>
          <w:color w:val="auto"/>
        </w:rPr>
        <w:t xml:space="preserve"> were found</w:t>
      </w:r>
      <w:r w:rsidRPr="00B93BC6">
        <w:rPr>
          <w:rFonts w:asciiTheme="majorHAnsi" w:hAnsiTheme="majorHAnsi" w:cstheme="majorHAnsi"/>
          <w:color w:val="auto"/>
        </w:rPr>
        <w:t xml:space="preserve"> in overall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between </w:t>
      </w:r>
      <w:r>
        <w:rPr>
          <w:rFonts w:asciiTheme="majorHAnsi" w:hAnsiTheme="majorHAnsi" w:cstheme="majorHAnsi"/>
          <w:color w:val="auto"/>
        </w:rPr>
        <w:t>normal subjects</w:t>
      </w:r>
      <w:r w:rsidRPr="00B93BC6">
        <w:rPr>
          <w:rFonts w:asciiTheme="majorHAnsi" w:hAnsiTheme="majorHAnsi" w:cstheme="majorHAnsi"/>
          <w:color w:val="auto"/>
        </w:rPr>
        <w:t xml:space="preserve"> and </w:t>
      </w:r>
      <w:r>
        <w:rPr>
          <w:rFonts w:asciiTheme="majorHAnsi" w:hAnsiTheme="majorHAnsi" w:cstheme="majorHAnsi"/>
          <w:color w:val="auto"/>
        </w:rPr>
        <w:t>MZL</w:t>
      </w:r>
      <w:r w:rsidRPr="00B93BC6">
        <w:rPr>
          <w:rFonts w:asciiTheme="majorHAnsi" w:hAnsiTheme="majorHAnsi" w:cstheme="majorHAnsi"/>
          <w:color w:val="auto"/>
        </w:rPr>
        <w:t xml:space="preserve"> or </w:t>
      </w:r>
      <w:r>
        <w:rPr>
          <w:rFonts w:asciiTheme="majorHAnsi" w:hAnsiTheme="majorHAnsi" w:cstheme="majorHAnsi"/>
          <w:color w:val="auto"/>
        </w:rPr>
        <w:t>BNHL</w:t>
      </w:r>
      <w:r w:rsidRPr="00B93BC6">
        <w:rPr>
          <w:rFonts w:asciiTheme="majorHAnsi" w:hAnsiTheme="majorHAnsi" w:cstheme="majorHAnsi"/>
          <w:color w:val="auto"/>
        </w:rPr>
        <w:t xml:space="preserve"> patients (</w:t>
      </w:r>
      <w:r w:rsidRPr="00D10D24">
        <w:rPr>
          <w:rFonts w:asciiTheme="majorHAnsi" w:hAnsiTheme="majorHAnsi" w:cstheme="majorHAnsi"/>
          <w:b/>
          <w:color w:val="auto"/>
        </w:rPr>
        <w:t>Figure 4B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{"citationID":"LtR61Kdo","properties":{"formattedCitation":"\\super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63B0EBA0"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154C3F7B" w14:textId="2CBF3FBD" w:rsidR="00E1719E" w:rsidRPr="00B93BC6" w:rsidRDefault="00E1719E" w:rsidP="00237CA1">
      <w:pPr>
        <w:pStyle w:val="a3"/>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 xml:space="preserve">Identification of PD-1 expression within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and </w:t>
      </w:r>
      <w:r>
        <w:rPr>
          <w:rFonts w:asciiTheme="majorHAnsi" w:hAnsiTheme="majorHAnsi" w:cstheme="majorHAnsi"/>
          <w:color w:val="auto"/>
        </w:rPr>
        <w:t>BNHL</w:t>
      </w:r>
      <w:r w:rsidRPr="00B93BC6">
        <w:rPr>
          <w:rFonts w:asciiTheme="majorHAnsi" w:hAnsiTheme="majorHAnsi" w:cstheme="majorHAnsi"/>
          <w:color w:val="auto"/>
        </w:rPr>
        <w:t xml:space="preserve"> patient for comparison </w:t>
      </w:r>
      <w:r w:rsidR="00D10D24">
        <w:rPr>
          <w:rFonts w:asciiTheme="majorHAnsi" w:hAnsiTheme="majorHAnsi" w:cstheme="majorHAnsi"/>
          <w:color w:val="auto"/>
        </w:rPr>
        <w:t xml:space="preserve">is shown in </w:t>
      </w:r>
      <w:r w:rsidRPr="00D10D24">
        <w:rPr>
          <w:rFonts w:asciiTheme="majorHAnsi" w:hAnsiTheme="majorHAnsi" w:cstheme="majorHAnsi"/>
          <w:b/>
          <w:color w:val="auto"/>
        </w:rPr>
        <w:t>Figure 5A</w:t>
      </w:r>
      <w:r w:rsidRPr="00B93BC6">
        <w:rPr>
          <w:rFonts w:asciiTheme="majorHAnsi" w:hAnsiTheme="majorHAnsi" w:cstheme="majorHAnsi"/>
          <w:color w:val="auto"/>
        </w:rPr>
        <w:t xml:space="preserve">. PD-1 expression was significantly higher in MZL and BNHL patients than </w:t>
      </w:r>
      <w:r>
        <w:rPr>
          <w:rFonts w:asciiTheme="majorHAnsi" w:hAnsiTheme="majorHAnsi" w:cstheme="majorHAnsi"/>
          <w:color w:val="auto"/>
        </w:rPr>
        <w:t>normal subjects</w:t>
      </w:r>
      <w:r w:rsidRPr="00B93BC6">
        <w:rPr>
          <w:rFonts w:asciiTheme="majorHAnsi" w:hAnsiTheme="majorHAnsi" w:cstheme="majorHAnsi"/>
          <w:color w:val="auto"/>
        </w:rPr>
        <w:t xml:space="preserve"> (</w:t>
      </w:r>
      <w:r w:rsidRPr="00D10D24">
        <w:rPr>
          <w:rFonts w:asciiTheme="majorHAnsi" w:hAnsiTheme="majorHAnsi" w:cstheme="majorHAnsi"/>
          <w:b/>
          <w:color w:val="auto"/>
        </w:rPr>
        <w:t>Figure 5B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{"citationID":"IWl7ST1A","properties":{"formattedCitation":"\\super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 Similar increases in PD-1 expression have been demonstrated in multiple autoimmune disorders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{"citationID":"2ir2vI4g","properties":{"formattedCitation":"\\super 11\\uc0\\u8211{}14\\nosupersub{}","plainCitation":"11–14","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115,"uris":["http://zotero.org/users/4841313/items/YT7ZAJFA"],"uri":["http://zotero.org/users/4841313/items/YT7ZAJFA"],"itemData":{"id":115,"type":"article-journal","title":"Expansion of circulating T cells resembling follicular helper T cells is a fixed phenotype that identifies a subset of severe systemic lupus erythematosus","container-title":"Arthritis and Rheumatism","page":"234-244","volume":"62","issue":"1","source":"PubMed","abstract":"OBJECTIVE: In the sanroque mouse model of lupus, pathologic germinal centers (GCs) arise due to increased numbers of follicular helper T (Tfh) cells, resulting in high-affinity anti-double-stranded DNA antibodies that cause end-organ inflammation, such as glomerulonephritis. The purpose of this study was to examine the hypothesis that this pathway could account for a subset of patients with systemic lupus erythematosus (SLE).\nMETHODS: An expansion of Tfh cells is a causal, and therefore consistent, component of the sanroque mouse phenotype. We validated the enumeration of circulating T cells resembling Tfh cells as a biomarker of this expansion in sanroque mice, and we performed a comprehensive comparison of the surface phenotype of circulating and tonsillar Tfh cells in humans. This circulating biomarker was enumerated in SLE patients (n = 46), Sjögren's syndrome patients (n = 17), and healthy controls (n = 48) and was correlated with disease activity and end-organ involvement.\nRESULTS: In sanroque mice, circulating Tfh cells increased in proportion to their GC counterparts, making circulating Tfh cells a feasible human biomarker of this novel mechanism of breakdown in GC tolerance. In a subset of SLE patients (14 of 46), but in none of the controls, the levels of circulating Tfh cells (defined as circulating CXCR5+CD4+ cells with high expression of Tfh-associated molecules, such as inducible T cell costimulator or programmed death 1) were increased. This cellular phenotype did not vary with time, disease activity, or treatment, but it did correlate with the diversity and titers of autoantibodies and with the severity of end-organ involvement.\nCONCLUSION: These findings in SLE patients are consistent with the autoimmune mechanism in sanroque mice and identify Tfh effector molecules as possible therapeutic targets in a recognizable subset of patients with SLE.","DOI":"10.1002/art.25032","ISSN":"0004-3591","note":"PMID: 20039395","journalAbbreviation":"Arthritis Rheum.","language":"eng","author":[{"family":"Simpson","given":"Nicholas"},{"family":"Gatenby","given":"Paul A."},{"family":"Wilson","given":"Anastasia"},{"family":"Malik","given":"Shreya"},{"family":"Fulcher","given":"David A."},{"family":"Tangye","given":"Stuart G."},{"family":"Manku","given":"Harinder"},{"family":"Vyse","given":"Timothy J."},{"family":"Roncador","given":"Giovanna"},{"family":"Huttley","given":"Gavin A."},{"family":"Goodnow","given":"Christopher C."},{"family":"Vinuesa","given":"Carola G."},{"family":"Cook","given":"Matthew C."}],"issued":{"date-parts":[["2010",1]]}}},{"id":117,"uris":["http://zotero.org/users/4841313/items/NQQJVQ8B"],"uri":["http://zotero.org/users/4841313/items/NQQJVQ8B"],"itemData":{"id":117,"type":"article-journal","title":"High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11–14</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292C09CE"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1980FF8D" w14:textId="69FF30F6" w:rsidR="00E1719E" w:rsidRPr="00B93BC6" w:rsidRDefault="00E1719E" w:rsidP="00237CA1">
      <w:pPr>
        <w:pStyle w:val="a3"/>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 xml:space="preserve">Identification of cTfh1,2,17 and 1/17 within the population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using CXCR3 and CCR6 expression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w:t>
      </w:r>
      <w:r w:rsidR="00D10D24">
        <w:rPr>
          <w:rFonts w:asciiTheme="majorHAnsi" w:hAnsiTheme="majorHAnsi" w:cstheme="majorHAnsi"/>
          <w:color w:val="auto"/>
        </w:rPr>
        <w:t xml:space="preserve">is shown in </w:t>
      </w:r>
      <w:r w:rsidRPr="00D10D24">
        <w:rPr>
          <w:rFonts w:asciiTheme="majorHAnsi" w:hAnsiTheme="majorHAnsi" w:cstheme="majorHAnsi"/>
          <w:b/>
          <w:color w:val="auto"/>
        </w:rPr>
        <w:t>Figure 6A</w:t>
      </w:r>
      <w:r w:rsidRPr="00B93BC6">
        <w:rPr>
          <w:rFonts w:asciiTheme="majorHAnsi" w:hAnsiTheme="majorHAnsi" w:cstheme="majorHAnsi"/>
          <w:color w:val="auto"/>
        </w:rPr>
        <w:t xml:space="preserve">. </w:t>
      </w:r>
      <w:r>
        <w:rPr>
          <w:rFonts w:asciiTheme="majorHAnsi" w:hAnsiTheme="majorHAnsi" w:cstheme="majorHAnsi"/>
          <w:color w:val="auto"/>
        </w:rPr>
        <w:t>The</w:t>
      </w:r>
      <w:r w:rsidRPr="00B93BC6">
        <w:rPr>
          <w:rFonts w:asciiTheme="majorHAnsi" w:hAnsiTheme="majorHAnsi" w:cstheme="majorHAnsi"/>
          <w:color w:val="auto"/>
        </w:rPr>
        <w:t xml:space="preserve"> proportion of cTfh1 cells was significantly higher in MZL and BNHL patients than </w:t>
      </w:r>
      <w:r>
        <w:rPr>
          <w:rFonts w:asciiTheme="majorHAnsi" w:hAnsiTheme="majorHAnsi" w:cstheme="majorHAnsi"/>
          <w:color w:val="auto"/>
        </w:rPr>
        <w:t>normal subjects</w:t>
      </w:r>
      <w:r w:rsidRPr="00B93BC6">
        <w:rPr>
          <w:rFonts w:asciiTheme="majorHAnsi" w:hAnsiTheme="majorHAnsi" w:cstheme="majorHAnsi"/>
          <w:color w:val="auto"/>
        </w:rPr>
        <w:t xml:space="preserve"> (</w:t>
      </w:r>
      <w:r w:rsidRPr="00D10D24">
        <w:rPr>
          <w:rFonts w:asciiTheme="majorHAnsi" w:hAnsiTheme="majorHAnsi" w:cstheme="majorHAnsi"/>
          <w:b/>
          <w:color w:val="auto"/>
        </w:rPr>
        <w:t>Figure 6B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{"citationID":"SxA7e13F","properties":{"formattedCitation":"\\super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04D8844A"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0157C9FA" w14:textId="77777777" w:rsidR="00E1719E" w:rsidRPr="00B93BC6" w:rsidRDefault="00E1719E" w:rsidP="00237CA1">
      <w:pPr>
        <w:rPr>
          <w:rFonts w:asciiTheme="majorHAnsi" w:hAnsiTheme="majorHAnsi" w:cstheme="majorHAnsi"/>
          <w:b/>
        </w:rPr>
      </w:pPr>
      <w:r w:rsidRPr="00B93BC6">
        <w:rPr>
          <w:rFonts w:asciiTheme="majorHAnsi" w:hAnsiTheme="majorHAnsi" w:cstheme="majorHAnsi"/>
          <w:b/>
        </w:rPr>
        <w:t>FIGURE</w:t>
      </w:r>
      <w:r>
        <w:rPr>
          <w:rFonts w:asciiTheme="majorHAnsi" w:hAnsiTheme="majorHAnsi" w:cstheme="majorHAnsi"/>
          <w:b/>
        </w:rPr>
        <w:t xml:space="preserve"> AND TABLE</w:t>
      </w:r>
      <w:r w:rsidRPr="00B93BC6">
        <w:rPr>
          <w:rFonts w:asciiTheme="majorHAnsi" w:hAnsiTheme="majorHAnsi" w:cstheme="majorHAnsi"/>
          <w:b/>
        </w:rPr>
        <w:t xml:space="preserve"> LEGENDS</w:t>
      </w:r>
    </w:p>
    <w:p w14:paraId="1EA46E54" w14:textId="76F725CA" w:rsidR="00E1719E" w:rsidRPr="008C1032" w:rsidRDefault="00E1719E" w:rsidP="00237CA1">
      <w:pPr>
        <w:rPr>
          <w:rFonts w:asciiTheme="majorHAnsi" w:hAnsiTheme="majorHAnsi" w:cstheme="majorHAnsi"/>
          <w:b/>
        </w:rPr>
      </w:pPr>
      <w:r w:rsidRPr="00B93BC6">
        <w:rPr>
          <w:rFonts w:asciiTheme="majorHAnsi" w:hAnsiTheme="majorHAnsi" w:cstheme="majorHAnsi"/>
          <w:b/>
        </w:rPr>
        <w:t>Figure 1</w:t>
      </w:r>
      <w:r>
        <w:rPr>
          <w:rFonts w:asciiTheme="majorHAnsi" w:hAnsiTheme="majorHAnsi" w:cstheme="majorHAnsi"/>
          <w:b/>
        </w:rPr>
        <w:t xml:space="preserve">. </w:t>
      </w:r>
      <w:r w:rsidRPr="00B93BC6">
        <w:rPr>
          <w:rFonts w:asciiTheme="majorHAnsi" w:hAnsiTheme="majorHAnsi" w:cstheme="majorHAnsi"/>
          <w:b/>
        </w:rPr>
        <w:t xml:space="preserve">Illustration of overall gating strategy used to identify </w:t>
      </w:r>
      <w:proofErr w:type="spellStart"/>
      <w:r w:rsidRPr="00B93BC6">
        <w:rPr>
          <w:rFonts w:asciiTheme="majorHAnsi" w:hAnsiTheme="majorHAnsi" w:cstheme="majorHAnsi"/>
          <w:b/>
        </w:rPr>
        <w:t>cTfh</w:t>
      </w:r>
      <w:proofErr w:type="spellEnd"/>
      <w:r w:rsidRPr="00B93BC6">
        <w:rPr>
          <w:rFonts w:asciiTheme="majorHAnsi" w:hAnsiTheme="majorHAnsi" w:cstheme="majorHAnsi"/>
          <w:b/>
        </w:rPr>
        <w:t xml:space="preserve"> cells and their subsets</w:t>
      </w:r>
      <w:r w:rsidR="00D10D24">
        <w:rPr>
          <w:rFonts w:asciiTheme="majorHAnsi" w:hAnsiTheme="majorHAnsi" w:cstheme="majorHAnsi"/>
          <w:b/>
        </w:rPr>
        <w:t>.</w:t>
      </w:r>
      <w:r w:rsidRPr="00B93BC6">
        <w:rPr>
          <w:rFonts w:asciiTheme="majorHAnsi" w:hAnsiTheme="majorHAnsi" w:cstheme="majorHAnsi"/>
        </w:rPr>
        <w:t xml:space="preserve"> From top left, a population of lymphocytes are distinguished, and </w:t>
      </w:r>
      <w:r w:rsidR="00D10D24">
        <w:rPr>
          <w:rFonts w:asciiTheme="majorHAnsi" w:hAnsiTheme="majorHAnsi" w:cstheme="majorHAnsi"/>
        </w:rPr>
        <w:t xml:space="preserve">the </w:t>
      </w:r>
      <w:r w:rsidRPr="00B93BC6">
        <w:rPr>
          <w:rFonts w:asciiTheme="majorHAnsi" w:hAnsiTheme="majorHAnsi" w:cstheme="majorHAnsi"/>
        </w:rPr>
        <w:t>doublets are excluded. Live CD45RA</w:t>
      </w:r>
      <w:r w:rsidRPr="00B93BC6">
        <w:rPr>
          <w:rFonts w:asciiTheme="majorHAnsi" w:hAnsiTheme="majorHAnsi" w:cstheme="majorHAnsi"/>
          <w:vertAlign w:val="superscript"/>
        </w:rPr>
        <w:t>-</w:t>
      </w:r>
      <w:r w:rsidRPr="00B93BC6">
        <w:rPr>
          <w:rFonts w:asciiTheme="majorHAnsi" w:hAnsiTheme="majorHAnsi" w:cstheme="majorHAnsi"/>
        </w:rPr>
        <w:t xml:space="preserve"> cells are selected using a "dump channel". CD4</w:t>
      </w:r>
      <w:r w:rsidRPr="00B93BC6">
        <w:rPr>
          <w:rFonts w:asciiTheme="majorHAnsi" w:hAnsiTheme="majorHAnsi" w:cstheme="majorHAnsi"/>
          <w:vertAlign w:val="superscript"/>
        </w:rPr>
        <w:t>+</w:t>
      </w:r>
      <w:r w:rsidRPr="00B93BC6">
        <w:rPr>
          <w:rFonts w:asciiTheme="majorHAnsi" w:hAnsiTheme="majorHAnsi" w:cstheme="majorHAnsi"/>
        </w:rPr>
        <w:t xml:space="preserve"> cells are gated and CXCR5</w:t>
      </w:r>
      <w:r w:rsidRPr="00B93BC6">
        <w:rPr>
          <w:rFonts w:asciiTheme="majorHAnsi" w:hAnsiTheme="majorHAnsi" w:cstheme="majorHAnsi"/>
          <w:vertAlign w:val="superscript"/>
        </w:rPr>
        <w:t>+</w:t>
      </w:r>
      <w:r w:rsidRPr="00B93BC6">
        <w:rPr>
          <w:rFonts w:asciiTheme="majorHAnsi" w:hAnsiTheme="majorHAnsi" w:cstheme="majorHAnsi"/>
        </w:rPr>
        <w:t xml:space="preserve"> cells are identified as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are divided into cTfh1, 2 or 17-like using CXCR3 and CCR6 expression. PD-1 expression within these subsets is then distinguished. Figures taken from a representative </w:t>
      </w:r>
      <w:r>
        <w:rPr>
          <w:rFonts w:asciiTheme="majorHAnsi" w:hAnsiTheme="majorHAnsi" w:cstheme="majorHAnsi"/>
        </w:rPr>
        <w:t>normal subject</w:t>
      </w:r>
      <w:r w:rsidRPr="00B93BC6">
        <w:rPr>
          <w:rFonts w:asciiTheme="majorHAnsi" w:hAnsiTheme="majorHAnsi" w:cstheme="majorHAnsi"/>
        </w:rPr>
        <w:t xml:space="preserve"> blood sample. FSC-A, FSC Area; SSC-A SSC Area; FSC-W, FSC Width.</w:t>
      </w:r>
    </w:p>
    <w:p w14:paraId="25295E30"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3F0F30D4" w14:textId="7D231388" w:rsidR="00E1719E" w:rsidRPr="00B93BC6" w:rsidRDefault="00E1719E" w:rsidP="00237CA1">
      <w:pPr>
        <w:rPr>
          <w:rFonts w:asciiTheme="majorHAnsi" w:hAnsiTheme="majorHAnsi" w:cstheme="majorHAnsi"/>
          <w:color w:val="auto"/>
        </w:rPr>
      </w:pPr>
      <w:r w:rsidRPr="00B93BC6">
        <w:rPr>
          <w:rFonts w:asciiTheme="majorHAnsi" w:hAnsiTheme="majorHAnsi" w:cstheme="majorHAnsi"/>
          <w:b/>
          <w:color w:val="auto"/>
        </w:rPr>
        <w:t>Figure 2</w:t>
      </w:r>
      <w:r>
        <w:rPr>
          <w:rFonts w:asciiTheme="majorHAnsi" w:hAnsiTheme="majorHAnsi" w:cstheme="majorHAnsi"/>
          <w:color w:val="auto"/>
        </w:rPr>
        <w:t xml:space="preserve">. </w:t>
      </w:r>
      <w:r w:rsidRPr="00B93BC6">
        <w:rPr>
          <w:rFonts w:asciiTheme="majorHAnsi" w:hAnsiTheme="majorHAnsi" w:cstheme="majorHAnsi"/>
          <w:b/>
          <w:color w:val="auto"/>
        </w:rPr>
        <w:t>Illustration of FMO controls</w:t>
      </w:r>
      <w:r w:rsidR="00D10D24">
        <w:rPr>
          <w:rFonts w:asciiTheme="majorHAnsi" w:hAnsiTheme="majorHAnsi" w:cstheme="majorHAnsi"/>
          <w:b/>
          <w:color w:val="auto"/>
        </w:rPr>
        <w:t>.</w:t>
      </w:r>
      <w:r w:rsidRPr="00B93BC6">
        <w:rPr>
          <w:rFonts w:asciiTheme="majorHAnsi" w:hAnsiTheme="majorHAnsi" w:cstheme="majorHAnsi"/>
          <w:color w:val="auto"/>
        </w:rPr>
        <w:t xml:space="preserve"> Each biaxial flow cytometry plot shows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stained with all fluorophores except the one of interest to demonstrate </w:t>
      </w:r>
      <w:r>
        <w:rPr>
          <w:rFonts w:asciiTheme="majorHAnsi" w:hAnsiTheme="majorHAnsi" w:cstheme="majorHAnsi"/>
          <w:color w:val="auto"/>
        </w:rPr>
        <w:t>the minimum at which</w:t>
      </w:r>
      <w:r w:rsidRPr="00B93BC6">
        <w:rPr>
          <w:rFonts w:asciiTheme="majorHAnsi" w:hAnsiTheme="majorHAnsi" w:cstheme="majorHAnsi"/>
          <w:color w:val="auto"/>
        </w:rPr>
        <w:t xml:space="preserve"> gates for fluorescence positivity can be set.</w:t>
      </w:r>
    </w:p>
    <w:p w14:paraId="44D1033E"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21762D47" w14:textId="744D80EE" w:rsidR="00E1719E" w:rsidRPr="00B93BC6" w:rsidRDefault="00E1719E" w:rsidP="00237CA1">
      <w:pPr>
        <w:pStyle w:val="a3"/>
        <w:spacing w:before="0" w:beforeAutospacing="0" w:after="0" w:afterAutospacing="0"/>
        <w:rPr>
          <w:rFonts w:asciiTheme="majorHAnsi" w:hAnsiTheme="majorHAnsi" w:cstheme="majorHAnsi"/>
          <w:color w:val="auto"/>
        </w:rPr>
      </w:pPr>
      <w:r w:rsidRPr="00B93BC6">
        <w:rPr>
          <w:rFonts w:asciiTheme="majorHAnsi" w:hAnsiTheme="majorHAnsi" w:cstheme="majorHAnsi"/>
          <w:b/>
          <w:color w:val="auto"/>
        </w:rPr>
        <w:t>Figure 3</w:t>
      </w:r>
      <w:r>
        <w:rPr>
          <w:rFonts w:asciiTheme="majorHAnsi" w:hAnsiTheme="majorHAnsi" w:cstheme="majorHAnsi"/>
          <w:color w:val="auto"/>
        </w:rPr>
        <w:t xml:space="preserve">. </w:t>
      </w:r>
      <w:r w:rsidRPr="00B93BC6">
        <w:rPr>
          <w:rFonts w:asciiTheme="majorHAnsi" w:hAnsiTheme="majorHAnsi" w:cstheme="majorHAnsi"/>
          <w:b/>
          <w:color w:val="auto"/>
        </w:rPr>
        <w:t xml:space="preserve">Biaxial flow cytometry plot showing </w:t>
      </w:r>
      <w:r w:rsidR="00D10D24">
        <w:rPr>
          <w:rFonts w:asciiTheme="majorHAnsi" w:hAnsiTheme="majorHAnsi" w:cstheme="majorHAnsi"/>
          <w:b/>
          <w:color w:val="auto"/>
        </w:rPr>
        <w:t xml:space="preserve">the </w:t>
      </w:r>
      <w:r w:rsidRPr="00B93BC6">
        <w:rPr>
          <w:rFonts w:asciiTheme="majorHAnsi" w:hAnsiTheme="majorHAnsi" w:cstheme="majorHAnsi"/>
          <w:b/>
          <w:color w:val="auto"/>
        </w:rPr>
        <w:t>identification of CD4</w:t>
      </w:r>
      <w:r w:rsidRPr="00B93BC6">
        <w:rPr>
          <w:rFonts w:asciiTheme="majorHAnsi" w:hAnsiTheme="majorHAnsi" w:cstheme="majorHAnsi"/>
          <w:b/>
          <w:color w:val="auto"/>
          <w:vertAlign w:val="superscript"/>
        </w:rPr>
        <w:t>+</w:t>
      </w:r>
      <w:r w:rsidRPr="00B93BC6">
        <w:rPr>
          <w:rFonts w:asciiTheme="majorHAnsi" w:hAnsiTheme="majorHAnsi" w:cstheme="majorHAnsi"/>
          <w:b/>
          <w:color w:val="auto"/>
        </w:rPr>
        <w:t xml:space="preserve"> cells after gating to live lymphocytes</w:t>
      </w:r>
      <w:r w:rsidR="00D10D24">
        <w:rPr>
          <w:rFonts w:asciiTheme="majorHAnsi" w:hAnsiTheme="majorHAnsi" w:cstheme="majorHAnsi"/>
          <w:b/>
          <w:color w:val="auto"/>
        </w:rPr>
        <w:t>.</w:t>
      </w:r>
      <w:r w:rsidRPr="00B93BC6">
        <w:rPr>
          <w:rFonts w:asciiTheme="majorHAnsi" w:hAnsiTheme="majorHAnsi" w:cstheme="majorHAnsi"/>
          <w:color w:val="auto"/>
        </w:rPr>
        <w:t xml:space="preserve"> Taken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blood sample</w:t>
      </w:r>
      <w:r>
        <w:rPr>
          <w:rFonts w:asciiTheme="majorHAnsi" w:hAnsiTheme="majorHAnsi" w:cstheme="majorHAnsi"/>
          <w:color w:val="auto"/>
        </w:rPr>
        <w:t>.</w:t>
      </w:r>
    </w:p>
    <w:p w14:paraId="4DB3C8C5"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052A0E74" w14:textId="6382375C" w:rsidR="00E1719E" w:rsidRPr="008C1032" w:rsidRDefault="00E1719E" w:rsidP="00237CA1">
      <w:pPr>
        <w:pStyle w:val="a3"/>
        <w:spacing w:before="0" w:beforeAutospacing="0" w:after="0" w:afterAutospacing="0"/>
        <w:rPr>
          <w:rFonts w:asciiTheme="majorHAnsi" w:hAnsiTheme="majorHAnsi" w:cstheme="majorHAnsi"/>
          <w:b/>
          <w:color w:val="auto"/>
        </w:rPr>
      </w:pPr>
      <w:r w:rsidRPr="00B93BC6">
        <w:rPr>
          <w:rFonts w:asciiTheme="majorHAnsi" w:hAnsiTheme="majorHAnsi" w:cstheme="majorHAnsi"/>
          <w:b/>
          <w:color w:val="auto"/>
        </w:rPr>
        <w:t>Figure 4</w:t>
      </w:r>
      <w:r>
        <w:rPr>
          <w:rFonts w:asciiTheme="majorHAnsi" w:hAnsiTheme="majorHAnsi" w:cstheme="majorHAnsi"/>
          <w:b/>
          <w:color w:val="auto"/>
        </w:rPr>
        <w:t xml:space="preserve">. </w:t>
      </w:r>
      <w:r w:rsidRPr="00B93BC6">
        <w:rPr>
          <w:rFonts w:cstheme="majorHAnsi"/>
          <w:b/>
          <w:color w:val="auto"/>
        </w:rPr>
        <w:t xml:space="preserve">Identification of </w:t>
      </w:r>
      <w:proofErr w:type="spellStart"/>
      <w:r w:rsidRPr="00B93BC6">
        <w:rPr>
          <w:rFonts w:cstheme="majorHAnsi"/>
          <w:b/>
          <w:color w:val="auto"/>
        </w:rPr>
        <w:t>cTfh</w:t>
      </w:r>
      <w:proofErr w:type="spellEnd"/>
      <w:r w:rsidRPr="00B93BC6">
        <w:rPr>
          <w:rFonts w:cstheme="majorHAnsi"/>
          <w:b/>
          <w:color w:val="auto"/>
        </w:rPr>
        <w:t xml:space="preserve"> cells</w:t>
      </w:r>
      <w:r w:rsidR="00D10D24">
        <w:rPr>
          <w:rFonts w:cstheme="majorHAnsi"/>
          <w:b/>
          <w:color w:val="auto"/>
        </w:rPr>
        <w:t>.</w:t>
      </w:r>
      <w:r w:rsidRPr="00B93BC6">
        <w:rPr>
          <w:rFonts w:cstheme="majorHAnsi"/>
          <w:b/>
          <w:color w:val="auto"/>
        </w:rPr>
        <w:t xml:space="preserve"> </w:t>
      </w:r>
      <w:r w:rsidR="00D10D24">
        <w:rPr>
          <w:rFonts w:cstheme="majorHAnsi"/>
          <w:b/>
          <w:color w:val="auto"/>
        </w:rPr>
        <w:t>(</w:t>
      </w:r>
      <w:r w:rsidRPr="00B93BC6">
        <w:rPr>
          <w:rFonts w:cstheme="majorHAnsi"/>
          <w:b/>
          <w:color w:val="auto"/>
        </w:rPr>
        <w:t>A</w:t>
      </w:r>
      <w:r w:rsidR="00D10D24">
        <w:rPr>
          <w:rFonts w:cstheme="majorHAnsi"/>
          <w:b/>
          <w:color w:val="auto"/>
        </w:rPr>
        <w:t>)</w:t>
      </w:r>
      <w:r w:rsidRPr="00B93BC6">
        <w:rPr>
          <w:rFonts w:cstheme="majorHAnsi"/>
          <w:color w:val="auto"/>
        </w:rPr>
        <w:t xml:space="preserve"> Biaxial flow cytometry plot showing CXCR5</w:t>
      </w:r>
      <w:r w:rsidRPr="00B93BC6">
        <w:rPr>
          <w:rFonts w:cstheme="majorHAnsi"/>
          <w:color w:val="auto"/>
          <w:vertAlign w:val="superscript"/>
        </w:rPr>
        <w:t>+</w:t>
      </w:r>
      <w:r w:rsidRPr="00B93BC6">
        <w:rPr>
          <w:rFonts w:cstheme="majorHAnsi"/>
          <w:color w:val="auto"/>
        </w:rPr>
        <w:t xml:space="preserve"> expression on cells gated for CD4</w:t>
      </w:r>
      <w:r w:rsidRPr="00B93BC6">
        <w:rPr>
          <w:rFonts w:cstheme="majorHAnsi"/>
          <w:color w:val="auto"/>
          <w:vertAlign w:val="superscript"/>
        </w:rPr>
        <w:t>+</w:t>
      </w:r>
      <w:r w:rsidRPr="00B93BC6">
        <w:rPr>
          <w:rFonts w:cstheme="majorHAnsi"/>
          <w:color w:val="auto"/>
        </w:rPr>
        <w:t xml:space="preserve"> CD45RA</w:t>
      </w:r>
      <w:r w:rsidRPr="00B93BC6">
        <w:rPr>
          <w:rFonts w:cstheme="majorHAnsi"/>
          <w:color w:val="auto"/>
          <w:vertAlign w:val="superscript"/>
        </w:rPr>
        <w:t>-</w:t>
      </w:r>
      <w:r w:rsidRPr="00B93BC6">
        <w:rPr>
          <w:rFonts w:cstheme="majorHAnsi"/>
          <w:color w:val="auto"/>
        </w:rPr>
        <w:t xml:space="preserve">. Taken from a representative </w:t>
      </w:r>
      <w:r>
        <w:rPr>
          <w:rFonts w:cstheme="majorHAnsi"/>
          <w:color w:val="auto"/>
        </w:rPr>
        <w:t>normal subject</w:t>
      </w:r>
      <w:r w:rsidRPr="00B93BC6">
        <w:rPr>
          <w:rFonts w:cstheme="majorHAnsi"/>
          <w:color w:val="auto"/>
        </w:rPr>
        <w:t xml:space="preserve">. </w:t>
      </w:r>
      <w:r w:rsidR="00D10D24">
        <w:rPr>
          <w:rFonts w:cstheme="majorHAnsi"/>
          <w:color w:val="auto"/>
        </w:rPr>
        <w:t>(</w:t>
      </w:r>
      <w:r w:rsidRPr="00B93BC6">
        <w:rPr>
          <w:rFonts w:cstheme="majorHAnsi"/>
          <w:b/>
          <w:color w:val="auto"/>
        </w:rPr>
        <w:t>B</w:t>
      </w:r>
      <w:r w:rsidR="00D10D24">
        <w:rPr>
          <w:rFonts w:cstheme="majorHAnsi"/>
          <w:b/>
          <w:color w:val="auto"/>
        </w:rPr>
        <w:t>)</w:t>
      </w:r>
      <w:r w:rsidRPr="00B93BC6">
        <w:rPr>
          <w:rFonts w:cstheme="majorHAnsi"/>
          <w:color w:val="auto"/>
        </w:rPr>
        <w:t xml:space="preserve"> </w:t>
      </w:r>
      <w:r w:rsidRPr="00B93BC6">
        <w:rPr>
          <w:rFonts w:cstheme="majorHAnsi"/>
          <w:color w:val="auto"/>
          <w:lang w:val="en-GB"/>
        </w:rPr>
        <w:t xml:space="preserve">Relative percentages of </w:t>
      </w:r>
      <w:proofErr w:type="spellStart"/>
      <w:r w:rsidRPr="00B93BC6">
        <w:rPr>
          <w:rFonts w:cstheme="majorHAnsi"/>
          <w:color w:val="auto"/>
          <w:lang w:val="en-GB"/>
        </w:rPr>
        <w:t>cTfh</w:t>
      </w:r>
      <w:proofErr w:type="spellEnd"/>
      <w:r w:rsidRPr="00B93BC6">
        <w:rPr>
          <w:rFonts w:cstheme="majorHAnsi"/>
          <w:color w:val="auto"/>
          <w:lang w:val="en-GB"/>
        </w:rPr>
        <w:t xml:space="preserve"> within total CD4</w:t>
      </w:r>
      <w:r w:rsidRPr="00B93BC6">
        <w:rPr>
          <w:rFonts w:cstheme="majorHAnsi"/>
          <w:color w:val="auto"/>
          <w:vertAlign w:val="superscript"/>
          <w:lang w:val="en-GB"/>
        </w:rPr>
        <w:t>+</w:t>
      </w:r>
      <w:r w:rsidRPr="00B93BC6">
        <w:rPr>
          <w:rFonts w:cstheme="majorHAnsi"/>
          <w:color w:val="auto"/>
          <w:lang w:val="en-GB"/>
        </w:rPr>
        <w:t xml:space="preserve"> cells in </w:t>
      </w:r>
      <w:r>
        <w:rPr>
          <w:rFonts w:cstheme="majorHAnsi"/>
          <w:color w:val="auto"/>
          <w:lang w:val="en-GB"/>
        </w:rPr>
        <w:t>normal subjects</w:t>
      </w:r>
      <w:r w:rsidRPr="00B93BC6">
        <w:rPr>
          <w:rFonts w:cstheme="majorHAnsi"/>
          <w:color w:val="auto"/>
          <w:lang w:val="en-GB"/>
        </w:rPr>
        <w:t xml:space="preserve"> (n</w:t>
      </w:r>
      <w:r w:rsidR="00D10D24">
        <w:rPr>
          <w:rFonts w:cstheme="majorHAnsi"/>
          <w:color w:val="auto"/>
          <w:lang w:val="en-GB"/>
        </w:rPr>
        <w:t xml:space="preserve"> </w:t>
      </w:r>
      <w:r w:rsidRPr="00B93BC6">
        <w:rPr>
          <w:rFonts w:cstheme="majorHAnsi"/>
          <w:color w:val="auto"/>
          <w:lang w:val="en-GB"/>
        </w:rPr>
        <w:t>=</w:t>
      </w:r>
      <w:r w:rsidR="00D10D24">
        <w:rPr>
          <w:rFonts w:cstheme="majorHAnsi"/>
          <w:color w:val="auto"/>
          <w:lang w:val="en-GB"/>
        </w:rPr>
        <w:t xml:space="preserve"> </w:t>
      </w:r>
      <w:r w:rsidRPr="00B93BC6">
        <w:rPr>
          <w:rFonts w:cstheme="majorHAnsi"/>
          <w:color w:val="auto"/>
          <w:lang w:val="en-GB"/>
        </w:rPr>
        <w:t>12), MZL (n</w:t>
      </w:r>
      <w:r w:rsidR="00D10D24">
        <w:rPr>
          <w:rFonts w:cstheme="majorHAnsi"/>
          <w:color w:val="auto"/>
          <w:lang w:val="en-GB"/>
        </w:rPr>
        <w:t xml:space="preserve"> </w:t>
      </w:r>
      <w:r w:rsidRPr="00B93BC6">
        <w:rPr>
          <w:rFonts w:cstheme="majorHAnsi"/>
          <w:color w:val="auto"/>
          <w:lang w:val="en-GB"/>
        </w:rPr>
        <w:t>=</w:t>
      </w:r>
      <w:r w:rsidR="00D10D24">
        <w:rPr>
          <w:rFonts w:cstheme="majorHAnsi"/>
          <w:color w:val="auto"/>
          <w:lang w:val="en-GB"/>
        </w:rPr>
        <w:t xml:space="preserve"> </w:t>
      </w:r>
      <w:r w:rsidRPr="00B93BC6">
        <w:rPr>
          <w:rFonts w:cstheme="majorHAnsi"/>
          <w:color w:val="auto"/>
          <w:lang w:val="en-GB"/>
        </w:rPr>
        <w:t>7), BNHL (n</w:t>
      </w:r>
      <w:r w:rsidR="00D10D24">
        <w:rPr>
          <w:rFonts w:cstheme="majorHAnsi"/>
          <w:color w:val="auto"/>
          <w:lang w:val="en-GB"/>
        </w:rPr>
        <w:t xml:space="preserve"> </w:t>
      </w:r>
      <w:r w:rsidRPr="00B93BC6">
        <w:rPr>
          <w:rFonts w:cstheme="majorHAnsi"/>
          <w:color w:val="auto"/>
          <w:lang w:val="en-GB"/>
        </w:rPr>
        <w:t>=</w:t>
      </w:r>
      <w:r w:rsidR="00D10D24">
        <w:rPr>
          <w:rFonts w:cstheme="majorHAnsi"/>
          <w:color w:val="auto"/>
          <w:lang w:val="en-GB"/>
        </w:rPr>
        <w:t xml:space="preserve"> </w:t>
      </w:r>
      <w:r>
        <w:rPr>
          <w:rFonts w:cstheme="majorHAnsi"/>
          <w:color w:val="auto"/>
          <w:lang w:val="en-GB"/>
        </w:rPr>
        <w:t>9</w:t>
      </w:r>
      <w:r w:rsidRPr="00B93BC6">
        <w:rPr>
          <w:rFonts w:cstheme="majorHAnsi"/>
          <w:color w:val="auto"/>
          <w:lang w:val="en-GB"/>
        </w:rPr>
        <w:t xml:space="preserve">). Horizontal </w:t>
      </w:r>
      <w:r w:rsidR="00D10D24">
        <w:rPr>
          <w:rFonts w:cstheme="majorHAnsi"/>
          <w:color w:val="auto"/>
          <w:lang w:val="en-GB"/>
        </w:rPr>
        <w:t>l</w:t>
      </w:r>
      <w:r w:rsidRPr="00B93BC6">
        <w:rPr>
          <w:rFonts w:cstheme="majorHAnsi"/>
          <w:color w:val="auto"/>
          <w:lang w:val="en-GB"/>
        </w:rPr>
        <w:t xml:space="preserve">ines represent the median, </w:t>
      </w:r>
      <w:r w:rsidR="00D10D24">
        <w:rPr>
          <w:rFonts w:cstheme="majorHAnsi"/>
          <w:color w:val="auto"/>
          <w:lang w:val="en-GB"/>
        </w:rPr>
        <w:t xml:space="preserve">and </w:t>
      </w:r>
      <w:r w:rsidRPr="00B93BC6">
        <w:rPr>
          <w:rFonts w:cstheme="majorHAnsi"/>
          <w:color w:val="auto"/>
          <w:lang w:val="en-GB"/>
        </w:rPr>
        <w:t xml:space="preserve">error bars represent inter-quartile range. No significant differences were found between groups using the Mann-Whitney U test.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cstheme="majorHAnsi"/>
          <w:color w:val="auto"/>
          <w:lang w:val="en-GB"/>
        </w:rPr>
        <w:t>.</w:t>
      </w:r>
    </w:p>
    <w:p w14:paraId="3979264C" w14:textId="77777777" w:rsidR="00E1719E" w:rsidRPr="00B93BC6" w:rsidRDefault="00E1719E" w:rsidP="00237CA1">
      <w:pPr>
        <w:pStyle w:val="a3"/>
        <w:spacing w:before="0" w:beforeAutospacing="0" w:after="0" w:afterAutospacing="0"/>
        <w:rPr>
          <w:rFonts w:asciiTheme="majorHAnsi" w:hAnsiTheme="majorHAnsi" w:cstheme="majorHAnsi"/>
          <w:color w:val="auto"/>
        </w:rPr>
      </w:pPr>
    </w:p>
    <w:p w14:paraId="77BF0740" w14:textId="339095CE" w:rsidR="00E1719E" w:rsidRPr="008C1032" w:rsidRDefault="00E1719E" w:rsidP="00237CA1">
      <w:pPr>
        <w:pStyle w:val="a3"/>
        <w:spacing w:before="0" w:beforeAutospacing="0" w:after="0" w:afterAutospacing="0"/>
        <w:rPr>
          <w:rFonts w:asciiTheme="majorHAnsi" w:hAnsiTheme="majorHAnsi" w:cstheme="majorHAnsi"/>
          <w:b/>
          <w:color w:val="auto"/>
        </w:rPr>
      </w:pPr>
      <w:r w:rsidRPr="00B93BC6">
        <w:rPr>
          <w:rFonts w:asciiTheme="majorHAnsi" w:hAnsiTheme="majorHAnsi" w:cstheme="majorHAnsi"/>
          <w:b/>
          <w:color w:val="auto"/>
        </w:rPr>
        <w:t>Figure 5</w:t>
      </w:r>
      <w:r>
        <w:rPr>
          <w:rFonts w:asciiTheme="majorHAnsi" w:hAnsiTheme="majorHAnsi" w:cstheme="majorHAnsi"/>
          <w:b/>
          <w:color w:val="auto"/>
        </w:rPr>
        <w:t xml:space="preserve">. </w:t>
      </w:r>
      <w:r w:rsidRPr="00B93BC6">
        <w:rPr>
          <w:rFonts w:asciiTheme="majorHAnsi" w:hAnsiTheme="majorHAnsi" w:cstheme="majorHAnsi"/>
          <w:b/>
          <w:color w:val="auto"/>
        </w:rPr>
        <w:t xml:space="preserve">PD-1 expression and relationship to </w:t>
      </w:r>
      <w:proofErr w:type="spellStart"/>
      <w:r w:rsidRPr="00B93BC6">
        <w:rPr>
          <w:rFonts w:asciiTheme="majorHAnsi" w:hAnsiTheme="majorHAnsi" w:cstheme="majorHAnsi"/>
          <w:b/>
          <w:color w:val="auto"/>
        </w:rPr>
        <w:t>cTfh</w:t>
      </w:r>
      <w:proofErr w:type="spellEnd"/>
      <w:r w:rsidRPr="00B93BC6">
        <w:rPr>
          <w:rFonts w:asciiTheme="majorHAnsi" w:hAnsiTheme="majorHAnsi" w:cstheme="majorHAnsi"/>
          <w:b/>
          <w:color w:val="auto"/>
        </w:rPr>
        <w:t xml:space="preserve"> cells</w:t>
      </w:r>
      <w:r w:rsidR="00D10D24">
        <w:rPr>
          <w:rFonts w:asciiTheme="majorHAnsi" w:hAnsiTheme="majorHAnsi" w:cstheme="majorHAnsi"/>
          <w:b/>
          <w:color w:val="auto"/>
        </w:rPr>
        <w:t>.</w:t>
      </w:r>
      <w:r w:rsidRPr="00B93BC6">
        <w:rPr>
          <w:rFonts w:asciiTheme="majorHAnsi" w:hAnsiTheme="majorHAnsi" w:cstheme="majorHAnsi"/>
          <w:b/>
          <w:color w:val="auto"/>
        </w:rPr>
        <w:t xml:space="preserve"> </w:t>
      </w:r>
      <w:r w:rsidR="00D10D24">
        <w:rPr>
          <w:rFonts w:asciiTheme="majorHAnsi" w:hAnsiTheme="majorHAnsi" w:cstheme="majorHAnsi"/>
          <w:b/>
          <w:color w:val="auto"/>
        </w:rPr>
        <w:t>(</w:t>
      </w:r>
      <w:r w:rsidRPr="00B93BC6">
        <w:rPr>
          <w:rFonts w:asciiTheme="majorHAnsi" w:hAnsiTheme="majorHAnsi" w:cstheme="majorHAnsi"/>
          <w:b/>
          <w:color w:val="auto"/>
        </w:rPr>
        <w:t>A)</w:t>
      </w:r>
      <w:r w:rsidRPr="00B93BC6">
        <w:rPr>
          <w:rFonts w:asciiTheme="majorHAnsi" w:hAnsiTheme="majorHAnsi" w:cstheme="majorHAnsi"/>
          <w:color w:val="auto"/>
        </w:rPr>
        <w:t xml:space="preserve"> </w:t>
      </w:r>
      <w:r w:rsidRPr="00B93BC6">
        <w:rPr>
          <w:rFonts w:asciiTheme="majorHAnsi" w:hAnsiTheme="majorHAnsi" w:cstheme="majorHAnsi"/>
          <w:color w:val="auto"/>
          <w:lang w:val="en-GB" w:eastAsia="ja-JP"/>
        </w:rPr>
        <w:t xml:space="preserve">Flow cytometry histogram used to determine PD-1 expression within total </w:t>
      </w:r>
      <w:proofErr w:type="spellStart"/>
      <w:r w:rsidRPr="00B93BC6">
        <w:rPr>
          <w:rFonts w:asciiTheme="majorHAnsi" w:hAnsiTheme="majorHAnsi" w:cstheme="majorHAnsi"/>
          <w:color w:val="auto"/>
          <w:lang w:val="en-GB" w:eastAsia="ja-JP"/>
        </w:rPr>
        <w:t>cT</w:t>
      </w:r>
      <w:r w:rsidRPr="00B93BC6">
        <w:rPr>
          <w:rFonts w:asciiTheme="majorHAnsi" w:hAnsiTheme="majorHAnsi" w:cstheme="majorHAnsi"/>
          <w:color w:val="auto"/>
          <w:position w:val="-2"/>
          <w:lang w:val="en-GB" w:eastAsia="ja-JP"/>
        </w:rPr>
        <w:t>fh</w:t>
      </w:r>
      <w:proofErr w:type="spellEnd"/>
      <w:r w:rsidRPr="00B93BC6">
        <w:rPr>
          <w:rFonts w:asciiTheme="majorHAnsi" w:hAnsiTheme="majorHAnsi" w:cstheme="majorHAnsi"/>
          <w:color w:val="auto"/>
          <w:position w:val="-2"/>
          <w:lang w:val="en-GB" w:eastAsia="ja-JP"/>
        </w:rPr>
        <w:t xml:space="preserve"> </w:t>
      </w:r>
      <w:r w:rsidRPr="00B93BC6">
        <w:rPr>
          <w:rFonts w:asciiTheme="majorHAnsi" w:hAnsiTheme="majorHAnsi" w:cstheme="majorHAnsi"/>
          <w:color w:val="auto"/>
          <w:lang w:val="en-GB" w:eastAsia="ja-JP"/>
        </w:rPr>
        <w:t xml:space="preserve">cells. Taken from a representative </w:t>
      </w:r>
      <w:r>
        <w:rPr>
          <w:rFonts w:asciiTheme="majorHAnsi" w:hAnsiTheme="majorHAnsi" w:cstheme="majorHAnsi"/>
          <w:color w:val="auto"/>
          <w:lang w:val="en-GB" w:eastAsia="ja-JP"/>
        </w:rPr>
        <w:t>normal subject</w:t>
      </w:r>
      <w:r w:rsidRPr="00B93BC6">
        <w:rPr>
          <w:rFonts w:asciiTheme="majorHAnsi" w:hAnsiTheme="majorHAnsi" w:cstheme="majorHAnsi"/>
          <w:color w:val="auto"/>
          <w:lang w:val="en-GB" w:eastAsia="ja-JP"/>
        </w:rPr>
        <w:t xml:space="preserve"> and BNHL patient. </w:t>
      </w:r>
      <w:r w:rsidR="00D10D24">
        <w:rPr>
          <w:rFonts w:asciiTheme="majorHAnsi" w:hAnsiTheme="majorHAnsi" w:cstheme="majorHAnsi"/>
          <w:color w:val="auto"/>
          <w:lang w:val="en-GB" w:eastAsia="ja-JP"/>
        </w:rPr>
        <w:t>(</w:t>
      </w:r>
      <w:r w:rsidRPr="00B93BC6">
        <w:rPr>
          <w:rFonts w:asciiTheme="majorHAnsi" w:hAnsiTheme="majorHAnsi" w:cstheme="majorHAnsi"/>
          <w:b/>
          <w:color w:val="auto"/>
        </w:rPr>
        <w:t>B)</w:t>
      </w:r>
      <w:r w:rsidRPr="00B93BC6">
        <w:rPr>
          <w:rFonts w:asciiTheme="majorHAnsi" w:hAnsiTheme="majorHAnsi" w:cstheme="majorHAnsi"/>
          <w:color w:val="auto"/>
        </w:rPr>
        <w:t xml:space="preserve"> P</w:t>
      </w:r>
      <w:r w:rsidRPr="00B93BC6">
        <w:rPr>
          <w:rFonts w:asciiTheme="majorHAnsi" w:hAnsiTheme="majorHAnsi" w:cstheme="majorHAnsi"/>
          <w:color w:val="auto"/>
          <w:lang w:val="en-GB"/>
        </w:rPr>
        <w:t>D-1</w:t>
      </w:r>
      <w:r w:rsidRPr="00B93BC6">
        <w:rPr>
          <w:rFonts w:asciiTheme="majorHAnsi" w:hAnsiTheme="majorHAnsi" w:cstheme="majorHAnsi"/>
          <w:color w:val="auto"/>
          <w:vertAlign w:val="superscript"/>
          <w:lang w:val="en-GB"/>
        </w:rPr>
        <w:t>+</w:t>
      </w:r>
      <w:r w:rsidRPr="00B93BC6">
        <w:rPr>
          <w:rFonts w:asciiTheme="majorHAnsi" w:hAnsiTheme="majorHAnsi" w:cstheme="majorHAnsi"/>
          <w:color w:val="auto"/>
          <w:lang w:val="en-GB"/>
        </w:rPr>
        <w:t xml:space="preserve"> cells as a proportion of total </w:t>
      </w:r>
      <w:proofErr w:type="spellStart"/>
      <w:r w:rsidRPr="00B93BC6">
        <w:rPr>
          <w:rFonts w:asciiTheme="majorHAnsi" w:hAnsiTheme="majorHAnsi" w:cstheme="majorHAnsi"/>
          <w:color w:val="auto"/>
          <w:lang w:val="en-GB"/>
        </w:rPr>
        <w:t>cTfh</w:t>
      </w:r>
      <w:proofErr w:type="spellEnd"/>
      <w:r w:rsidRPr="00B93BC6">
        <w:rPr>
          <w:rFonts w:asciiTheme="majorHAnsi" w:hAnsiTheme="majorHAnsi" w:cstheme="majorHAnsi"/>
          <w:color w:val="auto"/>
          <w:lang w:val="en-GB"/>
        </w:rPr>
        <w:t xml:space="preserve"> cells. Horizontal </w:t>
      </w:r>
      <w:r w:rsidR="00D10D24">
        <w:rPr>
          <w:rFonts w:asciiTheme="majorHAnsi" w:hAnsiTheme="majorHAnsi" w:cstheme="majorHAnsi"/>
          <w:color w:val="auto"/>
          <w:lang w:val="en-GB"/>
        </w:rPr>
        <w:t>l</w:t>
      </w:r>
      <w:r w:rsidRPr="00B93BC6">
        <w:rPr>
          <w:rFonts w:asciiTheme="majorHAnsi" w:hAnsiTheme="majorHAnsi" w:cstheme="majorHAnsi"/>
          <w:color w:val="auto"/>
          <w:lang w:val="en-GB"/>
        </w:rPr>
        <w:t xml:space="preserve">ines represent the median, </w:t>
      </w:r>
      <w:r w:rsidR="00D10D24">
        <w:rPr>
          <w:rFonts w:asciiTheme="majorHAnsi" w:hAnsiTheme="majorHAnsi" w:cstheme="majorHAnsi"/>
          <w:color w:val="auto"/>
          <w:lang w:val="en-GB"/>
        </w:rPr>
        <w:t xml:space="preserve">and </w:t>
      </w:r>
      <w:r w:rsidRPr="00B93BC6">
        <w:rPr>
          <w:rFonts w:asciiTheme="majorHAnsi" w:hAnsiTheme="majorHAnsi" w:cstheme="majorHAnsi"/>
          <w:color w:val="auto"/>
          <w:lang w:val="en-GB"/>
        </w:rPr>
        <w:t>error bars represent inter-quartile range. Medians are significantly (Mann-Whitney U-test) different between normal subjects (21.5%,</w:t>
      </w:r>
      <w:r w:rsidRPr="00B93BC6">
        <w:rPr>
          <w:rFonts w:asciiTheme="majorHAnsi" w:hAnsiTheme="majorHAnsi" w:cstheme="majorHAnsi"/>
          <w:lang w:val="en-GB"/>
        </w:rPr>
        <w:t xml:space="preserve"> IQR = </w:t>
      </w:r>
      <w:r w:rsidRPr="00B93BC6">
        <w:rPr>
          <w:rFonts w:asciiTheme="majorHAnsi" w:hAnsiTheme="majorHAnsi" w:cstheme="majorHAnsi"/>
          <w:color w:val="auto"/>
          <w:lang w:val="en-GB"/>
        </w:rPr>
        <w:t>10.8, n = 12) and lymphoma patients (MZL 54.1%</w:t>
      </w:r>
      <w:r w:rsidR="00D10D24">
        <w:rPr>
          <w:rFonts w:asciiTheme="majorHAnsi" w:hAnsiTheme="majorHAnsi" w:cstheme="majorHAnsi"/>
          <w:color w:val="auto"/>
          <w:lang w:val="en-GB"/>
        </w:rPr>
        <w:t>,</w:t>
      </w:r>
      <w:r w:rsidRPr="00B93BC6">
        <w:rPr>
          <w:rFonts w:asciiTheme="majorHAnsi" w:hAnsiTheme="majorHAnsi" w:cstheme="majorHAnsi"/>
          <w:color w:val="auto"/>
          <w:lang w:val="en-GB"/>
        </w:rPr>
        <w:t xml:space="preserve"> IQR = 21.2</w:t>
      </w:r>
      <w:r w:rsidR="00D10D24">
        <w:rPr>
          <w:rFonts w:asciiTheme="majorHAnsi" w:hAnsiTheme="majorHAnsi" w:cstheme="majorHAnsi"/>
          <w:color w:val="auto"/>
          <w:lang w:val="en-GB"/>
        </w:rPr>
        <w:t>,</w:t>
      </w:r>
      <w:r w:rsidRPr="00B93BC6">
        <w:rPr>
          <w:rFonts w:asciiTheme="majorHAnsi" w:hAnsiTheme="majorHAnsi" w:cstheme="majorHAnsi"/>
          <w:color w:val="auto"/>
          <w:lang w:val="en-GB"/>
        </w:rPr>
        <w:t xml:space="preserve"> n = 7, </w:t>
      </w:r>
      <w:r w:rsidR="00D10D24">
        <w:rPr>
          <w:rFonts w:asciiTheme="majorHAnsi" w:hAnsiTheme="majorHAnsi" w:cstheme="majorHAnsi"/>
          <w:i/>
          <w:iCs/>
          <w:color w:val="auto"/>
          <w:lang w:val="en-GB"/>
        </w:rPr>
        <w:t>p</w:t>
      </w:r>
      <w:r w:rsidRPr="00B93BC6">
        <w:rPr>
          <w:rFonts w:asciiTheme="majorHAnsi" w:hAnsiTheme="majorHAnsi" w:cstheme="majorHAnsi"/>
          <w:i/>
          <w:iCs/>
          <w:color w:val="auto"/>
          <w:lang w:val="en-GB"/>
        </w:rPr>
        <w:t xml:space="preserve"> </w:t>
      </w:r>
      <w:r w:rsidRPr="00B93BC6">
        <w:rPr>
          <w:rFonts w:asciiTheme="majorHAnsi" w:hAnsiTheme="majorHAnsi" w:cstheme="majorHAnsi"/>
          <w:color w:val="auto"/>
          <w:lang w:val="en-GB"/>
        </w:rPr>
        <w:t xml:space="preserve">= 0.0008 and BNHL 45.2%, IQR =11.4, n = 9, </w:t>
      </w:r>
      <w:r w:rsidR="00D10D24">
        <w:rPr>
          <w:rFonts w:asciiTheme="majorHAnsi" w:hAnsiTheme="majorHAnsi" w:cstheme="majorHAnsi"/>
          <w:i/>
          <w:iCs/>
          <w:color w:val="auto"/>
          <w:lang w:val="en-GB"/>
        </w:rPr>
        <w:t>p</w:t>
      </w:r>
      <w:r w:rsidRPr="00B93BC6">
        <w:rPr>
          <w:rFonts w:asciiTheme="majorHAnsi" w:hAnsiTheme="majorHAnsi" w:cstheme="majorHAnsi"/>
          <w:i/>
          <w:iCs/>
          <w:color w:val="auto"/>
          <w:lang w:val="en-GB"/>
        </w:rPr>
        <w:t xml:space="preserve"> </w:t>
      </w:r>
      <w:r w:rsidRPr="00B93BC6">
        <w:rPr>
          <w:rFonts w:asciiTheme="majorHAnsi" w:hAnsiTheme="majorHAnsi" w:cstheme="majorHAnsi"/>
          <w:color w:val="auto"/>
          <w:lang w:val="en-GB"/>
        </w:rPr>
        <w:t xml:space="preserve">= 0.0003).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cstheme="majorHAnsi"/>
          <w:color w:val="auto"/>
          <w:lang w:val="en-GB"/>
        </w:rPr>
        <w:t>.</w:t>
      </w:r>
    </w:p>
    <w:p w14:paraId="768613B0" w14:textId="77777777" w:rsidR="00E1719E" w:rsidRPr="00B93BC6" w:rsidRDefault="00E1719E" w:rsidP="00237CA1">
      <w:pPr>
        <w:pStyle w:val="a3"/>
        <w:spacing w:before="0" w:beforeAutospacing="0" w:after="0" w:afterAutospacing="0"/>
        <w:rPr>
          <w:rFonts w:asciiTheme="majorHAnsi" w:hAnsiTheme="majorHAnsi" w:cstheme="majorHAnsi"/>
        </w:rPr>
      </w:pPr>
    </w:p>
    <w:p w14:paraId="10AE4771" w14:textId="7F5FC391" w:rsidR="00E1719E" w:rsidRPr="008C1032" w:rsidRDefault="00E1719E" w:rsidP="00237CA1">
      <w:pPr>
        <w:pStyle w:val="a3"/>
        <w:spacing w:before="0" w:beforeAutospacing="0" w:after="0" w:afterAutospacing="0"/>
        <w:rPr>
          <w:rFonts w:asciiTheme="majorHAnsi" w:hAnsiTheme="majorHAnsi" w:cstheme="majorHAnsi"/>
          <w:b/>
        </w:rPr>
      </w:pPr>
      <w:r w:rsidRPr="00B93BC6">
        <w:rPr>
          <w:rFonts w:asciiTheme="majorHAnsi" w:hAnsiTheme="majorHAnsi" w:cstheme="majorHAnsi"/>
          <w:b/>
        </w:rPr>
        <w:t>Figure 6</w:t>
      </w:r>
      <w:r>
        <w:rPr>
          <w:rFonts w:asciiTheme="majorHAnsi" w:hAnsiTheme="majorHAnsi" w:cstheme="majorHAnsi"/>
          <w:b/>
        </w:rPr>
        <w:t xml:space="preserve">. </w:t>
      </w:r>
      <w:r w:rsidRPr="00B93BC6">
        <w:rPr>
          <w:rFonts w:asciiTheme="majorHAnsi" w:hAnsiTheme="majorHAnsi" w:cstheme="majorHAnsi"/>
          <w:b/>
        </w:rPr>
        <w:t>CXCR3 and CCR6 expression and their relationship to cTfh1 numbers</w:t>
      </w:r>
      <w:r w:rsidR="00D10D24">
        <w:rPr>
          <w:rFonts w:asciiTheme="majorHAnsi" w:hAnsiTheme="majorHAnsi" w:cstheme="majorHAnsi"/>
          <w:b/>
        </w:rPr>
        <w:t>.</w:t>
      </w:r>
      <w:r w:rsidRPr="00B93BC6">
        <w:rPr>
          <w:rFonts w:asciiTheme="majorHAnsi" w:hAnsiTheme="majorHAnsi" w:cstheme="majorHAnsi"/>
          <w:b/>
        </w:rPr>
        <w:t xml:space="preserve"> </w:t>
      </w:r>
      <w:r w:rsidR="00D10D24">
        <w:rPr>
          <w:rFonts w:asciiTheme="majorHAnsi" w:hAnsiTheme="majorHAnsi" w:cstheme="majorHAnsi"/>
          <w:b/>
        </w:rPr>
        <w:t>(</w:t>
      </w:r>
      <w:r w:rsidRPr="00B93BC6">
        <w:rPr>
          <w:rFonts w:asciiTheme="majorHAnsi" w:hAnsiTheme="majorHAnsi" w:cstheme="majorHAnsi"/>
          <w:b/>
        </w:rPr>
        <w:t xml:space="preserve">A) </w:t>
      </w:r>
      <w:r w:rsidRPr="00B93BC6">
        <w:rPr>
          <w:rFonts w:asciiTheme="majorHAnsi" w:hAnsiTheme="majorHAnsi" w:cstheme="majorHAnsi"/>
          <w:color w:val="auto"/>
          <w:lang w:val="en-GB" w:eastAsia="ja-JP"/>
        </w:rPr>
        <w:t xml:space="preserve">Biaxial flow cytometry plot showing </w:t>
      </w:r>
      <w:r w:rsidR="00D10D24">
        <w:rPr>
          <w:rFonts w:asciiTheme="majorHAnsi" w:hAnsiTheme="majorHAnsi" w:cstheme="majorHAnsi"/>
          <w:color w:val="auto"/>
          <w:lang w:val="en-GB" w:eastAsia="ja-JP"/>
        </w:rPr>
        <w:t xml:space="preserve">the </w:t>
      </w:r>
      <w:r w:rsidRPr="00B93BC6">
        <w:rPr>
          <w:rFonts w:asciiTheme="majorHAnsi" w:hAnsiTheme="majorHAnsi" w:cstheme="majorHAnsi"/>
          <w:color w:val="auto"/>
          <w:lang w:val="en-GB" w:eastAsia="ja-JP"/>
        </w:rPr>
        <w:t>expression of CXCR3 and CCR6 on CD4</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CD45RA</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CXCR5</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cells. Taken from a representative </w:t>
      </w:r>
      <w:r>
        <w:rPr>
          <w:rFonts w:asciiTheme="majorHAnsi" w:hAnsiTheme="majorHAnsi" w:cstheme="majorHAnsi"/>
          <w:color w:val="auto"/>
          <w:lang w:val="en-GB" w:eastAsia="ja-JP"/>
        </w:rPr>
        <w:t>normal subject</w:t>
      </w:r>
      <w:r w:rsidRPr="00B93BC6">
        <w:rPr>
          <w:rFonts w:asciiTheme="majorHAnsi" w:hAnsiTheme="majorHAnsi" w:cstheme="majorHAnsi"/>
          <w:color w:val="auto"/>
          <w:lang w:val="en-GB" w:eastAsia="ja-JP"/>
        </w:rPr>
        <w:t xml:space="preserve"> and BNHL patient. </w:t>
      </w:r>
      <w:r w:rsidR="00D10D24">
        <w:rPr>
          <w:rFonts w:asciiTheme="majorHAnsi" w:hAnsiTheme="majorHAnsi" w:cstheme="majorHAnsi"/>
          <w:color w:val="auto"/>
          <w:lang w:val="en-GB" w:eastAsia="ja-JP"/>
        </w:rPr>
        <w:t>(</w:t>
      </w:r>
      <w:r w:rsidRPr="00B93BC6">
        <w:rPr>
          <w:rFonts w:asciiTheme="majorHAnsi" w:hAnsiTheme="majorHAnsi" w:cstheme="majorHAnsi"/>
          <w:b/>
          <w:lang w:val="en-GB"/>
        </w:rPr>
        <w:t xml:space="preserve">B) </w:t>
      </w:r>
      <w:r w:rsidRPr="00B93BC6">
        <w:rPr>
          <w:rFonts w:asciiTheme="majorHAnsi" w:hAnsiTheme="majorHAnsi" w:cstheme="majorHAnsi"/>
          <w:lang w:val="en-GB"/>
        </w:rPr>
        <w:t xml:space="preserve">cTfh1 cells as a percentage of total </w:t>
      </w:r>
      <w:proofErr w:type="spellStart"/>
      <w:r w:rsidRPr="00B93BC6">
        <w:rPr>
          <w:rFonts w:asciiTheme="majorHAnsi" w:hAnsiTheme="majorHAnsi" w:cstheme="majorHAnsi"/>
          <w:lang w:val="en-GB"/>
        </w:rPr>
        <w:t>cTfh</w:t>
      </w:r>
      <w:proofErr w:type="spellEnd"/>
      <w:r w:rsidRPr="00B93BC6">
        <w:rPr>
          <w:rFonts w:asciiTheme="majorHAnsi" w:hAnsiTheme="majorHAnsi" w:cstheme="majorHAnsi"/>
          <w:lang w:val="en-GB"/>
        </w:rPr>
        <w:t xml:space="preserve"> cells. Horizontal </w:t>
      </w:r>
      <w:r w:rsidR="00D10D24">
        <w:rPr>
          <w:rFonts w:asciiTheme="majorHAnsi" w:hAnsiTheme="majorHAnsi" w:cstheme="majorHAnsi"/>
          <w:lang w:val="en-GB"/>
        </w:rPr>
        <w:t>l</w:t>
      </w:r>
      <w:r w:rsidRPr="00B93BC6">
        <w:rPr>
          <w:rFonts w:asciiTheme="majorHAnsi" w:hAnsiTheme="majorHAnsi" w:cstheme="majorHAnsi"/>
          <w:lang w:val="en-GB"/>
        </w:rPr>
        <w:t xml:space="preserve">ines represent the median, </w:t>
      </w:r>
      <w:r w:rsidR="00D10D24">
        <w:rPr>
          <w:rFonts w:asciiTheme="majorHAnsi" w:hAnsiTheme="majorHAnsi" w:cstheme="majorHAnsi"/>
          <w:lang w:val="en-GB"/>
        </w:rPr>
        <w:t xml:space="preserve">and </w:t>
      </w:r>
      <w:r w:rsidRPr="00B93BC6">
        <w:rPr>
          <w:rFonts w:asciiTheme="majorHAnsi" w:hAnsiTheme="majorHAnsi" w:cstheme="majorHAnsi"/>
          <w:lang w:val="en-GB"/>
        </w:rPr>
        <w:t>error bars represent inter-quartile range. Medians are significantly (Mann-Whitney U-test) different between normal subjects (20.8%</w:t>
      </w:r>
      <w:r w:rsidR="00D10D24">
        <w:rPr>
          <w:rFonts w:asciiTheme="majorHAnsi" w:hAnsiTheme="majorHAnsi" w:cstheme="majorHAnsi"/>
          <w:lang w:val="en-GB"/>
        </w:rPr>
        <w:t>,</w:t>
      </w:r>
      <w:r w:rsidRPr="00B93BC6">
        <w:rPr>
          <w:rFonts w:asciiTheme="majorHAnsi" w:hAnsiTheme="majorHAnsi" w:cstheme="majorHAnsi"/>
          <w:lang w:val="en-GB"/>
        </w:rPr>
        <w:t xml:space="preserve"> IQR = 6.7</w:t>
      </w:r>
      <w:r w:rsidR="00D10D24">
        <w:rPr>
          <w:rFonts w:asciiTheme="majorHAnsi" w:hAnsiTheme="majorHAnsi" w:cstheme="majorHAnsi"/>
          <w:lang w:val="en-GB"/>
        </w:rPr>
        <w:t>,</w:t>
      </w:r>
      <w:r w:rsidRPr="00B93BC6">
        <w:rPr>
          <w:rFonts w:asciiTheme="majorHAnsi" w:hAnsiTheme="majorHAnsi" w:cstheme="majorHAnsi"/>
          <w:lang w:val="en-GB"/>
        </w:rPr>
        <w:t xml:space="preserve"> n = 12) and lymphoma patients (MZL 32.1%</w:t>
      </w:r>
      <w:r w:rsidR="00D10D24">
        <w:rPr>
          <w:rFonts w:asciiTheme="majorHAnsi" w:hAnsiTheme="majorHAnsi" w:cstheme="majorHAnsi"/>
          <w:lang w:val="en-GB"/>
        </w:rPr>
        <w:t>,</w:t>
      </w:r>
      <w:r w:rsidRPr="00B93BC6">
        <w:rPr>
          <w:rFonts w:asciiTheme="majorHAnsi" w:hAnsiTheme="majorHAnsi" w:cstheme="majorHAnsi"/>
          <w:lang w:val="en-GB"/>
        </w:rPr>
        <w:t xml:space="preserve"> IQR = 6.8</w:t>
      </w:r>
      <w:r w:rsidR="00D10D24">
        <w:rPr>
          <w:rFonts w:asciiTheme="majorHAnsi" w:hAnsiTheme="majorHAnsi" w:cstheme="majorHAnsi"/>
          <w:lang w:val="en-GB"/>
        </w:rPr>
        <w:t>,</w:t>
      </w:r>
      <w:r w:rsidRPr="00B93BC6">
        <w:rPr>
          <w:rFonts w:asciiTheme="majorHAnsi" w:hAnsiTheme="majorHAnsi" w:cstheme="majorHAnsi"/>
          <w:lang w:val="en-GB"/>
        </w:rPr>
        <w:t xml:space="preserve"> n = 7</w:t>
      </w:r>
      <w:r w:rsidR="00D10D24">
        <w:rPr>
          <w:rFonts w:asciiTheme="majorHAnsi" w:hAnsiTheme="majorHAnsi" w:cstheme="majorHAnsi"/>
          <w:lang w:val="en-GB"/>
        </w:rPr>
        <w:t>,</w:t>
      </w:r>
      <w:r w:rsidRPr="00B93BC6">
        <w:rPr>
          <w:rFonts w:asciiTheme="majorHAnsi" w:hAnsiTheme="majorHAnsi" w:cstheme="majorHAnsi"/>
          <w:lang w:val="en-GB"/>
        </w:rPr>
        <w:t xml:space="preserve"> </w:t>
      </w:r>
      <w:r w:rsidR="00D10D24">
        <w:rPr>
          <w:rFonts w:asciiTheme="majorHAnsi" w:hAnsiTheme="majorHAnsi" w:cstheme="majorHAnsi"/>
          <w:i/>
          <w:lang w:val="en-GB"/>
        </w:rPr>
        <w:t>p</w:t>
      </w:r>
      <w:r w:rsidRPr="00B93BC6">
        <w:rPr>
          <w:rFonts w:asciiTheme="majorHAnsi" w:hAnsiTheme="majorHAnsi" w:cstheme="majorHAnsi"/>
          <w:lang w:val="en-GB"/>
        </w:rPr>
        <w:t xml:space="preserve"> = 0.013, and BNHL 35.4%</w:t>
      </w:r>
      <w:r w:rsidR="00D10D24">
        <w:rPr>
          <w:rFonts w:asciiTheme="majorHAnsi" w:hAnsiTheme="majorHAnsi" w:cstheme="majorHAnsi"/>
          <w:lang w:val="en-GB"/>
        </w:rPr>
        <w:t>,</w:t>
      </w:r>
      <w:r w:rsidRPr="00B93BC6">
        <w:rPr>
          <w:rFonts w:asciiTheme="majorHAnsi" w:hAnsiTheme="majorHAnsi" w:cstheme="majorHAnsi"/>
          <w:lang w:val="en-GB"/>
        </w:rPr>
        <w:t xml:space="preserve"> IQR = 7.6%</w:t>
      </w:r>
      <w:r w:rsidR="00D10D24">
        <w:rPr>
          <w:rFonts w:asciiTheme="majorHAnsi" w:hAnsiTheme="majorHAnsi" w:cstheme="majorHAnsi"/>
          <w:lang w:val="en-GB"/>
        </w:rPr>
        <w:t>,</w:t>
      </w:r>
      <w:r w:rsidRPr="00B93BC6">
        <w:rPr>
          <w:rFonts w:asciiTheme="majorHAnsi" w:hAnsiTheme="majorHAnsi" w:cstheme="majorHAnsi"/>
          <w:lang w:val="en-GB"/>
        </w:rPr>
        <w:t xml:space="preserve"> n = 9</w:t>
      </w:r>
      <w:r w:rsidR="00D10D24">
        <w:rPr>
          <w:rFonts w:asciiTheme="majorHAnsi" w:hAnsiTheme="majorHAnsi" w:cstheme="majorHAnsi"/>
          <w:lang w:val="en-GB"/>
        </w:rPr>
        <w:t>,</w:t>
      </w:r>
      <w:r w:rsidRPr="00B93BC6">
        <w:rPr>
          <w:rFonts w:asciiTheme="majorHAnsi" w:hAnsiTheme="majorHAnsi" w:cstheme="majorHAnsi"/>
          <w:lang w:val="en-GB"/>
        </w:rPr>
        <w:t xml:space="preserve"> </w:t>
      </w:r>
      <w:r w:rsidR="00D10D24">
        <w:rPr>
          <w:rFonts w:asciiTheme="majorHAnsi" w:hAnsiTheme="majorHAnsi" w:cstheme="majorHAnsi"/>
          <w:i/>
          <w:lang w:val="en-GB"/>
        </w:rPr>
        <w:t>p</w:t>
      </w:r>
      <w:r w:rsidRPr="00B93BC6">
        <w:rPr>
          <w:rFonts w:asciiTheme="majorHAnsi" w:hAnsiTheme="majorHAnsi" w:cstheme="majorHAnsi"/>
          <w:lang w:val="en-GB"/>
        </w:rPr>
        <w:t xml:space="preserve"> = 0.0056).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asciiTheme="majorHAnsi" w:hAnsiTheme="majorHAnsi" w:cstheme="majorHAnsi"/>
          <w:lang w:val="en-GB"/>
        </w:rPr>
        <w:t>.</w:t>
      </w:r>
    </w:p>
    <w:p w14:paraId="08F78150" w14:textId="2D9D0006" w:rsidR="00E1719E" w:rsidRDefault="00E1719E" w:rsidP="00237CA1">
      <w:pPr>
        <w:rPr>
          <w:rFonts w:asciiTheme="majorHAnsi" w:hAnsiTheme="majorHAnsi" w:cstheme="majorHAnsi"/>
        </w:rPr>
      </w:pPr>
    </w:p>
    <w:p w14:paraId="70122A0A" w14:textId="77777777" w:rsidR="00D10D24" w:rsidRPr="00B93BC6" w:rsidRDefault="00D10D24" w:rsidP="00D10D24">
      <w:pPr>
        <w:rPr>
          <w:rFonts w:asciiTheme="majorHAnsi" w:hAnsiTheme="majorHAnsi" w:cstheme="majorHAnsi"/>
          <w:b/>
        </w:rPr>
      </w:pPr>
      <w:r w:rsidRPr="00B93BC6">
        <w:rPr>
          <w:rFonts w:asciiTheme="majorHAnsi" w:hAnsiTheme="majorHAnsi" w:cstheme="majorHAnsi"/>
          <w:b/>
        </w:rPr>
        <w:t>Table 1</w:t>
      </w:r>
      <w:r>
        <w:rPr>
          <w:rFonts w:asciiTheme="majorHAnsi" w:hAnsiTheme="majorHAnsi" w:cstheme="majorHAnsi"/>
          <w:b/>
        </w:rPr>
        <w:t xml:space="preserve">. </w:t>
      </w:r>
      <w:r w:rsidRPr="00B93BC6">
        <w:rPr>
          <w:rFonts w:asciiTheme="majorHAnsi" w:hAnsiTheme="majorHAnsi" w:cstheme="majorHAnsi"/>
          <w:b/>
        </w:rPr>
        <w:t>Flow cytometry antibody panel</w:t>
      </w:r>
      <w:r>
        <w:rPr>
          <w:rFonts w:asciiTheme="majorHAnsi" w:hAnsiTheme="majorHAnsi" w:cstheme="majorHAnsi"/>
        </w:rPr>
        <w:t>.</w:t>
      </w:r>
    </w:p>
    <w:p w14:paraId="7B16B5AD" w14:textId="77777777" w:rsidR="00D10D24" w:rsidRPr="00B93BC6" w:rsidRDefault="00D10D24" w:rsidP="00237CA1">
      <w:pPr>
        <w:rPr>
          <w:rFonts w:asciiTheme="majorHAnsi" w:hAnsiTheme="majorHAnsi" w:cstheme="majorHAnsi"/>
        </w:rPr>
      </w:pPr>
    </w:p>
    <w:p w14:paraId="1A288393" w14:textId="77777777" w:rsidR="00E1719E" w:rsidRPr="008C1032" w:rsidRDefault="00E1719E" w:rsidP="00237CA1">
      <w:pPr>
        <w:pStyle w:val="1"/>
        <w:spacing w:before="0" w:after="0"/>
        <w:rPr>
          <w:rFonts w:asciiTheme="majorHAnsi" w:hAnsiTheme="majorHAnsi" w:cstheme="majorHAnsi"/>
          <w:sz w:val="24"/>
          <w:szCs w:val="24"/>
        </w:rPr>
      </w:pPr>
      <w:r w:rsidRPr="00B93BC6">
        <w:rPr>
          <w:rFonts w:asciiTheme="majorHAnsi" w:hAnsiTheme="majorHAnsi" w:cstheme="majorHAnsi"/>
          <w:sz w:val="24"/>
          <w:szCs w:val="24"/>
        </w:rPr>
        <w:t>DISCUSSION:</w:t>
      </w:r>
    </w:p>
    <w:p w14:paraId="1F4C6A02" w14:textId="202E8795"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This protocol represents a simple and efficient way to analyze peripheral blood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enabling the detection of all relevant subsets identified in the literature thus far. Blood samples can be easily and efficiently obtained as part of standard out-patient clinics and serial samples can be collected in parallel with clinical data. In turn</w:t>
      </w:r>
      <w:r w:rsidR="00CC58C8">
        <w:rPr>
          <w:rFonts w:asciiTheme="majorHAnsi" w:hAnsiTheme="majorHAnsi" w:cstheme="majorHAnsi"/>
          <w:color w:val="auto"/>
        </w:rPr>
        <w:t>,</w:t>
      </w:r>
      <w:r w:rsidRPr="00B93BC6">
        <w:rPr>
          <w:rFonts w:asciiTheme="majorHAnsi" w:hAnsiTheme="majorHAnsi" w:cstheme="majorHAnsi"/>
          <w:color w:val="auto"/>
        </w:rPr>
        <w:t xml:space="preserve"> this enables prospective studies evaluating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subsets as biomarkers for disease progression or response to treatment. These studies would be particularly warranted in disease where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dysregulation is implicated in pathogenesis such as autoimmunity and certain types of solid and </w:t>
      </w:r>
      <w:proofErr w:type="spellStart"/>
      <w:r w:rsidRPr="00B93BC6">
        <w:rPr>
          <w:rFonts w:asciiTheme="majorHAnsi" w:hAnsiTheme="majorHAnsi" w:cstheme="majorHAnsi"/>
          <w:color w:val="auto"/>
        </w:rPr>
        <w:t>haematological</w:t>
      </w:r>
      <w:proofErr w:type="spellEnd"/>
      <w:r w:rsidRPr="00B93BC6">
        <w:rPr>
          <w:rFonts w:asciiTheme="majorHAnsi" w:hAnsiTheme="majorHAnsi" w:cstheme="majorHAnsi"/>
          <w:color w:val="auto"/>
        </w:rPr>
        <w:t xml:space="preserve"> cancer. In addition, </w:t>
      </w:r>
      <w:r w:rsidR="00CC58C8">
        <w:rPr>
          <w:rFonts w:asciiTheme="majorHAnsi" w:hAnsiTheme="majorHAnsi" w:cstheme="majorHAnsi"/>
          <w:color w:val="auto"/>
        </w:rPr>
        <w:t xml:space="preserve">the </w:t>
      </w:r>
      <w:r w:rsidRPr="00B93BC6">
        <w:rPr>
          <w:rFonts w:asciiTheme="majorHAnsi" w:hAnsiTheme="majorHAnsi" w:cstheme="majorHAnsi"/>
          <w:color w:val="auto"/>
        </w:rPr>
        <w:t xml:space="preserve">changes in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function in disease could be investigated by sorting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using flow cytometry as only cell surface markers are used in this protocol. Sorting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in </w:t>
      </w:r>
      <w:r>
        <w:rPr>
          <w:rFonts w:asciiTheme="majorHAnsi" w:hAnsiTheme="majorHAnsi" w:cstheme="majorHAnsi"/>
          <w:color w:val="auto"/>
        </w:rPr>
        <w:t>MZL</w:t>
      </w:r>
      <w:r w:rsidRPr="00B93BC6">
        <w:rPr>
          <w:rFonts w:asciiTheme="majorHAnsi" w:hAnsiTheme="majorHAnsi" w:cstheme="majorHAnsi"/>
          <w:color w:val="auto"/>
        </w:rPr>
        <w:t xml:space="preserve"> patients enabled us to find differences in gene expression profiles when compared to </w:t>
      </w:r>
      <w:r>
        <w:rPr>
          <w:rFonts w:asciiTheme="majorHAnsi" w:hAnsiTheme="majorHAnsi" w:cstheme="majorHAnsi"/>
          <w:color w:val="auto"/>
        </w:rPr>
        <w:t>normal subjects</w:t>
      </w:r>
      <w:r w:rsidRPr="00B93BC6">
        <w:rPr>
          <w:rFonts w:asciiTheme="majorHAnsi" w:hAnsiTheme="majorHAnsi" w:cstheme="majorHAnsi"/>
          <w:color w:val="auto"/>
          <w:vertAlign w:val="superscript"/>
        </w:rPr>
        <w:t>21</w:t>
      </w:r>
      <w:r w:rsidRPr="00B93BC6">
        <w:rPr>
          <w:rFonts w:asciiTheme="majorHAnsi" w:hAnsiTheme="majorHAnsi" w:cstheme="majorHAnsi"/>
          <w:color w:val="auto"/>
        </w:rPr>
        <w:t>.</w:t>
      </w:r>
    </w:p>
    <w:p w14:paraId="518B8CC4" w14:textId="77777777" w:rsidR="00E1719E" w:rsidRDefault="00E1719E" w:rsidP="00237CA1">
      <w:pPr>
        <w:rPr>
          <w:rFonts w:asciiTheme="majorHAnsi" w:hAnsiTheme="majorHAnsi" w:cstheme="majorHAnsi"/>
          <w:color w:val="auto"/>
        </w:rPr>
      </w:pPr>
    </w:p>
    <w:p w14:paraId="71A42453" w14:textId="77777777" w:rsidR="00E1719E" w:rsidRDefault="00E1719E" w:rsidP="00237CA1">
      <w:pPr>
        <w:rPr>
          <w:rFonts w:asciiTheme="majorHAnsi" w:hAnsiTheme="majorHAnsi" w:cstheme="majorHAnsi"/>
          <w:color w:val="auto"/>
          <w:lang w:val="en-GB"/>
        </w:rPr>
      </w:pPr>
      <w:r>
        <w:rPr>
          <w:rFonts w:asciiTheme="majorHAnsi" w:hAnsiTheme="majorHAnsi" w:cstheme="majorHAnsi"/>
          <w:color w:val="auto"/>
        </w:rPr>
        <w:t>We found that efficient CD4</w:t>
      </w:r>
      <w:r w:rsidRPr="006D51B2">
        <w:rPr>
          <w:rFonts w:asciiTheme="majorHAnsi" w:hAnsiTheme="majorHAnsi" w:cstheme="majorHAnsi"/>
          <w:color w:val="auto"/>
          <w:vertAlign w:val="superscript"/>
        </w:rPr>
        <w:t>+</w:t>
      </w:r>
      <w:r>
        <w:rPr>
          <w:rFonts w:asciiTheme="majorHAnsi" w:hAnsiTheme="majorHAnsi" w:cstheme="majorHAnsi"/>
          <w:color w:val="auto"/>
        </w:rPr>
        <w:t xml:space="preserve"> T-cell isolation improved the data analysis. We describe the steps involved in detail because minor issues such as centrifuge braking and speed were critical to the isolation procedure. Another important step, as for all flow cytometry analysis, is to set the compensation and FMO controls.</w:t>
      </w:r>
    </w:p>
    <w:p w14:paraId="41127E49" w14:textId="77777777" w:rsidR="00E1719E" w:rsidRPr="00B93BC6" w:rsidRDefault="00E1719E" w:rsidP="00237CA1">
      <w:pPr>
        <w:rPr>
          <w:rFonts w:asciiTheme="majorHAnsi" w:hAnsiTheme="majorHAnsi" w:cstheme="majorHAnsi"/>
          <w:color w:val="auto"/>
        </w:rPr>
      </w:pPr>
    </w:p>
    <w:p w14:paraId="7D83935A" w14:textId="047ABEED"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PD-1 expression varies on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and those cells with the highest PD-1 might be the most </w:t>
      </w:r>
      <w:r>
        <w:rPr>
          <w:rFonts w:asciiTheme="majorHAnsi" w:hAnsiTheme="majorHAnsi" w:cstheme="majorHAnsi"/>
          <w:color w:val="auto"/>
        </w:rPr>
        <w:t xml:space="preserve">functional and therefore </w:t>
      </w:r>
      <w:r w:rsidRPr="00B93BC6">
        <w:rPr>
          <w:rFonts w:asciiTheme="majorHAnsi" w:hAnsiTheme="majorHAnsi" w:cstheme="majorHAnsi"/>
          <w:color w:val="auto"/>
        </w:rPr>
        <w:t>relevant, especially for the study of autoimmune disease</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{"citationID":"MyWggc2U","properties":{"formattedCitation":"\\super 11, 12\\nosupersub{}","plainCitation":"11, 12","noteIndex":0},"citationItems":[{"id":114,"uris":["http://zotero.org/users/4841313/items/Z3FQZLY4"],"uri":["http://zotero.org/users/4841313/items/Z3FQZLY4"],"itemData":{"id":114,"type":"article-journal","title":"Circulating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11,12</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One </w:t>
      </w:r>
      <w:r>
        <w:rPr>
          <w:rFonts w:asciiTheme="majorHAnsi" w:hAnsiTheme="majorHAnsi" w:cstheme="majorHAnsi"/>
          <w:color w:val="auto"/>
        </w:rPr>
        <w:t>important issue</w:t>
      </w:r>
      <w:r w:rsidRPr="00B93BC6">
        <w:rPr>
          <w:rFonts w:asciiTheme="majorHAnsi" w:hAnsiTheme="majorHAnsi" w:cstheme="majorHAnsi"/>
          <w:color w:val="auto"/>
        </w:rPr>
        <w:t xml:space="preserve"> was to decide the gate for </w:t>
      </w:r>
      <w:r w:rsidR="00CC58C8">
        <w:rPr>
          <w:rFonts w:asciiTheme="majorHAnsi" w:hAnsiTheme="majorHAnsi" w:cstheme="majorHAnsi"/>
          <w:color w:val="auto"/>
        </w:rPr>
        <w:t xml:space="preserve">the </w:t>
      </w:r>
      <w:r w:rsidRPr="00B93BC6">
        <w:rPr>
          <w:rFonts w:asciiTheme="majorHAnsi" w:hAnsiTheme="majorHAnsi" w:cstheme="majorHAnsi"/>
          <w:color w:val="auto"/>
        </w:rPr>
        <w:t>identification of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cells, the activated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 as there is no standard limit defined in the literature. This important but minor subset probably reflects active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differentiation in lymphoid tissue</w:t>
      </w:r>
      <w:r w:rsidRPr="00B93BC6">
        <w:rPr>
          <w:rFonts w:asciiTheme="majorHAnsi" w:hAnsiTheme="majorHAnsi" w:cstheme="majorHAnsi"/>
          <w:color w:val="auto"/>
          <w:vertAlign w:val="superscript"/>
        </w:rPr>
        <w:t>11</w:t>
      </w:r>
      <w:r>
        <w:rPr>
          <w:rFonts w:asciiTheme="majorHAnsi" w:hAnsiTheme="majorHAnsi" w:cstheme="majorHAnsi"/>
          <w:color w:val="auto"/>
        </w:rPr>
        <w:t>. To overco</w:t>
      </w:r>
      <w:r w:rsidRPr="00B93BC6">
        <w:rPr>
          <w:rFonts w:asciiTheme="majorHAnsi" w:hAnsiTheme="majorHAnsi" w:cstheme="majorHAnsi"/>
          <w:color w:val="auto"/>
        </w:rPr>
        <w:t>me this challenge</w:t>
      </w:r>
      <w:r w:rsidR="00CC58C8">
        <w:rPr>
          <w:rFonts w:asciiTheme="majorHAnsi" w:hAnsiTheme="majorHAnsi" w:cstheme="majorHAnsi"/>
          <w:color w:val="auto"/>
        </w:rPr>
        <w:t>,</w:t>
      </w:r>
      <w:r w:rsidRPr="00B93BC6">
        <w:rPr>
          <w:rFonts w:asciiTheme="majorHAnsi" w:hAnsiTheme="majorHAnsi" w:cstheme="majorHAnsi"/>
          <w:color w:val="auto"/>
        </w:rPr>
        <w:t xml:space="preserve"> the threshold was set such that it was the same as that required to detect bona-fide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cells from human tonsil with the same antibody panel. </w:t>
      </w:r>
      <w:r>
        <w:rPr>
          <w:rFonts w:asciiTheme="majorHAnsi" w:hAnsiTheme="majorHAnsi" w:cstheme="majorHAnsi"/>
          <w:color w:val="auto"/>
        </w:rPr>
        <w:t>We recogni</w:t>
      </w:r>
      <w:r w:rsidR="00CC58C8">
        <w:rPr>
          <w:rFonts w:asciiTheme="majorHAnsi" w:hAnsiTheme="majorHAnsi" w:cstheme="majorHAnsi"/>
          <w:color w:val="auto"/>
        </w:rPr>
        <w:t>z</w:t>
      </w:r>
      <w:r>
        <w:rPr>
          <w:rFonts w:asciiTheme="majorHAnsi" w:hAnsiTheme="majorHAnsi" w:cstheme="majorHAnsi"/>
          <w:color w:val="auto"/>
        </w:rPr>
        <w:t xml:space="preserve">e that obtaining tonsils might be problematic for some users. </w:t>
      </w:r>
      <w:r w:rsidRPr="00B93BC6">
        <w:rPr>
          <w:rFonts w:asciiTheme="majorHAnsi" w:hAnsiTheme="majorHAnsi" w:cstheme="majorHAnsi"/>
          <w:color w:val="auto"/>
        </w:rPr>
        <w:t>A</w:t>
      </w:r>
      <w:r>
        <w:rPr>
          <w:rFonts w:asciiTheme="majorHAnsi" w:hAnsiTheme="majorHAnsi" w:cstheme="majorHAnsi"/>
          <w:color w:val="auto"/>
        </w:rPr>
        <w:t>n a</w:t>
      </w:r>
      <w:r w:rsidRPr="00B93BC6">
        <w:rPr>
          <w:rFonts w:asciiTheme="majorHAnsi" w:hAnsiTheme="majorHAnsi" w:cstheme="majorHAnsi"/>
          <w:color w:val="auto"/>
        </w:rPr>
        <w:t xml:space="preserve">lternative, </w:t>
      </w:r>
      <w:r>
        <w:rPr>
          <w:rFonts w:asciiTheme="majorHAnsi" w:hAnsiTheme="majorHAnsi" w:cstheme="majorHAnsi"/>
          <w:color w:val="auto"/>
        </w:rPr>
        <w:t>would be to expand the</w:t>
      </w:r>
      <w:r w:rsidRPr="00B93BC6">
        <w:rPr>
          <w:rFonts w:asciiTheme="majorHAnsi" w:hAnsiTheme="majorHAnsi" w:cstheme="majorHAnsi"/>
          <w:color w:val="auto"/>
        </w:rPr>
        <w:t xml:space="preserve"> antibody panel used in this protocol by the addition of anti-ICOS, as only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cells are ICOS</w:t>
      </w:r>
      <w:r w:rsidRPr="00B93BC6">
        <w:rPr>
          <w:rFonts w:asciiTheme="majorHAnsi" w:hAnsiTheme="majorHAnsi" w:cstheme="majorHAnsi"/>
          <w:color w:val="auto"/>
          <w:vertAlign w:val="superscript"/>
        </w:rPr>
        <w:t>+</w:t>
      </w:r>
      <w:r>
        <w:rPr>
          <w:rFonts w:asciiTheme="majorHAnsi" w:hAnsiTheme="majorHAnsi" w:cstheme="majorHAnsi"/>
          <w:color w:val="auto"/>
          <w:vertAlign w:val="superscript"/>
        </w:rPr>
        <w:t xml:space="preserve"> </w:t>
      </w:r>
      <w:r w:rsidRPr="00B93BC6">
        <w:rPr>
          <w:rFonts w:asciiTheme="majorHAnsi" w:hAnsiTheme="majorHAnsi" w:cstheme="majorHAnsi"/>
          <w:color w:val="auto"/>
          <w:vertAlign w:val="superscript"/>
        </w:rPr>
        <w:fldChar w:fldCharType="begin"/>
      </w:r>
      <w:r w:rsidRPr="00B93BC6">
        <w:rPr>
          <w:rFonts w:asciiTheme="majorHAnsi" w:hAnsiTheme="majorHAnsi" w:cstheme="majorHAnsi"/>
          <w:color w:val="auto"/>
          <w:vertAlign w:val="superscript"/>
        </w:rPr>
        <w:instrText xml:space="preserve"> ADDIN ZOTERO_ITEM CSL_CITATION {"citationID":"jXBWqZQl","properties":{"formattedCitation":"\\super 12\\nosupersub{}","plainCitation":"12","noteIndex":0},"citationItems":[{"id":24,"uris":["http://zotero.org/users/4841313/items/F9JJQ66J"],"uri":["http://zotero.org/users/4841313/items/F9JJQ66J"],"itemData":{"id":24,"type":"article-journal","title":"Phenotype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color w:val="auto"/>
          <w:vertAlign w:val="superscript"/>
        </w:rPr>
        <w:fldChar w:fldCharType="separate"/>
      </w:r>
      <w:r w:rsidRPr="00B93BC6">
        <w:rPr>
          <w:rFonts w:asciiTheme="majorHAnsi" w:hAnsiTheme="majorHAnsi" w:cstheme="majorHAnsi"/>
          <w:color w:val="auto"/>
          <w:vertAlign w:val="superscript"/>
        </w:rPr>
        <w:t>12</w:t>
      </w:r>
      <w:r w:rsidRPr="00B93BC6">
        <w:rPr>
          <w:rFonts w:asciiTheme="majorHAnsi" w:hAnsiTheme="majorHAnsi" w:cstheme="majorHAnsi"/>
          <w:color w:val="auto"/>
          <w:vertAlign w:val="superscript"/>
        </w:rPr>
        <w:fldChar w:fldCharType="end"/>
      </w:r>
      <w:r w:rsidRPr="00B93BC6">
        <w:rPr>
          <w:rFonts w:asciiTheme="majorHAnsi" w:hAnsiTheme="majorHAnsi" w:cstheme="majorHAnsi"/>
          <w:color w:val="auto"/>
        </w:rPr>
        <w:t>.</w:t>
      </w:r>
    </w:p>
    <w:p w14:paraId="3BB8E5EC" w14:textId="77777777" w:rsidR="00E1719E" w:rsidRPr="00B93BC6" w:rsidRDefault="00E1719E" w:rsidP="00237CA1">
      <w:pPr>
        <w:rPr>
          <w:rFonts w:asciiTheme="majorHAnsi" w:hAnsiTheme="majorHAnsi" w:cstheme="majorHAnsi"/>
          <w:color w:val="auto"/>
        </w:rPr>
      </w:pPr>
    </w:p>
    <w:p w14:paraId="3F595CE3" w14:textId="46D6D2AC" w:rsidR="00E1719E" w:rsidRPr="00B93BC6" w:rsidRDefault="00E1719E" w:rsidP="00237CA1">
      <w:pPr>
        <w:rPr>
          <w:rFonts w:asciiTheme="majorHAnsi" w:hAnsiTheme="majorHAnsi" w:cstheme="majorHAnsi"/>
          <w:color w:val="auto"/>
        </w:rPr>
      </w:pPr>
      <w:r>
        <w:rPr>
          <w:rFonts w:asciiTheme="majorHAnsi" w:hAnsiTheme="majorHAnsi" w:cstheme="majorHAnsi"/>
          <w:color w:val="auto"/>
        </w:rPr>
        <w:t>Here</w:t>
      </w:r>
      <w:r w:rsidR="00CC58C8">
        <w:rPr>
          <w:rFonts w:asciiTheme="majorHAnsi" w:hAnsiTheme="majorHAnsi" w:cstheme="majorHAnsi"/>
          <w:color w:val="auto"/>
        </w:rPr>
        <w:t>,</w:t>
      </w:r>
      <w:r>
        <w:rPr>
          <w:rFonts w:asciiTheme="majorHAnsi" w:hAnsiTheme="majorHAnsi" w:cstheme="majorHAnsi"/>
          <w:color w:val="auto"/>
        </w:rPr>
        <w:t xml:space="preserve"> we present an antibody panel to detect surface markers characteristic of circulating CD4</w:t>
      </w:r>
      <w:r w:rsidRPr="006D51B2">
        <w:rPr>
          <w:rFonts w:asciiTheme="majorHAnsi" w:hAnsiTheme="majorHAnsi" w:cstheme="majorHAnsi"/>
          <w:color w:val="auto"/>
          <w:vertAlign w:val="superscript"/>
        </w:rPr>
        <w:t>+</w:t>
      </w:r>
      <w:r>
        <w:rPr>
          <w:rFonts w:asciiTheme="majorHAnsi" w:hAnsiTheme="majorHAnsi" w:cstheme="majorHAnsi"/>
          <w:color w:val="auto"/>
        </w:rPr>
        <w:t xml:space="preserve"> T-cells. C</w:t>
      </w:r>
      <w:r w:rsidRPr="00B93BC6">
        <w:rPr>
          <w:rFonts w:asciiTheme="majorHAnsi" w:hAnsiTheme="majorHAnsi" w:cstheme="majorHAnsi"/>
          <w:color w:val="auto"/>
        </w:rPr>
        <w:t>irculating T-follicular regulatory cell</w:t>
      </w:r>
      <w:r>
        <w:rPr>
          <w:rFonts w:asciiTheme="majorHAnsi" w:hAnsiTheme="majorHAnsi" w:cstheme="majorHAnsi"/>
          <w:color w:val="auto"/>
        </w:rPr>
        <w:t>s</w:t>
      </w:r>
      <w:r w:rsidRPr="00B93BC6">
        <w:rPr>
          <w:rFonts w:asciiTheme="majorHAnsi" w:hAnsiTheme="majorHAnsi" w:cstheme="majorHAnsi"/>
          <w:color w:val="auto"/>
        </w:rPr>
        <w:t xml:space="preserve">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w:t>
      </w:r>
      <w:r>
        <w:rPr>
          <w:rFonts w:asciiTheme="majorHAnsi" w:hAnsiTheme="majorHAnsi" w:cstheme="majorHAnsi"/>
          <w:color w:val="auto"/>
        </w:rPr>
        <w:t>are the blood memory compartment of T-follicular regulatory cells (</w:t>
      </w:r>
      <w:proofErr w:type="spellStart"/>
      <w:r>
        <w:rPr>
          <w:rFonts w:asciiTheme="majorHAnsi" w:hAnsiTheme="majorHAnsi" w:cstheme="majorHAnsi"/>
          <w:color w:val="auto"/>
        </w:rPr>
        <w:t>Tfr</w:t>
      </w:r>
      <w:proofErr w:type="spellEnd"/>
      <w:r>
        <w:rPr>
          <w:rFonts w:asciiTheme="majorHAnsi" w:hAnsiTheme="majorHAnsi" w:cstheme="majorHAnsi"/>
          <w:color w:val="auto"/>
        </w:rPr>
        <w:t xml:space="preserve">) that are </w:t>
      </w:r>
      <w:r w:rsidRPr="00B93BC6">
        <w:rPr>
          <w:rFonts w:asciiTheme="majorHAnsi" w:hAnsiTheme="majorHAnsi" w:cstheme="majorHAnsi"/>
          <w:color w:val="auto"/>
        </w:rPr>
        <w:t>reside</w:t>
      </w:r>
      <w:r>
        <w:rPr>
          <w:rFonts w:asciiTheme="majorHAnsi" w:hAnsiTheme="majorHAnsi" w:cstheme="majorHAnsi"/>
          <w:color w:val="auto"/>
        </w:rPr>
        <w:t>nt</w:t>
      </w:r>
      <w:r w:rsidRPr="00B93BC6">
        <w:rPr>
          <w:rFonts w:asciiTheme="majorHAnsi" w:hAnsiTheme="majorHAnsi" w:cstheme="majorHAnsi"/>
          <w:color w:val="auto"/>
        </w:rPr>
        <w:t xml:space="preserve"> in lymphoid tissue and </w:t>
      </w:r>
      <w:r>
        <w:rPr>
          <w:rFonts w:asciiTheme="majorHAnsi" w:hAnsiTheme="majorHAnsi" w:cstheme="majorHAnsi"/>
          <w:color w:val="auto"/>
        </w:rPr>
        <w:t>have important roles in regulating</w:t>
      </w:r>
      <w:r w:rsidRPr="00B93BC6">
        <w:rPr>
          <w:rFonts w:asciiTheme="majorHAnsi" w:hAnsiTheme="majorHAnsi" w:cstheme="majorHAnsi"/>
          <w:color w:val="auto"/>
        </w:rPr>
        <w:t xml:space="preserve"> the germinal cent</w:t>
      </w:r>
      <w:r w:rsidR="00FA319F">
        <w:rPr>
          <w:rFonts w:asciiTheme="majorHAnsi" w:hAnsiTheme="majorHAnsi" w:cstheme="majorHAnsi"/>
          <w:color w:val="auto"/>
        </w:rPr>
        <w:t>er</w:t>
      </w:r>
      <w:r w:rsidRPr="00B93BC6">
        <w:rPr>
          <w:rFonts w:asciiTheme="majorHAnsi" w:hAnsiTheme="majorHAnsi" w:cstheme="majorHAnsi"/>
          <w:color w:val="auto"/>
        </w:rPr>
        <w:t xml:space="preserve"> reaction</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{"citationID":"o5sIPUUS","properties":{"formattedCitation":"\\super 22, 23\\nosupersub{}","plainCitation":"22, 23","noteIndex":0},"citationItems":[{"id":137,"uris":["http://zotero.org/users/4841313/items/IUTCJ2QG"],"uri":["http://zotero.org/users/4841313/items/IUTCJ2QG"],"itemData":{"id":137,"type":"article-journal","title":"The receptor PD-1 controls follicular regulatory T cells in the lymph nodes and blood","container-title":"Nature Immunology","page":"152-161","volume":"14","issue":"2","source":"www.nature.com","abstract":"CD4+CXCR5+Foxp3+ follicular regulatory T cells (TFR cells) inhibit humoral immunity mediated by CD4+CXCR5+Foxp3− follicular helper T cells (TFH cells). Although the inhibitory receptor PD-1 is expressed by both cell types, its role in the differentiation of TFR cells is unknown. Here we found that mice deficient in PD-1 and its ligand PD-L1 had a greater abundance of TFR cells in the lymph nodes and that those TFR cells had enhanced suppressive ability. We also found substantial populations of TFR cells in mouse blood and demonstrated that TFR cells in the blood homed to lymph nodes and potently inhibited TFH cells in vivo. TFR cells in the blood required signaling via the costimulatory receptors CD28 and ICOS but were inhibited by PD-1 and PD-L1. Our findings demonstrate mechanisms by which the PD-1 pathway regulates antibody production and help reconcile inconsistencies surrounding the role of this pathway in humoral immunity.","DOI":"10.1038/ni.2496","ISSN":"1529-2916","language":"en","author":[{"family":"Sage","given":"Peter T."},{"family":"Francisco","given":"Loise M."},{"family":"Carman","given":"Christopher V."},{"family":"Sharpe","given":"Arlene H."}],"issued":{"date-parts":[["2013",2]]}}},{"id":136,"uris":["http://zotero.org/users/4841313/items/BXEZUFPA"],"uri":["http://zotero.org/users/4841313/items/BXEZUFPA"],"itemData":{"id":136,"type":"article-journal","title":"Circulating T follicular regulatory and helper cells have memory-like properties","container-title":"The Journal of Clinical Investigation","page":"5191-5204","volume":"124","issue":"12","source":"www.jci.org","DOI":"10.1172/JCI76861","ISSN":"0021-9738","note":"PMID: 0","journalAbbreviation":"J Clin Invest","language":"en","author":[{"family":"Sage","given":"Peter T."},{"family":"Alvarez","given":"David"},{"family":"Godec","given":"Jernej"},{"family":"Andrian","given":"Ulrich H.","dropping-particle":"von"},{"family":"Sharpe","given":"Arlene H."}],"issued":{"date-parts":[["2014",12,1]]}}}],"schema":"https://github.com/citation-style-language/schema/raw/master/csl-citation.json"}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22,23</w:t>
      </w:r>
      <w:r w:rsidRPr="00B93BC6">
        <w:rPr>
          <w:rFonts w:asciiTheme="majorHAnsi" w:hAnsiTheme="majorHAnsi" w:cstheme="majorHAnsi"/>
          <w:color w:val="auto"/>
        </w:rPr>
        <w:fldChar w:fldCharType="end"/>
      </w:r>
      <w:r>
        <w:rPr>
          <w:rFonts w:asciiTheme="majorHAnsi" w:hAnsiTheme="majorHAnsi" w:cstheme="majorHAnsi"/>
          <w:color w:val="auto"/>
        </w:rPr>
        <w:t xml:space="preserve">.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are blood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that co-express T-regulatory cell markers </w:t>
      </w:r>
      <w:r>
        <w:rPr>
          <w:rFonts w:asciiTheme="majorHAnsi" w:hAnsiTheme="majorHAnsi" w:cstheme="majorHAnsi"/>
          <w:color w:val="auto"/>
        </w:rPr>
        <w:t xml:space="preserve">including the transcription factor FoxP3. </w:t>
      </w:r>
      <w:r w:rsidRPr="00B93BC6">
        <w:rPr>
          <w:rFonts w:asciiTheme="majorHAnsi" w:hAnsiTheme="majorHAnsi" w:cstheme="majorHAnsi"/>
          <w:color w:val="auto"/>
        </w:rPr>
        <w:t xml:space="preserve">Measuring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alongside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may provide a more complete picture of activity in the germinal cent</w:t>
      </w:r>
      <w:r w:rsidR="00FA319F">
        <w:rPr>
          <w:rFonts w:asciiTheme="majorHAnsi" w:hAnsiTheme="majorHAnsi" w:cstheme="majorHAnsi"/>
          <w:color w:val="auto"/>
        </w:rPr>
        <w:t>er</w:t>
      </w:r>
      <w:r w:rsidRPr="00B93BC6">
        <w:rPr>
          <w:rFonts w:asciiTheme="majorHAnsi" w:hAnsiTheme="majorHAnsi" w:cstheme="majorHAnsi"/>
          <w:color w:val="auto"/>
        </w:rPr>
        <w:t>, and could present a biomarker in disease in its own right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{"citationID":"tVRH6LLs","properties":{"formattedCitation":"\\super 24\\nosupersub{}","plainCitation":"24","noteIndex":0},"citationItems":[{"id":142,"uris":["http://zotero.org/users/4841313/items/V29Y4HH3"],"uri":["http://zotero.org/users/4841313/items/V29Y4HH3"],"itemData":{"id":142,"type":"article-journal","title":"Defective TFH Cell Function and Increased TFR Cells Contribute to Defective Antibody Production in Aging","container-title":"Cell Reports","page":"163-171","volume":"12","issue":"2","source":"www.cell.com","DOI":"10.1016/j.celrep.2015.06.015","ISSN":"2211-1247","note":"PMID: 26146074","journalAbbreviation":"Cell Reports","language":"English","author":[{"family":"Sage","given":"Peter T."},{"family":"Tan","given":"Catherine L."},{"family":"Freeman","given":"Gordon J."},{"family":"Haigis","given":"Marcia"},{"family":"Sharpe","given":"Arlene H."}],"issued":{"date-parts":[["2015",7,14]]}}}],"schema":"https://github.com/citation-style-language/schema/raw/master/csl-citation.json"}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24</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Although </w:t>
      </w:r>
      <w:proofErr w:type="spellStart"/>
      <w:r w:rsidRPr="00B93BC6">
        <w:rPr>
          <w:rFonts w:asciiTheme="majorHAnsi" w:hAnsiTheme="majorHAnsi" w:cstheme="majorHAnsi"/>
          <w:color w:val="auto"/>
        </w:rPr>
        <w:t>cT</w:t>
      </w:r>
      <w:r>
        <w:rPr>
          <w:rFonts w:asciiTheme="majorHAnsi" w:hAnsiTheme="majorHAnsi" w:cstheme="majorHAnsi"/>
          <w:color w:val="auto"/>
        </w:rPr>
        <w:t>fr</w:t>
      </w:r>
      <w:proofErr w:type="spellEnd"/>
      <w:r>
        <w:rPr>
          <w:rFonts w:asciiTheme="majorHAnsi" w:hAnsiTheme="majorHAnsi" w:cstheme="majorHAnsi"/>
          <w:color w:val="auto"/>
        </w:rPr>
        <w:t xml:space="preserve"> numbers are inherently low (m</w:t>
      </w:r>
      <w:r w:rsidRPr="00B93BC6">
        <w:rPr>
          <w:rFonts w:asciiTheme="majorHAnsi" w:hAnsiTheme="majorHAnsi" w:cstheme="majorHAnsi"/>
          <w:color w:val="auto"/>
        </w:rPr>
        <w:t>ean</w:t>
      </w:r>
      <w:r w:rsidR="00FA319F">
        <w:rPr>
          <w:rFonts w:asciiTheme="majorHAnsi" w:hAnsiTheme="majorHAnsi" w:cstheme="majorHAnsi"/>
          <w:color w:val="auto"/>
        </w:rPr>
        <w:t>:</w:t>
      </w:r>
      <w:r w:rsidRPr="00B93BC6">
        <w:rPr>
          <w:rFonts w:asciiTheme="majorHAnsi" w:hAnsiTheme="majorHAnsi" w:cstheme="majorHAnsi"/>
          <w:color w:val="auto"/>
        </w:rPr>
        <w:t xml:space="preserve"> 1.82%</w:t>
      </w:r>
      <w:r w:rsidR="00FA319F">
        <w:rPr>
          <w:rFonts w:asciiTheme="majorHAnsi" w:hAnsiTheme="majorHAnsi" w:cstheme="majorHAnsi"/>
          <w:color w:val="auto"/>
        </w:rPr>
        <w:t>,</w:t>
      </w:r>
      <w:r w:rsidRPr="00B93BC6">
        <w:rPr>
          <w:rFonts w:asciiTheme="majorHAnsi" w:hAnsiTheme="majorHAnsi" w:cstheme="majorHAnsi"/>
          <w:color w:val="auto"/>
        </w:rPr>
        <w:t xml:space="preserve"> SD</w:t>
      </w:r>
      <w:r w:rsidR="00FA319F">
        <w:rPr>
          <w:rFonts w:asciiTheme="majorHAnsi" w:hAnsiTheme="majorHAnsi" w:cstheme="majorHAnsi"/>
          <w:color w:val="auto"/>
        </w:rPr>
        <w:t>:</w:t>
      </w:r>
      <w:r w:rsidRPr="00B93BC6">
        <w:rPr>
          <w:rFonts w:asciiTheme="majorHAnsi" w:hAnsiTheme="majorHAnsi" w:cstheme="majorHAnsi"/>
          <w:color w:val="auto"/>
        </w:rPr>
        <w:t xml:space="preserve"> 1.40, n = 24 of total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in our own experiments), separating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from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would also increase the specificity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analysis. Adding a combination of specific T-regulatory cell-surface markers to our panel such as CD25 and CD127</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{"citationID":"fMFoyb2E","properties":{"formattedCitation":"\\super 25\\nosupersub{}","plainCitation":"25","noteIndex":0},"citationItems":[{"id":146,"uris":["http://zotero.org/users/4841313/items/D8EYVPAN"],"uri":["http://zotero.org/users/4841313/items/D8EYVPAN"],"itemData":{"id":146,"type":"article-journal","title":"CD4+CD25+CD127low/− T Cells: A More Specific Treg Population in Human Peripheral Blood","container-title":"Inflammation","page":"1773-1780","volume":"35","issue":"6","source":"link.springer.com","abstract":"The quantitative identification and enrichment of viable regulatory T cells (Treg) requires reliable surface markers that are selectively expressed on Treg. Foxp3 is the accepted marker of nTreg, but it cannot be used to isolate cells for functional studies. In this study, we compared four staining profiles of Treg, including CD4+CD25high T cells, CD4+CD39+ T cells, CD4+CD73+ T cells, and CD4+CD25+CD127low/− T cells. We found that CD4+CD25+CD127low/− T cells expressed the highest level of Foxp3 and had the strongest correlation with CD4+CD25+Foxp3+ T cells, the accepted identifying characteristics for “real” nTreg cells. Moreover, functional data showed that CD4+CD25+CD127low/− T cells could effectively suppress the proliferation of CD4+CD25− T cells, suggesting that compared with the other three populations, CD4+CD25+CD127low/− T cells best fit the definition of naturally occurring regulatory T cells in human peripheral blood. Finally, we showed that CD4+CD25+CD127low/− can be used to quantitate Treg cells in individuals with systemic lupus erythematosus supporting the use of CD4+CD25+CD127low/− to identify human Treg cells.","DOI":"10.1007/s10753-012-9496-8","ISSN":"0360-3997, 1573-2576","shortTitle":"CD4&lt;Superscript&gt;+&lt;/Superscript&gt;CD25&lt;Superscript&gt;+&lt;/Superscript&gt;CD127&lt;Superscript&gt;low/−&lt;/Superscript&gt; T Cells","journalAbbreviation":"Inflammation","language":"en","author":[{"family":"Yu","given":"Ning"},{"family":"Li","given":"Xiaomei"},{"family":"Song","given":"Weiya"},{"family":"Li","given":"Dongmei"},{"family":"Yu","given":"Daliang"},{"family":"Zeng","given":"Xiaofeng"},{"family":"Li","given":"Mengtao"},{"family":"Leng","given":"Xiaomei"},{"family":"Li","given":"Xiangpei"}],"issued":{"date-parts":[["2012",12,1]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25</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would enable </w:t>
      </w:r>
      <w:r w:rsidR="00FA319F">
        <w:rPr>
          <w:rFonts w:asciiTheme="majorHAnsi" w:hAnsiTheme="majorHAnsi" w:cstheme="majorHAnsi"/>
          <w:color w:val="auto"/>
        </w:rPr>
        <w:t xml:space="preserve">the </w:t>
      </w:r>
      <w:r w:rsidRPr="00B93BC6">
        <w:rPr>
          <w:rFonts w:asciiTheme="majorHAnsi" w:hAnsiTheme="majorHAnsi" w:cstheme="majorHAnsi"/>
          <w:color w:val="auto"/>
        </w:rPr>
        <w:t xml:space="preserve">detection of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in addition to 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subsets in the same experiment using a very similar protocol. Alternatively, the more classical intracellular regulatory marker FoxP3 could be used, though this requires fixation and permeabili</w:t>
      </w:r>
      <w:r w:rsidR="00FA319F">
        <w:rPr>
          <w:rFonts w:asciiTheme="majorHAnsi" w:hAnsiTheme="majorHAnsi" w:cstheme="majorHAnsi"/>
          <w:color w:val="auto"/>
        </w:rPr>
        <w:t>z</w:t>
      </w:r>
      <w:r w:rsidRPr="00B93BC6">
        <w:rPr>
          <w:rFonts w:asciiTheme="majorHAnsi" w:hAnsiTheme="majorHAnsi" w:cstheme="majorHAnsi"/>
          <w:color w:val="auto"/>
        </w:rPr>
        <w:t xml:space="preserve">ation preventing downstream functional assays. In concentrating on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analysis</w:t>
      </w:r>
      <w:r w:rsidR="00FA319F">
        <w:rPr>
          <w:rFonts w:asciiTheme="majorHAnsi" w:hAnsiTheme="majorHAnsi" w:cstheme="majorHAnsi"/>
          <w:color w:val="auto"/>
        </w:rPr>
        <w:t>,</w:t>
      </w:r>
      <w:r w:rsidRPr="00B93BC6">
        <w:rPr>
          <w:rFonts w:asciiTheme="majorHAnsi" w:hAnsiTheme="majorHAnsi" w:cstheme="majorHAnsi"/>
          <w:color w:val="auto"/>
        </w:rPr>
        <w:t xml:space="preserve"> however, there are also advantages to defining a minimum panel that can be employed in conjunction with a standard laboratory flow cytometer to obtain clinically or experimentally useful results.</w:t>
      </w:r>
    </w:p>
    <w:p w14:paraId="624D353F" w14:textId="77777777" w:rsidR="00E1719E" w:rsidRPr="00B93BC6" w:rsidRDefault="00E1719E" w:rsidP="00237CA1">
      <w:pPr>
        <w:rPr>
          <w:rFonts w:asciiTheme="majorHAnsi" w:hAnsiTheme="majorHAnsi" w:cstheme="majorHAnsi"/>
          <w:b/>
          <w:color w:val="auto"/>
        </w:rPr>
      </w:pPr>
    </w:p>
    <w:p w14:paraId="4700A859" w14:textId="77777777" w:rsidR="00E1719E" w:rsidRPr="00B93BC6" w:rsidRDefault="00E1719E" w:rsidP="00237CA1">
      <w:pPr>
        <w:rPr>
          <w:rFonts w:asciiTheme="majorHAnsi" w:hAnsiTheme="majorHAnsi" w:cstheme="majorHAnsi"/>
          <w:b/>
          <w:color w:val="auto"/>
        </w:rPr>
      </w:pPr>
      <w:r w:rsidRPr="00B93BC6">
        <w:rPr>
          <w:rFonts w:asciiTheme="majorHAnsi" w:hAnsiTheme="majorHAnsi" w:cstheme="majorHAnsi"/>
          <w:b/>
          <w:color w:val="auto"/>
        </w:rPr>
        <w:t>ACKNOWLEDGEMENTS:</w:t>
      </w:r>
    </w:p>
    <w:p w14:paraId="7F473ED6" w14:textId="77777777" w:rsidR="00E1719E" w:rsidRPr="00B93BC6" w:rsidRDefault="00E1719E" w:rsidP="00237CA1">
      <w:pPr>
        <w:rPr>
          <w:rFonts w:asciiTheme="majorHAnsi" w:hAnsiTheme="majorHAnsi" w:cstheme="majorHAnsi"/>
          <w:color w:val="auto"/>
        </w:rPr>
      </w:pPr>
      <w:r w:rsidRPr="00B93BC6">
        <w:rPr>
          <w:rFonts w:asciiTheme="majorHAnsi" w:hAnsiTheme="majorHAnsi" w:cstheme="majorHAnsi"/>
          <w:color w:val="auto"/>
        </w:rPr>
        <w:t xml:space="preserve">The work was supported by a grant from </w:t>
      </w:r>
      <w:proofErr w:type="spellStart"/>
      <w:r w:rsidRPr="00B93BC6">
        <w:rPr>
          <w:rFonts w:asciiTheme="majorHAnsi" w:hAnsiTheme="majorHAnsi" w:cstheme="majorHAnsi"/>
          <w:color w:val="auto"/>
        </w:rPr>
        <w:t>Leukaemia</w:t>
      </w:r>
      <w:proofErr w:type="spellEnd"/>
      <w:r w:rsidRPr="00B93BC6">
        <w:rPr>
          <w:rFonts w:asciiTheme="majorHAnsi" w:hAnsiTheme="majorHAnsi" w:cstheme="majorHAnsi"/>
          <w:color w:val="auto"/>
        </w:rPr>
        <w:t xml:space="preserve"> UK to ETB and MJA.</w:t>
      </w:r>
    </w:p>
    <w:p w14:paraId="6B429625" w14:textId="77777777" w:rsidR="00E1719E" w:rsidRPr="00B93BC6" w:rsidRDefault="00E1719E" w:rsidP="00237CA1">
      <w:pPr>
        <w:rPr>
          <w:rFonts w:asciiTheme="majorHAnsi" w:hAnsiTheme="majorHAnsi" w:cstheme="majorHAnsi"/>
          <w:b/>
          <w:color w:val="auto"/>
        </w:rPr>
      </w:pPr>
    </w:p>
    <w:p w14:paraId="7486F3C3" w14:textId="77777777" w:rsidR="00E1719E" w:rsidRPr="008C1032" w:rsidRDefault="00E1719E" w:rsidP="00237CA1">
      <w:pPr>
        <w:rPr>
          <w:rFonts w:asciiTheme="majorHAnsi" w:hAnsiTheme="majorHAnsi" w:cstheme="majorHAnsi"/>
          <w:b/>
          <w:color w:val="auto"/>
        </w:rPr>
      </w:pPr>
      <w:r w:rsidRPr="00B93BC6">
        <w:rPr>
          <w:rFonts w:asciiTheme="majorHAnsi" w:hAnsiTheme="majorHAnsi" w:cstheme="majorHAnsi"/>
          <w:b/>
          <w:color w:val="auto"/>
        </w:rPr>
        <w:t>DISCLOSURES:</w:t>
      </w:r>
    </w:p>
    <w:p w14:paraId="78427673" w14:textId="77777777" w:rsidR="00E1719E" w:rsidRPr="00B93BC6" w:rsidRDefault="00E1719E" w:rsidP="00237CA1">
      <w:pPr>
        <w:rPr>
          <w:rFonts w:asciiTheme="majorHAnsi" w:hAnsiTheme="majorHAnsi" w:cstheme="majorHAnsi"/>
        </w:rPr>
      </w:pPr>
      <w:r w:rsidRPr="00B93BC6">
        <w:rPr>
          <w:rFonts w:asciiTheme="majorHAnsi" w:hAnsiTheme="majorHAnsi" w:cstheme="majorHAnsi"/>
          <w:color w:val="auto"/>
        </w:rPr>
        <w:t>The authors have nothing to disclose.</w:t>
      </w:r>
    </w:p>
    <w:p w14:paraId="28C7084C" w14:textId="77777777" w:rsidR="00E1719E" w:rsidRPr="00B93BC6" w:rsidRDefault="00E1719E" w:rsidP="00237CA1">
      <w:pPr>
        <w:rPr>
          <w:rFonts w:asciiTheme="majorHAnsi" w:hAnsiTheme="majorHAnsi" w:cstheme="majorHAnsi"/>
          <w:b/>
          <w:color w:val="auto"/>
        </w:rPr>
      </w:pPr>
    </w:p>
    <w:p w14:paraId="76962273" w14:textId="77777777" w:rsidR="00E1719E" w:rsidRPr="008C1032" w:rsidRDefault="00E1719E" w:rsidP="00237CA1">
      <w:pPr>
        <w:rPr>
          <w:rFonts w:asciiTheme="majorHAnsi" w:hAnsiTheme="majorHAnsi" w:cstheme="majorHAnsi"/>
          <w:b/>
          <w:color w:val="auto"/>
        </w:rPr>
      </w:pPr>
      <w:r w:rsidRPr="00B93BC6">
        <w:rPr>
          <w:rFonts w:asciiTheme="majorHAnsi" w:hAnsiTheme="majorHAnsi" w:cstheme="majorHAnsi"/>
          <w:b/>
          <w:color w:val="auto"/>
        </w:rPr>
        <w:t>REFERENCES:</w:t>
      </w:r>
    </w:p>
    <w:p w14:paraId="78B4839E"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fldChar w:fldCharType="begin"/>
      </w:r>
      <w:r w:rsidRPr="00B93BC6">
        <w:rPr>
          <w:rFonts w:asciiTheme="majorHAnsi" w:hAnsiTheme="majorHAnsi" w:cstheme="majorHAnsi"/>
        </w:rPr>
        <w:instrText xml:space="preserve"> ADDIN ZOTERO_BIBL {"uncited":[],"omitted":[],"custom":[]} CSL_BIBLIOGRAPHY </w:instrText>
      </w:r>
      <w:r w:rsidRPr="00B93BC6">
        <w:rPr>
          <w:rFonts w:asciiTheme="majorHAnsi" w:hAnsiTheme="majorHAnsi" w:cstheme="majorHAnsi"/>
        </w:rPr>
        <w:fldChar w:fldCharType="separate"/>
      </w:r>
      <w:r w:rsidRPr="00B93BC6">
        <w:rPr>
          <w:rFonts w:asciiTheme="majorHAnsi" w:hAnsiTheme="majorHAnsi" w:cstheme="majorHAnsi"/>
        </w:rPr>
        <w:t>1.</w:t>
      </w:r>
      <w:r w:rsidRPr="00B93BC6">
        <w:rPr>
          <w:rFonts w:asciiTheme="majorHAnsi" w:hAnsiTheme="majorHAnsi" w:cstheme="majorHAnsi"/>
        </w:rPr>
        <w:tab/>
        <w:t xml:space="preserve">Vinuesa, C.G., Linterman, M.A., Yu, D., MacLennan, I.C.M. Follicular Helper T Cells. </w:t>
      </w:r>
      <w:r w:rsidRPr="00B93BC6">
        <w:rPr>
          <w:rFonts w:asciiTheme="majorHAnsi" w:hAnsiTheme="majorHAnsi" w:cstheme="majorHAnsi"/>
          <w:i/>
          <w:iCs/>
        </w:rPr>
        <w:t>Annual Review of Immunology</w:t>
      </w:r>
      <w:r w:rsidRPr="00B93BC6">
        <w:rPr>
          <w:rFonts w:asciiTheme="majorHAnsi" w:hAnsiTheme="majorHAnsi" w:cstheme="majorHAnsi"/>
        </w:rPr>
        <w:t xml:space="preserve">. </w:t>
      </w:r>
      <w:r w:rsidRPr="00B93BC6">
        <w:rPr>
          <w:rFonts w:asciiTheme="majorHAnsi" w:hAnsiTheme="majorHAnsi" w:cstheme="majorHAnsi"/>
          <w:b/>
          <w:bCs/>
        </w:rPr>
        <w:t>34</w:t>
      </w:r>
      <w:r w:rsidRPr="00B93BC6">
        <w:rPr>
          <w:rFonts w:asciiTheme="majorHAnsi" w:hAnsiTheme="majorHAnsi" w:cstheme="majorHAnsi"/>
        </w:rPr>
        <w:t xml:space="preserve"> (1), 335–368, doi: 10.1146/annurev-immunol-041015-055605 (2016).</w:t>
      </w:r>
    </w:p>
    <w:p w14:paraId="402A4FB1"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w:t>
      </w:r>
      <w:r w:rsidRPr="00B93BC6">
        <w:rPr>
          <w:rFonts w:asciiTheme="majorHAnsi" w:hAnsiTheme="majorHAnsi" w:cstheme="majorHAnsi"/>
        </w:rPr>
        <w:tab/>
        <w:t xml:space="preserve">Nurieva, R.I. </w:t>
      </w:r>
      <w:r w:rsidRPr="00B93BC6">
        <w:rPr>
          <w:rFonts w:asciiTheme="majorHAnsi" w:hAnsiTheme="majorHAnsi" w:cstheme="majorHAnsi"/>
          <w:i/>
          <w:iCs/>
        </w:rPr>
        <w:t>et al.</w:t>
      </w:r>
      <w:r w:rsidRPr="00B93BC6">
        <w:rPr>
          <w:rFonts w:asciiTheme="majorHAnsi" w:hAnsiTheme="majorHAnsi" w:cstheme="majorHAnsi"/>
        </w:rPr>
        <w:t xml:space="preserve"> Bcl6 Mediates the Development of T Follicular Helper Cells. </w:t>
      </w:r>
      <w:r w:rsidRPr="00B93BC6">
        <w:rPr>
          <w:rFonts w:asciiTheme="majorHAnsi" w:hAnsiTheme="majorHAnsi" w:cstheme="majorHAnsi"/>
          <w:i/>
          <w:iCs/>
        </w:rPr>
        <w:t>Science (New York, N.Y.)</w:t>
      </w:r>
      <w:r w:rsidRPr="00B93BC6">
        <w:rPr>
          <w:rFonts w:asciiTheme="majorHAnsi" w:hAnsiTheme="majorHAnsi" w:cstheme="majorHAnsi"/>
        </w:rPr>
        <w:t xml:space="preserve">. </w:t>
      </w:r>
      <w:r w:rsidRPr="00B93BC6">
        <w:rPr>
          <w:rFonts w:asciiTheme="majorHAnsi" w:hAnsiTheme="majorHAnsi" w:cstheme="majorHAnsi"/>
          <w:b/>
          <w:bCs/>
        </w:rPr>
        <w:t>325</w:t>
      </w:r>
      <w:r w:rsidRPr="00B93BC6">
        <w:rPr>
          <w:rFonts w:asciiTheme="majorHAnsi" w:hAnsiTheme="majorHAnsi" w:cstheme="majorHAnsi"/>
        </w:rPr>
        <w:t xml:space="preserve"> (5943), 1001–1005, doi: 10.1126/science.1176676 (2009).</w:t>
      </w:r>
    </w:p>
    <w:p w14:paraId="3240068E"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3.</w:t>
      </w:r>
      <w:r w:rsidRPr="00B93BC6">
        <w:rPr>
          <w:rFonts w:asciiTheme="majorHAnsi" w:hAnsiTheme="majorHAnsi" w:cstheme="majorHAnsi"/>
        </w:rPr>
        <w:tab/>
        <w:t xml:space="preserve">Breitfeld, D. </w:t>
      </w:r>
      <w:r w:rsidRPr="00B93BC6">
        <w:rPr>
          <w:rFonts w:asciiTheme="majorHAnsi" w:hAnsiTheme="majorHAnsi" w:cstheme="majorHAnsi"/>
          <w:i/>
          <w:iCs/>
        </w:rPr>
        <w:t>et al.</w:t>
      </w:r>
      <w:r w:rsidRPr="00B93BC6">
        <w:rPr>
          <w:rFonts w:asciiTheme="majorHAnsi" w:hAnsiTheme="majorHAnsi" w:cstheme="majorHAnsi"/>
        </w:rPr>
        <w:t xml:space="preserve"> Follicular B Helper T Cells Express Cxc Chemokine Receptor 5, Localize to B Cell Follicles, and Support Immunoglobulin Production. </w:t>
      </w:r>
      <w:r w:rsidRPr="00B93BC6">
        <w:rPr>
          <w:rFonts w:asciiTheme="majorHAnsi" w:hAnsiTheme="majorHAnsi" w:cstheme="majorHAnsi"/>
          <w:i/>
          <w:iCs/>
        </w:rPr>
        <w:t>The Journal of Experimental Medicine</w:t>
      </w:r>
      <w:r w:rsidRPr="00B93BC6">
        <w:rPr>
          <w:rFonts w:asciiTheme="majorHAnsi" w:hAnsiTheme="majorHAnsi" w:cstheme="majorHAnsi"/>
        </w:rPr>
        <w:t xml:space="preserve">. </w:t>
      </w:r>
      <w:r w:rsidRPr="00B93BC6">
        <w:rPr>
          <w:rFonts w:asciiTheme="majorHAnsi" w:hAnsiTheme="majorHAnsi" w:cstheme="majorHAnsi"/>
          <w:b/>
          <w:bCs/>
        </w:rPr>
        <w:t>192</w:t>
      </w:r>
      <w:r w:rsidRPr="00B93BC6">
        <w:rPr>
          <w:rFonts w:asciiTheme="majorHAnsi" w:hAnsiTheme="majorHAnsi" w:cstheme="majorHAnsi"/>
        </w:rPr>
        <w:t xml:space="preserve"> (11), 1545–1552 (2000).</w:t>
      </w:r>
    </w:p>
    <w:p w14:paraId="5D48337A"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4.</w:t>
      </w:r>
      <w:r w:rsidRPr="00B93BC6">
        <w:rPr>
          <w:rFonts w:asciiTheme="majorHAnsi" w:hAnsiTheme="majorHAnsi" w:cstheme="majorHAnsi"/>
        </w:rPr>
        <w:tab/>
        <w:t xml:space="preserve">Linterman, M.A. </w:t>
      </w:r>
      <w:r w:rsidRPr="00B93BC6">
        <w:rPr>
          <w:rFonts w:asciiTheme="majorHAnsi" w:hAnsiTheme="majorHAnsi" w:cstheme="majorHAnsi"/>
          <w:i/>
          <w:iCs/>
        </w:rPr>
        <w:t>et al.</w:t>
      </w:r>
      <w:r w:rsidRPr="00B93BC6">
        <w:rPr>
          <w:rFonts w:asciiTheme="majorHAnsi" w:hAnsiTheme="majorHAnsi" w:cstheme="majorHAnsi"/>
        </w:rPr>
        <w:t xml:space="preserve"> Follicular helper T cells are required for systemic autoimmunity. </w:t>
      </w:r>
      <w:r w:rsidRPr="00B93BC6">
        <w:rPr>
          <w:rFonts w:asciiTheme="majorHAnsi" w:hAnsiTheme="majorHAnsi" w:cstheme="majorHAnsi"/>
          <w:i/>
          <w:iCs/>
        </w:rPr>
        <w:t>The Journal of Experimental Medicine</w:t>
      </w:r>
      <w:r w:rsidRPr="00B93BC6">
        <w:rPr>
          <w:rFonts w:asciiTheme="majorHAnsi" w:hAnsiTheme="majorHAnsi" w:cstheme="majorHAnsi"/>
        </w:rPr>
        <w:t xml:space="preserve">. </w:t>
      </w:r>
      <w:r w:rsidRPr="00B93BC6">
        <w:rPr>
          <w:rFonts w:asciiTheme="majorHAnsi" w:hAnsiTheme="majorHAnsi" w:cstheme="majorHAnsi"/>
          <w:b/>
          <w:bCs/>
        </w:rPr>
        <w:t>206</w:t>
      </w:r>
      <w:r w:rsidRPr="00B93BC6">
        <w:rPr>
          <w:rFonts w:asciiTheme="majorHAnsi" w:hAnsiTheme="majorHAnsi" w:cstheme="majorHAnsi"/>
        </w:rPr>
        <w:t xml:space="preserve"> (3), 561–576, doi: 10.1084/jem.20081886 (2009).</w:t>
      </w:r>
    </w:p>
    <w:p w14:paraId="35EBAA82"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5.</w:t>
      </w:r>
      <w:r w:rsidRPr="00B93BC6">
        <w:rPr>
          <w:rFonts w:asciiTheme="majorHAnsi" w:hAnsiTheme="majorHAnsi" w:cstheme="majorHAnsi"/>
        </w:rPr>
        <w:tab/>
        <w:t xml:space="preserve">Bindea, G. </w:t>
      </w:r>
      <w:r w:rsidRPr="00B93BC6">
        <w:rPr>
          <w:rFonts w:asciiTheme="majorHAnsi" w:hAnsiTheme="majorHAnsi" w:cstheme="majorHAnsi"/>
          <w:i/>
          <w:iCs/>
        </w:rPr>
        <w:t>et al.</w:t>
      </w:r>
      <w:r w:rsidRPr="00B93BC6">
        <w:rPr>
          <w:rFonts w:asciiTheme="majorHAnsi" w:hAnsiTheme="majorHAnsi" w:cstheme="majorHAnsi"/>
        </w:rPr>
        <w:t xml:space="preserve"> Spatiotemporal Dynamics of Intratumoral Immune Cells Reveal the Immune Landscape in Human Cancer.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782–795, doi: 10.1016/j.immuni.2013.10.003 (2013).</w:t>
      </w:r>
    </w:p>
    <w:p w14:paraId="2CF9193D"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6.</w:t>
      </w:r>
      <w:r w:rsidRPr="00B93BC6">
        <w:rPr>
          <w:rFonts w:asciiTheme="majorHAnsi" w:hAnsiTheme="majorHAnsi" w:cstheme="majorHAnsi"/>
        </w:rPr>
        <w:tab/>
        <w:t xml:space="preserve">Gu-Trantien, C. </w:t>
      </w:r>
      <w:r w:rsidRPr="00B93BC6">
        <w:rPr>
          <w:rFonts w:asciiTheme="majorHAnsi" w:hAnsiTheme="majorHAnsi" w:cstheme="majorHAnsi"/>
          <w:i/>
          <w:iCs/>
        </w:rPr>
        <w:t>et al.</w:t>
      </w:r>
      <w:r w:rsidRPr="00B93BC6">
        <w:rPr>
          <w:rFonts w:asciiTheme="majorHAnsi" w:hAnsiTheme="majorHAnsi" w:cstheme="majorHAnsi"/>
        </w:rPr>
        <w:t xml:space="preserve"> CD4+ follicular helper T cell infiltration predicts breast cancer survival. </w:t>
      </w:r>
      <w:r w:rsidRPr="00B93BC6">
        <w:rPr>
          <w:rFonts w:asciiTheme="majorHAnsi" w:hAnsiTheme="majorHAnsi" w:cstheme="majorHAnsi"/>
          <w:i/>
          <w:iCs/>
        </w:rPr>
        <w:t>The Journal of Clinical Investigation</w:t>
      </w:r>
      <w:r w:rsidRPr="00B93BC6">
        <w:rPr>
          <w:rFonts w:asciiTheme="majorHAnsi" w:hAnsiTheme="majorHAnsi" w:cstheme="majorHAnsi"/>
        </w:rPr>
        <w:t xml:space="preserve">. </w:t>
      </w:r>
      <w:r w:rsidRPr="00B93BC6">
        <w:rPr>
          <w:rFonts w:asciiTheme="majorHAnsi" w:hAnsiTheme="majorHAnsi" w:cstheme="majorHAnsi"/>
          <w:b/>
          <w:bCs/>
        </w:rPr>
        <w:t>123</w:t>
      </w:r>
      <w:r w:rsidRPr="00B93BC6">
        <w:rPr>
          <w:rFonts w:asciiTheme="majorHAnsi" w:hAnsiTheme="majorHAnsi" w:cstheme="majorHAnsi"/>
        </w:rPr>
        <w:t xml:space="preserve"> (7), 2873–2892, doi: 10.1172/JCI67428 (2013).</w:t>
      </w:r>
    </w:p>
    <w:p w14:paraId="6B4A1518"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7.</w:t>
      </w:r>
      <w:r w:rsidRPr="00B93BC6">
        <w:rPr>
          <w:rFonts w:asciiTheme="majorHAnsi" w:hAnsiTheme="majorHAnsi" w:cstheme="majorHAnsi"/>
        </w:rPr>
        <w:tab/>
        <w:t xml:space="preserve">Amé-Thomas, P. </w:t>
      </w:r>
      <w:r w:rsidRPr="00B93BC6">
        <w:rPr>
          <w:rFonts w:asciiTheme="majorHAnsi" w:hAnsiTheme="majorHAnsi" w:cstheme="majorHAnsi"/>
          <w:i/>
          <w:iCs/>
        </w:rPr>
        <w:t>et al.</w:t>
      </w:r>
      <w:r w:rsidRPr="00B93BC6">
        <w:rPr>
          <w:rFonts w:asciiTheme="majorHAnsi" w:hAnsiTheme="majorHAnsi" w:cstheme="majorHAnsi"/>
        </w:rPr>
        <w:t xml:space="preserve"> Characterization of intratumoral follicular helper T cells in follicular lymphoma: role in the survival of malignant B cells. </w:t>
      </w:r>
      <w:r w:rsidRPr="00B93BC6">
        <w:rPr>
          <w:rFonts w:asciiTheme="majorHAnsi" w:hAnsiTheme="majorHAnsi" w:cstheme="majorHAnsi"/>
          <w:i/>
          <w:iCs/>
        </w:rPr>
        <w:t>Leukemia</w:t>
      </w:r>
      <w:r w:rsidRPr="00B93BC6">
        <w:rPr>
          <w:rFonts w:asciiTheme="majorHAnsi" w:hAnsiTheme="majorHAnsi" w:cstheme="majorHAnsi"/>
        </w:rPr>
        <w:t xml:space="preserve">. </w:t>
      </w:r>
      <w:r w:rsidRPr="00B93BC6">
        <w:rPr>
          <w:rFonts w:asciiTheme="majorHAnsi" w:hAnsiTheme="majorHAnsi" w:cstheme="majorHAnsi"/>
          <w:b/>
          <w:bCs/>
        </w:rPr>
        <w:t>26</w:t>
      </w:r>
      <w:r w:rsidRPr="00B93BC6">
        <w:rPr>
          <w:rFonts w:asciiTheme="majorHAnsi" w:hAnsiTheme="majorHAnsi" w:cstheme="majorHAnsi"/>
        </w:rPr>
        <w:t xml:space="preserve"> (5), 1053–1063, doi: 10.1038/leu.2011.301 (2012).</w:t>
      </w:r>
    </w:p>
    <w:p w14:paraId="1418350E"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8.</w:t>
      </w:r>
      <w:r w:rsidRPr="00B93BC6">
        <w:rPr>
          <w:rFonts w:asciiTheme="majorHAnsi" w:hAnsiTheme="majorHAnsi" w:cstheme="majorHAnsi"/>
        </w:rPr>
        <w:tab/>
        <w:t xml:space="preserve">Bossaller, L. </w:t>
      </w:r>
      <w:r w:rsidRPr="00B93BC6">
        <w:rPr>
          <w:rFonts w:asciiTheme="majorHAnsi" w:hAnsiTheme="majorHAnsi" w:cstheme="majorHAnsi"/>
          <w:i/>
          <w:iCs/>
        </w:rPr>
        <w:t>et al.</w:t>
      </w:r>
      <w:r w:rsidRPr="00B93BC6">
        <w:rPr>
          <w:rFonts w:asciiTheme="majorHAnsi" w:hAnsiTheme="majorHAnsi" w:cstheme="majorHAnsi"/>
        </w:rPr>
        <w:t xml:space="preserve"> ICOS Deficiency Is Associated with a Severe Reduction of CXCR5+CD4 Germinal Center Th Cells. </w:t>
      </w:r>
      <w:r w:rsidRPr="00B93BC6">
        <w:rPr>
          <w:rFonts w:asciiTheme="majorHAnsi" w:hAnsiTheme="majorHAnsi" w:cstheme="majorHAnsi"/>
          <w:i/>
          <w:iCs/>
        </w:rPr>
        <w:t>The Journal of Immunology</w:t>
      </w:r>
      <w:r w:rsidRPr="00B93BC6">
        <w:rPr>
          <w:rFonts w:asciiTheme="majorHAnsi" w:hAnsiTheme="majorHAnsi" w:cstheme="majorHAnsi"/>
        </w:rPr>
        <w:t xml:space="preserve">. </w:t>
      </w:r>
      <w:r w:rsidRPr="00B93BC6">
        <w:rPr>
          <w:rFonts w:asciiTheme="majorHAnsi" w:hAnsiTheme="majorHAnsi" w:cstheme="majorHAnsi"/>
          <w:b/>
          <w:bCs/>
        </w:rPr>
        <w:t>177</w:t>
      </w:r>
      <w:r w:rsidRPr="00B93BC6">
        <w:rPr>
          <w:rFonts w:asciiTheme="majorHAnsi" w:hAnsiTheme="majorHAnsi" w:cstheme="majorHAnsi"/>
        </w:rPr>
        <w:t xml:space="preserve"> (7), 4927–4932, doi: 10.4049/jimmunol.177.7.4927 (2006).</w:t>
      </w:r>
    </w:p>
    <w:p w14:paraId="7FB80CF5"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9.</w:t>
      </w:r>
      <w:r w:rsidRPr="00B93BC6">
        <w:rPr>
          <w:rFonts w:asciiTheme="majorHAnsi" w:hAnsiTheme="majorHAnsi" w:cstheme="majorHAnsi"/>
        </w:rPr>
        <w:tab/>
        <w:t xml:space="preserve">Morita, R. </w:t>
      </w:r>
      <w:r w:rsidRPr="00B93BC6">
        <w:rPr>
          <w:rFonts w:asciiTheme="majorHAnsi" w:hAnsiTheme="majorHAnsi" w:cstheme="majorHAnsi"/>
          <w:i/>
          <w:iCs/>
        </w:rPr>
        <w:t>et al.</w:t>
      </w:r>
      <w:r w:rsidRPr="00B93BC6">
        <w:rPr>
          <w:rFonts w:asciiTheme="majorHAnsi" w:hAnsiTheme="majorHAnsi" w:cstheme="majorHAnsi"/>
        </w:rPr>
        <w:t xml:space="preserve"> Human Blood CXCR5+CD4+ T Cells Are Counterparts of T Follicular Cells and Contain Specific Subsets that Differentially Support Antibody Secretion.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34</w:t>
      </w:r>
      <w:r w:rsidRPr="00B93BC6">
        <w:rPr>
          <w:rFonts w:asciiTheme="majorHAnsi" w:hAnsiTheme="majorHAnsi" w:cstheme="majorHAnsi"/>
        </w:rPr>
        <w:t xml:space="preserve"> (1), 108–121, doi: 10.1016/j.immuni.2010.12.012 (2011).</w:t>
      </w:r>
    </w:p>
    <w:p w14:paraId="52D62005"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10.</w:t>
      </w:r>
      <w:r w:rsidRPr="00B93BC6">
        <w:rPr>
          <w:rFonts w:asciiTheme="majorHAnsi" w:hAnsiTheme="majorHAnsi" w:cstheme="majorHAnsi"/>
        </w:rPr>
        <w:tab/>
        <w:t xml:space="preserve">Locci, M. </w:t>
      </w:r>
      <w:r w:rsidRPr="00B93BC6">
        <w:rPr>
          <w:rFonts w:asciiTheme="majorHAnsi" w:hAnsiTheme="majorHAnsi" w:cstheme="majorHAnsi"/>
          <w:i/>
          <w:iCs/>
        </w:rPr>
        <w:t>et al.</w:t>
      </w:r>
      <w:r w:rsidRPr="00B93BC6">
        <w:rPr>
          <w:rFonts w:asciiTheme="majorHAnsi" w:hAnsiTheme="majorHAnsi" w:cstheme="majorHAnsi"/>
        </w:rPr>
        <w:t xml:space="preserve"> Human circulating PD-1+CXCR3-CXCR5+ memory Tfh cells are highly functional and correlate with broadly neutralizing HIV antibody responses.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758–769, doi: 10.1016/j.immuni.2013.08.031 (2013).</w:t>
      </w:r>
    </w:p>
    <w:p w14:paraId="7B9733F5"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11.</w:t>
      </w:r>
      <w:r w:rsidRPr="00B93BC6">
        <w:rPr>
          <w:rFonts w:asciiTheme="majorHAnsi" w:hAnsiTheme="majorHAnsi" w:cstheme="majorHAnsi"/>
        </w:rPr>
        <w:tab/>
        <w:t xml:space="preserve">He, J. </w:t>
      </w:r>
      <w:r w:rsidRPr="00B93BC6">
        <w:rPr>
          <w:rFonts w:asciiTheme="majorHAnsi" w:hAnsiTheme="majorHAnsi" w:cstheme="majorHAnsi"/>
          <w:i/>
          <w:iCs/>
        </w:rPr>
        <w:t>et al.</w:t>
      </w:r>
      <w:r w:rsidRPr="00B93BC6">
        <w:rPr>
          <w:rFonts w:asciiTheme="majorHAnsi" w:hAnsiTheme="majorHAnsi" w:cstheme="majorHAnsi"/>
        </w:rPr>
        <w:t xml:space="preserve"> Circulating Precursor CCR7loPD-1hi CXCR5+ CD4+ T Cells Indicate Tfh Cell Activity and Promote Antibody Responses upon Antigen Reexposure.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770–781, doi: 10.1016/j.immuni.2013.09.007 (2013).</w:t>
      </w:r>
    </w:p>
    <w:p w14:paraId="72B13D87"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12.</w:t>
      </w:r>
      <w:r w:rsidRPr="00B93BC6">
        <w:rPr>
          <w:rFonts w:asciiTheme="majorHAnsi" w:hAnsiTheme="majorHAnsi" w:cstheme="majorHAnsi"/>
        </w:rPr>
        <w:tab/>
        <w:t xml:space="preserve">Schmitt, N., Bentebibel, S.-E., Ueno, H. Phenotype and functions of memory Tfh cells in human blood. </w:t>
      </w:r>
      <w:r w:rsidRPr="00B93BC6">
        <w:rPr>
          <w:rFonts w:asciiTheme="majorHAnsi" w:hAnsiTheme="majorHAnsi" w:cstheme="majorHAnsi"/>
          <w:i/>
          <w:iCs/>
        </w:rPr>
        <w:t>Trends in Immunology</w:t>
      </w:r>
      <w:r w:rsidRPr="00B93BC6">
        <w:rPr>
          <w:rFonts w:asciiTheme="majorHAnsi" w:hAnsiTheme="majorHAnsi" w:cstheme="majorHAnsi"/>
        </w:rPr>
        <w:t xml:space="preserve">. </w:t>
      </w:r>
      <w:r w:rsidRPr="00B93BC6">
        <w:rPr>
          <w:rFonts w:asciiTheme="majorHAnsi" w:hAnsiTheme="majorHAnsi" w:cstheme="majorHAnsi"/>
          <w:b/>
          <w:bCs/>
        </w:rPr>
        <w:t>35</w:t>
      </w:r>
      <w:r w:rsidRPr="00B93BC6">
        <w:rPr>
          <w:rFonts w:asciiTheme="majorHAnsi" w:hAnsiTheme="majorHAnsi" w:cstheme="majorHAnsi"/>
        </w:rPr>
        <w:t xml:space="preserve"> (9), 436–442, doi: 10.1016/j.it.2014.06.002 (2014).</w:t>
      </w:r>
    </w:p>
    <w:p w14:paraId="14926A3E"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13.</w:t>
      </w:r>
      <w:r w:rsidRPr="00B93BC6">
        <w:rPr>
          <w:rFonts w:asciiTheme="majorHAnsi" w:hAnsiTheme="majorHAnsi" w:cstheme="majorHAnsi"/>
        </w:rPr>
        <w:tab/>
        <w:t xml:space="preserve">Simpson, N. </w:t>
      </w:r>
      <w:r w:rsidRPr="00B93BC6">
        <w:rPr>
          <w:rFonts w:asciiTheme="majorHAnsi" w:hAnsiTheme="majorHAnsi" w:cstheme="majorHAnsi"/>
          <w:i/>
          <w:iCs/>
        </w:rPr>
        <w:t>et al.</w:t>
      </w:r>
      <w:r w:rsidRPr="00B93BC6">
        <w:rPr>
          <w:rFonts w:asciiTheme="majorHAnsi" w:hAnsiTheme="majorHAnsi" w:cstheme="majorHAnsi"/>
        </w:rPr>
        <w:t xml:space="preserve"> Expansion of circulating T cells resembling follicular helper T cells is a fixed phenotype that identifies a subset of severe systemic lupus erythematosus. </w:t>
      </w:r>
      <w:r w:rsidRPr="00B93BC6">
        <w:rPr>
          <w:rFonts w:asciiTheme="majorHAnsi" w:hAnsiTheme="majorHAnsi" w:cstheme="majorHAnsi"/>
          <w:i/>
          <w:iCs/>
        </w:rPr>
        <w:t>Arthritis and Rheumatism</w:t>
      </w:r>
      <w:r w:rsidRPr="00B93BC6">
        <w:rPr>
          <w:rFonts w:asciiTheme="majorHAnsi" w:hAnsiTheme="majorHAnsi" w:cstheme="majorHAnsi"/>
        </w:rPr>
        <w:t xml:space="preserve">. </w:t>
      </w:r>
      <w:r w:rsidRPr="00B93BC6">
        <w:rPr>
          <w:rFonts w:asciiTheme="majorHAnsi" w:hAnsiTheme="majorHAnsi" w:cstheme="majorHAnsi"/>
          <w:b/>
          <w:bCs/>
        </w:rPr>
        <w:t>62</w:t>
      </w:r>
      <w:r w:rsidRPr="00B93BC6">
        <w:rPr>
          <w:rFonts w:asciiTheme="majorHAnsi" w:hAnsiTheme="majorHAnsi" w:cstheme="majorHAnsi"/>
        </w:rPr>
        <w:t xml:space="preserve"> (1), 234–244, doi: 10.1002/art.25032 (2010).</w:t>
      </w:r>
    </w:p>
    <w:p w14:paraId="50028C49"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14.</w:t>
      </w:r>
      <w:r w:rsidRPr="00B93BC6">
        <w:rPr>
          <w:rFonts w:asciiTheme="majorHAnsi" w:hAnsiTheme="majorHAnsi" w:cstheme="majorHAnsi"/>
        </w:rPr>
        <w:tab/>
        <w:t xml:space="preserve">Wang, J. </w:t>
      </w:r>
      <w:r w:rsidRPr="00B93BC6">
        <w:rPr>
          <w:rFonts w:asciiTheme="majorHAnsi" w:hAnsiTheme="majorHAnsi" w:cstheme="majorHAnsi"/>
          <w:i/>
          <w:iCs/>
        </w:rPr>
        <w:t>et al.</w:t>
      </w:r>
      <w:r w:rsidRPr="00B93BC6">
        <w:rPr>
          <w:rFonts w:asciiTheme="majorHAnsi" w:hAnsiTheme="majorHAnsi" w:cstheme="majorHAnsi"/>
        </w:rPr>
        <w:t xml:space="preserve"> High frequencies of activated B cells and T follicular helper cells are correlated with disease activity in patients with new-onset rheumatoid arthritis. </w:t>
      </w:r>
      <w:r w:rsidRPr="00B93BC6">
        <w:rPr>
          <w:rFonts w:asciiTheme="majorHAnsi" w:hAnsiTheme="majorHAnsi" w:cstheme="majorHAnsi"/>
          <w:i/>
          <w:iCs/>
        </w:rPr>
        <w:t>Clinical and Experimental Immunology</w:t>
      </w:r>
      <w:r w:rsidRPr="00B93BC6">
        <w:rPr>
          <w:rFonts w:asciiTheme="majorHAnsi" w:hAnsiTheme="majorHAnsi" w:cstheme="majorHAnsi"/>
        </w:rPr>
        <w:t xml:space="preserve">. </w:t>
      </w:r>
      <w:r w:rsidRPr="00B93BC6">
        <w:rPr>
          <w:rFonts w:asciiTheme="majorHAnsi" w:hAnsiTheme="majorHAnsi" w:cstheme="majorHAnsi"/>
          <w:b/>
          <w:bCs/>
        </w:rPr>
        <w:t>174</w:t>
      </w:r>
      <w:r w:rsidRPr="00B93BC6">
        <w:rPr>
          <w:rFonts w:asciiTheme="majorHAnsi" w:hAnsiTheme="majorHAnsi" w:cstheme="majorHAnsi"/>
        </w:rPr>
        <w:t xml:space="preserve"> (2), 212–220, doi: 10.1111/cei.12162 (2013).</w:t>
      </w:r>
    </w:p>
    <w:p w14:paraId="0CCCBC77" w14:textId="77777777" w:rsidR="00E1719E" w:rsidRDefault="00E1719E" w:rsidP="00237CA1">
      <w:pPr>
        <w:pStyle w:val="ab"/>
        <w:rPr>
          <w:rFonts w:asciiTheme="majorHAnsi" w:hAnsiTheme="majorHAnsi" w:cstheme="majorHAnsi"/>
        </w:rPr>
      </w:pPr>
      <w:r w:rsidRPr="00B93BC6">
        <w:rPr>
          <w:rFonts w:asciiTheme="majorHAnsi" w:hAnsiTheme="majorHAnsi" w:cstheme="majorHAnsi"/>
        </w:rPr>
        <w:t>15.</w:t>
      </w:r>
      <w:r w:rsidRPr="00B93BC6">
        <w:rPr>
          <w:rFonts w:asciiTheme="majorHAnsi" w:hAnsiTheme="majorHAnsi" w:cstheme="majorHAnsi"/>
        </w:rPr>
        <w:tab/>
        <w:t xml:space="preserve">Ueno, H. Human Circulating T Follicular Helper Cell Subsets in Health and Disease. </w:t>
      </w:r>
      <w:r w:rsidRPr="00B93BC6">
        <w:rPr>
          <w:rFonts w:asciiTheme="majorHAnsi" w:hAnsiTheme="majorHAnsi" w:cstheme="majorHAnsi"/>
          <w:i/>
          <w:iCs/>
        </w:rPr>
        <w:t>Journal of Clinical Immunology</w:t>
      </w:r>
      <w:r w:rsidRPr="00B93BC6">
        <w:rPr>
          <w:rFonts w:asciiTheme="majorHAnsi" w:hAnsiTheme="majorHAnsi" w:cstheme="majorHAnsi"/>
        </w:rPr>
        <w:t xml:space="preserve">. </w:t>
      </w:r>
      <w:r w:rsidRPr="00B93BC6">
        <w:rPr>
          <w:rFonts w:asciiTheme="majorHAnsi" w:hAnsiTheme="majorHAnsi" w:cstheme="majorHAnsi"/>
          <w:b/>
          <w:bCs/>
        </w:rPr>
        <w:t>36</w:t>
      </w:r>
      <w:r w:rsidRPr="00B93BC6">
        <w:rPr>
          <w:rFonts w:asciiTheme="majorHAnsi" w:hAnsiTheme="majorHAnsi" w:cstheme="majorHAnsi"/>
        </w:rPr>
        <w:t xml:space="preserve"> (S1), 34–39, doi: 10.1007/s10875-016-0268-3 (2016).</w:t>
      </w:r>
    </w:p>
    <w:p w14:paraId="2566E2F2"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6</w:t>
      </w:r>
      <w:r w:rsidRPr="00B93BC6">
        <w:rPr>
          <w:rFonts w:asciiTheme="majorHAnsi" w:hAnsiTheme="majorHAnsi" w:cstheme="majorHAnsi"/>
        </w:rPr>
        <w:t>.</w:t>
      </w:r>
      <w:r w:rsidRPr="00B93BC6">
        <w:rPr>
          <w:rFonts w:asciiTheme="majorHAnsi" w:hAnsiTheme="majorHAnsi" w:cstheme="majorHAnsi"/>
        </w:rPr>
        <w:tab/>
        <w:t xml:space="preserve">Maecker Holden T., Trotter Joseph Flow cytometry controls, instrument setup, and the determination of positivity. </w:t>
      </w:r>
      <w:r w:rsidRPr="00B93BC6">
        <w:rPr>
          <w:rFonts w:asciiTheme="majorHAnsi" w:hAnsiTheme="majorHAnsi" w:cstheme="majorHAnsi"/>
          <w:i/>
          <w:iCs/>
        </w:rPr>
        <w:t>Cytometry Part A</w:t>
      </w:r>
      <w:r w:rsidRPr="00B93BC6">
        <w:rPr>
          <w:rFonts w:asciiTheme="majorHAnsi" w:hAnsiTheme="majorHAnsi" w:cstheme="majorHAnsi"/>
        </w:rPr>
        <w:t xml:space="preserve">. </w:t>
      </w:r>
      <w:r w:rsidRPr="00B93BC6">
        <w:rPr>
          <w:rFonts w:asciiTheme="majorHAnsi" w:hAnsiTheme="majorHAnsi" w:cstheme="majorHAnsi"/>
          <w:b/>
          <w:bCs/>
        </w:rPr>
        <w:t>69A</w:t>
      </w:r>
      <w:r w:rsidRPr="00B93BC6">
        <w:rPr>
          <w:rFonts w:asciiTheme="majorHAnsi" w:hAnsiTheme="majorHAnsi" w:cstheme="majorHAnsi"/>
        </w:rPr>
        <w:t xml:space="preserve"> (9), 1037–1042, doi: 10.1002/cyto.a.20333 (2006).</w:t>
      </w:r>
    </w:p>
    <w:p w14:paraId="771D1CDA" w14:textId="77777777" w:rsidR="00E1719E" w:rsidRPr="0070164B" w:rsidRDefault="00E1719E" w:rsidP="00237CA1">
      <w:pPr>
        <w:pStyle w:val="ab"/>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7</w:t>
      </w:r>
      <w:r w:rsidRPr="00B93BC6">
        <w:rPr>
          <w:rFonts w:asciiTheme="majorHAnsi" w:hAnsiTheme="majorHAnsi" w:cstheme="majorHAnsi"/>
        </w:rPr>
        <w:t>.</w:t>
      </w:r>
      <w:r w:rsidRPr="00B93BC6">
        <w:rPr>
          <w:rFonts w:asciiTheme="majorHAnsi" w:hAnsiTheme="majorHAnsi" w:cstheme="majorHAnsi"/>
        </w:rPr>
        <w:tab/>
        <w:t xml:space="preserve">Jia, Y. </w:t>
      </w:r>
      <w:r w:rsidRPr="00B93BC6">
        <w:rPr>
          <w:rFonts w:asciiTheme="majorHAnsi" w:hAnsiTheme="majorHAnsi" w:cstheme="majorHAnsi"/>
          <w:i/>
          <w:iCs/>
        </w:rPr>
        <w:t>et al.</w:t>
      </w:r>
      <w:r w:rsidRPr="00B93BC6">
        <w:rPr>
          <w:rFonts w:asciiTheme="majorHAnsi" w:hAnsiTheme="majorHAnsi" w:cstheme="majorHAnsi"/>
        </w:rPr>
        <w:t xml:space="preserve"> Impaired Function of CD4+ T Follicular Helper (Tfh) Cells Associated with Hepatocellular Carcinoma Progression. </w:t>
      </w:r>
      <w:r w:rsidRPr="00B93BC6">
        <w:rPr>
          <w:rFonts w:asciiTheme="majorHAnsi" w:hAnsiTheme="majorHAnsi" w:cstheme="majorHAnsi"/>
          <w:i/>
          <w:iCs/>
        </w:rPr>
        <w:t>PLOS ONE</w:t>
      </w:r>
      <w:r w:rsidRPr="00B93BC6">
        <w:rPr>
          <w:rFonts w:asciiTheme="majorHAnsi" w:hAnsiTheme="majorHAnsi" w:cstheme="majorHAnsi"/>
        </w:rPr>
        <w:t xml:space="preserve">. </w:t>
      </w:r>
      <w:r w:rsidRPr="00B93BC6">
        <w:rPr>
          <w:rFonts w:asciiTheme="majorHAnsi" w:hAnsiTheme="majorHAnsi" w:cstheme="majorHAnsi"/>
          <w:b/>
          <w:bCs/>
        </w:rPr>
        <w:t>10</w:t>
      </w:r>
      <w:r w:rsidRPr="00B93BC6">
        <w:rPr>
          <w:rFonts w:asciiTheme="majorHAnsi" w:hAnsiTheme="majorHAnsi" w:cstheme="majorHAnsi"/>
        </w:rPr>
        <w:t xml:space="preserve"> (2), e0117458, doi: 10.1371/journal.pone.0117458 (2015).</w:t>
      </w:r>
    </w:p>
    <w:p w14:paraId="32E8C737" w14:textId="77777777" w:rsidR="00E1719E" w:rsidRPr="008912B4" w:rsidRDefault="00E1719E" w:rsidP="00237CA1">
      <w:pPr>
        <w:pStyle w:val="ab"/>
        <w:rPr>
          <w:rFonts w:asciiTheme="majorHAnsi" w:hAnsiTheme="majorHAnsi" w:cstheme="majorHAnsi"/>
        </w:rPr>
      </w:pPr>
      <w:r>
        <w:rPr>
          <w:rFonts w:asciiTheme="majorHAnsi" w:hAnsiTheme="majorHAnsi" w:cstheme="majorHAnsi"/>
        </w:rPr>
        <w:t>18</w:t>
      </w:r>
      <w:r w:rsidRPr="00B93BC6">
        <w:rPr>
          <w:rFonts w:asciiTheme="majorHAnsi" w:hAnsiTheme="majorHAnsi" w:cstheme="majorHAnsi"/>
        </w:rPr>
        <w:t>.</w:t>
      </w:r>
      <w:r w:rsidRPr="00B93BC6">
        <w:rPr>
          <w:rFonts w:asciiTheme="majorHAnsi" w:hAnsiTheme="majorHAnsi" w:cstheme="majorHAnsi"/>
        </w:rPr>
        <w:tab/>
        <w:t xml:space="preserve">Byford, E.T., Carr, M., Ladikou, E., Ahearne, M.J., Wagner, S.D. Circulating Tfh1 (cTfh1) cell numbers and PD1 expression are elevated in low-grade B-cell non-Hodgkin’s lymphoma and cTfh gene expression is perturbed in marginal zone lymphoma. </w:t>
      </w:r>
      <w:r w:rsidRPr="00B93BC6">
        <w:rPr>
          <w:rFonts w:asciiTheme="majorHAnsi" w:hAnsiTheme="majorHAnsi" w:cstheme="majorHAnsi"/>
          <w:i/>
          <w:iCs/>
        </w:rPr>
        <w:t>PLOS ONE</w:t>
      </w:r>
      <w:r w:rsidRPr="00B93BC6">
        <w:rPr>
          <w:rFonts w:asciiTheme="majorHAnsi" w:hAnsiTheme="majorHAnsi" w:cstheme="majorHAnsi"/>
        </w:rPr>
        <w:t xml:space="preserve">. </w:t>
      </w:r>
      <w:r w:rsidRPr="00B93BC6">
        <w:rPr>
          <w:rFonts w:asciiTheme="majorHAnsi" w:hAnsiTheme="majorHAnsi" w:cstheme="majorHAnsi"/>
          <w:b/>
          <w:bCs/>
        </w:rPr>
        <w:t>13</w:t>
      </w:r>
      <w:r w:rsidRPr="00B93BC6">
        <w:rPr>
          <w:rFonts w:asciiTheme="majorHAnsi" w:hAnsiTheme="majorHAnsi" w:cstheme="majorHAnsi"/>
        </w:rPr>
        <w:t xml:space="preserve"> (1), e0190468, doi: 10.1371/journal.pone.0190468 (2018).</w:t>
      </w:r>
    </w:p>
    <w:p w14:paraId="272F51BD"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9</w:t>
      </w:r>
      <w:r w:rsidRPr="00B93BC6">
        <w:rPr>
          <w:rFonts w:asciiTheme="majorHAnsi" w:hAnsiTheme="majorHAnsi" w:cstheme="majorHAnsi"/>
        </w:rPr>
        <w:t>.</w:t>
      </w:r>
      <w:r w:rsidRPr="00B93BC6">
        <w:rPr>
          <w:rFonts w:asciiTheme="majorHAnsi" w:hAnsiTheme="majorHAnsi" w:cstheme="majorHAnsi"/>
        </w:rPr>
        <w:tab/>
        <w:t xml:space="preserve">Annunziato, F. </w:t>
      </w:r>
      <w:r w:rsidRPr="00B93BC6">
        <w:rPr>
          <w:rFonts w:asciiTheme="majorHAnsi" w:hAnsiTheme="majorHAnsi" w:cstheme="majorHAnsi"/>
          <w:i/>
          <w:iCs/>
        </w:rPr>
        <w:t>et al.</w:t>
      </w:r>
      <w:r w:rsidRPr="00B93BC6">
        <w:rPr>
          <w:rFonts w:asciiTheme="majorHAnsi" w:hAnsiTheme="majorHAnsi" w:cstheme="majorHAnsi"/>
        </w:rPr>
        <w:t xml:space="preserve"> Phenotypic and functional features of human Th17 cells. </w:t>
      </w:r>
      <w:r w:rsidRPr="00B93BC6">
        <w:rPr>
          <w:rFonts w:asciiTheme="majorHAnsi" w:hAnsiTheme="majorHAnsi" w:cstheme="majorHAnsi"/>
          <w:i/>
          <w:iCs/>
        </w:rPr>
        <w:t>Journal of Experimental Medicine</w:t>
      </w:r>
      <w:r w:rsidRPr="00B93BC6">
        <w:rPr>
          <w:rFonts w:asciiTheme="majorHAnsi" w:hAnsiTheme="majorHAnsi" w:cstheme="majorHAnsi"/>
        </w:rPr>
        <w:t xml:space="preserve">. </w:t>
      </w:r>
      <w:r w:rsidRPr="00B93BC6">
        <w:rPr>
          <w:rFonts w:asciiTheme="majorHAnsi" w:hAnsiTheme="majorHAnsi" w:cstheme="majorHAnsi"/>
          <w:b/>
          <w:bCs/>
        </w:rPr>
        <w:t>204</w:t>
      </w:r>
      <w:r w:rsidRPr="00B93BC6">
        <w:rPr>
          <w:rFonts w:asciiTheme="majorHAnsi" w:hAnsiTheme="majorHAnsi" w:cstheme="majorHAnsi"/>
        </w:rPr>
        <w:t xml:space="preserve"> (8), 1849–1861, doi: 10.1084/jem.20070663 (2007).</w:t>
      </w:r>
    </w:p>
    <w:p w14:paraId="5D5F8172" w14:textId="77777777" w:rsidR="00E1719E" w:rsidRPr="00B93BC6" w:rsidRDefault="00E1719E" w:rsidP="00237CA1">
      <w:pPr>
        <w:pStyle w:val="ab"/>
        <w:rPr>
          <w:rFonts w:asciiTheme="majorHAnsi" w:hAnsiTheme="majorHAnsi" w:cstheme="majorHAnsi"/>
        </w:rPr>
      </w:pPr>
      <w:r>
        <w:rPr>
          <w:rFonts w:asciiTheme="majorHAnsi" w:hAnsiTheme="majorHAnsi" w:cstheme="majorHAnsi"/>
        </w:rPr>
        <w:t>20</w:t>
      </w:r>
      <w:r w:rsidRPr="00B93BC6">
        <w:rPr>
          <w:rFonts w:asciiTheme="majorHAnsi" w:hAnsiTheme="majorHAnsi" w:cstheme="majorHAnsi"/>
        </w:rPr>
        <w:t>.</w:t>
      </w:r>
      <w:r w:rsidRPr="00B93BC6">
        <w:rPr>
          <w:rFonts w:asciiTheme="majorHAnsi" w:hAnsiTheme="majorHAnsi" w:cstheme="majorHAnsi"/>
        </w:rPr>
        <w:tab/>
        <w:t xml:space="preserve">Duan, Z. </w:t>
      </w:r>
      <w:r w:rsidRPr="00B93BC6">
        <w:rPr>
          <w:rFonts w:asciiTheme="majorHAnsi" w:hAnsiTheme="majorHAnsi" w:cstheme="majorHAnsi"/>
          <w:i/>
          <w:iCs/>
        </w:rPr>
        <w:t>et al.</w:t>
      </w:r>
      <w:r w:rsidRPr="00B93BC6">
        <w:rPr>
          <w:rFonts w:asciiTheme="majorHAnsi" w:hAnsiTheme="majorHAnsi" w:cstheme="majorHAnsi"/>
        </w:rPr>
        <w:t xml:space="preserve"> Phenotype and function of CXCR5+CD45RA-CD4+ T cells were altered in HBV-related hepatocellular carcinoma and elevated serum CXCL13 predicted better prognosis. </w:t>
      </w:r>
      <w:r w:rsidRPr="00B93BC6">
        <w:rPr>
          <w:rFonts w:asciiTheme="majorHAnsi" w:hAnsiTheme="majorHAnsi" w:cstheme="majorHAnsi"/>
          <w:i/>
          <w:iCs/>
        </w:rPr>
        <w:t>Oncotarget</w:t>
      </w:r>
      <w:r w:rsidRPr="00B93BC6">
        <w:rPr>
          <w:rFonts w:asciiTheme="majorHAnsi" w:hAnsiTheme="majorHAnsi" w:cstheme="majorHAnsi"/>
        </w:rPr>
        <w:t xml:space="preserve">. </w:t>
      </w:r>
      <w:r w:rsidRPr="00B93BC6">
        <w:rPr>
          <w:rFonts w:asciiTheme="majorHAnsi" w:hAnsiTheme="majorHAnsi" w:cstheme="majorHAnsi"/>
          <w:b/>
          <w:bCs/>
        </w:rPr>
        <w:t>6</w:t>
      </w:r>
      <w:r w:rsidRPr="00B93BC6">
        <w:rPr>
          <w:rFonts w:asciiTheme="majorHAnsi" w:hAnsiTheme="majorHAnsi" w:cstheme="majorHAnsi"/>
        </w:rPr>
        <w:t xml:space="preserve"> (42), 44239–44253, doi: 10.18632/oncotarget.6235 (2015).</w:t>
      </w:r>
    </w:p>
    <w:p w14:paraId="33F5DEB0"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w:t>
      </w:r>
      <w:r>
        <w:rPr>
          <w:rFonts w:asciiTheme="majorHAnsi" w:hAnsiTheme="majorHAnsi" w:cstheme="majorHAnsi"/>
        </w:rPr>
        <w:t>1</w:t>
      </w:r>
      <w:r w:rsidRPr="00B93BC6">
        <w:rPr>
          <w:rFonts w:asciiTheme="majorHAnsi" w:hAnsiTheme="majorHAnsi" w:cstheme="majorHAnsi"/>
        </w:rPr>
        <w:t>.</w:t>
      </w:r>
      <w:r w:rsidRPr="00B93BC6">
        <w:rPr>
          <w:rFonts w:asciiTheme="majorHAnsi" w:hAnsiTheme="majorHAnsi" w:cstheme="majorHAnsi"/>
        </w:rPr>
        <w:tab/>
        <w:t xml:space="preserve">Zhang, X. </w:t>
      </w:r>
      <w:r w:rsidRPr="00B93BC6">
        <w:rPr>
          <w:rFonts w:asciiTheme="majorHAnsi" w:hAnsiTheme="majorHAnsi" w:cstheme="majorHAnsi"/>
          <w:i/>
          <w:iCs/>
        </w:rPr>
        <w:t>et al.</w:t>
      </w:r>
      <w:r w:rsidRPr="00B93BC6">
        <w:rPr>
          <w:rFonts w:asciiTheme="majorHAnsi" w:hAnsiTheme="majorHAnsi" w:cstheme="majorHAnsi"/>
        </w:rPr>
        <w:t xml:space="preserve"> Circulating CXCR5+CD4+helper T cells in systemic lupus erythematosus patients share phenotypic properties with germinal center follicular helper T cells and promote antibody production. </w:t>
      </w:r>
      <w:r w:rsidRPr="00B93BC6">
        <w:rPr>
          <w:rFonts w:asciiTheme="majorHAnsi" w:hAnsiTheme="majorHAnsi" w:cstheme="majorHAnsi"/>
          <w:i/>
          <w:iCs/>
        </w:rPr>
        <w:t>Lupus</w:t>
      </w:r>
      <w:r w:rsidRPr="00B93BC6">
        <w:rPr>
          <w:rFonts w:asciiTheme="majorHAnsi" w:hAnsiTheme="majorHAnsi" w:cstheme="majorHAnsi"/>
        </w:rPr>
        <w:t xml:space="preserve">. </w:t>
      </w:r>
      <w:r w:rsidRPr="00B93BC6">
        <w:rPr>
          <w:rFonts w:asciiTheme="majorHAnsi" w:hAnsiTheme="majorHAnsi" w:cstheme="majorHAnsi"/>
          <w:b/>
          <w:bCs/>
        </w:rPr>
        <w:t>24</w:t>
      </w:r>
      <w:r w:rsidRPr="00B93BC6">
        <w:rPr>
          <w:rFonts w:asciiTheme="majorHAnsi" w:hAnsiTheme="majorHAnsi" w:cstheme="majorHAnsi"/>
        </w:rPr>
        <w:t xml:space="preserve"> (9), 909–917, doi: 10.1177/0961203314567750 (2015).</w:t>
      </w:r>
    </w:p>
    <w:p w14:paraId="7A6CCB78"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22.</w:t>
      </w:r>
      <w:r w:rsidRPr="00B93BC6">
        <w:rPr>
          <w:rFonts w:asciiTheme="majorHAnsi" w:hAnsiTheme="majorHAnsi" w:cstheme="majorHAnsi"/>
        </w:rPr>
        <w:tab/>
        <w:t xml:space="preserve">Sage, P.T., Francisco, L.M., Carman, C.V., Sharpe, A.H. The receptor PD-1 controls follicular regulatory T cells in the lymph nodes and blood. </w:t>
      </w:r>
      <w:r w:rsidRPr="00B93BC6">
        <w:rPr>
          <w:rFonts w:asciiTheme="majorHAnsi" w:hAnsiTheme="majorHAnsi" w:cstheme="majorHAnsi"/>
          <w:i/>
          <w:iCs/>
        </w:rPr>
        <w:t>Nature Immunology</w:t>
      </w:r>
      <w:r w:rsidRPr="00B93BC6">
        <w:rPr>
          <w:rFonts w:asciiTheme="majorHAnsi" w:hAnsiTheme="majorHAnsi" w:cstheme="majorHAnsi"/>
        </w:rPr>
        <w:t xml:space="preserve">. </w:t>
      </w:r>
      <w:r w:rsidRPr="00B93BC6">
        <w:rPr>
          <w:rFonts w:asciiTheme="majorHAnsi" w:hAnsiTheme="majorHAnsi" w:cstheme="majorHAnsi"/>
          <w:b/>
          <w:bCs/>
        </w:rPr>
        <w:t>14</w:t>
      </w:r>
      <w:r w:rsidRPr="00B93BC6">
        <w:rPr>
          <w:rFonts w:asciiTheme="majorHAnsi" w:hAnsiTheme="majorHAnsi" w:cstheme="majorHAnsi"/>
        </w:rPr>
        <w:t xml:space="preserve"> (2), 152–161, doi: 10.1038/ni.2496 (2013).</w:t>
      </w:r>
    </w:p>
    <w:p w14:paraId="3AC6AA03"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23.</w:t>
      </w:r>
      <w:r w:rsidRPr="00B93BC6">
        <w:rPr>
          <w:rFonts w:asciiTheme="majorHAnsi" w:hAnsiTheme="majorHAnsi" w:cstheme="majorHAnsi"/>
        </w:rPr>
        <w:tab/>
        <w:t xml:space="preserve">Sage, P.T., Alvarez, D., Godec, J., Andrian, U.H. von, Sharpe, A.H. Circulating T follicular regulatory and helper cells have memory-like properties. </w:t>
      </w:r>
      <w:r w:rsidRPr="00B93BC6">
        <w:rPr>
          <w:rFonts w:asciiTheme="majorHAnsi" w:hAnsiTheme="majorHAnsi" w:cstheme="majorHAnsi"/>
          <w:i/>
          <w:iCs/>
        </w:rPr>
        <w:t>The Journal of Clinical Investigation</w:t>
      </w:r>
      <w:r w:rsidRPr="00B93BC6">
        <w:rPr>
          <w:rFonts w:asciiTheme="majorHAnsi" w:hAnsiTheme="majorHAnsi" w:cstheme="majorHAnsi"/>
        </w:rPr>
        <w:t xml:space="preserve">. </w:t>
      </w:r>
      <w:r w:rsidRPr="00B93BC6">
        <w:rPr>
          <w:rFonts w:asciiTheme="majorHAnsi" w:hAnsiTheme="majorHAnsi" w:cstheme="majorHAnsi"/>
          <w:b/>
          <w:bCs/>
        </w:rPr>
        <w:t>124</w:t>
      </w:r>
      <w:r w:rsidRPr="00B93BC6">
        <w:rPr>
          <w:rFonts w:asciiTheme="majorHAnsi" w:hAnsiTheme="majorHAnsi" w:cstheme="majorHAnsi"/>
        </w:rPr>
        <w:t xml:space="preserve"> (12), 5191–5204, doi: 10.1172/JCI76861 (2014).</w:t>
      </w:r>
    </w:p>
    <w:p w14:paraId="727512D3"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24.</w:t>
      </w:r>
      <w:r w:rsidRPr="00B93BC6">
        <w:rPr>
          <w:rFonts w:asciiTheme="majorHAnsi" w:hAnsiTheme="majorHAnsi" w:cstheme="majorHAnsi"/>
        </w:rPr>
        <w:tab/>
        <w:t xml:space="preserve">Sage, P.T., Tan, C.L., Freeman, G.J., Haigis, M., Sharpe, A.H. Defective TFH Cell Function and Increased TFR Cells Contribute to Defective Antibody Production in Aging. </w:t>
      </w:r>
      <w:r w:rsidRPr="00B93BC6">
        <w:rPr>
          <w:rFonts w:asciiTheme="majorHAnsi" w:hAnsiTheme="majorHAnsi" w:cstheme="majorHAnsi"/>
          <w:i/>
          <w:iCs/>
        </w:rPr>
        <w:t>Cell Reports</w:t>
      </w:r>
      <w:r w:rsidRPr="00B93BC6">
        <w:rPr>
          <w:rFonts w:asciiTheme="majorHAnsi" w:hAnsiTheme="majorHAnsi" w:cstheme="majorHAnsi"/>
        </w:rPr>
        <w:t xml:space="preserve">. </w:t>
      </w:r>
      <w:r w:rsidRPr="00B93BC6">
        <w:rPr>
          <w:rFonts w:asciiTheme="majorHAnsi" w:hAnsiTheme="majorHAnsi" w:cstheme="majorHAnsi"/>
          <w:b/>
          <w:bCs/>
        </w:rPr>
        <w:t>12</w:t>
      </w:r>
      <w:r w:rsidRPr="00B93BC6">
        <w:rPr>
          <w:rFonts w:asciiTheme="majorHAnsi" w:hAnsiTheme="majorHAnsi" w:cstheme="majorHAnsi"/>
        </w:rPr>
        <w:t xml:space="preserve"> (2), 163–171, doi: 10.1016/j.celrep.2015.06.015 (2015).</w:t>
      </w:r>
    </w:p>
    <w:p w14:paraId="10600B69" w14:textId="77777777" w:rsidR="00E1719E" w:rsidRPr="00B93BC6" w:rsidRDefault="00E1719E" w:rsidP="00237CA1">
      <w:pPr>
        <w:pStyle w:val="ab"/>
        <w:rPr>
          <w:rFonts w:asciiTheme="majorHAnsi" w:hAnsiTheme="majorHAnsi" w:cstheme="majorHAnsi"/>
        </w:rPr>
      </w:pPr>
      <w:r w:rsidRPr="00B93BC6">
        <w:rPr>
          <w:rFonts w:asciiTheme="majorHAnsi" w:hAnsiTheme="majorHAnsi" w:cstheme="majorHAnsi"/>
        </w:rPr>
        <w:t>25.</w:t>
      </w:r>
      <w:r w:rsidRPr="00B93BC6">
        <w:rPr>
          <w:rFonts w:asciiTheme="majorHAnsi" w:hAnsiTheme="majorHAnsi" w:cstheme="majorHAnsi"/>
        </w:rPr>
        <w:tab/>
        <w:t xml:space="preserve">Yu, N. </w:t>
      </w:r>
      <w:r w:rsidRPr="00B93BC6">
        <w:rPr>
          <w:rFonts w:asciiTheme="majorHAnsi" w:hAnsiTheme="majorHAnsi" w:cstheme="majorHAnsi"/>
          <w:i/>
          <w:iCs/>
        </w:rPr>
        <w:t>et al.</w:t>
      </w:r>
      <w:r w:rsidRPr="00B93BC6">
        <w:rPr>
          <w:rFonts w:asciiTheme="majorHAnsi" w:hAnsiTheme="majorHAnsi" w:cstheme="majorHAnsi"/>
        </w:rPr>
        <w:t xml:space="preserve"> CD4+CD25+CD127low/− T Cells: A More Specific Treg Population in Human Peripheral Blood. </w:t>
      </w:r>
      <w:r w:rsidRPr="00B93BC6">
        <w:rPr>
          <w:rFonts w:asciiTheme="majorHAnsi" w:hAnsiTheme="majorHAnsi" w:cstheme="majorHAnsi"/>
          <w:i/>
          <w:iCs/>
        </w:rPr>
        <w:t>Inflammation</w:t>
      </w:r>
      <w:r w:rsidRPr="00B93BC6">
        <w:rPr>
          <w:rFonts w:asciiTheme="majorHAnsi" w:hAnsiTheme="majorHAnsi" w:cstheme="majorHAnsi"/>
        </w:rPr>
        <w:t xml:space="preserve">. </w:t>
      </w:r>
      <w:r w:rsidRPr="00B93BC6">
        <w:rPr>
          <w:rFonts w:asciiTheme="majorHAnsi" w:hAnsiTheme="majorHAnsi" w:cstheme="majorHAnsi"/>
          <w:b/>
          <w:bCs/>
        </w:rPr>
        <w:t>35</w:t>
      </w:r>
      <w:r w:rsidRPr="00B93BC6">
        <w:rPr>
          <w:rFonts w:asciiTheme="majorHAnsi" w:hAnsiTheme="majorHAnsi" w:cstheme="majorHAnsi"/>
        </w:rPr>
        <w:t xml:space="preserve"> (6), 1773–1780, doi: 10.1007/s10753-012-9496-8 (2012).</w:t>
      </w:r>
    </w:p>
    <w:p w14:paraId="4FA27E34" w14:textId="77777777" w:rsidR="00E1719E" w:rsidRPr="00F53ACD" w:rsidRDefault="00E1719E" w:rsidP="00237CA1">
      <w:pPr>
        <w:rPr>
          <w:rFonts w:asciiTheme="majorHAnsi" w:hAnsiTheme="majorHAnsi" w:cstheme="majorHAnsi"/>
        </w:rPr>
      </w:pPr>
      <w:r w:rsidRPr="00B93BC6">
        <w:rPr>
          <w:rFonts w:asciiTheme="majorHAnsi" w:hAnsiTheme="majorHAnsi" w:cstheme="majorHAnsi"/>
        </w:rPr>
        <w:fldChar w:fldCharType="end"/>
      </w:r>
    </w:p>
    <w:p w14:paraId="27D08089" w14:textId="77777777" w:rsidR="00E1719E" w:rsidRDefault="00E1719E" w:rsidP="00237CA1"/>
    <w:p w14:paraId="04DFD3FA" w14:textId="77777777" w:rsidR="00E1719E" w:rsidRDefault="00E1719E" w:rsidP="00237CA1"/>
    <w:p w14:paraId="19D3C6E2" w14:textId="77777777" w:rsidR="005510E6" w:rsidRDefault="005510E6" w:rsidP="00237CA1"/>
    <w:sectPr w:rsidR="005510E6" w:rsidSect="00E1719E">
      <w:headerReference w:type="default" r:id="rId9"/>
      <w:footerReference w:type="even" r:id="rId10"/>
      <w:footerReference w:type="default" r:id="rId11"/>
      <w:headerReference w:type="first" r:id="rId12"/>
      <w:footerReference w:type="first" r:id="rId13"/>
      <w:pgSz w:w="11900" w:h="16820" w:code="1"/>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8C0DF" w14:textId="77777777" w:rsidR="00B81ED0" w:rsidRDefault="00B81ED0">
      <w:r>
        <w:separator/>
      </w:r>
    </w:p>
  </w:endnote>
  <w:endnote w:type="continuationSeparator" w:id="0">
    <w:p w14:paraId="37EBB196" w14:textId="77777777" w:rsidR="00B81ED0" w:rsidRDefault="00B8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357159127"/>
      <w:docPartObj>
        <w:docPartGallery w:val="Page Numbers (Bottom of Page)"/>
        <w:docPartUnique/>
      </w:docPartObj>
    </w:sdtPr>
    <w:sdtContent>
      <w:p w14:paraId="6ED70826" w14:textId="77777777" w:rsidR="00D10D24" w:rsidRDefault="00D10D24" w:rsidP="00D10D24">
        <w:pPr>
          <w:pStyle w:val="a7"/>
          <w:framePr w:wrap="none" w:vAnchor="text" w:hAnchor="margin" w:y="1"/>
          <w:rPr>
            <w:rStyle w:val="a9"/>
          </w:rPr>
        </w:pPr>
        <w:r>
          <w:rPr>
            <w:rStyle w:val="a9"/>
          </w:rPr>
          <w:fldChar w:fldCharType="begin"/>
        </w:r>
        <w:r>
          <w:rPr>
            <w:rStyle w:val="a9"/>
          </w:rPr>
          <w:instrText xml:space="preserve"> PAGE </w:instrText>
        </w:r>
        <w:r>
          <w:rPr>
            <w:rStyle w:val="a9"/>
          </w:rPr>
          <w:fldChar w:fldCharType="end"/>
        </w:r>
      </w:p>
    </w:sdtContent>
  </w:sdt>
  <w:sdt>
    <w:sdtPr>
      <w:rPr>
        <w:rStyle w:val="a9"/>
      </w:rPr>
      <w:id w:val="-1888563750"/>
      <w:docPartObj>
        <w:docPartGallery w:val="Page Numbers (Bottom of Page)"/>
        <w:docPartUnique/>
      </w:docPartObj>
    </w:sdtPr>
    <w:sdtContent>
      <w:p w14:paraId="4A60839A" w14:textId="77777777" w:rsidR="00D10D24" w:rsidRDefault="00D10D24" w:rsidP="00D10D24">
        <w:pPr>
          <w:pStyle w:val="a7"/>
          <w:framePr w:wrap="none" w:vAnchor="text" w:hAnchor="margin" w:y="1"/>
          <w:ind w:firstLine="360"/>
          <w:rPr>
            <w:rStyle w:val="a9"/>
          </w:rPr>
        </w:pPr>
        <w:r>
          <w:rPr>
            <w:rStyle w:val="a9"/>
          </w:rPr>
          <w:fldChar w:fldCharType="begin"/>
        </w:r>
        <w:r>
          <w:rPr>
            <w:rStyle w:val="a9"/>
          </w:rPr>
          <w:instrText xml:space="preserve"> PAGE </w:instrText>
        </w:r>
        <w:r>
          <w:rPr>
            <w:rStyle w:val="a9"/>
          </w:rPr>
          <w:fldChar w:fldCharType="end"/>
        </w:r>
      </w:p>
    </w:sdtContent>
  </w:sdt>
  <w:p w14:paraId="73A59710" w14:textId="77777777" w:rsidR="00D10D24" w:rsidRDefault="00D10D24" w:rsidP="00D10D2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2129" w14:textId="77777777" w:rsidR="00D10D24" w:rsidRPr="00494F77" w:rsidRDefault="00D10D24" w:rsidP="00D10D24">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448971037"/>
      <w:docPartObj>
        <w:docPartGallery w:val="Page Numbers (Bottom of Page)"/>
        <w:docPartUnique/>
      </w:docPartObj>
    </w:sdtPr>
    <w:sdtContent>
      <w:p w14:paraId="54E2F815" w14:textId="77777777" w:rsidR="00D10D24" w:rsidRDefault="00D10D24" w:rsidP="00D10D24">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0</w:t>
        </w:r>
        <w:r>
          <w:rPr>
            <w:rStyle w:val="a9"/>
          </w:rPr>
          <w:fldChar w:fldCharType="end"/>
        </w:r>
      </w:p>
    </w:sdtContent>
  </w:sdt>
  <w:p w14:paraId="2254105A" w14:textId="77777777" w:rsidR="00D10D24" w:rsidRDefault="00D10D24" w:rsidP="00D10D24">
    <w:pP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55A3" w14:textId="77777777" w:rsidR="00B81ED0" w:rsidRDefault="00B81ED0">
      <w:r>
        <w:separator/>
      </w:r>
    </w:p>
  </w:footnote>
  <w:footnote w:type="continuationSeparator" w:id="0">
    <w:p w14:paraId="65758043" w14:textId="77777777" w:rsidR="00B81ED0" w:rsidRDefault="00B8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260D" w14:textId="77777777" w:rsidR="00D10D24" w:rsidRPr="006F06E4" w:rsidRDefault="00D10D24" w:rsidP="00D10D24">
    <w:pPr>
      <w:pStyle w:val="a5"/>
      <w:tabs>
        <w:tab w:val="clear" w:pos="9360"/>
        <w:tab w:val="left" w:pos="5724"/>
      </w:tabs>
      <w:rPr>
        <w:b/>
        <w:color w:val="1F497D"/>
        <w:sz w:val="28"/>
        <w:szCs w:val="28"/>
      </w:rPr>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AFC3" w14:textId="77777777" w:rsidR="00D10D24" w:rsidRPr="006F06E4" w:rsidRDefault="00D10D24" w:rsidP="00D10D24">
    <w:pPr>
      <w:pStyle w:val="a5"/>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72BDADAE" wp14:editId="71BCD39C">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9B0"/>
    <w:multiLevelType w:val="multilevel"/>
    <w:tmpl w:val="9BE2AE3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19E"/>
    <w:rsid w:val="00237CA1"/>
    <w:rsid w:val="00350930"/>
    <w:rsid w:val="004E072C"/>
    <w:rsid w:val="00544B90"/>
    <w:rsid w:val="005510E6"/>
    <w:rsid w:val="00555AD5"/>
    <w:rsid w:val="006C2C3B"/>
    <w:rsid w:val="00721867"/>
    <w:rsid w:val="00A65C2A"/>
    <w:rsid w:val="00AB7952"/>
    <w:rsid w:val="00B81ED0"/>
    <w:rsid w:val="00BA7852"/>
    <w:rsid w:val="00C8445B"/>
    <w:rsid w:val="00CC58C8"/>
    <w:rsid w:val="00D10D24"/>
    <w:rsid w:val="00E0459F"/>
    <w:rsid w:val="00E1719E"/>
    <w:rsid w:val="00E4511D"/>
    <w:rsid w:val="00E90C26"/>
    <w:rsid w:val="00ED206A"/>
    <w:rsid w:val="00ED23C1"/>
    <w:rsid w:val="00FA319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DBF845D"/>
  <w15:docId w15:val="{F55F21B6-0CDD-4E07-9FEE-9B6C2A43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19E"/>
    <w:pPr>
      <w:widowControl w:val="0"/>
      <w:autoSpaceDE w:val="0"/>
      <w:autoSpaceDN w:val="0"/>
      <w:adjustRightInd w:val="0"/>
      <w:jc w:val="both"/>
    </w:pPr>
    <w:rPr>
      <w:rFonts w:ascii="Calibri" w:eastAsia="Times New Roman" w:hAnsi="Calibri" w:cs="Calibri"/>
      <w:color w:val="000000"/>
      <w:sz w:val="24"/>
      <w:szCs w:val="24"/>
      <w:lang w:val="en-US" w:eastAsia="en-US"/>
    </w:rPr>
  </w:style>
  <w:style w:type="paragraph" w:styleId="1">
    <w:name w:val="heading 1"/>
    <w:basedOn w:val="a"/>
    <w:next w:val="a"/>
    <w:link w:val="10"/>
    <w:qFormat/>
    <w:rsid w:val="00E1719E"/>
    <w:pPr>
      <w:keepNext/>
      <w:spacing w:before="240" w:after="60"/>
      <w:outlineLvl w:val="0"/>
    </w:pPr>
    <w:rPr>
      <w:rFonts w:cs="Times New Roman"/>
      <w:b/>
      <w:bCs/>
      <w:kern w:val="32"/>
      <w:sz w:val="28"/>
      <w:szCs w:val="32"/>
    </w:rPr>
  </w:style>
  <w:style w:type="paragraph" w:styleId="2">
    <w:name w:val="heading 2"/>
    <w:basedOn w:val="a"/>
    <w:next w:val="a"/>
    <w:link w:val="20"/>
    <w:qFormat/>
    <w:rsid w:val="00E1719E"/>
    <w:pPr>
      <w:keepNext/>
      <w:outlineLvl w:val="1"/>
    </w:pPr>
    <w:rPr>
      <w:rFonts w:cs="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1719E"/>
    <w:rPr>
      <w:rFonts w:ascii="Calibri" w:eastAsia="Times New Roman" w:hAnsi="Calibri" w:cs="Times New Roman"/>
      <w:b/>
      <w:bCs/>
      <w:color w:val="000000"/>
      <w:kern w:val="32"/>
      <w:sz w:val="28"/>
      <w:szCs w:val="32"/>
      <w:lang w:val="en-US" w:eastAsia="en-US"/>
    </w:rPr>
  </w:style>
  <w:style w:type="character" w:customStyle="1" w:styleId="20">
    <w:name w:val="标题 2 字符"/>
    <w:basedOn w:val="a0"/>
    <w:link w:val="2"/>
    <w:rsid w:val="00E1719E"/>
    <w:rPr>
      <w:rFonts w:ascii="Calibri" w:eastAsia="Times New Roman" w:hAnsi="Calibri" w:cs="Times New Roman"/>
      <w:b/>
      <w:bCs/>
      <w:iCs/>
      <w:color w:val="000000"/>
      <w:sz w:val="24"/>
      <w:szCs w:val="28"/>
      <w:lang w:val="en-US" w:eastAsia="en-US"/>
    </w:rPr>
  </w:style>
  <w:style w:type="paragraph" w:styleId="a3">
    <w:name w:val="Normal (Web)"/>
    <w:basedOn w:val="a"/>
    <w:uiPriority w:val="99"/>
    <w:rsid w:val="00E1719E"/>
    <w:pPr>
      <w:spacing w:before="100" w:beforeAutospacing="1" w:after="100" w:afterAutospacing="1"/>
    </w:pPr>
  </w:style>
  <w:style w:type="character" w:styleId="a4">
    <w:name w:val="Hyperlink"/>
    <w:uiPriority w:val="99"/>
    <w:rsid w:val="00E1719E"/>
    <w:rPr>
      <w:color w:val="0000FF"/>
      <w:u w:val="single"/>
    </w:rPr>
  </w:style>
  <w:style w:type="paragraph" w:styleId="a5">
    <w:name w:val="header"/>
    <w:basedOn w:val="a"/>
    <w:link w:val="a6"/>
    <w:rsid w:val="00E1719E"/>
    <w:pPr>
      <w:tabs>
        <w:tab w:val="center" w:pos="4680"/>
        <w:tab w:val="right" w:pos="9360"/>
      </w:tabs>
    </w:pPr>
  </w:style>
  <w:style w:type="character" w:customStyle="1" w:styleId="a6">
    <w:name w:val="页眉 字符"/>
    <w:basedOn w:val="a0"/>
    <w:link w:val="a5"/>
    <w:rsid w:val="00E1719E"/>
    <w:rPr>
      <w:rFonts w:ascii="Calibri" w:eastAsia="Times New Roman" w:hAnsi="Calibri" w:cs="Calibri"/>
      <w:color w:val="000000"/>
      <w:sz w:val="24"/>
      <w:szCs w:val="24"/>
      <w:lang w:val="en-US" w:eastAsia="en-US"/>
    </w:rPr>
  </w:style>
  <w:style w:type="paragraph" w:styleId="a7">
    <w:name w:val="footer"/>
    <w:basedOn w:val="a"/>
    <w:link w:val="a8"/>
    <w:uiPriority w:val="99"/>
    <w:rsid w:val="00E1719E"/>
    <w:pPr>
      <w:tabs>
        <w:tab w:val="center" w:pos="4680"/>
        <w:tab w:val="right" w:pos="9360"/>
      </w:tabs>
    </w:pPr>
  </w:style>
  <w:style w:type="character" w:customStyle="1" w:styleId="a8">
    <w:name w:val="页脚 字符"/>
    <w:basedOn w:val="a0"/>
    <w:link w:val="a7"/>
    <w:uiPriority w:val="99"/>
    <w:rsid w:val="00E1719E"/>
    <w:rPr>
      <w:rFonts w:ascii="Calibri" w:eastAsia="Times New Roman" w:hAnsi="Calibri" w:cs="Calibri"/>
      <w:color w:val="000000"/>
      <w:sz w:val="24"/>
      <w:szCs w:val="24"/>
      <w:lang w:val="en-US" w:eastAsia="en-US"/>
    </w:rPr>
  </w:style>
  <w:style w:type="character" w:styleId="a9">
    <w:name w:val="page number"/>
    <w:basedOn w:val="a0"/>
    <w:rsid w:val="00E1719E"/>
  </w:style>
  <w:style w:type="paragraph" w:styleId="aa">
    <w:name w:val="List Paragraph"/>
    <w:basedOn w:val="a"/>
    <w:uiPriority w:val="34"/>
    <w:qFormat/>
    <w:rsid w:val="00E1719E"/>
    <w:pPr>
      <w:ind w:left="720"/>
      <w:contextualSpacing/>
    </w:pPr>
  </w:style>
  <w:style w:type="paragraph" w:styleId="ab">
    <w:name w:val="Bibliography"/>
    <w:basedOn w:val="a"/>
    <w:next w:val="a"/>
    <w:uiPriority w:val="37"/>
    <w:unhideWhenUsed/>
    <w:rsid w:val="00E1719E"/>
    <w:pPr>
      <w:tabs>
        <w:tab w:val="left" w:pos="260"/>
        <w:tab w:val="left" w:pos="380"/>
      </w:tabs>
      <w:ind w:left="384" w:hanging="384"/>
    </w:pPr>
  </w:style>
  <w:style w:type="character" w:styleId="ac">
    <w:name w:val="annotation reference"/>
    <w:basedOn w:val="a0"/>
    <w:uiPriority w:val="99"/>
    <w:semiHidden/>
    <w:unhideWhenUsed/>
    <w:rsid w:val="00E1719E"/>
    <w:rPr>
      <w:sz w:val="16"/>
      <w:szCs w:val="16"/>
    </w:rPr>
  </w:style>
  <w:style w:type="paragraph" w:styleId="ad">
    <w:name w:val="annotation text"/>
    <w:basedOn w:val="a"/>
    <w:link w:val="ae"/>
    <w:uiPriority w:val="99"/>
    <w:unhideWhenUsed/>
    <w:rsid w:val="00E1719E"/>
    <w:rPr>
      <w:sz w:val="20"/>
      <w:szCs w:val="20"/>
    </w:rPr>
  </w:style>
  <w:style w:type="character" w:customStyle="1" w:styleId="ae">
    <w:name w:val="批注文字 字符"/>
    <w:basedOn w:val="a0"/>
    <w:link w:val="ad"/>
    <w:uiPriority w:val="99"/>
    <w:rsid w:val="00E1719E"/>
    <w:rPr>
      <w:rFonts w:ascii="Calibri" w:eastAsia="Times New Roman" w:hAnsi="Calibri" w:cs="Calibri"/>
      <w:color w:val="000000"/>
      <w:lang w:val="en-US" w:eastAsia="en-US"/>
    </w:rPr>
  </w:style>
  <w:style w:type="character" w:styleId="af">
    <w:name w:val="line number"/>
    <w:basedOn w:val="a0"/>
    <w:uiPriority w:val="99"/>
    <w:semiHidden/>
    <w:unhideWhenUsed/>
    <w:rsid w:val="00E1719E"/>
  </w:style>
  <w:style w:type="paragraph" w:styleId="af0">
    <w:name w:val="Balloon Text"/>
    <w:basedOn w:val="a"/>
    <w:link w:val="af1"/>
    <w:uiPriority w:val="99"/>
    <w:semiHidden/>
    <w:unhideWhenUsed/>
    <w:rsid w:val="00E1719E"/>
    <w:rPr>
      <w:rFonts w:ascii="Lucida Grande" w:hAnsi="Lucida Grande"/>
      <w:sz w:val="18"/>
      <w:szCs w:val="18"/>
    </w:rPr>
  </w:style>
  <w:style w:type="character" w:customStyle="1" w:styleId="af1">
    <w:name w:val="批注框文本 字符"/>
    <w:basedOn w:val="a0"/>
    <w:link w:val="af0"/>
    <w:uiPriority w:val="99"/>
    <w:semiHidden/>
    <w:rsid w:val="00E1719E"/>
    <w:rPr>
      <w:rFonts w:ascii="Lucida Grande" w:eastAsia="Times New Roman" w:hAnsi="Lucida Grande" w:cs="Calibr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biosciences.com/us/s/spectrumviewe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2D39-6D36-4350-B1BF-59ABAD8E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11</Pages>
  <Words>14948</Words>
  <Characters>85207</Characters>
  <Application>Microsoft Office Word</Application>
  <DocSecurity>0</DocSecurity>
  <Lines>710</Lines>
  <Paragraphs>199</Paragraphs>
  <ScaleCrop>false</ScaleCrop>
  <Company>Imperial College London</Company>
  <LinksUpToDate>false</LinksUpToDate>
  <CharactersWithSpaces>99956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Wagner</dc:creator>
  <cp:keywords/>
  <dc:description/>
  <cp:lastModifiedBy>wubing</cp:lastModifiedBy>
  <cp:revision>10</cp:revision>
  <dcterms:created xsi:type="dcterms:W3CDTF">2018-07-01T22:38:00Z</dcterms:created>
  <dcterms:modified xsi:type="dcterms:W3CDTF">2018-07-10T05:56:00Z</dcterms:modified>
</cp:coreProperties>
</file>