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Zebrafish Injury Models to Study the Effects of Prednisolone in Regenerating Bone Tissue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Karina Geurtzen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Franziska Knopf</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Regenerative Therapies Dresden (CRTD), Technische Universität Dresden, Dresden,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Healthy Aging, Technische Universität Dresden, Dresden, Germany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Karina Geurtzen (Karina.Geurtzen@tu-dresden.de)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 Knopf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Franziska.Knopf@tu-dresden.de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Bone, Regeneration, Injury, Fin, Skull, Glucocorticoids, Prednisolone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Here, we describe 3 adult zebrafish injury models and their combined use with immunosuppressive drug treatment. We provide guidance on imaging of regenerating tissues and on detecting bone mineralization therein.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are able to regenerate various organs, including appendages (fins) after amputation. This involves the regeneration of bone, which regrows within roughly two weeks after injury. Furthermore, zebrafish are able to heal bone rapidly after trepanation of the skull, and repair fractures that can be easily introduced into zebrafish bony fin rays. These injury assays represent feasible experimental paradigms to test the effect of administered drugs on rapidly forming bone. Here, we describe the use of these 3 injury models and their combined use with systemic glucocorticoid treatment, which exerts bone inhibitory and immunosuppressive effects. We provide a workflow on how to prepare for immunosuppressive treatment in adult zebrafish, illustrate how to perform fin amputation, trepanation of calvarial bones, and fin fractures, and describe how the use of glucocorticoids affects both bone forming osteoblasts and cells of the monocyte/macrophage lineage as part of innate immunity in bone tissue.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represent a powerful animal model to study vertebrate development and disease. This is due to the fact that they are small animals that breed extremely well and that their genome is fully sequenced and amenable to manipulation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Other advantages include the option to perform continued live imaging at different stages, including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adult zebrafish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the ability to perform high throughput drug screens in zebrafish larvae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Additionally, zebrafish possess a high regenerative capacity in a variety of organs and tissues including bone, and thus serve as a useful system to study skeletal disease and repair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Glucocorticoid-induced osteoporosis (GIO) is a disease that results from long term treatment with glucocorticoids, for example in the course of autoimmune disease treatment such as of asthma or rheumatoid arthritis. GIO develops in about 30% of glucocorticoid-treated patients and represents a major health issue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it is important to investigate the impact of immunosuppression on bone tissue in great detail. In recent years a variety of zebrafish models dealing with the pathogenesis of GIO have been developed. Glucocorticoid-mediated bone loss has been induced in zebrafish larvae, for example, which led to the identification of counteractive compounds increasing bone mass in a drug screen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Furthermore, glucocorticoid-induced bone inhibitory effects have been mimicked in zebrafish scales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These assays are very convincing approaches, especially when it comes to the identification of novel immunosuppressive and bone anabolic drugs. However, they only partly take into account the endoskeleton and have not been performed in a regenerative context. Thus, they do not allow the investigation of glucocorticoid-mediated effects during rapid modes of adult, regenerative bone formation.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enabling researchers to study glucocorticoid-mediated effects on adult zebrafish bones undergoing regeneration. Injury models include partial amputation of the zebrafish caudal fin, trepanation of the skull, as well as the creation of fin ray fractures (</w:t>
      </w:r>
      <w:r>
        <w:rPr>
          <w:rFonts w:ascii="Calibri" w:hAnsi="Calibri" w:cs="Calibri" w:eastAsia="Calibri"/>
          <w:b/>
          <w:color w:val="auto"/>
          <w:spacing w:val="0"/>
          <w:position w:val="0"/>
          <w:sz w:val="24"/>
          <w:shd w:fill="auto" w:val="clear"/>
        </w:rPr>
        <w:t xml:space="preserve">Figure 1A-1C</w:t>
      </w:r>
      <w:r>
        <w:rPr>
          <w:rFonts w:ascii="Calibri" w:hAnsi="Calibri" w:cs="Calibri" w:eastAsia="Calibri"/>
          <w:color w:val="auto"/>
          <w:spacing w:val="0"/>
          <w:position w:val="0"/>
          <w:sz w:val="24"/>
          <w:shd w:fill="auto" w:val="clear"/>
        </w:rPr>
        <w:t xml:space="preserve">), and are combined with glucocorticoid exposure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incubation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We have recently used a portion of this protocol to describe the consequences of exposure to prednisolone, one of the commonly prescribed corticosteroid drugs, on adult zebrafish regenerating fin and skull bone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zebrafish, prednisolone administration leads to decreased osteoblast proliferation, incomplete osteoblast differentiation and rapid induction of apoptosis in the monocyte/macrophage lineage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this protocol, we also describe how fractures can be introduced into single bony fin ray segments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as this approach may be useful when studying glucocorticoid-mediated effects on bone occuring during fracture repair. The methods presented here will help to further address underlying mechanisms of glucocorticoid action in rapidly regenerating bone and may also be employed in other settings of systemic drug administration in the context of zebrafish tissue regeneration.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methods described here were approved by the Landesdirektion Dresden (Permit numbers: AZ 24D-9168.11-1/2008-1, AZ 24-9168.11-1/2011-52, AZ 24-9168.11-1/2013-5, AZ 24-9168.11-1/2013-14, AZ DD24.1- 5131/354/87).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numPr>
          <w:ilvl w:val="0"/>
          <w:numId w:val="6"/>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Preparation of Materials and Solutions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Prednisolone, like other glucocorticoids, leads to immunosuppression. Thus, precaution must be taken to prevent infection in treated animals during the experiment. To this end, autoclave glass ware and 'fish water'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water that is used to rear adult zebrafish) before starting the experiment.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the number of zebrafish to be used in the experiment. Be sure to include the individuals that serve as controls.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Autoclave 600 mL glass beakers that are covered with aluminum foil with autoclave tape. Zebrafish will be treated individually, thus 1 glass beaker is required per zebrafish.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Calculate the amount of fish water needed for the experiment. 300 mL are required per individual and day. </w:t>
      </w:r>
      <w:r>
        <w:rPr>
          <w:rFonts w:ascii="Calibri" w:hAnsi="Calibri" w:cs="Calibri" w:eastAsia="Calibri"/>
          <w:color w:val="auto"/>
          <w:spacing w:val="0"/>
          <w:position w:val="0"/>
          <w:sz w:val="24"/>
          <w:shd w:fill="auto" w:val="clear"/>
        </w:rPr>
        <w:t xml:space="preserve">Take into consideration the length of the experiment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 week/7 days).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Fill glass bottles with fish water, close them and autoclave the bottles with autoclave tape.</w:t>
      </w:r>
      <w:r>
        <w:rPr>
          <w:rFonts w:ascii="Calibri" w:hAnsi="Calibri" w:cs="Calibri" w:eastAsia="Calibri"/>
          <w:color w:val="auto"/>
          <w:spacing w:val="0"/>
          <w:position w:val="0"/>
          <w:sz w:val="24"/>
          <w:shd w:fill="auto" w:val="clear"/>
        </w:rPr>
        <w:t xml:space="preserve"> Ideally, use 2 L bottles, but other bottles like 1 L or 5 L can be used as well.</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experiments are long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4 weeks/28 days) and the amount of glass bottles is limited, make sure to prepare bottles for a minimum of several days at a time and repeat the process (1.3 to 1.4) throughout the experiment.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Prepare a prednisolone stock solution of sterile-filtered 100 mM prednisolone in dimethylsulfoxide (DMSO). Freeze the stock in 1 mL or 2 mL microcentrifuge tube aliquots.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Always wear protective clothing when working with prednisolone (protective </w:t>
        <w:tab/>
        <w:t xml:space="preserve">gloves, safety goggles, lab coat).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On the first day of the experiment, prepare incubation solutions with prednisolone and DMSO, respectively. To this end, thaw the required amount of 100 mM prednisolone stock solution and add prednisolone to autoclaved fish water at a final concentration of 50 µM.</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control treatments, add the corresponding volume of DMSO to autoclaved fish water. As an example, to produce 2 L prednisolone containing fish water, add 1 mL of 100 mM prednisolone stock to 2 L fish water. In another 2 L bottle of fish water, add 1 mL DMSO, correspondingly.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 in an appropriate place that is designated to perform drug treatments, ideally in a room at 27 °C.</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Generation of Injuries in Zebrafish Fins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injure bone in zebrafish fins, perform resection of the fin (amputation, usually in the caudal fin) or fracture individual bony fin rays (fracture model). To this end anaesthetize adult zebrafish first.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Amputation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anaesthetize adult zebrafish, prepare a 100 mm diameter Petri dish containing 0.02% MS-222 (Ethyl-3-aminobenzoate methanesulfonate) in fish water (this water does not need to be autoclaved).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one zebrafish at a time to the MS-222 containing Petri dish by using a fish net and incubate it until it lies on its side without movement and does not respond to touch. Test the latter by touching the anal fin with blunt forceps.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Wait until level 4 of anesthesia is reached which is the appropriate level for fin resection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 this stage, the rate of opercular movement is decreased, muscle tone is lost and the fish does not move upon touch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3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Take blunt forceps and transfer the anaesthetized zebrafish carefully to the inversed lid of the 100 mm Petri dish.</w:t>
      </w:r>
      <w:r>
        <w:rPr>
          <w:rFonts w:ascii="Calibri" w:hAnsi="Calibri" w:cs="Calibri" w:eastAsia="Calibri"/>
          <w:color w:val="auto"/>
          <w:spacing w:val="0"/>
          <w:position w:val="0"/>
          <w:sz w:val="24"/>
          <w:shd w:fill="auto" w:val="clear"/>
        </w:rPr>
        <w:t xml:space="preserve"> Place the zebrafish on its lateral side. Make sure the zebrafish always lie in the same orientation, for example on their right body side. </w:t>
      </w:r>
      <w:r>
        <w:rPr>
          <w:rFonts w:ascii="Calibri" w:hAnsi="Calibri" w:cs="Calibri" w:eastAsia="Calibri"/>
          <w:color w:val="auto"/>
          <w:spacing w:val="0"/>
          <w:position w:val="0"/>
          <w:sz w:val="24"/>
          <w:shd w:fill="FFFF00" w:val="clear"/>
        </w:rPr>
        <w:t xml:space="preserve">With a scalpel or a razor blade, resect 50% of the fin (</w:t>
      </w:r>
      <w:r>
        <w:rPr>
          <w:rFonts w:ascii="Calibri" w:hAnsi="Calibri" w:cs="Calibri" w:eastAsia="Calibri"/>
          <w:b/>
          <w:color w:val="auto"/>
          <w:spacing w:val="0"/>
          <w:position w:val="0"/>
          <w:sz w:val="24"/>
          <w:shd w:fill="auto" w:val="clear"/>
        </w:rPr>
        <w:t xml:space="preserve">Figure 1A</w:t>
      </w:r>
      <w:r>
        <w:rPr>
          <w:rFonts w:ascii="Calibri" w:hAnsi="Calibri" w:cs="Calibri" w:eastAsia="Calibri"/>
          <w:b/>
          <w:color w:val="auto"/>
          <w:spacing w:val="0"/>
          <w:position w:val="0"/>
          <w:sz w:val="24"/>
          <w:shd w:fill="FFFF00" w:val="clear"/>
        </w:rPr>
        <w:t xml:space="preserve">, 2A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speed of zebrafish fin regeneration depends on the amount of resected fin tissue,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more fin tissue is resected, the faster the fin regenerates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Thus, to minimize variations in fin regeneration make sure to always resect the fin at the same level in all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3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injured zebrafish to an autoclaved glass beaker containing 300 mL of prednisolone or DMSO containing autoclaved fish water. Cover the glass beaker with aluminum foil to avoid escape of the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3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2.1.2 to 2.1.3 until the required number of zebrafish for the experiment is reached.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Fin fracture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4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an agarose-coated 100 mm Petri dish by heating a 2% agarose solution in fish water or E3 (embryo media 3, </w:t>
      </w:r>
      <w:r>
        <w:rPr>
          <w:rFonts w:ascii="Calibri" w:hAnsi="Calibri" w:cs="Calibri" w:eastAsia="Calibri"/>
          <w:color w:val="000000"/>
          <w:spacing w:val="0"/>
          <w:position w:val="0"/>
          <w:sz w:val="24"/>
          <w:shd w:fill="auto" w:val="clear"/>
        </w:rPr>
        <w:t xml:space="preserve">50 mM sodium chloride, 0.17 mM potassium chloride, 0.33mM calcium chloride, 0.33mM magnesium sulfate</w:t>
      </w:r>
      <w:r>
        <w:rPr>
          <w:rFonts w:ascii="Calibri" w:hAnsi="Calibri" w:cs="Calibri" w:eastAsia="Calibri"/>
          <w:color w:val="auto"/>
          <w:spacing w:val="0"/>
          <w:position w:val="0"/>
          <w:sz w:val="24"/>
          <w:shd w:fill="auto" w:val="clear"/>
        </w:rPr>
        <w:t xml:space="preserve">). Carefully pour roughly 10-15 mL of the solution into the Petri dish. The bottom of the dish should be completely covered. Let the agarose solidify.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Anaesthetize zebrafish as described in section 2.1.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4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Take blunt forceps and transfer the anaesthetized zebrafish carefully to the agarose-coated 100 mm Petri dish.</w:t>
      </w:r>
      <w:r>
        <w:rPr>
          <w:rFonts w:ascii="Calibri" w:hAnsi="Calibri" w:cs="Calibri" w:eastAsia="Calibri"/>
          <w:color w:val="auto"/>
          <w:spacing w:val="0"/>
          <w:position w:val="0"/>
          <w:sz w:val="24"/>
          <w:shd w:fill="auto" w:val="clear"/>
        </w:rPr>
        <w:t xml:space="preserve"> Place the zebrafish on its lateral side. Under the dissection microscope, spread the caudal fin completely to be able to identify distinct bony fin rays and fin ray segments. Make sure the zebrafish always lie in the same orientation, for example on their right body side.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4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With an injection needle (0.3 x 13 mm) introduce a fracture in the center of a bony fin ray segment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FFFF00" w:val="clear"/>
        </w:rPr>
        <w:t xml:space="preserve">). To do this, the needle is pushed slightly onto the segment until a crack appears (arrow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While gentle pressure leads to fracture of only one of the two opposing hemirays stronger pressure will lead to fracture of both hemiray segments.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 not introduce too many fractures in fins, since this will greatly impair stability of the fin. As a suggestion, apply fractures only in 3 to 5 fin rays.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Always produce fractures in corresponding segments across different fin rays and zebrafish, for example in dorsal fin rays 3, 7 (or 8) and ventral fin ray 3. The proximal-distal level of fracture is ideal at 3 segments proximal to the fin rays' bifurcation point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5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injured zebrafish to an autoclaved glass beaker containing 300 mL of prednisolone or DMSO containing autoclaved fish water. Cover the glass beaker with aluminum foil to avoid escape of the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5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2.2.2 to 2.2.5 until the required number of zebrafish for the experiment is reached.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Generation of Calvarial Skull Injuries (Trepanation)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calvariae in zebrafish are homologous to calvarial bones in mammals. Thus, these exoskeletal bones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represent a tissue of special interest when studying the pathogenesis of GIO. To injure the skull, trepanation is performed by drilling a hole in the </w:t>
      </w:r>
      <w:r>
        <w:rPr>
          <w:rFonts w:ascii="Calibri" w:hAnsi="Calibri" w:cs="Calibri" w:eastAsia="Calibri"/>
          <w:i/>
          <w:color w:val="auto"/>
          <w:spacing w:val="0"/>
          <w:position w:val="0"/>
          <w:sz w:val="24"/>
          <w:shd w:fill="auto" w:val="clear"/>
        </w:rPr>
        <w:t xml:space="preserve">Os frontale</w:t>
      </w:r>
      <w:r>
        <w:rPr>
          <w:rFonts w:ascii="Calibri" w:hAnsi="Calibri" w:cs="Calibri" w:eastAsia="Calibri"/>
          <w:color w:val="auto"/>
          <w:spacing w:val="0"/>
          <w:position w:val="0"/>
          <w:sz w:val="24"/>
          <w:shd w:fill="auto" w:val="clear"/>
        </w:rPr>
        <w:t xml:space="preserve"> and/or </w:t>
      </w:r>
      <w:r>
        <w:rPr>
          <w:rFonts w:ascii="Calibri" w:hAnsi="Calibri" w:cs="Calibri" w:eastAsia="Calibri"/>
          <w:i/>
          <w:color w:val="auto"/>
          <w:spacing w:val="0"/>
          <w:position w:val="0"/>
          <w:sz w:val="24"/>
          <w:shd w:fill="auto" w:val="clear"/>
        </w:rPr>
        <w:t xml:space="preserve">Os parietale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1C, 2C</w:t>
      </w:r>
      <w:r>
        <w:rPr>
          <w:rFonts w:ascii="Calibri" w:hAnsi="Calibri" w:cs="Calibri" w:eastAsia="Calibri"/>
          <w:color w:val="auto"/>
          <w:spacing w:val="0"/>
          <w:position w:val="0"/>
          <w:sz w:val="24"/>
          <w:shd w:fill="auto" w:val="clear"/>
        </w:rPr>
        <w:t xml:space="preserve">) with the help of a microdrill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6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Anaesthetize the zebrafish according to section 2.1.</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2"/>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Hold the anesthetized zebrafish upright with forceps, so that the calvarial bones are well visible under a dissection microscope from above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numPr>
          <w:ilvl w:val="0"/>
          <w:numId w:val="64"/>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Locate the rotating microdrill on the center of the frontal bone (</w:t>
      </w:r>
      <w:r>
        <w:rPr>
          <w:rFonts w:ascii="Calibri" w:hAnsi="Calibri" w:cs="Calibri" w:eastAsia="Calibri"/>
          <w:i/>
          <w:color w:val="auto"/>
          <w:spacing w:val="0"/>
          <w:position w:val="0"/>
          <w:sz w:val="24"/>
          <w:shd w:fill="FFFF00" w:val="clear"/>
        </w:rPr>
        <w:t xml:space="preserve">Os frontale</w:t>
      </w:r>
      <w:r>
        <w:rPr>
          <w:rFonts w:ascii="Calibri" w:hAnsi="Calibri" w:cs="Calibri" w:eastAsia="Calibri"/>
          <w:color w:val="auto"/>
          <w:spacing w:val="0"/>
          <w:position w:val="0"/>
          <w:sz w:val="24"/>
          <w:shd w:fill="FFFF00" w:val="clear"/>
        </w:rPr>
        <w:t xml:space="preserve">) and touch the bone. The produced hole is of the size of the microdrill burr (500 µm, </w:t>
      </w:r>
      <w:r>
        <w:rPr>
          <w:rFonts w:ascii="Calibri" w:hAnsi="Calibri" w:cs="Calibri" w:eastAsia="Calibri"/>
          <w:b/>
          <w:color w:val="auto"/>
          <w:spacing w:val="0"/>
          <w:position w:val="0"/>
          <w:sz w:val="24"/>
          <w:shd w:fill="FFFF00" w:val="clear"/>
        </w:rPr>
        <w:t xml:space="preserve">Figures 2C, 3B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to not move the microdrill laterally while producing the injury. Also stop immediately when the resistance of the bone suddenly drops. Do not drill any further, otherwise the brain will be damaged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injured zebrafish to a cage filled with fish water until it fully recovers from anesthesia. Watch it carefully.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6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injured zebrafish to a fish water plus prednisolone or DMSO containing glass beaker.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0"/>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Treatment of Zebrafish During Incubation</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application of prednisolone/DMSO, the drug containing fish water needs to be changed daily, and zebrafish need to be fed regularly.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72"/>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Water changes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7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exchange the fish water, thaw 100 mM prednisolone stock and prepare the required amount of 50 µM prednisolone in autoclaved fish water fresh every day of the treatment period. Prepare DMSO containing fish water for the control zebrafish accordingly.</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7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Take a glass beaker containing a single housed zebrafish in its incubation solution and transfer the solution including the zebrafish into an appropriate container, for example a temporal housing cage.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separate interim containers for prednisolone and DMSO treated zebrafish, respectively, to make sure DMSO control zebrafish do not get exposed to prednisolone and vice versa.</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7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Refill the glass beaker with fresh drug containing fish water (300 mL).</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8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zebrafish from the interim container to the glass beaker containing fresh incubation solution using a fish net.</w:t>
      </w:r>
      <w:r>
        <w:rPr>
          <w:rFonts w:ascii="Calibri" w:hAnsi="Calibri" w:cs="Calibri" w:eastAsia="Calibri"/>
          <w:color w:val="auto"/>
          <w:spacing w:val="0"/>
          <w:position w:val="0"/>
          <w:sz w:val="24"/>
          <w:shd w:fill="auto" w:val="clear"/>
        </w:rPr>
        <w:t xml:space="preserve"> Put back the foil to avoid escape of the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8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time of the experiment exceeds 2 weeks, exchange the glass beakers.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84"/>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Feeding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8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During short treatments (for up to 2 days) do not feed zebrafish. During longer experiments, feed zebrafish. Take special care to avoid pollution of the incubation solution. Thus, feed with </w:t>
      </w:r>
      <w:r>
        <w:rPr>
          <w:rFonts w:ascii="Calibri" w:hAnsi="Calibri" w:cs="Calibri" w:eastAsia="Calibri"/>
          <w:i/>
          <w:color w:val="auto"/>
          <w:spacing w:val="0"/>
          <w:position w:val="0"/>
          <w:sz w:val="24"/>
          <w:shd w:fill="FFFF00" w:val="clear"/>
        </w:rPr>
        <w:t xml:space="preserve">Artemia ssp.</w:t>
      </w:r>
      <w:r>
        <w:rPr>
          <w:rFonts w:ascii="Calibri" w:hAnsi="Calibri" w:cs="Calibri" w:eastAsia="Calibri"/>
          <w:color w:val="auto"/>
          <w:spacing w:val="0"/>
          <w:position w:val="0"/>
          <w:sz w:val="24"/>
          <w:shd w:fill="FFFF00" w:val="clear"/>
        </w:rPr>
        <w:t xml:space="preserve"> rather than with flake food, and only on every second day.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i/>
          <w:color w:val="auto"/>
          <w:spacing w:val="0"/>
          <w:position w:val="0"/>
          <w:sz w:val="24"/>
          <w:shd w:fill="auto" w:val="clear"/>
        </w:rPr>
        <w:t xml:space="preserve">: Artemia</w:t>
      </w:r>
      <w:r>
        <w:rPr>
          <w:rFonts w:ascii="Calibri" w:hAnsi="Calibri" w:cs="Calibri" w:eastAsia="Calibri"/>
          <w:color w:val="auto"/>
          <w:spacing w:val="0"/>
          <w:position w:val="0"/>
          <w:sz w:val="24"/>
          <w:shd w:fill="auto" w:val="clear"/>
        </w:rPr>
        <w:t xml:space="preserve"> are regularly used to feed young zebrafish, and should be available in the zebrafish haltering unit.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8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Roughly 2 h before the fish water is exchanged, feed zebrafish with </w:t>
      </w:r>
      <w:r>
        <w:rPr>
          <w:rFonts w:ascii="Calibri" w:hAnsi="Calibri" w:cs="Calibri" w:eastAsia="Calibri"/>
          <w:i/>
          <w:color w:val="auto"/>
          <w:spacing w:val="0"/>
          <w:position w:val="0"/>
          <w:sz w:val="24"/>
          <w:shd w:fill="auto" w:val="clear"/>
        </w:rPr>
        <w:t xml:space="preserve">Artemia ssp </w:t>
      </w:r>
      <w:r>
        <w:rPr>
          <w:rFonts w:ascii="Calibri" w:hAnsi="Calibri" w:cs="Calibri" w:eastAsia="Calibri"/>
          <w:color w:val="auto"/>
          <w:spacing w:val="0"/>
          <w:position w:val="0"/>
          <w:sz w:val="24"/>
          <w:shd w:fill="auto" w:val="clear"/>
        </w:rPr>
        <w:t xml:space="preserve">in their glass beakers. To do so, use a plastic pipette and feed 0.5 to 1 mL of hatched </w:t>
      </w:r>
      <w:r>
        <w:rPr>
          <w:rFonts w:ascii="Calibri" w:hAnsi="Calibri" w:cs="Calibri" w:eastAsia="Calibri"/>
          <w:i/>
          <w:color w:val="auto"/>
          <w:spacing w:val="0"/>
          <w:position w:val="0"/>
          <w:sz w:val="24"/>
          <w:shd w:fill="auto" w:val="clear"/>
        </w:rPr>
        <w:t xml:space="preserve">Artemia </w:t>
      </w:r>
      <w:r>
        <w:rPr>
          <w:rFonts w:ascii="Calibri" w:hAnsi="Calibri" w:cs="Calibri" w:eastAsia="Calibri"/>
          <w:color w:val="auto"/>
          <w:spacing w:val="0"/>
          <w:position w:val="0"/>
          <w:sz w:val="24"/>
          <w:shd w:fill="auto" w:val="clear"/>
        </w:rPr>
        <w:t xml:space="preserve">solution per glass beaker.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9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Wait for 2 h and exchange the incubation solution with fresh drug containing fish water according to section 4.1.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9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Analyses of Samples</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incubation of injured zebrafish in prednisolone and DMSO containing fish water, respectively, either perform bone mineralization/calcification analyses on fixed tissue (5.1 to 5.3) or carry out live imaging of zebrafish under the dissection microscope (5.4)</w:t>
      </w:r>
      <w:r>
        <w:rPr>
          <w:rFonts w:ascii="Calibri" w:hAnsi="Calibri" w:cs="Calibri" w:eastAsia="Calibri"/>
          <w:color w:val="auto"/>
          <w:spacing w:val="0"/>
          <w:position w:val="0"/>
          <w:sz w:val="24"/>
          <w:shd w:fill="auto" w:val="clear"/>
          <w:vertAlign w:val="superscript"/>
        </w:rPr>
        <w:t xml:space="preserve">10,11,16</w:t>
      </w:r>
      <w:r>
        <w:rPr>
          <w:rFonts w:ascii="Calibri" w:hAnsi="Calibri" w:cs="Calibri" w:eastAsia="Calibri"/>
          <w:color w:val="auto"/>
          <w:spacing w:val="0"/>
          <w:position w:val="0"/>
          <w:sz w:val="24"/>
          <w:shd w:fill="auto" w:val="clear"/>
        </w:rPr>
        <w:t xml:space="preserve">. Use live imaging to determine fin regenerate length and to detect differences in reporter gene expression in transgenic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9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Fixation of tissues of interest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9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fixation of fins and/or skulls prepare 4% paraformaldehyde (PFA) in PBS and freeze at -20 °C for storage. Use freshly prepared 4% PFA in PBS or thaw the required amount before use. Alternatively, 2% PFA in PBS can be used.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PFA is toxic and should be handled carefully under a fume hood. Wear protective clothing.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9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For fixation of fins prepare a small Petri dish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FFFF00" w:val="clear"/>
        </w:rPr>
        <w:t xml:space="preserve">30 mm) with cold 4% PFA in PBS and make sure that the bottom of the dish is fully covered. For fixation of skulls, prepare a little glass jar with lid or a tube with cold 4% PFA in PBS.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Handle PFA containing solutions only under the fume hood as it is toxic. Wear protective clothing.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0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Harvest the tissue of interest.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harvest regenerating fin tissue or fins with fractures anaesthetize the zebrafish according to section 2.1 or euthanize the zebrafish according to section 5.1.5.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anaesthetized zebrafish to the lid of a Petri dish. By using a scalpel or razor blade, harvest the fin regenerate. Make sure to include stump tissue in regenerating fins to facilitate handling of the harvested tissue.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0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Fix fins flat in the PFA contain Petri dish at 4 °C overnight.</w:t>
      </w:r>
      <w:r>
        <w:rPr>
          <w:rFonts w:ascii="Calibri" w:hAnsi="Calibri" w:cs="Calibri" w:eastAsia="Calibri"/>
          <w:color w:val="auto"/>
          <w:spacing w:val="0"/>
          <w:position w:val="0"/>
          <w:sz w:val="24"/>
          <w:shd w:fill="auto" w:val="clear"/>
        </w:rPr>
        <w:t xml:space="preserve"> Flat fixation avoids curling up of the fin tissue during fixation.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0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fix flat, grab the fin tissue with one fine forceps at the dorsal or ventral edge of the stump and immerse it in the fixation solution. Grab the opposite edge of the stump with a second fine forceps and slightly depress the tissue onto the bottom of the dish.</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Hold for 10 to 20 s before releasing. The fin tissue should not curl up anymore. If it does, repeat.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Euthanize zebrafish in order to harvest injured skull tissue. Prepare a 100 mm diameter Petri dish containing 0.1% MS-222 in fish water. Transfer one zebrafish at a time to the MS-222 containing Petri dish by using a fishing net. When level 6 of anesthesia (medullary collapse) is reached wait at least 10 min to assure death of the specimen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a scalpel cut off the head plus a little trunk tissue from the rest of the body. Immerse the harvested tissue in the prepared 4% PFA solution in the glass jar or plastic tube. Fix for 24 h at 4 °C with gentle rocking.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store samples long-term after fixation, wash them with PBS (3 x 20 min at RT) and methanol-treat in an increasing methanol series (1x 30%, 1x 50%, 1x 70%, 2x 100% methanol in PBS for 20 min each).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1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Store them in 100% methanol at -20 °C. Otherwise, directly proceed with bone staining or other analyses after washing with PBS.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0"/>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Bone staining techniques I (alizarin red staining)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staining is performed according to van Eeden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1996</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and Walker &amp; Kimmel 2007</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modifications.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perform alizarin red staining on adult fins or skulls, harvest and fix tissue as described in sections 5.1. </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If samples were stored in methanol at -20 °C, rehydrate samples by doing an inverse </w:t>
      </w:r>
      <w:r>
        <w:rPr>
          <w:rFonts w:ascii="Calibri" w:hAnsi="Calibri" w:cs="Calibri" w:eastAsia="Calibri"/>
          <w:color w:val="auto"/>
          <w:spacing w:val="0"/>
          <w:position w:val="0"/>
          <w:sz w:val="24"/>
          <w:shd w:fill="auto" w:val="clear"/>
        </w:rPr>
        <w:t xml:space="preserve">methanol</w:t>
      </w:r>
      <w:r>
        <w:rPr>
          <w:rFonts w:ascii="Calibri" w:hAnsi="Calibri" w:cs="Calibri" w:eastAsia="Calibri"/>
          <w:color w:val="auto"/>
          <w:spacing w:val="0"/>
          <w:position w:val="0"/>
          <w:sz w:val="24"/>
          <w:shd w:fill="FFFF00" w:val="clear"/>
        </w:rPr>
        <w:t xml:space="preserve"> series (70%, 50% and 30% in PBS, each 1x20 min) and wash twice 20 min with PBS. Wash samples for 5 min minimum with deionized water.</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do alizarin red staining in skulls, treat samples with 50 mg/mL trypsin in 30% saturated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at room temperature overnight. Rock samples during this time. Rinse samples in 30% saturated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7</w:t>
      </w:r>
      <w:r>
        <w:rPr>
          <w:rFonts w:ascii="Calibri" w:hAnsi="Calibri" w:cs="Calibri" w:eastAsia="Calibri"/>
          <w:color w:val="auto"/>
          <w:spacing w:val="0"/>
          <w:position w:val="0"/>
          <w:sz w:val="24"/>
          <w:shd w:fill="auto" w:val="clear"/>
        </w:rPr>
        <w:t xml:space="preserve"> solution. Wash samples with deionized water 2 times for 5 min each. This step is not performed for fin tissue.</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2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alizarin red solution (Part B: 0.5% alizarin red S powder, 10% glycerol in deionized water) and rock the samples during incubation at RT. Check for staining after 1, 2, 4 h or overnight.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3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To clear samples treat them with a decreasing 1% potassium hydroxide:glycerol series (3:1 overnight, 1:1 overnight, 1:3 overnight).</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3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Store the samples in a 1:1 solution of 0.1% potassium hydroxide:80% glycerol and mount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0"/>
          <w:position w:val="0"/>
          <w:sz w:val="24"/>
          <w:shd w:fill="FFFF00" w:val="clear"/>
        </w:rPr>
        <w:t xml:space="preserve"> with 80% glycerol for imaging.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combined Alcian blue/alizarin red staining treat samples with Alcian blue staining solution (Part A: final 0.02% Alcian blue,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70% ethanol) after rehydration (section 5.9) for 2 h at RT. Treat fins with a decreasing ethanol series in 50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(70%, 50%, 30%, each 1x 15 min) and wash them for a minimum of 1h (3x 20 min) in deionized water. Proceed with alizarin red staining (section 5.2).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4"/>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Bone staining techniques II (calcein staining)</w:t>
      </w: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To detect calcium deposition in fin fractures and skull injuries, live fish are incubated in calcein containing solution.</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3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required amount of 0.2% calcein in deionized water (pH 7.5). Make sure the pH is neutral. Use 1 M NaOH to adjust the pH.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3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Incubate up to 3 zebrafish simultaneously in 100 mL of calcein solution for 20 min in a glass beaker covered with aluminum foil.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4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zebrafish to a beaker with fish water. Let them swim briefly before transferring them to a new beaker with fish water. Let them swim in this new beaker for 20 min to wash. Take pictures (see sections 5.4).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2"/>
        </w:num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Live imaging of zebrafish</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numPr>
          <w:ilvl w:val="0"/>
          <w:numId w:val="14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this approach to acquire images of regenerating bone tissue such as in the fin or skull throughout the experiment without sacrificing the zebrafish. Anaesthetize the zebrafish according to section 2.1.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46"/>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acquire images of fin regenerates, transfer the anaesthetized zebrafish onto an agarose-</w:t>
      </w:r>
      <w:r>
        <w:rPr>
          <w:rFonts w:ascii="Calibri" w:hAnsi="Calibri" w:cs="Calibri" w:eastAsia="Calibri"/>
          <w:color w:val="auto"/>
          <w:spacing w:val="0"/>
          <w:position w:val="0"/>
          <w:sz w:val="24"/>
          <w:shd w:fill="auto" w:val="clear"/>
        </w:rPr>
        <w:t xml:space="preserve">coated</w:t>
      </w:r>
      <w:r>
        <w:rPr>
          <w:rFonts w:ascii="Calibri" w:hAnsi="Calibri" w:cs="Calibri" w:eastAsia="Calibri"/>
          <w:color w:val="auto"/>
          <w:spacing w:val="0"/>
          <w:position w:val="0"/>
          <w:sz w:val="24"/>
          <w:shd w:fill="FFFF00" w:val="clear"/>
        </w:rPr>
        <w:t xml:space="preserve"> Petri dish (see section 2.7 and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48"/>
        </w:num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acquire images of regenerating skull bones, place the zebrafish upright in a sponge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FFFF00" w:val="clear"/>
        </w:rPr>
        <w:t xml:space="preserve">) or place it in an agarose-coated dish that has been prepared to hold the trunk of the zebrafish.</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numPr>
          <w:ilvl w:val="0"/>
          <w:numId w:val="15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Acquire images at the desired magnification and resolution using a stereomicroscopic setup.</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 the zebrafish to a container with fresh or drug containing fish water.</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has been used repeatedly to induce rapid bone formation in the course of regeneration of the zebrafish fin and skull</w:t>
      </w:r>
      <w:r>
        <w:rPr>
          <w:rFonts w:ascii="Calibri" w:hAnsi="Calibri" w:cs="Calibri" w:eastAsia="Calibri"/>
          <w:color w:val="auto"/>
          <w:spacing w:val="0"/>
          <w:position w:val="0"/>
          <w:sz w:val="24"/>
          <w:shd w:fill="auto" w:val="clear"/>
          <w:vertAlign w:val="superscript"/>
        </w:rPr>
        <w:t xml:space="preserve">10,11,16</w:t>
      </w:r>
      <w:r>
        <w:rPr>
          <w:rFonts w:ascii="Calibri" w:hAnsi="Calibri" w:cs="Calibri" w:eastAsia="Calibri"/>
          <w:color w:val="auto"/>
          <w:spacing w:val="0"/>
          <w:position w:val="0"/>
          <w:sz w:val="24"/>
          <w:shd w:fill="auto" w:val="clear"/>
        </w:rPr>
        <w:t xml:space="preserve">. In combination with the presented method of prednisolone administration, studies on prednisolone's effects during bone regeneration can be pursued. For example, studies on bone formation and mineralization in the regenerate can be performed. Prednisolone, as other glucocorticoids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leads to overall inhibition of fin regeneration, including bone formation, as detected by alizarin red staining on fixed caudal fin tissue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Similarly, prednisolone has a delaying effect on (calvarial) skull injury closure, which can be illustrated by alizarin red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calcein staining (not shown). In addition, prednisolone exerts a profound anti-inflammatory effect in both fin and skull tissue, by triggering apoptosis in the monocyte/macrophage lineage. Reduced macrophage numbers can be detected by immunohistochemistry on frozen tissue sections,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by using an anti-mcherry antibody in transgenic </w:t>
      </w:r>
      <w:r>
        <w:rPr>
          <w:rFonts w:ascii="Calibri" w:hAnsi="Calibri" w:cs="Calibri" w:eastAsia="Calibri"/>
          <w:i/>
          <w:color w:val="auto"/>
          <w:spacing w:val="0"/>
          <w:position w:val="0"/>
          <w:sz w:val="24"/>
          <w:shd w:fill="auto" w:val="clear"/>
        </w:rPr>
        <w:t xml:space="preserve">mpeg1</w:t>
      </w:r>
      <w:r>
        <w:rPr>
          <w:rFonts w:ascii="Calibri" w:hAnsi="Calibri" w:cs="Calibri" w:eastAsia="Calibri"/>
          <w:color w:val="auto"/>
          <w:spacing w:val="0"/>
          <w:position w:val="0"/>
          <w:sz w:val="24"/>
          <w:shd w:fill="auto" w:val="clear"/>
        </w:rPr>
        <w:t xml:space="preserve">:mCherry zebrafish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vertAlign w:val="superscript"/>
        </w:rPr>
        <w:t xml:space="preserve">10,21</w:t>
      </w:r>
      <w:r>
        <w:rPr>
          <w:rFonts w:ascii="Calibri" w:hAnsi="Calibri" w:cs="Calibri" w:eastAsia="Calibri"/>
          <w:color w:val="auto"/>
          <w:spacing w:val="0"/>
          <w:position w:val="0"/>
          <w:sz w:val="24"/>
          <w:shd w:fill="auto" w:val="clear"/>
        </w:rPr>
        <w:t xml:space="preserve">. Similarly, the number, distribution, proliferation and apoptosis of other cell types of interest both in the exo- and the endoskeleton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vertebrae) can be analyzed with the help of immunohistochemistry.</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Procedures carried out in zebrafish.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Resection of the caudal fin (amputation) in anaesthetized zebrafish with the help of a scalpel. The red dashed line indicates the amputation level.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Fin ray fracture in anaesthetized zebrafish carried out with an injection needle under the stereomicroscope. The fish is laying on an agarose-coated Petri dish during the procedure. Agarose-coated Petri dishes are also used to acquire images of zebrafish fins during regeneration or fracture repair.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Trepanation of the calvariae (skull injury) performed in anaestetized zebrafish with the help of a microdrill under the stereomicroscope.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 aquisition of regenerating skull bone after injury. The anaesthetized zebrafish is placed upright in a sponge and images are acquired with the help of a stereomicroscope. The Petri dish is filled with fish water containing 0.02% MS-222.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Incubation of zebrafish in prednisolone or DMSO containing fish water.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Microscopic live view of injuries at 0 h post injury (hpi). A.</w:t>
      </w:r>
      <w:r>
        <w:rPr>
          <w:rFonts w:ascii="Calibri" w:hAnsi="Calibri" w:cs="Calibri" w:eastAsia="Calibri"/>
          <w:color w:val="auto"/>
          <w:spacing w:val="0"/>
          <w:position w:val="0"/>
          <w:sz w:val="24"/>
          <w:shd w:fill="auto" w:val="clear"/>
        </w:rPr>
        <w:t xml:space="preserve"> Amputated caudal fin. Scale bar 200 µm.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Fractured fin ray. The fracture is indicated by the red arrow. Scale bar 100 µm.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Trepanated skull. The injury site is indicated by the white arrowhead. Scale bar 500 µm.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results of prednisolone treatment in adult zebrafish. A.</w:t>
      </w:r>
      <w:r>
        <w:rPr>
          <w:rFonts w:ascii="Calibri" w:hAnsi="Calibri" w:cs="Calibri" w:eastAsia="Calibri"/>
          <w:color w:val="auto"/>
          <w:spacing w:val="0"/>
          <w:position w:val="0"/>
          <w:sz w:val="24"/>
          <w:shd w:fill="auto" w:val="clear"/>
        </w:rPr>
        <w:t xml:space="preserve"> Alizarin red stained fin regenerates at 14 days post amputation (dpa) and days of treatment (dt). Prednisolone treated fin regenerates are shorter (not shown), and a smaller domain of alizarin red positive bone matrix is detected. Scale bar 500 µm.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Alizarin red stained skulls at 7 days post injury (dpi) and dt. Scale bar 100 µm. This figure has been modified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Cryosection view of uninjured skull and brain tissue of treated (prednisolone) and untreated (DMSO) Tg (</w:t>
      </w:r>
      <w:r>
        <w:rPr>
          <w:rFonts w:ascii="Calibri" w:hAnsi="Calibri" w:cs="Calibri" w:eastAsia="Calibri"/>
          <w:i/>
          <w:color w:val="auto"/>
          <w:spacing w:val="0"/>
          <w:position w:val="0"/>
          <w:sz w:val="24"/>
          <w:shd w:fill="auto" w:val="clear"/>
        </w:rPr>
        <w:t xml:space="preserve">mpeg1</w:t>
      </w:r>
      <w:r>
        <w:rPr>
          <w:rFonts w:ascii="Calibri" w:hAnsi="Calibri" w:cs="Calibri" w:eastAsia="Calibri"/>
          <w:color w:val="auto"/>
          <w:spacing w:val="0"/>
          <w:position w:val="0"/>
          <w:sz w:val="24"/>
          <w:shd w:fill="auto" w:val="clear"/>
        </w:rPr>
        <w:t xml:space="preserve">:mCherry) x Tg (</w:t>
      </w:r>
      <w:r>
        <w:rPr>
          <w:rFonts w:ascii="Calibri" w:hAnsi="Calibri" w:cs="Calibri" w:eastAsia="Calibri"/>
          <w:i/>
          <w:color w:val="auto"/>
          <w:spacing w:val="0"/>
          <w:position w:val="0"/>
          <w:sz w:val="24"/>
          <w:shd w:fill="auto" w:val="clear"/>
        </w:rPr>
        <w:t xml:space="preserve">osterix</w:t>
      </w:r>
      <w:r>
        <w:rPr>
          <w:rFonts w:ascii="Calibri" w:hAnsi="Calibri" w:cs="Calibri" w:eastAsia="Calibri"/>
          <w:color w:val="auto"/>
          <w:spacing w:val="0"/>
          <w:position w:val="0"/>
          <w:sz w:val="24"/>
          <w:shd w:fill="auto" w:val="clear"/>
        </w:rPr>
        <w:t xml:space="preserve">:nGFP) transgenic reporter fish, in which macrophages (innate immune cells) are labeled in red </w:t>
      </w:r>
      <w:r>
        <w:rPr>
          <w:rFonts w:ascii="Calibri" w:hAnsi="Calibri" w:cs="Calibri" w:eastAsia="Calibri"/>
          <w:color w:val="auto"/>
          <w:spacing w:val="0"/>
          <w:position w:val="0"/>
          <w:sz w:val="24"/>
          <w:shd w:fill="auto" w:val="clear"/>
          <w:vertAlign w:val="superscript"/>
        </w:rPr>
        <w:t xml:space="preserve">21 </w:t>
      </w:r>
      <w:r>
        <w:rPr>
          <w:rFonts w:ascii="Calibri" w:hAnsi="Calibri" w:cs="Calibri" w:eastAsia="Calibri"/>
          <w:color w:val="auto"/>
          <w:spacing w:val="0"/>
          <w:position w:val="0"/>
          <w:sz w:val="24"/>
          <w:shd w:fill="auto" w:val="clear"/>
        </w:rPr>
        <w:t xml:space="preserve">and bone forming osteoblasts are labeled in green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number of macrophages significantly drops in prednisolone treated zebrafish. Immunohistochemistry was performed as described in Geurtzen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Nuclei are labeled in blue (DAPI). Scale bar 20 µm. BF = bright field, epid = epidermis, bn = bone. This figure has been modified with permission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aonatonaghjkhgfghjhgfdfghjkjhgf</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have proven useful in skeletal research in many regards. Selected mutants mimic aspects of human disease such as osteogenesis imperfecta or osteoarthritis</w:t>
      </w:r>
      <w:r>
        <w:rPr>
          <w:rFonts w:ascii="Calibri" w:hAnsi="Calibri" w:cs="Calibri" w:eastAsia="Calibri"/>
          <w:color w:val="auto"/>
          <w:spacing w:val="0"/>
          <w:position w:val="0"/>
          <w:sz w:val="24"/>
          <w:shd w:fill="auto" w:val="clear"/>
          <w:vertAlign w:val="superscript"/>
        </w:rPr>
        <w:t xml:space="preserve">23,24,25,26,27</w:t>
      </w:r>
      <w:r>
        <w:rPr>
          <w:rFonts w:ascii="Calibri" w:hAnsi="Calibri" w:cs="Calibri" w:eastAsia="Calibri"/>
          <w:color w:val="auto"/>
          <w:spacing w:val="0"/>
          <w:position w:val="0"/>
          <w:sz w:val="24"/>
          <w:shd w:fill="auto" w:val="clear"/>
        </w:rPr>
        <w:t xml:space="preserve">, and larvae as well as scales are being used to identify bone anabolic compounds in small molecule screens</w:t>
      </w:r>
      <w:r>
        <w:rPr>
          <w:rFonts w:ascii="Calibri" w:hAnsi="Calibri" w:cs="Calibri" w:eastAsia="Calibri"/>
          <w:color w:val="auto"/>
          <w:spacing w:val="0"/>
          <w:position w:val="0"/>
          <w:sz w:val="24"/>
          <w:shd w:fill="auto" w:val="clear"/>
          <w:vertAlign w:val="superscript"/>
        </w:rPr>
        <w:t xml:space="preserve">7,28,29</w:t>
      </w:r>
      <w:r>
        <w:rPr>
          <w:rFonts w:ascii="Calibri" w:hAnsi="Calibri" w:cs="Calibri" w:eastAsia="Calibri"/>
          <w:color w:val="auto"/>
          <w:spacing w:val="0"/>
          <w:position w:val="0"/>
          <w:sz w:val="24"/>
          <w:shd w:fill="auto" w:val="clear"/>
        </w:rPr>
        <w:t xml:space="preserve">. Treatments of zebrafish with drugs that are applied in clinical practice are furthermore ideally suited to study putative adverse effects, for example in bone tissue. In this context, the presence of rapidly regenerating bone is advantageous to investigate the underlying mechanisms of medication-induced bone deficiencies. Here, we present a protocol in which drug treatment with the glucocorticoid prednisolone, a commonly used anti-inflammatory drug with adverse effects in bone tissue, is combined with adult bone regeneration regimes. This protocol has successfully been used to induce immunosuppressive and bone inhibitory effects in regenerative tissues of zebrafish, and can also be adapted for studies on the impact of prednisolone and other drugs in adult such as the spine. The following details should be taken into account when immunosuppressive drug treatments are performed in zebrafish undergoing fin or skull regeneration.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Reproducibility of injury assays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fin regeneration, regeneration speed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regrowth of fin tissue, including bone, per time unit) depends very much on the amount of fin tissue that is being resected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order to avoid unwanted variability of fin regeneration, make sure to always resect equivalent amounts of fin tissue in all specimens.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Execution of bony fin ray fractures is carried out by slightly pushing an injection needle onto the center of a chosen bony fin ray segment. As bony fin rays consist of 2 opposing hemirays, the amount of pressure used determines whether only one or both hemirays are fractured. We prefer to apply low pressure to fracture only one hemiray, because fracture of both hemirays tends to destabilize the fin ray, which as a result may detach during the following day(s).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Calvarial injuries of the skull by microdrilling should be performed cautiously. If damage is done to the brain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cerebellum) postural and locomotory deficits will become apparent by erratic swimming of the specimen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Zebrafish with cerebellar injury may show adverse reactions to drug treatment and should not be used to study bone regeneration.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Considerations regarding drug treatments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a consistent immunosuppressive and anti-regenerative effect in adult zebrafish we employ a dose of 50 µM prednisolone in fish water. We identified this dose during initial dose-response experiments in larval and adult zebrafish. Thus, dose-response experiments should be carried out to identify the required dose of other immunosuppressive agents that might be applied. For adults, we recommend combining these initial experiments with the fin regeneration regime, as fin regenerate length is a highly sensitive and easy-to-detect readout for tissue alterations.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Immunosuppressive treatment predisposes treated specimens to microbial infections. Therefore, single housing in autoclaved beakers containing autoclaved fish water is important. Although these conditions are more cumbersome to carry out and are not sterile, they help to minimize infection in treated zebrafish. We did not pretreat ('sterilize') Artemia eggs. However, this might be an additional measure to prevent infection in zebrafish, if necessary. Furthermore, antiseptic substances such as methylene blue (1%) can be added to fish water before use.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with prednisolone, both short- and long-term, require daily changes of fish water. We have treated adult zebrafish for up to 8 weeks. Treatment of a large number of individuals for such a long time can lead to a certain experimental 'burden', and should be planned carefully. It is pivotal to always have the required amounts of autoclaved fish water and glass ware ready. Although this has not been tested in zebrafish (to our knowledge), implantation of slow release pellets for drugs of interest might represent a valuable alternative for long term drug exposure in zebrafish.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Analyses in transgenic zebrafish</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2 methods to stain for mineralization/calcification of bone tissues by alizarin red and calcein staining. Additionally, we show how to image regenerating fin and skull tissue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with the help of a stereomicroscope. The latter technique is very useful, if transgenic zebrafish reporting the number or activity of selected cells, such as osteoblasts or immune cells, are being imaged. For example, before sacrificing injured and prednisolone-treated zebrafish to perform alizarin red staining, fin regenerates or trepanated skulls undergoing repair can be photographed to look for the presence, number and activity of bone forming osteoblasts in the transgenic reporter line Tg (</w:t>
      </w:r>
      <w:r>
        <w:rPr>
          <w:rFonts w:ascii="Calibri" w:hAnsi="Calibri" w:cs="Calibri" w:eastAsia="Calibri"/>
          <w:i/>
          <w:color w:val="auto"/>
          <w:spacing w:val="0"/>
          <w:position w:val="0"/>
          <w:sz w:val="24"/>
          <w:shd w:fill="auto" w:val="clear"/>
        </w:rPr>
        <w:t xml:space="preserve">osterix</w:t>
      </w:r>
      <w:r>
        <w:rPr>
          <w:rFonts w:ascii="Calibri" w:hAnsi="Calibri" w:cs="Calibri" w:eastAsia="Calibri"/>
          <w:color w:val="auto"/>
          <w:spacing w:val="0"/>
          <w:position w:val="0"/>
          <w:sz w:val="24"/>
          <w:shd w:fill="auto" w:val="clear"/>
        </w:rPr>
        <w:t xml:space="preserve">:nGFP)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Likewise, epidermal wound closure, which occurs within a day, can be visualized in transgenic fish, which express a fluorophore in epidermal tissue. Also, accumulation of immune cells at the site of injury (or their absence in prednisolone treated individuals) can be monitored easily with a stereomicroscope equipped with the required light source and filters.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the protocol presented here can be used to study effects of immunosuppressive agents and other drugs after systemic administration in zebrafish that are undergoing bone regeneration either in the fin or skull. This will be useful to delineate the pathogenesis of GIO and to investigate the mechanisms underlying successful bone regeneration.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supported by a grant of the Center of Regenerative Therapies Dresden ("Zebrafish as a model to unravel the mechanisms of glucocorticoid-induced bone loss") and additionally by a grant of the Deutsche Forschungsgemeinschaft (Transregio 67, project </w:t>
      </w:r>
      <w:r>
        <w:rPr>
          <w:rFonts w:ascii="Calibri" w:hAnsi="Calibri" w:cs="Calibri" w:eastAsia="Calibri"/>
          <w:color w:val="000000"/>
          <w:spacing w:val="0"/>
          <w:position w:val="0"/>
          <w:sz w:val="24"/>
          <w:shd w:fill="auto" w:val="clear"/>
        </w:rPr>
        <w:t xml:space="preserve">387653785)</w:t>
      </w:r>
      <w:r>
        <w:rPr>
          <w:rFonts w:ascii="Calibri" w:hAnsi="Calibri" w:cs="Calibri" w:eastAsia="Calibri"/>
          <w:color w:val="auto"/>
          <w:spacing w:val="0"/>
          <w:position w:val="0"/>
          <w:sz w:val="24"/>
          <w:shd w:fill="auto" w:val="clear"/>
        </w:rPr>
        <w:t xml:space="preserve"> to FK. We are very grateful to Jan Kaslin and Avinash Chekuru for their guidance and assistance on performing trepanation of the calvariae and fractures in bony fin rays. Experiments were designed, performed and analyzed by KG and FK. FK wrote the manuscript. We would also like to thank Katrin Lambert and other members of the Knopf and Brand labs for technical assistance and discussion. Our thanks also goes to Marika Fischer and Jitka Michling for excellent fish care and to Henriette Knopf and Josh Currie for proofreading the manuscript.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Westerfield, M. </w:t>
      </w:r>
      <w:r>
        <w:rPr>
          <w:rFonts w:ascii="Calibri" w:hAnsi="Calibri" w:cs="Calibri" w:eastAsia="Calibri"/>
          <w:i/>
          <w:color w:val="000000"/>
          <w:spacing w:val="0"/>
          <w:position w:val="0"/>
          <w:sz w:val="24"/>
          <w:shd w:fill="auto" w:val="clear"/>
        </w:rPr>
        <w:t xml:space="preserve">The Zebrafish Book. A Guide for The Laboratory Use of Zebrafish (Danio rerio)</w:t>
      </w:r>
      <w:r>
        <w:rPr>
          <w:rFonts w:ascii="Calibri" w:hAnsi="Calibri" w:cs="Calibri" w:eastAsia="Calibri"/>
          <w:color w:val="000000"/>
          <w:spacing w:val="0"/>
          <w:position w:val="0"/>
          <w:sz w:val="24"/>
          <w:shd w:fill="auto" w:val="clear"/>
        </w:rPr>
        <w:t xml:space="preserve">. Vol. 385 (2000).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Xu, C., Volkery, S. &amp; Siekmann, A. F. Intubation-based anesthesia for long-term time-lapse imaging of adult zebrafish. </w:t>
      </w:r>
      <w:r>
        <w:rPr>
          <w:rFonts w:ascii="Calibri" w:hAnsi="Calibri" w:cs="Calibri" w:eastAsia="Calibri"/>
          <w:i/>
          <w:color w:val="000000"/>
          <w:spacing w:val="0"/>
          <w:position w:val="0"/>
          <w:sz w:val="24"/>
          <w:shd w:fill="auto" w:val="clear"/>
        </w:rPr>
        <w:t xml:space="preserve">Nature Protocols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 2064-2073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Kaufman, C. K., White, R. M. &amp; Zon, L. Chemical genetic screening in the zebrafish embryo. </w:t>
      </w:r>
      <w:r>
        <w:rPr>
          <w:rFonts w:ascii="Calibri" w:hAnsi="Calibri" w:cs="Calibri" w:eastAsia="Calibri"/>
          <w:i/>
          <w:color w:val="000000"/>
          <w:spacing w:val="0"/>
          <w:position w:val="0"/>
          <w:sz w:val="24"/>
          <w:shd w:fill="auto" w:val="clear"/>
        </w:rPr>
        <w:t xml:space="preserve">Nature Protocols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1422-1432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Paul, S. &amp; Crump, J. G. Lessons on skeletal cell plasticity from studying jawbone regeneration in zebrafish. </w:t>
      </w:r>
      <w:r>
        <w:rPr>
          <w:rFonts w:ascii="Calibri" w:hAnsi="Calibri" w:cs="Calibri" w:eastAsia="Calibri"/>
          <w:i/>
          <w:color w:val="000000"/>
          <w:spacing w:val="0"/>
          <w:position w:val="0"/>
          <w:sz w:val="24"/>
          <w:shd w:fill="auto" w:val="clear"/>
        </w:rPr>
        <w:t xml:space="preserve"> Bonekey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853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Witten, P. E., Harris, M. P., Huysseune, A. &amp; Winkler, C. Small teleost fish provide new insights into human skeletal diseases.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321-346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den Uyl, D., Bultink, I. E. &amp; Lems, W. F. Advances in glucocorticoid-induced osteoporosis. </w:t>
      </w:r>
      <w:r>
        <w:rPr>
          <w:rFonts w:ascii="Calibri" w:hAnsi="Calibri" w:cs="Calibri" w:eastAsia="Calibri"/>
          <w:i/>
          <w:color w:val="000000"/>
          <w:spacing w:val="0"/>
          <w:position w:val="0"/>
          <w:sz w:val="24"/>
          <w:shd w:fill="auto" w:val="clear"/>
        </w:rPr>
        <w:t xml:space="preserve">Current Rheumatology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233-240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Barrett, R., Chappell, C., Quick, M. &amp; Fleming, A. A rapid, high content,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 of glucocorticoid-induced osteoporosis.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651-655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Vrieze,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Prednisolone induces osteoporosis-like phenotype in regenerating zebrafish scales. </w:t>
      </w:r>
      <w:r>
        <w:rPr>
          <w:rFonts w:ascii="Calibri" w:hAnsi="Calibri" w:cs="Calibri" w:eastAsia="Calibri"/>
          <w:i/>
          <w:color w:val="000000"/>
          <w:spacing w:val="0"/>
          <w:position w:val="0"/>
          <w:sz w:val="24"/>
          <w:shd w:fill="auto" w:val="clear"/>
        </w:rPr>
        <w:t xml:space="preserve">Osteoporosis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567-578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Pasqualetti, S., Congiu, T., Banfi, G. &amp; Mariotti, M. Alendronate rescued osteoporotic phenotype in a model of glucocorticoid-induced osteoporosis in adult zebrafish scale. </w:t>
      </w:r>
      <w:r>
        <w:rPr>
          <w:rFonts w:ascii="Calibri" w:hAnsi="Calibri" w:cs="Calibri" w:eastAsia="Calibri"/>
          <w:i/>
          <w:color w:val="000000"/>
          <w:spacing w:val="0"/>
          <w:position w:val="0"/>
          <w:sz w:val="24"/>
          <w:shd w:fill="auto" w:val="clear"/>
        </w:rPr>
        <w:t xml:space="preserve">International Journal Of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 11-20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Geurtzen,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Immune Suppressive and Bone Inhibitory Effects of Prednisolone in Growing and Regenerating Zebrafish Tissues. </w:t>
      </w:r>
      <w:r>
        <w:rPr>
          <w:rFonts w:ascii="Calibri" w:hAnsi="Calibri" w:cs="Calibri" w:eastAsia="Calibri"/>
          <w:i/>
          <w:color w:val="000000"/>
          <w:spacing w:val="0"/>
          <w:position w:val="0"/>
          <w:sz w:val="24"/>
          <w:shd w:fill="auto" w:val="clear"/>
        </w:rPr>
        <w:t xml:space="preserve">Journal of Bone and Mineral Research </w:t>
      </w:r>
      <w:r>
        <w:rPr>
          <w:rFonts w:ascii="Calibri" w:hAnsi="Calibri" w:cs="Calibri" w:eastAsia="Calibri"/>
          <w:color w:val="000000"/>
          <w:spacing w:val="0"/>
          <w:position w:val="0"/>
          <w:sz w:val="24"/>
          <w:shd w:fill="auto" w:val="clear"/>
        </w:rPr>
        <w:t xml:space="preserve">(2017).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Geurtzen,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Mature osteoblasts dedifferentiate in response to traumatic bone injury in the zebrafish fin and skull.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(11), 2225-2234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Matthews, M. &amp; Varga, Z. M. Anesthesia and euthanasia in zebrafish. </w:t>
      </w:r>
      <w:r>
        <w:rPr>
          <w:rFonts w:ascii="Calibri" w:hAnsi="Calibri" w:cs="Calibri" w:eastAsia="Calibri"/>
          <w:i/>
          <w:color w:val="000000"/>
          <w:spacing w:val="0"/>
          <w:position w:val="0"/>
          <w:sz w:val="24"/>
          <w:shd w:fill="auto" w:val="clear"/>
        </w:rPr>
        <w:t xml:space="preserve">Institute of Laboratory Animal Resources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 192-204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Lee, Y., Grill, S., Sanchez, A., Murphy-Ryan, M. &amp; Poss, K. D. Fgf signaling instructs position-dependent growth rate during zebrafish fin regeneration.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5173-5183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Hirasawa, T. &amp; Kuratani, S. Evolution of the vertebrate skeleton: morphology, embryology, and development. </w:t>
      </w:r>
      <w:r>
        <w:rPr>
          <w:rFonts w:ascii="Calibri" w:hAnsi="Calibri" w:cs="Calibri" w:eastAsia="Calibri"/>
          <w:i/>
          <w:color w:val="000000"/>
          <w:spacing w:val="0"/>
          <w:position w:val="0"/>
          <w:sz w:val="24"/>
          <w:shd w:fill="auto" w:val="clear"/>
        </w:rPr>
        <w:t xml:space="preserve">Zoological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Kaslin, J., Kroehne, V., Ganz, J., Hans, S. &amp; Brand, M. Distinct roles of neuroepithelial-like and radial glia-like progenitor cells in cerebellar regeneration.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(8), 1462-1471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Knopf,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Bone Regenerates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Dedifferentiation of Osteoblasts in the Zebrafish Fin.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 713-724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van Eeden, F.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Mutations affecting somite formation and patterning in the zebrafish, Danio rerio.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153-164 (1996).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Walker, M. B. &amp; Kimmel, C. B. A two-color acid-free cartilage and bone stain for zebrafish larvae. </w:t>
      </w:r>
      <w:r>
        <w:rPr>
          <w:rFonts w:ascii="Calibri" w:hAnsi="Calibri" w:cs="Calibri" w:eastAsia="Calibri"/>
          <w:i/>
          <w:color w:val="000000"/>
          <w:spacing w:val="0"/>
          <w:position w:val="0"/>
          <w:sz w:val="24"/>
          <w:shd w:fill="auto" w:val="clear"/>
        </w:rPr>
        <w:t xml:space="preserve">Biotechnic &amp; Histochemistry.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23-28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Kyritsis,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Acute inflammation initiates the regenerative response in the adult zebrafish brain.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(6112), 1353-1356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Oppedal, D. &amp; Goldsmith, M. I. A chemical screen to identify novel inhibitors of fin regeneration in zebrafish.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53-60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Ellett, F., Pase, L., Hayman, J. W., Andrianopoulos, A. &amp; Lieschke, G. J. mpeg1 promoter transgenes direct macrophage-lineage expression in zebrafish.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e49-56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Spoorendonk, K.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Retinoic acid and Cyp26b1 are critical regulators of osteogenesis in the axial skeleton.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(22), 3765-3774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Gioia,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chaperone activity of 4PBA ameliorates the skeletal phenotype of Chihuahua, a zebrafish model for dominant osteogenesis imperfecta.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(15), 2897-2911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Fiedler, I. 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Severely impaired bone material quality in Chihuahua zebrafish resembles classical dominant human osteogenesis imperfecta. </w:t>
      </w:r>
      <w:r>
        <w:rPr>
          <w:rFonts w:ascii="Calibri" w:hAnsi="Calibri" w:cs="Calibri" w:eastAsia="Calibri"/>
          <w:i/>
          <w:color w:val="000000"/>
          <w:spacing w:val="0"/>
          <w:position w:val="0"/>
          <w:sz w:val="24"/>
          <w:shd w:fill="auto" w:val="clear"/>
        </w:rPr>
        <w:t xml:space="preserve">Journal of Bone and Mineral Research </w:t>
      </w:r>
      <w:r>
        <w:rPr>
          <w:rFonts w:ascii="Calibri" w:hAnsi="Calibri" w:cs="Calibri" w:eastAsia="Calibri"/>
          <w:color w:val="000000"/>
          <w:spacing w:val="0"/>
          <w:position w:val="0"/>
          <w:sz w:val="24"/>
          <w:shd w:fill="auto" w:val="clear"/>
        </w:rPr>
        <w:t xml:space="preserve">(2018).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Fisher, S., Jagadeeswaran, P. &amp; Halpern, M. E. Radiographic analysis of zebrafish skeletal defects.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264</w:t>
      </w:r>
      <w:r>
        <w:rPr>
          <w:rFonts w:ascii="Calibri" w:hAnsi="Calibri" w:cs="Calibri" w:eastAsia="Calibri"/>
          <w:color w:val="000000"/>
          <w:spacing w:val="0"/>
          <w:position w:val="0"/>
          <w:sz w:val="24"/>
          <w:shd w:fill="auto" w:val="clear"/>
        </w:rPr>
        <w:t xml:space="preserve"> (1), 64-76 (2003).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Hayes,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Spinal deformity in aged zebrafish is accompanied by degenerative changes to their vertebrae that resemble osteoarthritis.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(9), e75787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Mitchell, R.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New tools for studying osteoarthritis genetics in zebrafish. </w:t>
      </w:r>
      <w:r>
        <w:rPr>
          <w:rFonts w:ascii="Calibri" w:hAnsi="Calibri" w:cs="Calibri" w:eastAsia="Calibri"/>
          <w:i/>
          <w:color w:val="000000"/>
          <w:spacing w:val="0"/>
          <w:position w:val="0"/>
          <w:sz w:val="24"/>
          <w:shd w:fill="auto" w:val="clear"/>
        </w:rPr>
        <w:t xml:space="preserve">Osteoarthritis Cartilage.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269-278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Fleming, A., Sato, M. &amp; Goldsmith, P. High-throughput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screening for bone anabolic compounds with zebrafish. </w:t>
      </w:r>
      <w:r>
        <w:rPr>
          <w:rFonts w:ascii="Calibri" w:hAnsi="Calibri" w:cs="Calibri" w:eastAsia="Calibri"/>
          <w:i/>
          <w:color w:val="000000"/>
          <w:spacing w:val="0"/>
          <w:position w:val="0"/>
          <w:sz w:val="24"/>
          <w:shd w:fill="auto" w:val="clear"/>
        </w:rPr>
        <w:t xml:space="preserve">Journal of Biomolecular Screening.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823-831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de Vrieze, E., Zethof, J., Schulte-Merker, S., Flik, G. &amp; Metz, J. R. Identification of novel osteogenic compounds by an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sp7:luciferase zebrafish scale assay. </w:t>
      </w:r>
      <w:r>
        <w:rPr>
          <w:rFonts w:ascii="Calibri" w:hAnsi="Calibri" w:cs="Calibri" w:eastAsia="Calibri"/>
          <w:i/>
          <w:color w:val="000000"/>
          <w:spacing w:val="0"/>
          <w:position w:val="0"/>
          <w:sz w:val="24"/>
          <w:shd w:fill="auto" w:val="clear"/>
        </w:rPr>
        <w:t xml:space="preserve">Bone.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106-113 (2015).</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num w:numId="6">
    <w:abstractNumId w:val="438"/>
  </w:num>
  <w:num w:numId="8">
    <w:abstractNumId w:val="432"/>
  </w:num>
  <w:num w:numId="10">
    <w:abstractNumId w:val="426"/>
  </w:num>
  <w:num w:numId="12">
    <w:abstractNumId w:val="420"/>
  </w:num>
  <w:num w:numId="14">
    <w:abstractNumId w:val="414"/>
  </w:num>
  <w:num w:numId="16">
    <w:abstractNumId w:val="408"/>
  </w:num>
  <w:num w:numId="18">
    <w:abstractNumId w:val="402"/>
  </w:num>
  <w:num w:numId="20">
    <w:abstractNumId w:val="396"/>
  </w:num>
  <w:num w:numId="22">
    <w:abstractNumId w:val="390"/>
  </w:num>
  <w:num w:numId="24">
    <w:abstractNumId w:val="384"/>
  </w:num>
  <w:num w:numId="26">
    <w:abstractNumId w:val="378"/>
  </w:num>
  <w:num w:numId="28">
    <w:abstractNumId w:val="372"/>
  </w:num>
  <w:num w:numId="30">
    <w:abstractNumId w:val="366"/>
  </w:num>
  <w:num w:numId="32">
    <w:abstractNumId w:val="360"/>
  </w:num>
  <w:num w:numId="34">
    <w:abstractNumId w:val="354"/>
  </w:num>
  <w:num w:numId="36">
    <w:abstractNumId w:val="348"/>
  </w:num>
  <w:num w:numId="38">
    <w:abstractNumId w:val="342"/>
  </w:num>
  <w:num w:numId="40">
    <w:abstractNumId w:val="336"/>
  </w:num>
  <w:num w:numId="42">
    <w:abstractNumId w:val="330"/>
  </w:num>
  <w:num w:numId="44">
    <w:abstractNumId w:val="324"/>
  </w:num>
  <w:num w:numId="46">
    <w:abstractNumId w:val="318"/>
  </w:num>
  <w:num w:numId="48">
    <w:abstractNumId w:val="312"/>
  </w:num>
  <w:num w:numId="50">
    <w:abstractNumId w:val="306"/>
  </w:num>
  <w:num w:numId="52">
    <w:abstractNumId w:val="300"/>
  </w:num>
  <w:num w:numId="54">
    <w:abstractNumId w:val="294"/>
  </w:num>
  <w:num w:numId="56">
    <w:abstractNumId w:val="288"/>
  </w:num>
  <w:num w:numId="58">
    <w:abstractNumId w:val="282"/>
  </w:num>
  <w:num w:numId="60">
    <w:abstractNumId w:val="276"/>
  </w:num>
  <w:num w:numId="62">
    <w:abstractNumId w:val="270"/>
  </w:num>
  <w:num w:numId="64">
    <w:abstractNumId w:val="264"/>
  </w:num>
  <w:num w:numId="66">
    <w:abstractNumId w:val="258"/>
  </w:num>
  <w:num w:numId="68">
    <w:abstractNumId w:val="252"/>
  </w:num>
  <w:num w:numId="70">
    <w:abstractNumId w:val="246"/>
  </w:num>
  <w:num w:numId="72">
    <w:abstractNumId w:val="240"/>
  </w:num>
  <w:num w:numId="74">
    <w:abstractNumId w:val="234"/>
  </w:num>
  <w:num w:numId="76">
    <w:abstractNumId w:val="228"/>
  </w:num>
  <w:num w:numId="78">
    <w:abstractNumId w:val="222"/>
  </w:num>
  <w:num w:numId="80">
    <w:abstractNumId w:val="216"/>
  </w:num>
  <w:num w:numId="82">
    <w:abstractNumId w:val="210"/>
  </w:num>
  <w:num w:numId="84">
    <w:abstractNumId w:val="204"/>
  </w:num>
  <w:num w:numId="86">
    <w:abstractNumId w:val="198"/>
  </w:num>
  <w:num w:numId="88">
    <w:abstractNumId w:val="192"/>
  </w:num>
  <w:num w:numId="90">
    <w:abstractNumId w:val="186"/>
  </w:num>
  <w:num w:numId="92">
    <w:abstractNumId w:val="180"/>
  </w:num>
  <w:num w:numId="94">
    <w:abstractNumId w:val="174"/>
  </w:num>
  <w:num w:numId="96">
    <w:abstractNumId w:val="168"/>
  </w:num>
  <w:num w:numId="98">
    <w:abstractNumId w:val="162"/>
  </w:num>
  <w:num w:numId="100">
    <w:abstractNumId w:val="156"/>
  </w:num>
  <w:num w:numId="102">
    <w:abstractNumId w:val="150"/>
  </w:num>
  <w:num w:numId="104">
    <w:abstractNumId w:val="144"/>
  </w:num>
  <w:num w:numId="106">
    <w:abstractNumId w:val="138"/>
  </w:num>
  <w:num w:numId="108">
    <w:abstractNumId w:val="132"/>
  </w:num>
  <w:num w:numId="110">
    <w:abstractNumId w:val="126"/>
  </w:num>
  <w:num w:numId="112">
    <w:abstractNumId w:val="120"/>
  </w:num>
  <w:num w:numId="114">
    <w:abstractNumId w:val="114"/>
  </w:num>
  <w:num w:numId="116">
    <w:abstractNumId w:val="108"/>
  </w:num>
  <w:num w:numId="118">
    <w:abstractNumId w:val="102"/>
  </w:num>
  <w:num w:numId="120">
    <w:abstractNumId w:val="96"/>
  </w:num>
  <w:num w:numId="122">
    <w:abstractNumId w:val="90"/>
  </w:num>
  <w:num w:numId="124">
    <w:abstractNumId w:val="84"/>
  </w:num>
  <w:num w:numId="126">
    <w:abstractNumId w:val="78"/>
  </w:num>
  <w:num w:numId="128">
    <w:abstractNumId w:val="72"/>
  </w:num>
  <w:num w:numId="130">
    <w:abstractNumId w:val="66"/>
  </w:num>
  <w:num w:numId="132">
    <w:abstractNumId w:val="60"/>
  </w:num>
  <w:num w:numId="134">
    <w:abstractNumId w:val="54"/>
  </w:num>
  <w:num w:numId="136">
    <w:abstractNumId w:val="48"/>
  </w:num>
  <w:num w:numId="138">
    <w:abstractNumId w:val="42"/>
  </w:num>
  <w:num w:numId="140">
    <w:abstractNumId w:val="36"/>
  </w:num>
  <w:num w:numId="142">
    <w:abstractNumId w:val="30"/>
  </w:num>
  <w:num w:numId="144">
    <w:abstractNumId w:val="24"/>
  </w:num>
  <w:num w:numId="146">
    <w:abstractNumId w:val="18"/>
  </w:num>
  <w:num w:numId="148">
    <w:abstractNumId w:val="12"/>
  </w:num>
  <w:num w:numId="150">
    <w:abstractNumId w:val="6"/>
  </w:num>
  <w:num w:numId="1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