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D0A5AF1" w:rsidR="006305D7" w:rsidRPr="00AD6123" w:rsidRDefault="006305D7" w:rsidP="00371E99">
      <w:pPr>
        <w:pStyle w:val="NormalWeb"/>
        <w:spacing w:before="0" w:beforeAutospacing="0" w:after="0" w:afterAutospacing="0"/>
        <w:rPr>
          <w:rFonts w:asciiTheme="minorHAnsi" w:hAnsiTheme="minorHAnsi" w:cstheme="minorHAnsi"/>
          <w:color w:val="auto"/>
        </w:rPr>
      </w:pPr>
      <w:r w:rsidRPr="00AD6123">
        <w:rPr>
          <w:rFonts w:asciiTheme="minorHAnsi" w:hAnsiTheme="minorHAnsi" w:cstheme="minorHAnsi"/>
          <w:b/>
          <w:bCs/>
          <w:color w:val="auto"/>
        </w:rPr>
        <w:t>TITLE:</w:t>
      </w:r>
      <w:r w:rsidRPr="00AD6123">
        <w:rPr>
          <w:rFonts w:asciiTheme="minorHAnsi" w:hAnsiTheme="minorHAnsi" w:cstheme="minorHAnsi"/>
          <w:color w:val="auto"/>
        </w:rPr>
        <w:t xml:space="preserve"> </w:t>
      </w:r>
    </w:p>
    <w:p w14:paraId="2E300B21" w14:textId="3B5C99ED" w:rsidR="007A4DD6" w:rsidRDefault="00D654F0" w:rsidP="00371E99">
      <w:pPr>
        <w:rPr>
          <w:rFonts w:asciiTheme="minorHAnsi" w:hAnsiTheme="minorHAnsi" w:cstheme="minorHAnsi"/>
          <w:color w:val="auto"/>
        </w:rPr>
      </w:pPr>
      <w:r w:rsidRPr="00AD6123">
        <w:rPr>
          <w:rFonts w:asciiTheme="minorHAnsi" w:hAnsiTheme="minorHAnsi" w:cstheme="minorHAnsi"/>
          <w:color w:val="auto"/>
        </w:rPr>
        <w:t xml:space="preserve">Assessment of </w:t>
      </w:r>
      <w:r w:rsidR="00B82148">
        <w:rPr>
          <w:rFonts w:asciiTheme="minorHAnsi" w:hAnsiTheme="minorHAnsi" w:cstheme="minorHAnsi"/>
          <w:color w:val="auto"/>
        </w:rPr>
        <w:t xml:space="preserve">the </w:t>
      </w:r>
      <w:r w:rsidR="008F792D">
        <w:rPr>
          <w:rFonts w:asciiTheme="minorHAnsi" w:hAnsiTheme="minorHAnsi" w:cstheme="minorHAnsi"/>
          <w:color w:val="auto"/>
        </w:rPr>
        <w:t>M</w:t>
      </w:r>
      <w:r w:rsidRPr="00AD6123">
        <w:rPr>
          <w:rFonts w:asciiTheme="minorHAnsi" w:hAnsiTheme="minorHAnsi" w:cstheme="minorHAnsi"/>
          <w:color w:val="auto"/>
        </w:rPr>
        <w:t xml:space="preserve">etabolic </w:t>
      </w:r>
      <w:r w:rsidR="008F792D">
        <w:rPr>
          <w:rFonts w:asciiTheme="minorHAnsi" w:hAnsiTheme="minorHAnsi" w:cstheme="minorHAnsi"/>
          <w:color w:val="auto"/>
        </w:rPr>
        <w:t>P</w:t>
      </w:r>
      <w:r w:rsidRPr="00AD6123">
        <w:rPr>
          <w:rFonts w:asciiTheme="minorHAnsi" w:hAnsiTheme="minorHAnsi" w:cstheme="minorHAnsi"/>
          <w:color w:val="auto"/>
        </w:rPr>
        <w:t xml:space="preserve">rofile of </w:t>
      </w:r>
      <w:r w:rsidR="008F792D">
        <w:rPr>
          <w:rFonts w:asciiTheme="minorHAnsi" w:hAnsiTheme="minorHAnsi" w:cstheme="minorHAnsi"/>
          <w:color w:val="auto"/>
        </w:rPr>
        <w:t>P</w:t>
      </w:r>
      <w:r w:rsidRPr="00AD6123">
        <w:rPr>
          <w:rFonts w:asciiTheme="minorHAnsi" w:hAnsiTheme="minorHAnsi" w:cstheme="minorHAnsi"/>
          <w:color w:val="auto"/>
        </w:rPr>
        <w:t xml:space="preserve">rimary </w:t>
      </w:r>
      <w:r w:rsidR="008F792D">
        <w:rPr>
          <w:rFonts w:asciiTheme="minorHAnsi" w:hAnsiTheme="minorHAnsi" w:cstheme="minorHAnsi"/>
          <w:color w:val="auto"/>
        </w:rPr>
        <w:t>L</w:t>
      </w:r>
      <w:r w:rsidRPr="00AD6123">
        <w:rPr>
          <w:rFonts w:asciiTheme="minorHAnsi" w:hAnsiTheme="minorHAnsi" w:cstheme="minorHAnsi"/>
          <w:color w:val="auto"/>
        </w:rPr>
        <w:t xml:space="preserve">eukemia </w:t>
      </w:r>
      <w:r w:rsidR="008F792D">
        <w:rPr>
          <w:rFonts w:asciiTheme="minorHAnsi" w:hAnsiTheme="minorHAnsi" w:cstheme="minorHAnsi"/>
          <w:color w:val="auto"/>
        </w:rPr>
        <w:t>C</w:t>
      </w:r>
      <w:r w:rsidRPr="00AD6123">
        <w:rPr>
          <w:rFonts w:asciiTheme="minorHAnsi" w:hAnsiTheme="minorHAnsi" w:cstheme="minorHAnsi"/>
          <w:color w:val="auto"/>
        </w:rPr>
        <w:t>ells</w:t>
      </w:r>
    </w:p>
    <w:p w14:paraId="033E6508" w14:textId="77777777" w:rsidR="0096105B" w:rsidRPr="00AD6123" w:rsidRDefault="0096105B" w:rsidP="00371E99">
      <w:pPr>
        <w:rPr>
          <w:rFonts w:asciiTheme="minorHAnsi" w:hAnsiTheme="minorHAnsi" w:cstheme="minorHAnsi"/>
          <w:b/>
          <w:bCs/>
          <w:color w:val="auto"/>
        </w:rPr>
      </w:pPr>
    </w:p>
    <w:p w14:paraId="3D080DA3" w14:textId="65CBADB5" w:rsidR="006305D7" w:rsidRPr="00AD6123" w:rsidRDefault="006305D7" w:rsidP="00371E99">
      <w:pPr>
        <w:rPr>
          <w:rFonts w:asciiTheme="minorHAnsi" w:hAnsiTheme="minorHAnsi" w:cstheme="minorHAnsi"/>
          <w:color w:val="auto"/>
        </w:rPr>
      </w:pPr>
      <w:r w:rsidRPr="00AD6123">
        <w:rPr>
          <w:rFonts w:asciiTheme="minorHAnsi" w:hAnsiTheme="minorHAnsi" w:cstheme="minorHAnsi"/>
          <w:b/>
          <w:bCs/>
          <w:color w:val="auto"/>
        </w:rPr>
        <w:t>AUTHORS</w:t>
      </w:r>
      <w:r w:rsidR="000B662E" w:rsidRPr="00AD6123">
        <w:rPr>
          <w:rFonts w:asciiTheme="minorHAnsi" w:hAnsiTheme="minorHAnsi" w:cstheme="minorHAnsi"/>
          <w:b/>
          <w:bCs/>
          <w:color w:val="auto"/>
        </w:rPr>
        <w:t xml:space="preserve"> </w:t>
      </w:r>
      <w:r w:rsidR="00086FF5" w:rsidRPr="00AD6123">
        <w:rPr>
          <w:rFonts w:asciiTheme="minorHAnsi" w:hAnsiTheme="minorHAnsi" w:cstheme="minorHAnsi"/>
          <w:b/>
          <w:bCs/>
          <w:color w:val="auto"/>
        </w:rPr>
        <w:t xml:space="preserve">AND </w:t>
      </w:r>
      <w:r w:rsidR="000B662E" w:rsidRPr="00AD6123">
        <w:rPr>
          <w:rFonts w:asciiTheme="minorHAnsi" w:hAnsiTheme="minorHAnsi" w:cstheme="minorHAnsi"/>
          <w:b/>
          <w:bCs/>
          <w:color w:val="auto"/>
        </w:rPr>
        <w:t>AFFILIATIONS</w:t>
      </w:r>
      <w:r w:rsidRPr="00AD6123">
        <w:rPr>
          <w:rFonts w:asciiTheme="minorHAnsi" w:hAnsiTheme="minorHAnsi" w:cstheme="minorHAnsi"/>
          <w:b/>
          <w:bCs/>
          <w:color w:val="auto"/>
        </w:rPr>
        <w:t xml:space="preserve">: </w:t>
      </w:r>
    </w:p>
    <w:p w14:paraId="60FCB589" w14:textId="364C6808" w:rsidR="00D04A95" w:rsidRPr="00AD6123" w:rsidRDefault="00D654F0" w:rsidP="00371E99">
      <w:pPr>
        <w:rPr>
          <w:rFonts w:asciiTheme="minorHAnsi" w:hAnsiTheme="minorHAnsi" w:cstheme="minorHAnsi"/>
          <w:color w:val="auto"/>
        </w:rPr>
      </w:pPr>
      <w:r w:rsidRPr="00AD6123">
        <w:rPr>
          <w:rFonts w:asciiTheme="minorHAnsi" w:hAnsiTheme="minorHAnsi" w:cstheme="minorHAnsi"/>
          <w:color w:val="auto"/>
        </w:rPr>
        <w:t>Katerina Hlozkova</w:t>
      </w:r>
      <w:r w:rsidRPr="00AD6123">
        <w:rPr>
          <w:rFonts w:asciiTheme="minorHAnsi" w:hAnsiTheme="minorHAnsi" w:cstheme="minorHAnsi"/>
          <w:color w:val="auto"/>
          <w:vertAlign w:val="superscript"/>
        </w:rPr>
        <w:t>1,2</w:t>
      </w:r>
      <w:r w:rsidRPr="00AD6123">
        <w:rPr>
          <w:rFonts w:asciiTheme="minorHAnsi" w:hAnsiTheme="minorHAnsi" w:cstheme="minorHAnsi"/>
          <w:color w:val="auto"/>
        </w:rPr>
        <w:t>, Julia Starkova</w:t>
      </w:r>
      <w:r w:rsidRPr="00AD6123">
        <w:rPr>
          <w:rFonts w:asciiTheme="minorHAnsi" w:hAnsiTheme="minorHAnsi" w:cstheme="minorHAnsi"/>
          <w:color w:val="auto"/>
          <w:vertAlign w:val="superscript"/>
        </w:rPr>
        <w:t>1,2</w:t>
      </w:r>
    </w:p>
    <w:p w14:paraId="29CE58E2" w14:textId="779AFE35" w:rsidR="00D654F0" w:rsidRPr="00AD6123" w:rsidRDefault="00D654F0" w:rsidP="00371E99">
      <w:pPr>
        <w:rPr>
          <w:rFonts w:asciiTheme="minorHAnsi" w:hAnsiTheme="minorHAnsi" w:cstheme="minorHAnsi"/>
          <w:bCs/>
          <w:color w:val="auto"/>
        </w:rPr>
      </w:pPr>
    </w:p>
    <w:p w14:paraId="3CC19F00" w14:textId="5B0FCC9E" w:rsidR="006E6A5C" w:rsidRPr="00AD6123" w:rsidRDefault="006E6A5C" w:rsidP="00371E99">
      <w:pPr>
        <w:rPr>
          <w:rFonts w:asciiTheme="minorHAnsi" w:hAnsiTheme="minorHAnsi" w:cstheme="minorHAnsi"/>
          <w:bCs/>
          <w:color w:val="auto"/>
        </w:rPr>
      </w:pPr>
      <w:r w:rsidRPr="00AD6123">
        <w:rPr>
          <w:rFonts w:asciiTheme="minorHAnsi" w:hAnsiTheme="minorHAnsi" w:cstheme="minorHAnsi"/>
          <w:bCs/>
          <w:color w:val="auto"/>
          <w:vertAlign w:val="superscript"/>
        </w:rPr>
        <w:t>1</w:t>
      </w:r>
      <w:r w:rsidRPr="00AD6123">
        <w:rPr>
          <w:rFonts w:asciiTheme="minorHAnsi" w:hAnsiTheme="minorHAnsi" w:cstheme="minorHAnsi"/>
          <w:bCs/>
          <w:color w:val="auto"/>
        </w:rPr>
        <w:t xml:space="preserve"> CLIP – Childhood Leukemia Investigation Prague</w:t>
      </w:r>
      <w:r w:rsidR="00F3414F">
        <w:rPr>
          <w:rFonts w:asciiTheme="minorHAnsi" w:hAnsiTheme="minorHAnsi" w:cstheme="minorHAnsi"/>
          <w:bCs/>
          <w:color w:val="auto"/>
        </w:rPr>
        <w:t>, Prague, Czech Republic</w:t>
      </w:r>
    </w:p>
    <w:p w14:paraId="10171C1C" w14:textId="5F6F4D5D" w:rsidR="006E6A5C" w:rsidRPr="00AD6123" w:rsidRDefault="006E6A5C" w:rsidP="00371E99">
      <w:pPr>
        <w:rPr>
          <w:rFonts w:asciiTheme="minorHAnsi" w:hAnsiTheme="minorHAnsi" w:cstheme="minorHAnsi"/>
          <w:bCs/>
          <w:color w:val="auto"/>
        </w:rPr>
      </w:pPr>
      <w:r w:rsidRPr="00AD6123">
        <w:rPr>
          <w:rFonts w:asciiTheme="minorHAnsi" w:hAnsiTheme="minorHAnsi" w:cstheme="minorHAnsi"/>
          <w:bCs/>
          <w:color w:val="auto"/>
          <w:vertAlign w:val="superscript"/>
        </w:rPr>
        <w:t>2</w:t>
      </w:r>
      <w:r w:rsidRPr="00AD6123">
        <w:rPr>
          <w:rFonts w:asciiTheme="minorHAnsi" w:hAnsiTheme="minorHAnsi" w:cstheme="minorHAnsi"/>
          <w:bCs/>
          <w:color w:val="auto"/>
        </w:rPr>
        <w:t xml:space="preserve"> The Second Faculty of Medicine, Charles University, Prague</w:t>
      </w:r>
      <w:r w:rsidR="00F3414F">
        <w:rPr>
          <w:rFonts w:asciiTheme="minorHAnsi" w:hAnsiTheme="minorHAnsi" w:cstheme="minorHAnsi"/>
          <w:bCs/>
          <w:color w:val="auto"/>
        </w:rPr>
        <w:t>, Czech Republic</w:t>
      </w:r>
    </w:p>
    <w:p w14:paraId="55C6A314" w14:textId="77777777" w:rsidR="006E6A5C" w:rsidRPr="00AD6123" w:rsidRDefault="006E6A5C" w:rsidP="00371E99">
      <w:pPr>
        <w:rPr>
          <w:rFonts w:asciiTheme="minorHAnsi" w:hAnsiTheme="minorHAnsi" w:cstheme="minorHAnsi"/>
          <w:bCs/>
          <w:color w:val="auto"/>
        </w:rPr>
      </w:pPr>
    </w:p>
    <w:p w14:paraId="6EE96448" w14:textId="1FE831E1" w:rsidR="00D654F0" w:rsidRPr="00AD6123" w:rsidRDefault="00D654F0" w:rsidP="00371E99">
      <w:pPr>
        <w:rPr>
          <w:rFonts w:asciiTheme="minorHAnsi" w:hAnsiTheme="minorHAnsi" w:cstheme="minorHAnsi"/>
          <w:color w:val="auto"/>
        </w:rPr>
      </w:pPr>
      <w:r w:rsidRPr="00AD6123">
        <w:rPr>
          <w:rFonts w:asciiTheme="minorHAnsi" w:hAnsiTheme="minorHAnsi" w:cstheme="minorHAnsi"/>
          <w:color w:val="auto"/>
        </w:rPr>
        <w:t xml:space="preserve">Corresponding Author: </w:t>
      </w:r>
    </w:p>
    <w:p w14:paraId="79C60D10" w14:textId="5D53F453" w:rsidR="00D654F0" w:rsidRPr="00AD6123" w:rsidRDefault="00D654F0" w:rsidP="00371E99">
      <w:pPr>
        <w:rPr>
          <w:rFonts w:asciiTheme="minorHAnsi" w:hAnsiTheme="minorHAnsi" w:cstheme="minorHAnsi"/>
          <w:color w:val="auto"/>
        </w:rPr>
      </w:pPr>
      <w:r w:rsidRPr="00AD6123">
        <w:rPr>
          <w:rFonts w:asciiTheme="minorHAnsi" w:hAnsiTheme="minorHAnsi" w:cstheme="minorHAnsi"/>
          <w:color w:val="auto"/>
        </w:rPr>
        <w:t xml:space="preserve">Julia </w:t>
      </w:r>
      <w:proofErr w:type="spellStart"/>
      <w:r w:rsidRPr="00AD6123">
        <w:rPr>
          <w:rFonts w:asciiTheme="minorHAnsi" w:hAnsiTheme="minorHAnsi" w:cstheme="minorHAnsi"/>
          <w:color w:val="auto"/>
        </w:rPr>
        <w:t>Starkova</w:t>
      </w:r>
      <w:proofErr w:type="spellEnd"/>
      <w:r w:rsidR="00C121CB" w:rsidRPr="00AD6123">
        <w:rPr>
          <w:rFonts w:asciiTheme="minorHAnsi" w:hAnsiTheme="minorHAnsi" w:cstheme="minorHAnsi"/>
          <w:color w:val="auto"/>
        </w:rPr>
        <w:t xml:space="preserve"> </w:t>
      </w:r>
      <w:r w:rsidR="00C121CB" w:rsidRPr="00AD6123">
        <w:rPr>
          <w:rFonts w:asciiTheme="minorHAnsi" w:hAnsiTheme="minorHAnsi" w:cstheme="minorHAnsi"/>
          <w:color w:val="auto"/>
        </w:rPr>
        <w:tab/>
      </w:r>
      <w:r w:rsidR="00C121CB" w:rsidRPr="00AD6123">
        <w:rPr>
          <w:rFonts w:asciiTheme="minorHAnsi" w:hAnsiTheme="minorHAnsi" w:cstheme="minorHAnsi"/>
          <w:color w:val="auto"/>
        </w:rPr>
        <w:tab/>
        <w:t>(</w:t>
      </w:r>
      <w:r w:rsidRPr="00AD6123">
        <w:rPr>
          <w:rFonts w:asciiTheme="minorHAnsi" w:hAnsiTheme="minorHAnsi" w:cstheme="minorHAnsi"/>
          <w:color w:val="auto"/>
        </w:rPr>
        <w:t>julia.starkova@lfmotol.cuni.cz</w:t>
      </w:r>
      <w:r w:rsidR="00C121CB" w:rsidRPr="00AD6123">
        <w:rPr>
          <w:rFonts w:asciiTheme="minorHAnsi" w:hAnsiTheme="minorHAnsi" w:cstheme="minorHAnsi"/>
          <w:color w:val="auto"/>
        </w:rPr>
        <w:t>)</w:t>
      </w:r>
    </w:p>
    <w:p w14:paraId="3DF0210A" w14:textId="2B11A168" w:rsidR="00D654F0" w:rsidRPr="00AD6123" w:rsidRDefault="00D654F0" w:rsidP="00371E99">
      <w:pPr>
        <w:rPr>
          <w:rFonts w:asciiTheme="minorHAnsi" w:hAnsiTheme="minorHAnsi" w:cstheme="minorHAnsi"/>
          <w:color w:val="auto"/>
        </w:rPr>
      </w:pPr>
      <w:r w:rsidRPr="00AD6123">
        <w:rPr>
          <w:rFonts w:asciiTheme="minorHAnsi" w:hAnsiTheme="minorHAnsi" w:cstheme="minorHAnsi"/>
          <w:color w:val="auto"/>
        </w:rPr>
        <w:t>Tel: (+420) 224 436 485</w:t>
      </w:r>
    </w:p>
    <w:p w14:paraId="40304AC9" w14:textId="77777777" w:rsidR="00D654F0" w:rsidRPr="00AD6123" w:rsidRDefault="00D654F0" w:rsidP="00371E99">
      <w:pPr>
        <w:rPr>
          <w:rFonts w:asciiTheme="minorHAnsi" w:hAnsiTheme="minorHAnsi" w:cstheme="minorHAnsi"/>
          <w:color w:val="auto"/>
        </w:rPr>
      </w:pPr>
    </w:p>
    <w:p w14:paraId="17B1C5CE" w14:textId="7E946746" w:rsidR="00D654F0" w:rsidRPr="00AD6123" w:rsidRDefault="00D654F0" w:rsidP="00371E99">
      <w:pPr>
        <w:rPr>
          <w:rFonts w:asciiTheme="minorHAnsi" w:hAnsiTheme="minorHAnsi" w:cstheme="minorHAnsi"/>
          <w:color w:val="auto"/>
        </w:rPr>
      </w:pPr>
      <w:r w:rsidRPr="00AD6123">
        <w:rPr>
          <w:rFonts w:asciiTheme="minorHAnsi" w:hAnsiTheme="minorHAnsi" w:cstheme="minorHAnsi"/>
          <w:color w:val="auto"/>
        </w:rPr>
        <w:t>Email Addresses of Co-author:</w:t>
      </w:r>
    </w:p>
    <w:p w14:paraId="2666EEFD" w14:textId="3FF4267C" w:rsidR="00D654F0" w:rsidRPr="00AD6123" w:rsidRDefault="00D654F0" w:rsidP="00371E99">
      <w:pPr>
        <w:rPr>
          <w:rFonts w:asciiTheme="minorHAnsi" w:hAnsiTheme="minorHAnsi" w:cstheme="minorHAnsi"/>
          <w:color w:val="auto"/>
        </w:rPr>
      </w:pPr>
      <w:r w:rsidRPr="00AD6123">
        <w:rPr>
          <w:rFonts w:asciiTheme="minorHAnsi" w:hAnsiTheme="minorHAnsi" w:cstheme="minorHAnsi"/>
          <w:color w:val="auto"/>
        </w:rPr>
        <w:t xml:space="preserve">Katerina </w:t>
      </w:r>
      <w:proofErr w:type="spellStart"/>
      <w:r w:rsidRPr="00AD6123">
        <w:rPr>
          <w:rFonts w:asciiTheme="minorHAnsi" w:hAnsiTheme="minorHAnsi" w:cstheme="minorHAnsi"/>
          <w:color w:val="auto"/>
        </w:rPr>
        <w:t>Hlozkova</w:t>
      </w:r>
      <w:proofErr w:type="spellEnd"/>
      <w:r w:rsidRPr="00AD6123">
        <w:rPr>
          <w:rFonts w:asciiTheme="minorHAnsi" w:hAnsiTheme="minorHAnsi" w:cstheme="minorHAnsi"/>
          <w:color w:val="auto"/>
        </w:rPr>
        <w:t xml:space="preserve"> </w:t>
      </w:r>
      <w:r w:rsidR="00C121CB" w:rsidRPr="00AD6123">
        <w:rPr>
          <w:rFonts w:asciiTheme="minorHAnsi" w:hAnsiTheme="minorHAnsi" w:cstheme="minorHAnsi"/>
          <w:color w:val="auto"/>
        </w:rPr>
        <w:tab/>
      </w:r>
      <w:r w:rsidRPr="00AD6123">
        <w:rPr>
          <w:rFonts w:asciiTheme="minorHAnsi" w:hAnsiTheme="minorHAnsi" w:cstheme="minorHAnsi"/>
          <w:color w:val="auto"/>
        </w:rPr>
        <w:t>(katerina.hlozkova@lfmotol.cuni.cz)</w:t>
      </w:r>
    </w:p>
    <w:p w14:paraId="3B582C14" w14:textId="77777777" w:rsidR="00D654F0" w:rsidRPr="00AD6123" w:rsidRDefault="00D654F0" w:rsidP="00371E99">
      <w:pPr>
        <w:rPr>
          <w:rFonts w:asciiTheme="minorHAnsi" w:hAnsiTheme="minorHAnsi" w:cstheme="minorHAnsi"/>
          <w:color w:val="auto"/>
        </w:rPr>
      </w:pPr>
    </w:p>
    <w:p w14:paraId="71B79AC9" w14:textId="6FEF6EFF" w:rsidR="006305D7" w:rsidRPr="00AD6123" w:rsidRDefault="006305D7" w:rsidP="00371E99">
      <w:pPr>
        <w:pStyle w:val="NormalWeb"/>
        <w:spacing w:before="0" w:beforeAutospacing="0" w:after="0" w:afterAutospacing="0"/>
        <w:rPr>
          <w:rFonts w:asciiTheme="minorHAnsi" w:hAnsiTheme="minorHAnsi" w:cstheme="minorHAnsi"/>
          <w:color w:val="auto"/>
        </w:rPr>
      </w:pPr>
      <w:r w:rsidRPr="00AD6123">
        <w:rPr>
          <w:rFonts w:asciiTheme="minorHAnsi" w:hAnsiTheme="minorHAnsi" w:cstheme="minorHAnsi"/>
          <w:b/>
          <w:bCs/>
          <w:color w:val="auto"/>
        </w:rPr>
        <w:t>KEYWORDS:</w:t>
      </w:r>
    </w:p>
    <w:p w14:paraId="6C0B0781" w14:textId="47AD4124" w:rsidR="007A4DD6" w:rsidRPr="00AD6123" w:rsidRDefault="00E24D28" w:rsidP="00371E99">
      <w:pPr>
        <w:rPr>
          <w:rFonts w:asciiTheme="minorHAnsi" w:hAnsiTheme="minorHAnsi" w:cstheme="minorHAnsi"/>
          <w:color w:val="auto"/>
        </w:rPr>
      </w:pPr>
      <w:r w:rsidRPr="00AD6123">
        <w:rPr>
          <w:rFonts w:asciiTheme="minorHAnsi" w:hAnsiTheme="minorHAnsi" w:cstheme="minorHAnsi"/>
          <w:color w:val="auto"/>
        </w:rPr>
        <w:t>l</w:t>
      </w:r>
      <w:r w:rsidR="00D654F0" w:rsidRPr="00AD6123">
        <w:rPr>
          <w:rFonts w:asciiTheme="minorHAnsi" w:hAnsiTheme="minorHAnsi" w:cstheme="minorHAnsi"/>
          <w:color w:val="auto"/>
        </w:rPr>
        <w:t xml:space="preserve">eukemia, </w:t>
      </w:r>
      <w:r w:rsidRPr="00AD6123">
        <w:rPr>
          <w:rFonts w:asciiTheme="minorHAnsi" w:hAnsiTheme="minorHAnsi" w:cstheme="minorHAnsi"/>
          <w:color w:val="auto"/>
        </w:rPr>
        <w:t>bone marrow,</w:t>
      </w:r>
      <w:r w:rsidR="00D654F0" w:rsidRPr="00AD6123">
        <w:rPr>
          <w:rFonts w:asciiTheme="minorHAnsi" w:hAnsiTheme="minorHAnsi" w:cstheme="minorHAnsi"/>
          <w:color w:val="auto"/>
        </w:rPr>
        <w:t xml:space="preserve"> metabolism, glycolysis, mitochondrial respiratio</w:t>
      </w:r>
      <w:r w:rsidRPr="00AD6123">
        <w:rPr>
          <w:rFonts w:asciiTheme="minorHAnsi" w:hAnsiTheme="minorHAnsi" w:cstheme="minorHAnsi"/>
          <w:color w:val="auto"/>
        </w:rPr>
        <w:t xml:space="preserve">n, extracellular flux, </w:t>
      </w:r>
      <w:r w:rsidR="008F792D">
        <w:rPr>
          <w:rFonts w:asciiTheme="minorHAnsi" w:hAnsiTheme="minorHAnsi" w:cstheme="minorHAnsi"/>
          <w:color w:val="auto"/>
        </w:rPr>
        <w:t>metabolic profile, analyzer</w:t>
      </w:r>
    </w:p>
    <w:p w14:paraId="1CB4E390" w14:textId="35856DE2" w:rsidR="006305D7" w:rsidRPr="00AD6123" w:rsidRDefault="006305D7" w:rsidP="00371E99">
      <w:pPr>
        <w:pStyle w:val="NormalWeb"/>
        <w:spacing w:before="0" w:beforeAutospacing="0" w:after="0" w:afterAutospacing="0"/>
        <w:rPr>
          <w:rFonts w:asciiTheme="minorHAnsi" w:hAnsiTheme="minorHAnsi" w:cstheme="minorHAnsi"/>
          <w:color w:val="auto"/>
        </w:rPr>
      </w:pPr>
    </w:p>
    <w:p w14:paraId="628AC4B5" w14:textId="19DB6CA9" w:rsidR="006305D7" w:rsidRPr="00AD6123" w:rsidRDefault="00086FF5" w:rsidP="00371E99">
      <w:pPr>
        <w:rPr>
          <w:rFonts w:asciiTheme="minorHAnsi" w:hAnsiTheme="minorHAnsi" w:cstheme="minorHAnsi"/>
          <w:color w:val="auto"/>
        </w:rPr>
      </w:pPr>
      <w:r w:rsidRPr="00AD6123">
        <w:rPr>
          <w:rFonts w:asciiTheme="minorHAnsi" w:hAnsiTheme="minorHAnsi" w:cstheme="minorHAnsi"/>
          <w:b/>
          <w:bCs/>
          <w:color w:val="auto"/>
        </w:rPr>
        <w:t>SU</w:t>
      </w:r>
      <w:r w:rsidR="008F792D">
        <w:rPr>
          <w:rFonts w:asciiTheme="minorHAnsi" w:hAnsiTheme="minorHAnsi" w:cstheme="minorHAnsi"/>
          <w:b/>
          <w:bCs/>
          <w:color w:val="auto"/>
        </w:rPr>
        <w:t>M</w:t>
      </w:r>
      <w:r w:rsidRPr="00AD6123">
        <w:rPr>
          <w:rFonts w:asciiTheme="minorHAnsi" w:hAnsiTheme="minorHAnsi" w:cstheme="minorHAnsi"/>
          <w:b/>
          <w:bCs/>
          <w:color w:val="auto"/>
        </w:rPr>
        <w:t>MARY</w:t>
      </w:r>
      <w:r w:rsidR="006305D7" w:rsidRPr="00AD6123">
        <w:rPr>
          <w:rFonts w:asciiTheme="minorHAnsi" w:hAnsiTheme="minorHAnsi" w:cstheme="minorHAnsi"/>
          <w:b/>
          <w:bCs/>
          <w:color w:val="auto"/>
        </w:rPr>
        <w:t>:</w:t>
      </w:r>
      <w:r w:rsidR="006305D7" w:rsidRPr="00AD6123">
        <w:rPr>
          <w:rFonts w:asciiTheme="minorHAnsi" w:hAnsiTheme="minorHAnsi" w:cstheme="minorHAnsi"/>
          <w:color w:val="auto"/>
        </w:rPr>
        <w:t xml:space="preserve"> </w:t>
      </w:r>
    </w:p>
    <w:p w14:paraId="5A780F6D" w14:textId="6321E596" w:rsidR="00E24D28" w:rsidRPr="00AD6123" w:rsidRDefault="00C121CB" w:rsidP="00371E99">
      <w:pPr>
        <w:rPr>
          <w:rFonts w:asciiTheme="minorHAnsi" w:hAnsiTheme="minorHAnsi" w:cstheme="minorHAnsi"/>
          <w:color w:val="auto"/>
        </w:rPr>
      </w:pPr>
      <w:r w:rsidRPr="00AD6123">
        <w:rPr>
          <w:rFonts w:asciiTheme="minorHAnsi" w:hAnsiTheme="minorHAnsi" w:cstheme="minorHAnsi"/>
          <w:color w:val="auto"/>
        </w:rPr>
        <w:t>Here we present a</w:t>
      </w:r>
      <w:r w:rsidR="00E24D28" w:rsidRPr="00AD6123">
        <w:rPr>
          <w:rFonts w:asciiTheme="minorHAnsi" w:hAnsiTheme="minorHAnsi" w:cstheme="minorHAnsi"/>
          <w:color w:val="auto"/>
        </w:rPr>
        <w:t xml:space="preserve"> protocol for </w:t>
      </w:r>
      <w:r w:rsidR="00E62AA2" w:rsidRPr="00AD6123">
        <w:rPr>
          <w:rFonts w:asciiTheme="minorHAnsi" w:hAnsiTheme="minorHAnsi" w:cstheme="minorHAnsi"/>
          <w:color w:val="auto"/>
        </w:rPr>
        <w:t xml:space="preserve">the </w:t>
      </w:r>
      <w:r w:rsidR="00E24D28" w:rsidRPr="00AD6123">
        <w:rPr>
          <w:rFonts w:asciiTheme="minorHAnsi" w:hAnsiTheme="minorHAnsi" w:cstheme="minorHAnsi"/>
          <w:color w:val="auto"/>
        </w:rPr>
        <w:t>isolation of leukemic cells from leukemia patient</w:t>
      </w:r>
      <w:r w:rsidR="005F50B3">
        <w:rPr>
          <w:rFonts w:asciiTheme="minorHAnsi" w:hAnsiTheme="minorHAnsi" w:cstheme="minorHAnsi"/>
          <w:color w:val="auto"/>
        </w:rPr>
        <w:t>s</w:t>
      </w:r>
      <w:r w:rsidR="00E24D28" w:rsidRPr="00AD6123">
        <w:rPr>
          <w:rFonts w:asciiTheme="minorHAnsi" w:hAnsiTheme="minorHAnsi" w:cstheme="minorHAnsi"/>
          <w:color w:val="auto"/>
        </w:rPr>
        <w:t xml:space="preserve"> bone marrow and analysis of their metabolic state.</w:t>
      </w:r>
      <w:r w:rsidR="0073579B" w:rsidRPr="00AD6123">
        <w:rPr>
          <w:rFonts w:asciiTheme="minorHAnsi" w:hAnsiTheme="minorHAnsi" w:cstheme="minorHAnsi"/>
          <w:color w:val="auto"/>
        </w:rPr>
        <w:t xml:space="preserve"> Assessment </w:t>
      </w:r>
      <w:r w:rsidR="00E62AA2" w:rsidRPr="00AD6123">
        <w:rPr>
          <w:rFonts w:asciiTheme="minorHAnsi" w:hAnsiTheme="minorHAnsi" w:cstheme="minorHAnsi"/>
          <w:color w:val="auto"/>
        </w:rPr>
        <w:t xml:space="preserve">of the metabolic </w:t>
      </w:r>
      <w:r w:rsidR="00AE0823">
        <w:rPr>
          <w:rFonts w:asciiTheme="minorHAnsi" w:hAnsiTheme="minorHAnsi" w:cstheme="minorHAnsi"/>
          <w:color w:val="auto"/>
        </w:rPr>
        <w:t>profile</w:t>
      </w:r>
      <w:r w:rsidR="00E62AA2" w:rsidRPr="00AD6123">
        <w:rPr>
          <w:rFonts w:asciiTheme="minorHAnsi" w:hAnsiTheme="minorHAnsi" w:cstheme="minorHAnsi"/>
          <w:color w:val="auto"/>
        </w:rPr>
        <w:t xml:space="preserve"> of </w:t>
      </w:r>
      <w:r w:rsidR="0073579B" w:rsidRPr="00AD6123">
        <w:rPr>
          <w:rFonts w:asciiTheme="minorHAnsi" w:hAnsiTheme="minorHAnsi" w:cstheme="minorHAnsi"/>
          <w:color w:val="auto"/>
        </w:rPr>
        <w:t xml:space="preserve">primary leukemia cells could help to better </w:t>
      </w:r>
      <w:r w:rsidR="00005FE4" w:rsidRPr="00AD6123">
        <w:rPr>
          <w:rFonts w:asciiTheme="minorHAnsi" w:hAnsiTheme="minorHAnsi" w:cstheme="minorHAnsi"/>
          <w:color w:val="auto"/>
        </w:rPr>
        <w:t xml:space="preserve">characterize </w:t>
      </w:r>
      <w:r w:rsidR="008F792D">
        <w:rPr>
          <w:rFonts w:asciiTheme="minorHAnsi" w:hAnsiTheme="minorHAnsi" w:cstheme="minorHAnsi"/>
          <w:color w:val="auto"/>
        </w:rPr>
        <w:t xml:space="preserve">the </w:t>
      </w:r>
      <w:r w:rsidR="00005FE4" w:rsidRPr="00AD6123">
        <w:rPr>
          <w:rFonts w:asciiTheme="minorHAnsi" w:hAnsiTheme="minorHAnsi" w:cstheme="minorHAnsi"/>
          <w:color w:val="auto"/>
        </w:rPr>
        <w:t xml:space="preserve">demand of primary cells </w:t>
      </w:r>
      <w:r w:rsidR="0073579B" w:rsidRPr="00AD6123">
        <w:rPr>
          <w:rFonts w:asciiTheme="minorHAnsi" w:hAnsiTheme="minorHAnsi" w:cstheme="minorHAnsi"/>
          <w:color w:val="auto"/>
        </w:rPr>
        <w:t xml:space="preserve">and could lead up to more personalized medicine. </w:t>
      </w:r>
    </w:p>
    <w:p w14:paraId="13269E21" w14:textId="77777777" w:rsidR="00407BFD" w:rsidRPr="00AD6123" w:rsidRDefault="00407BFD" w:rsidP="00371E99">
      <w:pPr>
        <w:rPr>
          <w:rFonts w:asciiTheme="minorHAnsi" w:hAnsiTheme="minorHAnsi" w:cstheme="minorHAnsi"/>
          <w:color w:val="auto"/>
        </w:rPr>
      </w:pPr>
    </w:p>
    <w:p w14:paraId="64FB8590" w14:textId="2A9B4F09" w:rsidR="006305D7" w:rsidRPr="00AD6123" w:rsidRDefault="006305D7" w:rsidP="00371E99">
      <w:pPr>
        <w:rPr>
          <w:rFonts w:asciiTheme="minorHAnsi" w:hAnsiTheme="minorHAnsi" w:cstheme="minorHAnsi"/>
          <w:color w:val="auto"/>
        </w:rPr>
      </w:pPr>
      <w:r w:rsidRPr="00AD6123">
        <w:rPr>
          <w:rFonts w:asciiTheme="minorHAnsi" w:hAnsiTheme="minorHAnsi" w:cstheme="minorHAnsi"/>
          <w:b/>
          <w:bCs/>
          <w:color w:val="auto"/>
        </w:rPr>
        <w:t>ABSTRACT:</w:t>
      </w:r>
    </w:p>
    <w:p w14:paraId="4C7D5FD5" w14:textId="6C88D590" w:rsidR="006305D7" w:rsidRPr="00AD6123" w:rsidRDefault="001A4B44" w:rsidP="00371E99">
      <w:pPr>
        <w:rPr>
          <w:rFonts w:asciiTheme="minorHAnsi" w:hAnsiTheme="minorHAnsi" w:cstheme="minorHAnsi"/>
          <w:color w:val="auto"/>
        </w:rPr>
      </w:pPr>
      <w:r>
        <w:rPr>
          <w:rFonts w:asciiTheme="minorHAnsi" w:hAnsiTheme="minorHAnsi" w:cstheme="minorHAnsi"/>
          <w:color w:val="auto"/>
        </w:rPr>
        <w:t>The m</w:t>
      </w:r>
      <w:r w:rsidR="00E24D28" w:rsidRPr="00AD6123">
        <w:rPr>
          <w:rFonts w:asciiTheme="minorHAnsi" w:hAnsiTheme="minorHAnsi" w:cstheme="minorHAnsi"/>
          <w:color w:val="auto"/>
        </w:rPr>
        <w:t xml:space="preserve">etabolic requirement of cancer cells can negatively influence survival and treatment efficacy. </w:t>
      </w:r>
      <w:r w:rsidR="007544C3" w:rsidRPr="00AD6123">
        <w:rPr>
          <w:rFonts w:asciiTheme="minorHAnsi" w:hAnsiTheme="minorHAnsi" w:cstheme="minorHAnsi"/>
          <w:color w:val="auto"/>
        </w:rPr>
        <w:t xml:space="preserve">Nowadays, </w:t>
      </w:r>
      <w:r w:rsidR="00E24D28" w:rsidRPr="00AD6123">
        <w:rPr>
          <w:rFonts w:asciiTheme="minorHAnsi" w:hAnsiTheme="minorHAnsi" w:cstheme="minorHAnsi"/>
          <w:color w:val="auto"/>
        </w:rPr>
        <w:t xml:space="preserve">pharmaceutical targeting of metabolic pathways </w:t>
      </w:r>
      <w:r w:rsidR="007544C3" w:rsidRPr="00AD6123">
        <w:rPr>
          <w:rFonts w:asciiTheme="minorHAnsi" w:hAnsiTheme="minorHAnsi" w:cstheme="minorHAnsi"/>
          <w:color w:val="auto"/>
        </w:rPr>
        <w:t xml:space="preserve">is tested in many types of tumors. </w:t>
      </w:r>
      <w:r w:rsidR="00E24D28" w:rsidRPr="00AD6123">
        <w:rPr>
          <w:rFonts w:asciiTheme="minorHAnsi" w:hAnsiTheme="minorHAnsi" w:cstheme="minorHAnsi"/>
          <w:color w:val="auto"/>
        </w:rPr>
        <w:t xml:space="preserve"> Thus, characterization of cancer cell metabolic setup</w:t>
      </w:r>
      <w:r w:rsidR="007544C3" w:rsidRPr="00AD6123">
        <w:rPr>
          <w:rFonts w:asciiTheme="minorHAnsi" w:hAnsiTheme="minorHAnsi" w:cstheme="minorHAnsi"/>
          <w:color w:val="auto"/>
        </w:rPr>
        <w:t xml:space="preserve"> is inevitable </w:t>
      </w:r>
      <w:proofErr w:type="gramStart"/>
      <w:r w:rsidR="007544C3" w:rsidRPr="00AD6123">
        <w:rPr>
          <w:rFonts w:asciiTheme="minorHAnsi" w:hAnsiTheme="minorHAnsi" w:cstheme="minorHAnsi"/>
          <w:color w:val="auto"/>
        </w:rPr>
        <w:t>in order to</w:t>
      </w:r>
      <w:proofErr w:type="gramEnd"/>
      <w:r w:rsidR="007544C3" w:rsidRPr="00AD6123">
        <w:rPr>
          <w:rFonts w:asciiTheme="minorHAnsi" w:hAnsiTheme="minorHAnsi" w:cstheme="minorHAnsi"/>
          <w:color w:val="auto"/>
        </w:rPr>
        <w:t xml:space="preserve"> target the correct pathway </w:t>
      </w:r>
      <w:r w:rsidR="00082E6C">
        <w:rPr>
          <w:rFonts w:asciiTheme="minorHAnsi" w:hAnsiTheme="minorHAnsi" w:cstheme="minorHAnsi"/>
          <w:color w:val="auto"/>
        </w:rPr>
        <w:t>t</w:t>
      </w:r>
      <w:r w:rsidR="007544C3" w:rsidRPr="00AD6123">
        <w:rPr>
          <w:rFonts w:asciiTheme="minorHAnsi" w:hAnsiTheme="minorHAnsi" w:cstheme="minorHAnsi"/>
          <w:color w:val="auto"/>
        </w:rPr>
        <w:t xml:space="preserve">o improve </w:t>
      </w:r>
      <w:r>
        <w:rPr>
          <w:rFonts w:asciiTheme="minorHAnsi" w:hAnsiTheme="minorHAnsi" w:cstheme="minorHAnsi"/>
          <w:color w:val="auto"/>
        </w:rPr>
        <w:t xml:space="preserve">the </w:t>
      </w:r>
      <w:r w:rsidR="007544C3" w:rsidRPr="00AD6123">
        <w:rPr>
          <w:rFonts w:asciiTheme="minorHAnsi" w:hAnsiTheme="minorHAnsi" w:cstheme="minorHAnsi"/>
          <w:color w:val="auto"/>
        </w:rPr>
        <w:t>overall outcome of patients.</w:t>
      </w:r>
      <w:r w:rsidR="00E24D28" w:rsidRPr="00AD6123">
        <w:rPr>
          <w:rFonts w:asciiTheme="minorHAnsi" w:hAnsiTheme="minorHAnsi" w:cstheme="minorHAnsi"/>
          <w:color w:val="auto"/>
        </w:rPr>
        <w:t xml:space="preserve"> Unfortunately, in </w:t>
      </w:r>
      <w:proofErr w:type="gramStart"/>
      <w:r w:rsidR="00E24D28" w:rsidRPr="00AD6123">
        <w:rPr>
          <w:rFonts w:asciiTheme="minorHAnsi" w:hAnsiTheme="minorHAnsi" w:cstheme="minorHAnsi"/>
          <w:color w:val="auto"/>
        </w:rPr>
        <w:t>a majority of</w:t>
      </w:r>
      <w:proofErr w:type="gramEnd"/>
      <w:r w:rsidR="00E24D28" w:rsidRPr="00AD6123">
        <w:rPr>
          <w:rFonts w:asciiTheme="minorHAnsi" w:hAnsiTheme="minorHAnsi" w:cstheme="minorHAnsi"/>
          <w:color w:val="auto"/>
        </w:rPr>
        <w:t xml:space="preserve"> cancers, the malignant cells are quite difficult to obtain in higher numbers and </w:t>
      </w:r>
      <w:r w:rsidR="00AE0823">
        <w:rPr>
          <w:rFonts w:asciiTheme="minorHAnsi" w:hAnsiTheme="minorHAnsi" w:cstheme="minorHAnsi"/>
          <w:color w:val="auto"/>
        </w:rPr>
        <w:t xml:space="preserve">the </w:t>
      </w:r>
      <w:r w:rsidR="00E24D28" w:rsidRPr="00AD6123">
        <w:rPr>
          <w:rFonts w:asciiTheme="minorHAnsi" w:hAnsiTheme="minorHAnsi" w:cstheme="minorHAnsi"/>
          <w:color w:val="auto"/>
        </w:rPr>
        <w:t xml:space="preserve">tissue biopsy is </w:t>
      </w:r>
      <w:r w:rsidR="00AE0823">
        <w:rPr>
          <w:rFonts w:asciiTheme="minorHAnsi" w:hAnsiTheme="minorHAnsi" w:cstheme="minorHAnsi"/>
          <w:color w:val="auto"/>
        </w:rPr>
        <w:t>required</w:t>
      </w:r>
      <w:r w:rsidR="00E24D28" w:rsidRPr="00AD6123">
        <w:rPr>
          <w:rFonts w:asciiTheme="minorHAnsi" w:hAnsiTheme="minorHAnsi" w:cstheme="minorHAnsi"/>
          <w:color w:val="auto"/>
        </w:rPr>
        <w:t xml:space="preserve">. Leukemia is an exception, where </w:t>
      </w:r>
      <w:r>
        <w:rPr>
          <w:rFonts w:asciiTheme="minorHAnsi" w:hAnsiTheme="minorHAnsi" w:cstheme="minorHAnsi"/>
          <w:color w:val="auto"/>
        </w:rPr>
        <w:t xml:space="preserve">a </w:t>
      </w:r>
      <w:r w:rsidR="00E24D28" w:rsidRPr="00AD6123">
        <w:rPr>
          <w:rFonts w:asciiTheme="minorHAnsi" w:hAnsiTheme="minorHAnsi" w:cstheme="minorHAnsi"/>
          <w:color w:val="auto"/>
        </w:rPr>
        <w:t xml:space="preserve">sufficient </w:t>
      </w:r>
      <w:r w:rsidR="00167B00" w:rsidRPr="00AD6123">
        <w:rPr>
          <w:rFonts w:asciiTheme="minorHAnsi" w:hAnsiTheme="minorHAnsi" w:cstheme="minorHAnsi"/>
          <w:color w:val="auto"/>
        </w:rPr>
        <w:t>number</w:t>
      </w:r>
      <w:r w:rsidR="00E24D28" w:rsidRPr="00AD6123">
        <w:rPr>
          <w:rFonts w:asciiTheme="minorHAnsi" w:hAnsiTheme="minorHAnsi" w:cstheme="minorHAnsi"/>
          <w:color w:val="auto"/>
        </w:rPr>
        <w:t xml:space="preserve"> of leukemic cells can be isolated from </w:t>
      </w:r>
      <w:r w:rsidR="00CC14D4">
        <w:rPr>
          <w:rFonts w:asciiTheme="minorHAnsi" w:hAnsiTheme="minorHAnsi" w:cstheme="minorHAnsi"/>
          <w:color w:val="auto"/>
        </w:rPr>
        <w:t xml:space="preserve">the </w:t>
      </w:r>
      <w:r w:rsidR="00E24D28" w:rsidRPr="00AD6123">
        <w:rPr>
          <w:rFonts w:asciiTheme="minorHAnsi" w:hAnsiTheme="minorHAnsi" w:cstheme="minorHAnsi"/>
          <w:color w:val="auto"/>
        </w:rPr>
        <w:t xml:space="preserve">bone marrow. Here, we provide a detailed protocol for </w:t>
      </w:r>
      <w:r w:rsidR="00CC14D4">
        <w:rPr>
          <w:rFonts w:asciiTheme="minorHAnsi" w:hAnsiTheme="minorHAnsi" w:cstheme="minorHAnsi"/>
          <w:color w:val="auto"/>
        </w:rPr>
        <w:t xml:space="preserve">the </w:t>
      </w:r>
      <w:r w:rsidR="00E24D28" w:rsidRPr="00AD6123">
        <w:rPr>
          <w:rFonts w:asciiTheme="minorHAnsi" w:hAnsiTheme="minorHAnsi" w:cstheme="minorHAnsi"/>
          <w:color w:val="auto"/>
        </w:rPr>
        <w:t xml:space="preserve">isolation of leukemic cells from leukemia patients bone marrow and subsequent analysis of their metabolic state using </w:t>
      </w:r>
      <w:r w:rsidR="00417254">
        <w:rPr>
          <w:rFonts w:asciiTheme="minorHAnsi" w:hAnsiTheme="minorHAnsi" w:cstheme="minorHAnsi"/>
          <w:color w:val="auto"/>
        </w:rPr>
        <w:t>extracellular flux analyzer</w:t>
      </w:r>
      <w:r w:rsidR="00E24D28" w:rsidRPr="00AD6123">
        <w:rPr>
          <w:rFonts w:asciiTheme="minorHAnsi" w:hAnsiTheme="minorHAnsi" w:cstheme="minorHAnsi"/>
          <w:color w:val="auto"/>
        </w:rPr>
        <w:t xml:space="preserve">. Leukemic cells are isolated by </w:t>
      </w:r>
      <w:r w:rsidR="00CC14D4">
        <w:rPr>
          <w:rFonts w:asciiTheme="minorHAnsi" w:hAnsiTheme="minorHAnsi" w:cstheme="minorHAnsi"/>
          <w:color w:val="auto"/>
        </w:rPr>
        <w:t xml:space="preserve">the </w:t>
      </w:r>
      <w:r w:rsidR="00E24D28" w:rsidRPr="00AD6123">
        <w:rPr>
          <w:rFonts w:asciiTheme="minorHAnsi" w:hAnsiTheme="minorHAnsi" w:cstheme="minorHAnsi"/>
          <w:color w:val="auto"/>
        </w:rPr>
        <w:t>density gradient, which does not affect their viability. The next cultivation step helps them to regenerate, thus the metabolic state measured is the state of cells in optimal conditions. This protocol allows achieving consistent, well-standardized results, which could be</w:t>
      </w:r>
      <w:r w:rsidR="00082E6C">
        <w:rPr>
          <w:rFonts w:asciiTheme="minorHAnsi" w:hAnsiTheme="minorHAnsi" w:cstheme="minorHAnsi"/>
          <w:color w:val="auto"/>
        </w:rPr>
        <w:t xml:space="preserve"> used</w:t>
      </w:r>
      <w:r w:rsidR="00E24D28" w:rsidRPr="00AD6123">
        <w:rPr>
          <w:rFonts w:asciiTheme="minorHAnsi" w:hAnsiTheme="minorHAnsi" w:cstheme="minorHAnsi"/>
          <w:color w:val="auto"/>
        </w:rPr>
        <w:t xml:space="preserve"> </w:t>
      </w:r>
      <w:r w:rsidR="00082E6C">
        <w:rPr>
          <w:rFonts w:asciiTheme="minorHAnsi" w:hAnsiTheme="minorHAnsi" w:cstheme="minorHAnsi"/>
          <w:color w:val="auto"/>
        </w:rPr>
        <w:t>for the</w:t>
      </w:r>
      <w:r w:rsidR="00E24D28" w:rsidRPr="00AD6123">
        <w:rPr>
          <w:rFonts w:asciiTheme="minorHAnsi" w:hAnsiTheme="minorHAnsi" w:cstheme="minorHAnsi"/>
          <w:color w:val="auto"/>
        </w:rPr>
        <w:t xml:space="preserve"> personalized therap</w:t>
      </w:r>
      <w:r w:rsidR="00082E6C">
        <w:rPr>
          <w:rFonts w:asciiTheme="minorHAnsi" w:hAnsiTheme="minorHAnsi" w:cstheme="minorHAnsi"/>
          <w:color w:val="auto"/>
        </w:rPr>
        <w:t>y</w:t>
      </w:r>
      <w:r w:rsidR="00E24D28" w:rsidRPr="00AD6123">
        <w:rPr>
          <w:rFonts w:asciiTheme="minorHAnsi" w:hAnsiTheme="minorHAnsi" w:cstheme="minorHAnsi"/>
          <w:color w:val="auto"/>
        </w:rPr>
        <w:t>.</w:t>
      </w:r>
    </w:p>
    <w:p w14:paraId="21974DD1" w14:textId="77777777" w:rsidR="00E24D28" w:rsidRPr="00AD6123" w:rsidRDefault="00E24D28" w:rsidP="00371E99">
      <w:pPr>
        <w:rPr>
          <w:rFonts w:asciiTheme="minorHAnsi" w:hAnsiTheme="minorHAnsi" w:cstheme="minorHAnsi"/>
          <w:color w:val="auto"/>
        </w:rPr>
      </w:pPr>
    </w:p>
    <w:p w14:paraId="00D25F73" w14:textId="31FD125A" w:rsidR="006305D7" w:rsidRPr="00AD6123" w:rsidRDefault="006305D7" w:rsidP="00371E99">
      <w:pPr>
        <w:rPr>
          <w:rFonts w:asciiTheme="minorHAnsi" w:hAnsiTheme="minorHAnsi" w:cstheme="minorHAnsi"/>
          <w:color w:val="auto"/>
        </w:rPr>
      </w:pPr>
      <w:r w:rsidRPr="00AD6123">
        <w:rPr>
          <w:rFonts w:asciiTheme="minorHAnsi" w:hAnsiTheme="minorHAnsi" w:cstheme="minorHAnsi"/>
          <w:b/>
          <w:color w:val="auto"/>
        </w:rPr>
        <w:t>INTRODUCTION</w:t>
      </w:r>
      <w:r w:rsidRPr="00AD6123">
        <w:rPr>
          <w:rFonts w:asciiTheme="minorHAnsi" w:hAnsiTheme="minorHAnsi" w:cstheme="minorHAnsi"/>
          <w:b/>
          <w:bCs/>
          <w:color w:val="auto"/>
        </w:rPr>
        <w:t>:</w:t>
      </w:r>
      <w:r w:rsidRPr="00AD6123">
        <w:rPr>
          <w:rFonts w:asciiTheme="minorHAnsi" w:hAnsiTheme="minorHAnsi" w:cstheme="minorHAnsi"/>
          <w:color w:val="auto"/>
        </w:rPr>
        <w:t xml:space="preserve"> </w:t>
      </w:r>
    </w:p>
    <w:p w14:paraId="532A701C" w14:textId="280C6BD4" w:rsidR="00707E7A" w:rsidRPr="00AD6123" w:rsidRDefault="00707E7A" w:rsidP="00371E99">
      <w:pPr>
        <w:rPr>
          <w:rFonts w:asciiTheme="minorHAnsi" w:hAnsiTheme="minorHAnsi" w:cstheme="minorHAnsi"/>
          <w:color w:val="auto"/>
        </w:rPr>
      </w:pPr>
      <w:r w:rsidRPr="00AD6123">
        <w:rPr>
          <w:rFonts w:asciiTheme="minorHAnsi" w:hAnsiTheme="minorHAnsi" w:cstheme="minorHAnsi"/>
          <w:color w:val="auto"/>
        </w:rPr>
        <w:t>The metabolic</w:t>
      </w:r>
      <w:r w:rsidR="00417254">
        <w:rPr>
          <w:rFonts w:asciiTheme="minorHAnsi" w:hAnsiTheme="minorHAnsi" w:cstheme="minorHAnsi"/>
          <w:color w:val="auto"/>
        </w:rPr>
        <w:t xml:space="preserve"> </w:t>
      </w:r>
      <w:r w:rsidR="00475ADF" w:rsidRPr="00417254">
        <w:rPr>
          <w:rFonts w:asciiTheme="minorHAnsi" w:hAnsiTheme="minorHAnsi" w:cstheme="minorHAnsi"/>
          <w:color w:val="auto"/>
        </w:rPr>
        <w:t>profile</w:t>
      </w:r>
      <w:r w:rsidR="00417254">
        <w:rPr>
          <w:rFonts w:asciiTheme="minorHAnsi" w:hAnsiTheme="minorHAnsi" w:cstheme="minorHAnsi"/>
          <w:color w:val="auto"/>
        </w:rPr>
        <w:t xml:space="preserve"> </w:t>
      </w:r>
      <w:r w:rsidRPr="00AD6123">
        <w:rPr>
          <w:rFonts w:asciiTheme="minorHAnsi" w:hAnsiTheme="minorHAnsi" w:cstheme="minorHAnsi"/>
          <w:color w:val="auto"/>
        </w:rPr>
        <w:t>is one of the main characteristics of cells and altered bioenergetics are now considered one of the hallmarks of cancer</w:t>
      </w:r>
      <w:r w:rsidR="002C0C8E">
        <w:rPr>
          <w:rFonts w:asciiTheme="minorHAnsi" w:hAnsiTheme="minorHAnsi" w:cstheme="minorHAnsi"/>
          <w:color w:val="auto"/>
        </w:rPr>
        <w:fldChar w:fldCharType="begin" w:fldLock="1"/>
      </w:r>
      <w:r w:rsidR="00697C13">
        <w:rPr>
          <w:rFonts w:asciiTheme="minorHAnsi" w:hAnsiTheme="minorHAnsi" w:cstheme="minorHAnsi"/>
          <w:color w:val="auto"/>
        </w:rPr>
        <w:instrText>ADDIN CSL_CITATION { "citationItems" : [ { "id" : "ITEM-1", "itemData" : { "DOI" : "10.1016/J.CMET.2007.10.002", "ISSN" : "1550-4131", "abstract" : "Cell proliferation requires nutrients, energy, and biosynthetic activity to duplicate all macromolecular components during each passage through the cell cycle. It is therefore not surprising that metabolic activities in proliferating cells are fundamentally different from those in nonproliferating cells. This review examines the idea that several core fluxes, including aerobic glycolysis, de novo lipid biosynthesis, and glutamine-dependent anaplerosis, form a stereotyped platform supporting proliferation of diverse cell types. We also consider regulation of these fluxes by cellular mediators of signal transduction and gene expression, including the phosphatidylinositol 3-kinase (PI3K)/Akt/mTOR system, hypoxia-inducible factor 1 (HIF-1), and Myc, during physiologic cell proliferation and tumorigenesis.", "author" : [ { "dropping-particle" : "", "family" : "DeBerardinis", "given" : "Ralph J.", "non-dropping-particle" : "", "parse-names" : false, "suffix" : "" }, { "dropping-particle" : "", "family" : "Lum", "given" : "Julian J.", "non-dropping-particle" : "", "parse-names" : false, "suffix" : "" }, { "dropping-particle" : "", "family" : "Hatzivassiliou", "given" : "Georgia", "non-dropping-particle" : "", "parse-names" : false, "suffix" : "" }, { "dropping-particle" : "", "family" : "Thompson", "given" : "Craig B.", "non-dropping-particle" : "", "parse-names" : false, "suffix" : "" } ], "container-title" : "Cell Metabolism", "id" : "ITEM-1", "issue" : "1", "issued" : { "date-parts" : [ [ "2008", "1" ] ] }, "page" : "11-20", "publisher" : "Cell Press", "title" : "The Biology of Cancer: Metabolic Reprogramming Fuels Cell Growth and Proliferation", "type" : "article-journal", "volume" : "7" }, "uris" : [ "http://www.mendeley.com/documents/?uuid=e7eb2ac2-d736-445f-b3ed-e1fbbd348bc2" ] }, { "id" : "ITEM-2", "itemData" : { "DOI" : "10.1016/J.CCR.2012.02.014", "ISSN" : "1535-6108", "abstract" : "Cancer metabolism has long been equated with aerobic glycolysis, seen by early biochemists as primitive and inefficient. Despite these early beliefs, the metabolic signatures of cancer cells are not passive responses to damaged mitochondria but result from oncogene-directed metabolic reprogramming required to support anabolic growth. Recent evidence suggests that metabolites themselves can be oncogenic by altering cell signaling and blocking cellular differentiation. No longer can cancer-associated alterations in metabolism be viewed as an indirect response to cell proliferation and survival signals. We contend that altered metabolism has attained the status of a core hallmark of cancer.", "author" : [ { "dropping-particle" : "", "family" : "Ward", "given" : "Patrick\u00a0S.", "non-dropping-particle" : "", "parse-names" : false, "suffix" : "" }, { "dropping-particle" : "", "family" : "Thompson", "given" : "Craig\u00a0B.", "non-dropping-particle" : "", "parse-names" : false, "suffix" : "" } ], "container-title" : "Cancer Cell", "id" : "ITEM-2", "issue" : "3", "issued" : { "date-parts" : [ [ "2012", "3" ] ] }, "page" : "297-308", "publisher" : "Cell Press", "title" : "Metabolic Reprogramming: A Cancer Hallmark Even Warburg Did Not Anticipate", "type" : "article-journal", "volume" : "21" }, "uris" : [ "http://www.mendeley.com/documents/?uuid=dd043397-df01-486a-91d7-a8eac3aaa712" ] }, { "id" : "ITEM-3", "itemData" : { "DOI" : "10.1016/j.cmet.2015.12.006", "ISBN" : "0006-3002 (Print)\\r0006-3002 (Linking)", "ISSN" : "19327420", "PMID" : "26771115", "abstract" : "Tumorigenesis is dependent on the reprogramming of cellular metabolism as both direct and indirect consequence of oncogenic mutations. A common feature of cancer cell metabolism is the ability to acquire necessary nutrients from a frequently nutrient-poor environment and utilize these nutrients to both maintain viability and build new biomass. The alterations in intracellular and extracellular metabolites that can accompany cancer-associated metabolic reprogramming have profound effects on gene expression, cellular differentiation, and the tumor microenvironment. In this Perspective, we have organized known cancer-associated metabolic changes into six hallmarks: (1) deregulated uptake of glucose and amino acids, (2) use of opportunistic modes of nutrient acquisition, (3) use of glycolysis/TCA cycle intermediates for biosynthesis and NADPH production, (4) increased demand for nitrogen, (5) alterations in metabolite-driven gene regulation, and (6) metabolic interactions with the microenvironment. While few tumors display all six hallmarks, most display several. The specific hallmarks exhibited by an individual tumor may ultimately contribute to better tumor classification and aid in directing treatment.", "author" : [ { "dropping-particle" : "", "family" : "Pavlova", "given" : "Natalya N.", "non-dropping-particle" : "", "parse-names" : false, "suffix" : "" }, { "dropping-particle" : "", "family" : "Thompson", "given" : "Craig B.", "non-dropping-particle" : "", "parse-names" : false, "suffix" : "" } ], "container-title" : "Cell Metabolism", "id" : "ITEM-3", "issue" : "1", "issued" : { "date-parts" : [ [ "2016" ] ] }, "page" : "27-47", "publisher" : "Elsevier Inc.", "title" : "The Emerging Hallmarks of Cancer Metabolism", "type" : "article-journal", "volume" : "23" }, "uris" : [ "http://www.mendeley.com/documents/?uuid=090b8a5f-4b5f-453c-825b-e8aa0cef13ec" ] } ], "mendeley" : { "formattedCitation" : "&lt;sup&gt;1\u20133&lt;/sup&gt;", "plainTextFormattedCitation" : "1\u20133", "previouslyFormattedCitation" : "&lt;sup&gt;1\u20133&lt;/sup&gt;" }, "properties" : { "noteIndex" : 0 }, "schema" : "https://github.com/citation-style-language/schema/raw/master/csl-citation.json" }</w:instrText>
      </w:r>
      <w:r w:rsidR="002C0C8E">
        <w:rPr>
          <w:rFonts w:asciiTheme="minorHAnsi" w:hAnsiTheme="minorHAnsi" w:cstheme="minorHAnsi"/>
          <w:color w:val="auto"/>
        </w:rPr>
        <w:fldChar w:fldCharType="separate"/>
      </w:r>
      <w:r w:rsidR="002C0C8E" w:rsidRPr="002C0C8E">
        <w:rPr>
          <w:rFonts w:asciiTheme="minorHAnsi" w:hAnsiTheme="minorHAnsi" w:cstheme="minorHAnsi"/>
          <w:noProof/>
          <w:color w:val="auto"/>
          <w:vertAlign w:val="superscript"/>
        </w:rPr>
        <w:t>1–3</w:t>
      </w:r>
      <w:r w:rsidR="002C0C8E">
        <w:rPr>
          <w:rFonts w:asciiTheme="minorHAnsi" w:hAnsiTheme="minorHAnsi" w:cstheme="minorHAnsi"/>
          <w:color w:val="auto"/>
        </w:rPr>
        <w:fldChar w:fldCharType="end"/>
      </w:r>
      <w:r w:rsidRPr="00AD6123">
        <w:rPr>
          <w:rFonts w:asciiTheme="minorHAnsi" w:hAnsiTheme="minorHAnsi" w:cstheme="minorHAnsi"/>
          <w:color w:val="auto"/>
        </w:rPr>
        <w:t xml:space="preserve">. Moreover, changes in </w:t>
      </w:r>
      <w:r w:rsidR="00CC14D4">
        <w:rPr>
          <w:rFonts w:asciiTheme="minorHAnsi" w:hAnsiTheme="minorHAnsi" w:cstheme="minorHAnsi"/>
          <w:color w:val="auto"/>
        </w:rPr>
        <w:t xml:space="preserve">the </w:t>
      </w:r>
      <w:r w:rsidRPr="00AD6123">
        <w:rPr>
          <w:rFonts w:asciiTheme="minorHAnsi" w:hAnsiTheme="minorHAnsi" w:cstheme="minorHAnsi"/>
          <w:color w:val="auto"/>
        </w:rPr>
        <w:t>metabolic setup could be used in the treatment</w:t>
      </w:r>
      <w:r w:rsidR="00475ADF">
        <w:rPr>
          <w:rFonts w:asciiTheme="minorHAnsi" w:hAnsiTheme="minorHAnsi" w:cstheme="minorHAnsi"/>
          <w:color w:val="auto"/>
        </w:rPr>
        <w:t xml:space="preserve"> </w:t>
      </w:r>
      <w:r w:rsidR="00475ADF" w:rsidRPr="007274E8">
        <w:rPr>
          <w:rFonts w:asciiTheme="minorHAnsi" w:hAnsiTheme="minorHAnsi" w:cstheme="minorHAnsi"/>
          <w:color w:val="auto"/>
        </w:rPr>
        <w:t>of cancer</w:t>
      </w:r>
      <w:r w:rsidRPr="007274E8">
        <w:rPr>
          <w:rFonts w:asciiTheme="minorHAnsi" w:hAnsiTheme="minorHAnsi" w:cstheme="minorHAnsi"/>
          <w:color w:val="auto"/>
        </w:rPr>
        <w:t xml:space="preserve"> </w:t>
      </w:r>
      <w:r w:rsidRPr="00AD6123">
        <w:rPr>
          <w:rFonts w:asciiTheme="minorHAnsi" w:hAnsiTheme="minorHAnsi" w:cstheme="minorHAnsi"/>
          <w:color w:val="auto"/>
        </w:rPr>
        <w:t xml:space="preserve">by targeting signal transduction pathways or enzymatic </w:t>
      </w:r>
      <w:r w:rsidRPr="00AD6123">
        <w:rPr>
          <w:rFonts w:asciiTheme="minorHAnsi" w:hAnsiTheme="minorHAnsi" w:cstheme="minorHAnsi"/>
          <w:color w:val="auto"/>
        </w:rPr>
        <w:lastRenderedPageBreak/>
        <w:t>machinery of cancer cells</w:t>
      </w:r>
      <w:r w:rsidR="00697C13">
        <w:rPr>
          <w:rFonts w:asciiTheme="minorHAnsi" w:hAnsiTheme="minorHAnsi" w:cstheme="minorHAnsi"/>
          <w:color w:val="auto"/>
        </w:rPr>
        <w:fldChar w:fldCharType="begin" w:fldLock="1"/>
      </w:r>
      <w:r w:rsidR="00711D65">
        <w:rPr>
          <w:rFonts w:asciiTheme="minorHAnsi" w:hAnsiTheme="minorHAnsi" w:cstheme="minorHAnsi"/>
          <w:color w:val="auto"/>
        </w:rPr>
        <w:instrText>ADDIN CSL_CITATION { "citationItems" : [ { "id" : "ITEM-1", "itemData" : { "DOI" : "10.1016/J.TIBS.2010.05.003", "ISSN" : "0968-0004", "abstract" : "Most cancers depend on a high rate of aerobic glycolysis for their continued growth and survival. Paradoxically, some cancer cell lines also display addiction to glutamine despite the fact that glutamine is a nonessential amino acid that can be synthesized from glucose. The high rate of glutamine uptake exhibited by glutamine-dependent cells does not appear to result solely from its role as a nitrogen donor in nucleotide and amino acid biosynthesis. Instead, glutamine plays a required role in the uptake of essential amino acids and in maintaining activation of TOR (target of rapamycin) kinase. Moreover, in many cancer cells, glutamine is the primary mitochondrial substrate and is required for maintenance of mitochondrial membrane potential and integrity and for support of the NADPH production needed for redox control and macromolecular synthesis.", "author" : [ { "dropping-particle" : "", "family" : "Wise", "given" : "David R.", "non-dropping-particle" : "", "parse-names" : false, "suffix" : "" }, { "dropping-particle" : "", "family" : "Thompson", "given" : "Craig B.", "non-dropping-particle" : "", "parse-names" : false, "suffix" : "" } ], "container-title" : "Trends in Biochemical Sciences", "id" : "ITEM-1", "issue" : "8", "issued" : { "date-parts" : [ [ "2010", "8" ] ] }, "page" : "427-433", "publisher" : "Elsevier Current Trends", "title" : "Glutamine addiction: a new therapeutic target in cancer", "type" : "article-journal", "volume" : "35" }, "uris" : [ "http://www.mendeley.com/documents/?uuid=12c194bc-4c4b-4645-b433-51e253b1acec" ] }, { "id" : "ITEM-2", "itemData" : { "DOI" : "10.1016/j.ccr.2008.05.005", "ISBN" : "1535-6108", "ISSN" : "15356108", "PMID" : "18538731", "abstract" : "The essential hallmarks of cancer are intertwined with an altered cancer cell-intrinsic metabolism, either as a consequence or as a cause. As an example, the resistance of cancer mitochondria against apoptosis-associated permeabilization and the altered contribution of these organelles to metabolism are closely related. Similarly, the constitutive activation of signaling cascades that stimulate cell growth has a profound impact on anabolic metabolism. Here, we review the peculiarities of tumor cell metabolism that might be taken advantage of for cancer treatment. Specifically, we discuss the alterations in signal transduction pathways and/or enzymatic machineries that account for metabolic reprogramming of transformed cells. \u00a9 2008 Elsevier Inc. All rights reserved.", "author" : [ { "dropping-particle" : "", "family" : "Kroemer", "given" : "Guido", "non-dropping-particle" : "", "parse-names" : false, "suffix" : "" }, { "dropping-particle" : "", "family" : "Pouyssegur", "given" : "Jacques", "non-dropping-particle" : "", "parse-names" : false, "suffix" : "" } ], "container-title" : "Cancer Cell", "id" : "ITEM-2", "issue" : "6", "issued" : { "date-parts" : [ [ "2008" ] ] }, "page" : "472-482", "title" : "Tumor Cell Metabolism: Cancer's Achilles' Heel", "type" : "article-journal", "volume" : "13" }, "uris" : [ "http://www.mendeley.com/documents/?uuid=6bed14d1-55ff-491e-b677-2dd4a1691573" ] }, { "id" : "ITEM-3", "itemData" : { "DOI" : "10.1016/J.CMET.2017.08.017", "ISSN" : "1550-4131", "abstract" : "Targeted cancer therapies that use genetics are successful, but principles for selectively targeting tumor metabolism that is also dependent on the environment remain unknown. We now show that differences in rate-controlling enzymes during the Warburg effect (WE), the most prominent hallmark of cancer cell metabolism, can be used to predict a response to targeting glucose metabolism. We establish a natural product, koningic acid (KA), to be a selective inhibitor of GAPDH, an enzyme we characterize to have differential control properties over metabolism during the WE. With machine learning and integrated pharmacogenomics and metabolomics, we demonstrate that KA efficacy is not determined by the status of individual genes, but by the quantitative extent of the WE, leading to a therapeutic window in\u00a0vivo. Thus, the basis of targeting the WE can be encoded by molecular principles that extend beyond the status of individual genes.", "author" : [ { "dropping-particle" : "V.", "family" : "Liberti", "given" : "Maria", "non-dropping-particle" : "", "parse-names" : false, "suffix" : "" }, { "dropping-particle" : "", "family" : "Dai", "given" : "Ziwei", "non-dropping-particle" : "", "parse-names" : false, "suffix" : "" }, { "dropping-particle" : "", "family" : "Wardell", "given" : "Suzanne E.", "non-dropping-particle" : "", "parse-names" : false, "suffix" : "" }, { "dropping-particle" : "", "family" : "Baccile", "given" : "Joshua A.", "non-dropping-particle" : "", "parse-names" : false, "suffix" : "" }, { "dropping-particle" : "", "family" : "Liu", "given" : "Xiaojing", "non-dropping-particle" : "", "parse-names" : false, "suffix" : "" }, { "dropping-particle" : "", "family" : "Gao", "given" : "Xia", "non-dropping-particle" : "", "parse-names" : false, "suffix" : "" }, { "dropping-particle" : "", "family" : "Baldi", "given" : "Robert", "non-dropping-particle" : "", "parse-names" : false, "suffix" : "" }, { "dropping-particle" : "", "family" : "Mehrmohamadi", "given" : "Mahya", "non-dropping-particle" : "", "parse-names" : false, "suffix" : "" }, { "dropping-particle" : "", "family" : "Johnson", "given" : "Marc O.", "non-dropping-particle" : "", "parse-names" : false, "suffix" : "" }, { "dropping-particle" : "", "family" : "Madhukar", "given" : "Neel S.", "non-dropping-particle" : "", "parse-names" : false, "suffix" : "" }, { "dropping-particle" : "", "family" : "Shestov", "given" : "Alexander A.", "non-dropping-particle" : "", "parse-names" : false, "suffix" : "" }, { "dropping-particle" : "", "family" : "Chio", "given" : "Iok I. Christine", "non-dropping-particle" : "", "parse-names" : false, "suffix" : "" }, { "dropping-particle" : "", "family" : "Elemento", "given" : "Olivier", "non-dropping-particle" : "", "parse-names" : false, "suffix" : "" }, { "dropping-particle" : "", "family" : "Rathmell", "given" : "Jeffrey C.", "non-dropping-particle" : "", "parse-names" : false, "suffix" : "" }, { "dropping-particle" : "", "family" : "Schroeder", "given" : "Frank C.", "non-dropping-particle" : "", "parse-names" : false, "suffix" : "" }, { "dropping-particle" : "", "family" : "McDonnell", "given" : "Donald P.", "non-dropping-particle" : "", "parse-names" : false, "suffix" : "" }, { "dropping-particle" : "", "family" : "Locasale", "given" : "Jason W.", "non-dropping-particle" : "", "parse-names" : false, "suffix" : "" } ], "container-title" : "Cell Metabolism", "id" : "ITEM-3", "issue" : "4", "issued" : { "date-parts" : [ [ "2017", "10" ] ] }, "page" : "648-659.e8", "publisher" : "Cell Press", "title" : "A Predictive Model for Selective Targeting of the Warburg Effect through GAPDH Inhibition with a Natural Product", "type" : "article-journal", "volume" : "26" }, "uris" : [ "http://www.mendeley.com/documents/?uuid=5da9b553-c933-4823-b24a-9078a488d682" ] } ], "mendeley" : { "formattedCitation" : "&lt;sup&gt;4\u20136&lt;/sup&gt;", "plainTextFormattedCitation" : "4\u20136", "previouslyFormattedCitation" : "&lt;sup&gt;4\u20136&lt;/sup&gt;" }, "properties" : { "noteIndex" : 0 }, "schema" : "https://github.com/citation-style-language/schema/raw/master/csl-citation.json" }</w:instrText>
      </w:r>
      <w:r w:rsidR="00697C13">
        <w:rPr>
          <w:rFonts w:asciiTheme="minorHAnsi" w:hAnsiTheme="minorHAnsi" w:cstheme="minorHAnsi"/>
          <w:color w:val="auto"/>
        </w:rPr>
        <w:fldChar w:fldCharType="separate"/>
      </w:r>
      <w:r w:rsidR="00697C13" w:rsidRPr="00697C13">
        <w:rPr>
          <w:rFonts w:asciiTheme="minorHAnsi" w:hAnsiTheme="minorHAnsi" w:cstheme="minorHAnsi"/>
          <w:noProof/>
          <w:color w:val="auto"/>
          <w:vertAlign w:val="superscript"/>
        </w:rPr>
        <w:t>4–6</w:t>
      </w:r>
      <w:r w:rsidR="00697C13">
        <w:rPr>
          <w:rFonts w:asciiTheme="minorHAnsi" w:hAnsiTheme="minorHAnsi" w:cstheme="minorHAnsi"/>
          <w:color w:val="auto"/>
        </w:rPr>
        <w:fldChar w:fldCharType="end"/>
      </w:r>
      <w:r w:rsidRPr="00AD6123">
        <w:rPr>
          <w:rFonts w:asciiTheme="minorHAnsi" w:hAnsiTheme="minorHAnsi" w:cstheme="minorHAnsi"/>
          <w:color w:val="auto"/>
        </w:rPr>
        <w:t>. Knowing the metabolic predisposition of cancer cells is thus an advantage and can help improve the current therapy.</w:t>
      </w:r>
    </w:p>
    <w:p w14:paraId="1D541AB9" w14:textId="77777777" w:rsidR="00C121CB" w:rsidRPr="00AD6123" w:rsidRDefault="00C121CB" w:rsidP="00371E99">
      <w:pPr>
        <w:rPr>
          <w:rFonts w:asciiTheme="minorHAnsi" w:hAnsiTheme="minorHAnsi" w:cstheme="minorHAnsi"/>
          <w:color w:val="auto"/>
        </w:rPr>
      </w:pPr>
    </w:p>
    <w:p w14:paraId="1E1BBFC2" w14:textId="44472D84" w:rsidR="00707E7A" w:rsidRPr="00AD6123" w:rsidRDefault="00707E7A" w:rsidP="00371E99">
      <w:pPr>
        <w:rPr>
          <w:color w:val="auto"/>
        </w:rPr>
      </w:pPr>
      <w:r w:rsidRPr="00AD6123">
        <w:rPr>
          <w:color w:val="auto"/>
        </w:rPr>
        <w:t xml:space="preserve">There are </w:t>
      </w:r>
      <w:r w:rsidR="00E62AA2" w:rsidRPr="00AD6123">
        <w:rPr>
          <w:color w:val="auto"/>
        </w:rPr>
        <w:t xml:space="preserve">a </w:t>
      </w:r>
      <w:r w:rsidRPr="00AD6123">
        <w:rPr>
          <w:color w:val="auto"/>
        </w:rPr>
        <w:t xml:space="preserve">plenty </w:t>
      </w:r>
      <w:r w:rsidR="00E62AA2" w:rsidRPr="00AD6123">
        <w:rPr>
          <w:color w:val="auto"/>
        </w:rPr>
        <w:t xml:space="preserve">of </w:t>
      </w:r>
      <w:r w:rsidRPr="00AD6123">
        <w:rPr>
          <w:color w:val="auto"/>
        </w:rPr>
        <w:t xml:space="preserve">already established methods </w:t>
      </w:r>
      <w:r w:rsidR="00E62AA2" w:rsidRPr="00AD6123">
        <w:rPr>
          <w:color w:val="auto"/>
        </w:rPr>
        <w:t>which can</w:t>
      </w:r>
      <w:r w:rsidRPr="00AD6123">
        <w:rPr>
          <w:color w:val="auto"/>
        </w:rPr>
        <w:t xml:space="preserve"> assess the metabolic activity of cells in culture. Regarding glycolysis, glucose uptake can be measured by </w:t>
      </w:r>
      <w:r w:rsidR="001A4B44">
        <w:rPr>
          <w:color w:val="auto"/>
        </w:rPr>
        <w:t xml:space="preserve">the </w:t>
      </w:r>
      <w:r w:rsidRPr="00AD6123">
        <w:rPr>
          <w:color w:val="auto"/>
        </w:rPr>
        <w:t>radioactive labeling</w:t>
      </w:r>
      <w:r w:rsidR="0078625E" w:rsidRPr="00AD6123">
        <w:rPr>
          <w:color w:val="auto"/>
        </w:rPr>
        <w:t>, using 2-NBDG</w:t>
      </w:r>
      <w:r w:rsidR="007B0428" w:rsidRPr="00AD6123">
        <w:rPr>
          <w:color w:val="auto"/>
        </w:rPr>
        <w:t xml:space="preserve"> </w:t>
      </w:r>
      <w:r w:rsidR="0078625E" w:rsidRPr="00AD6123">
        <w:rPr>
          <w:color w:val="auto"/>
        </w:rPr>
        <w:t>(2-(N-(7-Nitrobenz-2-oxa-1,3-diazol-4-yl)Amino)-2-Deoxyglucose)</w:t>
      </w:r>
      <w:r w:rsidRPr="00AD6123">
        <w:rPr>
          <w:color w:val="auto"/>
        </w:rPr>
        <w:t xml:space="preserve"> or extracellular lactate levels measured enzymatically</w:t>
      </w:r>
      <w:r w:rsidR="00711D65">
        <w:rPr>
          <w:color w:val="auto"/>
        </w:rPr>
        <w:fldChar w:fldCharType="begin" w:fldLock="1"/>
      </w:r>
      <w:r w:rsidR="00711D65">
        <w:rPr>
          <w:color w:val="auto"/>
        </w:rPr>
        <w:instrText>ADDIN CSL_CITATION { "citationItems" : [ { "id" : "ITEM-1", "itemData" : { "DOI" : "10.1038/ncomms7807", "ISSN" : "2041-1723", "abstract" : "The brain is a highly active organ that relies almost exclusively on glucose as its energy source, but whether glucose is directly taken up by neurons or whether it is converted to lactate by astrocytes before neuronal uptake is still unclear. Here the authors perform in vivo imaging in awake mice and show evidence in support of the direct uptake of glucose by neurons.", "author" : [ { "dropping-particle" : "", "family" : "Lundgaard", "given" : "Iben", "non-dropping-particle" : "", "parse-names" : false, "suffix" : "" }, { "dropping-particle" : "", "family" : "Li", "given" : "Baoman", "non-dropping-particle" : "", "parse-names" : false, "suffix" : "" }, { "dropping-particle" : "", "family" : "Xie", "given" : "Lulu", "non-dropping-particle" : "", "parse-names" : false, "suffix" : "" }, { "dropping-particle" : "", "family" : "Kang", "given" : "Hongyi", "non-dropping-particle" : "", "parse-names" : false, "suffix" : "" }, { "dropping-particle" : "", "family" : "Sanggaard", "given" : "Simon", "non-dropping-particle" : "", "parse-names" : false, "suffix" : "" }, { "dropping-particle" : "", "family" : "Haswell", "given" : "John D. R.", "non-dropping-particle" : "", "parse-names" : false, "suffix" : "" }, { "dropping-particle" : "", "family" : "Sun", "given" : "Wei", "non-dropping-particle" : "", "parse-names" : false, "suffix" : "" }, { "dropping-particle" : "", "family" : "Goldman", "given" : "Siri", "non-dropping-particle" : "", "parse-names" : false, "suffix" : "" }, { "dropping-particle" : "", "family" : "Blekot", "given" : "Solomiya", "non-dropping-particle" : "", "parse-names" : false, "suffix" : "" }, { "dropping-particle" : "", "family" : "Nielsen", "given" : "Michael", "non-dropping-particle" : "", "parse-names" : false, "suffix" : "" }, { "dropping-particle" : "", "family" : "Takano", "given" : "Takahiro", "non-dropping-particle" : "", "parse-names" : false, "suffix" : "" }, { "dropping-particle" : "", "family" : "Deane", "given" : "Rashid", "non-dropping-particle" : "", "parse-names" : false, "suffix" : "" }, { "dropping-particle" : "", "family" : "Nedergaard", "given" : "Maiken", "non-dropping-particle" : "", "parse-names" : false, "suffix" : "" } ], "container-title" : "Nature Communications", "id" : "ITEM-1", "issue" : "1", "issued" : { "date-parts" : [ [ "2015", "12" ] ] }, "page" : "6807", "publisher" : "Nature Publishing Group", "title" : "Direct neuronal glucose uptake heralds activity-dependent increases in cerebral metabolism", "type" : "article-journal", "volume" : "6" }, "uris" : [ "http://www.mendeley.com/documents/?uuid=790460fc-c316-45ef-9ccc-3b2b63e6af7a" ] }, { "id" : "ITEM-2", "itemData" : { "DOI" : "10.1038/leu.2015.213", "ISBN" : "0891188096", "ISSN" : "1476-5551", "PMID" : "26239197", "abstract" : "l-asparaginase (ASNase), a key component in the treatment of childhood acute lymphoblastic leukemia (ALL), hydrolyzes plasma asparagine and glutamine and thereby disturbs metabolic homeostasis of leukemic cells. The efficacy of such therapeutic strategy will depend on the capacity of cancer cells to adapt to the metabolic challenge, which could relate to the activation of compensatory metabolic routes. Therefore, we studied the impact of ASNase on the main metabolic pathways in leukemic cells. Treating leukemic cells with ASNase increased fatty-acid oxidation (FAO) and cell respiration and inhibited glycolysis. FAO, together with the decrease in protein translation and pyrimidine synthesis, was positively regulated through inhibition of the RagB-mTORC1 pathway, whereas the effect on glycolysis was RagB-mTORC1 independent. As FAO has been suggested to have a pro-survival function in leukemic cells, we tested its contribution to cell survival following ASNase treatment. Pharmacological inhibition of FAO significantly increased the sensitivity of ALL cells to ASNase. Moreover, constitutive activation of the mammalian target of rapamycin pathway increased apoptosis in leukemic cells treated with ASNase, but did not increase FAO. Our study uncovers a novel therapeutic option based on the combination of ASNase and FAO inhibitors.", "author" : [ { "dropping-particle" : "", "family" : "Hermanova", "given" : "I", "non-dropping-particle" : "", "parse-names" : false, "suffix" : "" }, { "dropping-particle" : "", "family" : "Arruabarrena-Aristorena", "given" : "A", "non-dropping-particle" : "", "parse-names" : false, "suffix" : "" }, { "dropping-particle" : "", "family" : "Valis", "given" : "K", "non-dropping-particle" : "", "parse-names" : false, "suffix" : "" }, { "dropping-particle" : "", "family" : "Nuskova", "given" : "H", "non-dropping-particle" : "", "parse-names" : false, "suffix" : "" }, { "dropping-particle" : "", "family" : "Alberich-Jorda", "given" : "M", "non-dropping-particle" : "", "parse-names" : false, "suffix" : "" }, { "dropping-particle" : "", "family" : "Fiser", "given" : "K", "non-dropping-particle" : "", "parse-names" : false, "suffix" : "" }, { "dropping-particle" : "", "family" : "Fernandez-Ruiz", "given" : "S", "non-dropping-particle" : "", "parse-names" : false, "suffix" : "" }, { "dropping-particle" : "", "family" : "Kavan", "given" : "D", "non-dropping-particle" : "", "parse-names" : false, "suffix" : "" }, { "dropping-particle" : "", "family" : "Pecinova", "given" : "A", "non-dropping-particle" : "", "parse-names" : false, "suffix" : "" }, { "dropping-particle" : "", "family" : "Niso-Santano", "given" : "M", "non-dropping-particle" : "", "parse-names" : false, "suffix" : "" }, { "dropping-particle" : "", "family" : "Zaliova", "given" : "M", "non-dropping-particle" : "", "parse-names" : false, "suffix" : "" }, { "dropping-particle" : "", "family" : "Novak", "given" : "P", "non-dropping-particle" : "", "parse-names" : false, "suffix" : "" }, { "dropping-particle" : "", "family" : "Houstek", "given" : "J", "non-dropping-particle" : "", "parse-names" : false, "suffix" : "" }, { "dropping-particle" : "", "family" : "Mracek", "given" : "T", "non-dropping-particle" : "", "parse-names" : false, "suffix" : "" }, { "dropping-particle" : "", "family" : "Kroemer", "given" : "G", "non-dropping-particle" : "", "parse-names" : false, "suffix" : "" }, { "dropping-particle" : "", "family" : "Carracedo", "given" : "A", "non-dropping-particle" : "", "parse-names" : false, "suffix" : "" }, { "dropping-particle" : "", "family" : "Trka", "given" : "J", "non-dropping-particle" : "", "parse-names" : false, "suffix" : "" }, { "dropping-particle" : "", "family" : "Starkova", "given" : "J", "non-dropping-particle" : "", "parse-names" : false, "suffix" : "" } ], "container-title" : "Leukemia", "id" : "ITEM-2", "issue" : "1", "issued" : { "date-parts" : [ [ "2016" ] ] }, "page" : "209-18", "publisher" : "Nature Publishing Group", "title" : "Pharmacological inhibition of fatty-acid oxidation synergistically enhances the effect of l-asparaginase in childhood ALL cells.", "type" : "article-journal", "volume" : "30" }, "uris" : [ "http://www.mendeley.com/documents/?uuid=155f680a-b556-4c75-9638-e1002e0204f1" ] } ], "mendeley" : { "formattedCitation" : "&lt;sup&gt;7,8&lt;/sup&gt;", "plainTextFormattedCitation" : "7,8", "previouslyFormattedCitation" : "&lt;sup&gt;7,8&lt;/sup&gt;" }, "properties" : { "noteIndex" : 0 }, "schema" : "https://github.com/citation-style-language/schema/raw/master/csl-citation.json" }</w:instrText>
      </w:r>
      <w:r w:rsidR="00711D65">
        <w:rPr>
          <w:color w:val="auto"/>
        </w:rPr>
        <w:fldChar w:fldCharType="separate"/>
      </w:r>
      <w:r w:rsidR="00711D65" w:rsidRPr="00711D65">
        <w:rPr>
          <w:noProof/>
          <w:color w:val="auto"/>
          <w:vertAlign w:val="superscript"/>
        </w:rPr>
        <w:t>7,8</w:t>
      </w:r>
      <w:r w:rsidR="00711D65">
        <w:rPr>
          <w:color w:val="auto"/>
        </w:rPr>
        <w:fldChar w:fldCharType="end"/>
      </w:r>
      <w:r w:rsidRPr="00AD6123">
        <w:rPr>
          <w:color w:val="auto"/>
        </w:rPr>
        <w:t>. Fatty acid oxidation rate is another metabolic parameter measured by isotopically labeled palmitate</w:t>
      </w:r>
      <w:r w:rsidR="00711D65">
        <w:rPr>
          <w:color w:val="auto"/>
        </w:rPr>
        <w:fldChar w:fldCharType="begin" w:fldLock="1"/>
      </w:r>
      <w:r w:rsidR="00711D65">
        <w:rPr>
          <w:color w:val="auto"/>
        </w:rPr>
        <w:instrText>ADDIN CSL_CITATION { "citationItems" : [ { "id" : "ITEM-1", "itemData" : { "DOI" : "10.1152/ajpendo.00362.2014", "ISSN" : "0193-1849", "abstract" : "Lipid overload in obesity and type 2 diabetes is associated with adipocyte dysfunction, inflammation, macrophage infiltration, and decreased fatty acid oxidation (FAO). Here, we report that the expression of carnitine palmitoyltransferase 1A (CPT1A), the rate-limiting enzyme in mitochondrial FAO, is higher in human adipose tissue macrophages than in adipocytes and that it is differentially expressed in visceral vs. subcutaneous adipose tissue in both an obese and a type 2 diabetes cohort. These observations led us to further investigate the potential role of CPT1A in adipocytes and macrophages. We expressed CPT1AM, a permanently active mutant form of CPT1A, in 3T3-L1 CAR\u03941 adipocytes and RAW 264.7 macrophages through adenoviral infection. Enhanced FAO in palmitate-incubated adipocytes and macrophages reduced triglyceride content and inflammation, improved insulin sensitivity in adipocytes, and reduced endoplasmic reticulum stress and ROS damage in macrophages. We conclude that increasing FAO in adipocytes...", "author" : [ { "dropping-particle" : "", "family" : "Malandrino", "given" : "Maria Ida", "non-dropping-particle" : "", "parse-names" : false, "suffix" : "" }, { "dropping-particle" : "", "family" : "Fucho", "given" : "Raquel", "non-dropping-particle" : "", "parse-names" : false, "suffix" : "" }, { "dropping-particle" : "", "family" : "Weber", "given" : "Min\u00e9ia", "non-dropping-particle" : "", "parse-names" : false, "suffix" : "" }, { "dropping-particle" : "", "family" : "Calderon-Dominguez", "given" : "Mar\u00eda", "non-dropping-particle" : "", "parse-names" : false, "suffix" : "" }, { "dropping-particle" : "", "family" : "Mir", "given" : "Joan Francesc", "non-dropping-particle" : "", "parse-names" : false, "suffix" : "" }, { "dropping-particle" : "", "family" : "Valcarcel", "given" : "Lorea", "non-dropping-particle" : "", "parse-names" : false, "suffix" : "" }, { "dropping-particle" : "", "family" : "Escot\u00e9", "given" : "Xavier", "non-dropping-particle" : "", "parse-names" : false, "suffix" : "" }, { "dropping-particle" : "", "family" : "G\u00f3mez-Serrano", "given" : "Mar\u00eda", "non-dropping-particle" : "", "parse-names" : false, "suffix" : "" }, { "dropping-particle" : "", "family" : "Peral", "given" : "Bel\u00e9n", "non-dropping-particle" : "", "parse-names" : false, "suffix" : "" }, { "dropping-particle" : "", "family" : "Salvad\u00f3", "given" : "Laia", "non-dropping-particle" : "", "parse-names" : false, "suffix" : "" }, { "dropping-particle" : "", "family" : "Fern\u00e1ndez-Veledo", "given" : "Sonia", "non-dropping-particle" : "", "parse-names" : false, "suffix" : "" }, { "dropping-particle" : "", "family" : "Casals", "given" : "N\u00faria", "non-dropping-particle" : "", "parse-names" : false, "suffix" : "" }, { "dropping-particle" : "", "family" : "V\u00e1zquez-Carrera", "given" : "Manuel", "non-dropping-particle" : "", "parse-names" : false, "suffix" : "" }, { "dropping-particle" : "", "family" : "Villarroya", "given" : "Francesc", "non-dropping-particle" : "", "parse-names" : false, "suffix" : "" }, { "dropping-particle" : "", "family" : "Vendrell", "given" : "Joan J", "non-dropping-particle" : "", "parse-names" : false, "suffix" : "" }, { "dropping-particle" : "", "family" : "Serra", "given" : "Dolors", "non-dropping-particle" : "", "parse-names" : false, "suffix" : "" }, { "dropping-particle" : "", "family" : "Herrero", "given" : "Laura", "non-dropping-particle" : "", "parse-names" : false, "suffix" : "" } ], "container-title" : "American Journal of Physiology-Endocrinology and Metabolism", "id" : "ITEM-1", "issue" : "9", "issued" : { "date-parts" : [ [ "2015", "5" ] ] }, "page" : "E756-E769", "publisher" : " American Physiological Society Bethesda, MD", "title" : "Enhanced fatty acid oxidation in adipocytes and macrophages reduces lipid-induced triglyceride accumulation and inflammation", "type" : "article-journal", "volume" : "308" }, "uris" : [ "http://www.mendeley.com/documents/?uuid=c59b1fba-36f9-4be5-935d-df3bb143c9f6" ] }, { "id" : "ITEM-2", "itemData" : { "DOI" : "10.1074/mcp.M114.045575", "ISSN" : "1535-9484", "PMID" : "25573745", "abstract" : "Endothelial cells (ECs) play a key role to maintain the functionality of blood vessels. Altered EC permeability causes severe impairment in vessel stability and is a hallmark of pathologies such as cancer and thrombosis. Integrating label-free quantitative proteomics data into genome-wide metabolic modeling, we built up a model that predicts the metabolic fluxes in ECs when cultured on a tridimensional matrix and organize into a vascular-like network. We discovered how fatty acid oxidation increases when ECs are assembled into a fully formed network that can be disrupted by inhibiting CPT1A, the fatty acid oxidation rate-limiting enzyme. Acute CPT1A inhibition reduces cellular ATP levels and oxygen consumption, which are restored by replenishing the tricarboxylic acid cycle. Remarkably, global phosphoproteomic changes measured upon acute CPT1A inhibition pinpointed altered calcium signaling. Indeed, CPT1A inhibition increases intracellular calcium oscillations. Finally, inhibiting CPT1A induces hyperpermeability in vitro and leakage of blood vessel in vivo, which were restored blocking calcium influx or replenishing the tricarboxylic acid cycle. Fatty acid oxidation emerges as central regulator of endothelial functions and blood vessel stability and druggable pathway to control pathological vascular permeability.", "author" : [ { "dropping-particle" : "", "family" : "Patella", "given" : "Francesca", "non-dropping-particle" : "", "parse-names" : false, "suffix" : "" }, { "dropping-particle" : "", "family" : "Schug", "given" : "Zachary T", "non-dropping-particle" : "", "parse-names" : false, "suffix" : "" }, { "dropping-particle" : "", "family" : "Persi", "given" : "Erez", "non-dropping-particle" : "", "parse-names" : false, "suffix" : "" }, { "dropping-particle" : "", "family" : "Neilson", "given" : "Lisa J", "non-dropping-particle" : "", "parse-names" : false, "suffix" : "" }, { "dropping-particle" : "", "family" : "Erami", "given" : "Zahra", "non-dropping-particle" : "", "parse-names" : false, "suffix" : "" }, { "dropping-particle" : "", "family" : "Avanzato", "given" : "Daniele", "non-dropping-particle" : "", "parse-names" : false, "suffix" : "" }, { "dropping-particle" : "", "family" : "Maione", "given" : "Federica", "non-dropping-particle" : "", "parse-names" : false, "suffix" : "" }, { "dropping-particle" : "", "family" : "Hernandez-Fernaud", "given" : "Juan R", "non-dropping-particle" : "", "parse-names" : false, "suffix" : "" }, { "dropping-particle" : "", "family" : "Mackay", "given" : "Gillian", "non-dropping-particle" : "", "parse-names" : false, "suffix" : "" }, { "dropping-particle" : "", "family" : "Zheng", "given" : "Liang", "non-dropping-particle" : "", "parse-names" : false, "suffix" : "" }, { "dropping-particle" : "", "family" : "Reid", "given" : "Steven", "non-dropping-particle" : "", "parse-names" : false, "suffix" : "" }, { "dropping-particle" : "", "family" : "Frezza", "given" : "Christian", "non-dropping-particle" : "", "parse-names" : false, "suffix" : "" }, { "dropping-particle" : "", "family" : "Giraudo", "given" : "Enrico", "non-dropping-particle" : "", "parse-names" : false, "suffix" : "" }, { "dropping-particle" : "", "family" : "Fiorio Pla", "given" : "Alessandra", "non-dropping-particle" : "", "parse-names" : false, "suffix" : "" }, { "dropping-particle" : "", "family" : "Anderson", "given" : "Kurt", "non-dropping-particle" : "", "parse-names" : false, "suffix" : "" }, { "dropping-particle" : "", "family" : "Ruppin", "given" : "Eytan", "non-dropping-particle" : "", "parse-names" : false, "suffix" : "" }, { "dropping-particle" : "", "family" : "Gottlieb", "given" : "Eyal", "non-dropping-particle" : "", "parse-names" : false, "suffix" : "" }, { "dropping-particle" : "", "family" : "Zanivan", "given" : "Sara", "non-dropping-particle" : "", "parse-names" : false, "suffix" : "" } ], "container-title" : "Molecular &amp; cellular proteomics : MCP", "id" : "ITEM-2", "issue" : "3", "issued" : { "date-parts" : [ [ "2015", "3" ] ] }, "page" : "621-34", "publisher" : "American Society for Biochemistry and Molecular Biology", "title" : "Proteomics-based metabolic modeling reveals that fatty acid oxidation (FAO) controls endothelial cell (EC) permeability.", "type" : "article-journal", "volume" : "14" }, "uris" : [ "http://www.mendeley.com/documents/?uuid=ef92cacd-10ba-4edb-8016-bcd539fdf3b8" ] } ], "mendeley" : { "formattedCitation" : "&lt;sup&gt;9,10&lt;/sup&gt;", "plainTextFormattedCitation" : "9,10", "previouslyFormattedCitation" : "&lt;sup&gt;9,10&lt;/sup&gt;" }, "properties" : { "noteIndex" : 0 }, "schema" : "https://github.com/citation-style-language/schema/raw/master/csl-citation.json" }</w:instrText>
      </w:r>
      <w:r w:rsidR="00711D65">
        <w:rPr>
          <w:color w:val="auto"/>
        </w:rPr>
        <w:fldChar w:fldCharType="separate"/>
      </w:r>
      <w:r w:rsidR="00711D65" w:rsidRPr="00711D65">
        <w:rPr>
          <w:noProof/>
          <w:color w:val="auto"/>
          <w:vertAlign w:val="superscript"/>
        </w:rPr>
        <w:t>9,10</w:t>
      </w:r>
      <w:r w:rsidR="00711D65">
        <w:rPr>
          <w:color w:val="auto"/>
        </w:rPr>
        <w:fldChar w:fldCharType="end"/>
      </w:r>
      <w:r w:rsidRPr="00AD6123">
        <w:rPr>
          <w:color w:val="auto"/>
        </w:rPr>
        <w:t>. Oxygen consumption rate is a method widely-used for determining mitochondrial activity in cells</w:t>
      </w:r>
      <w:r w:rsidR="00711D65">
        <w:rPr>
          <w:color w:val="auto"/>
        </w:rPr>
        <w:fldChar w:fldCharType="begin" w:fldLock="1"/>
      </w:r>
      <w:r w:rsidR="00711D65">
        <w:rPr>
          <w:color w:val="auto"/>
        </w:rPr>
        <w:instrText>ADDIN CSL_CITATION { "citationItems" : [ { "id" : "ITEM-1", "itemData" : { "DOI" : "10.1042/BSR20150244", "ISSN" : "1573-4935", "PMID" : "26647379", "abstract" : "Mitochondrial membrane potential (mtMP) is critical for maintaining the physiological function of the respiratory chain to generate ATP. The present study characterized the inter-relationship between mtMP, using safranin and tetramethyl rhodamine methyl ester (TMRM), and mitochondrial respiratory activity and established a protocol for functional analysis of mitochondrial bioenergetics in a multi-sensor system. Coupled respiration was decreased by 27 and 30-35% in the presence of TMRM and safranin respectively. Maximal respiration was higher than coupled with Complex I- and II-linked substrates in the presence of both dyes. Safranin showed decreased maximal respiration at a higher concentration of carbonyl cyanide-4-(trifluoromethoxy)phenylhydrazone (FCCP) compared with TMRM. FCCP titration revealed that maximal respiration in the presence of glutamate and malate was not sustainable at higher FCCP concentrations as compared with pyruvate and malate. Oxygen consumption rate (OCR) and mtMP in response to mitochondrial substrates were higher in isolated mitochondria compared with tissue homogenates. Safranin exhibited higher sensitivity to changes in mtMP than TMRM. This multi-sensor system measured mitochondrial parameters in the brain of transgenic mice that model Alzheimer's disease (AD), because mitochondrial dysfunction is believed to be a primary event in the pathogenesis of AD. The coupled and maximal respiration of electron transport chain were decreased in the cortex of AD mice along with the mtMP compared with age-matched controls. Overall, these data demonstrate that safranin and TMRM are suitable for the simultaneous evaluation of mtMP and respiratory chain activity using isolated mitochondria and tissue homogenate. However, certain care should be taken concerning the selection of appropriate substrates and dyes for specific experimental circumstances.", "author" : [ { "dropping-particle" : "", "family" : "Chowdhury", "given" : "Subir Roy", "non-dropping-particle" : "", "parse-names" : false, "suffix" : "" }, { "dropping-particle" : "", "family" : "Djordjevic", "given" : "Jelena", "non-dropping-particle" : "", "parse-names" : false, "suffix" : "" }, { "dropping-particle" : "", "family" : "Albensi", "given" : "Benedict C", "non-dropping-particle" : "", "parse-names" : false, "suffix" : "" }, { "dropping-particle" : "", "family" : "Fernyhough", "given" : "Paul", "non-dropping-particle" : "", "parse-names" : false, "suffix" : "" } ], "container-title" : "Bioscience reports", "id" : "ITEM-1", "issue" : "1", "issued" : { "date-parts" : [ [ "2015", "12" ] ] }, "page" : "e00286", "publisher" : "Portland Press Limited", "title" : "Simultaneous evaluation of substrate-dependent oxygen consumption rates and mitochondrial membrane potential by TMRM and safranin in cortical mitochondria.", "type" : "article-journal", "volume" : "36" }, "uris" : [ "http://www.mendeley.com/documents/?uuid=4928a656-c01b-46a3-ac21-a83090103ba3" ] }, { "id" : "ITEM-2", "itemData" : { "DOI" : "10.1016/B978-0-12-416618-9.00008-X", "ISBN" : "9780124166189", "ISSN" : "0076-6879", "abstract" : "Following several key discoveries on hypoxia-inducible factors, we have observed an explosion of studies investigating how the hypoxic microenvironment provokes bioenergetic alterations. This is particularly relevant for cancer cells, as they are often exposed to hypoxic conditions in the course of tumor progression. Thus, interest in the measurement of oxygen consumption at the tissue, cell, or mitochondrion level has been revived. Here, we describe the basic principles of cellular respiration and survey some of the conventional methods for measuring O2 consumption in intact or permeabilized cells.", "author" : [ { "dropping-particle" : "", "family" : "Simonnet", "given" : "H\u00e9l\u00e8ne", "non-dropping-particle" : "", "parse-names" : false, "suffix" : "" }, { "dropping-particle" : "", "family" : "Vigneron", "given" : "Arnaud", "non-dropping-particle" : "", "parse-names" : false, "suffix" : "" }, { "dropping-particle" : "", "family" : "Pouyss\u00e9gur", "given" : "Jacques", "non-dropping-particle" : "", "parse-names" : false, "suffix" : "" } ], "container-title" : "Methods in Enzymology", "id" : "ITEM-2", "issued" : { "date-parts" : [ [ "2014", "1" ] ] }, "page" : "151-161", "publisher" : "Academic Press", "title" : "Conventional Techniques to Monitor Mitochondrial Oxygen Consumption", "type" : "article-journal", "volume" : "542" }, "uris" : [ "http://www.mendeley.com/documents/?uuid=34160e02-0c5d-4526-a794-4bd98bf06d4c" ] } ], "mendeley" : { "formattedCitation" : "&lt;sup&gt;11,12&lt;/sup&gt;", "plainTextFormattedCitation" : "11,12", "previouslyFormattedCitation" : "&lt;sup&gt;11,12&lt;/sup&gt;" }, "properties" : { "noteIndex" : 0 }, "schema" : "https://github.com/citation-style-language/schema/raw/master/csl-citation.json" }</w:instrText>
      </w:r>
      <w:r w:rsidR="00711D65">
        <w:rPr>
          <w:color w:val="auto"/>
        </w:rPr>
        <w:fldChar w:fldCharType="separate"/>
      </w:r>
      <w:r w:rsidR="00711D65" w:rsidRPr="00711D65">
        <w:rPr>
          <w:noProof/>
          <w:color w:val="auto"/>
          <w:vertAlign w:val="superscript"/>
        </w:rPr>
        <w:t>11,12</w:t>
      </w:r>
      <w:r w:rsidR="00711D65">
        <w:rPr>
          <w:color w:val="auto"/>
        </w:rPr>
        <w:fldChar w:fldCharType="end"/>
      </w:r>
      <w:r w:rsidRPr="00AD6123">
        <w:rPr>
          <w:color w:val="auto"/>
        </w:rPr>
        <w:t>, together with</w:t>
      </w:r>
      <w:r w:rsidR="00E62AA2" w:rsidRPr="00AD6123">
        <w:rPr>
          <w:color w:val="auto"/>
        </w:rPr>
        <w:t xml:space="preserve"> the</w:t>
      </w:r>
      <w:r w:rsidRPr="00AD6123">
        <w:rPr>
          <w:color w:val="auto"/>
        </w:rPr>
        <w:t xml:space="preserve"> mitochondrial membrane potential evaluation</w:t>
      </w:r>
      <w:r w:rsidR="00711D65">
        <w:rPr>
          <w:color w:val="auto"/>
        </w:rPr>
        <w:fldChar w:fldCharType="begin" w:fldLock="1"/>
      </w:r>
      <w:r w:rsidR="00711D65">
        <w:rPr>
          <w:color w:val="auto"/>
        </w:rPr>
        <w:instrText>ADDIN CSL_CITATION { "citationItems" : [ { "id" : "ITEM-1", "itemData" : { "DOI" : "10.1016/J.MOLCEL.2015.12.002", "ISSN" : "1097-2765", "abstract" : "Mitochondrial metabolism is necessary for the maintenance of oxidative TCA cycle function and mitochondrial membrane potential. Previous attempts to decipher whether mitochondria are necessary for biological outcomes have been hampered by genetic and pharmacologic methods that simultaneously disrupt multiple functions linked to mitochondrial metabolism. Here, we report that inducible depletion of mitochondrial DNA (\u03c1\u03bf cells) diminished respiration, oxidative TCA cycle function, and the mitochondrial membrane potential, resulting in diminished cell proliferation, hypoxic activation of HIF-1, and specific histone acetylation marks. Genetic reconstitution only of the oxidative TCA cycle function specifically in these inducible \u03c1\u03bf cells restored metabolites, resulting in re-establishment of histone acetylation. In contrast, genetic reconstitution of the mitochondrial membrane potential restored ROS, which were necessary for hypoxic activation of HIF-1 and cell proliferation. These results indicate that distinct mitochondrial functions associated with respiration are necessary for cell proliferation, epigenetics, and HIF-1 activation.", "author" : [ { "dropping-particle" : "", "family" : "Mart\u00ednez-Reyes", "given" : "Inmaculada", "non-dropping-particle" : "", "parse-names" : false, "suffix" : "" }, { "dropping-particle" : "", "family" : "Diebold", "given" : "Lauren\u00a0P.", "non-dropping-particle" : "", "parse-names" : false, "suffix" : "" }, { "dropping-particle" : "", "family" : "Kong", "given" : "Hyewon", "non-dropping-particle" : "", "parse-names" : false, "suffix" : "" }, { "dropping-particle" : "", "family" : "Schieber", "given" : "Michael", "non-dropping-particle" : "", "parse-names" : false, "suffix" : "" }, { "dropping-particle" : "", "family" : "Huang", "given" : "He", "non-dropping-particle" : "", "parse-names" : false, "suffix" : "" }, { "dropping-particle" : "", "family" : "Hensley", "given" : "Christopher\u00a0T.", "non-dropping-particle" : "", "parse-names" : false, "suffix" : "" }, { "dropping-particle" : "", "family" : "Mehta", "given" : "Manan\u00a0M.", "non-dropping-particle" : "", "parse-names" : false, "suffix" : "" }, { "dropping-particle" : "", "family" : "Wang", "given" : "Tianyuan", "non-dropping-particle" : "", "parse-names" : false, "suffix" : "" }, { "dropping-particle" : "", "family" : "Santos", "given" : "Janine\u00a0H.", "non-dropping-particle" : "", "parse-names" : false, "suffix" : "" }, { "dropping-particle" : "", "family" : "Woychik", "given" : "Richard", "non-dropping-particle" : "", "parse-names" : false, "suffix" : "" }, { "dropping-particle" : "", "family" : "Dufour", "given" : "Eric", "non-dropping-particle" : "", "parse-names" : false, "suffix" : "" }, { "dropping-particle" : "", "family" : "Spelbrink", "given" : "Johannes\u00a0N.", "non-dropping-particle" : "", "parse-names" : false, "suffix" : "" }, { "dropping-particle" : "", "family" : "Weinberg", "given" : "Samuel\u00a0E.", "non-dropping-particle" : "", "parse-names" : false, "suffix" : "" }, { "dropping-particle" : "", "family" : "Zhao", "given" : "Yingming", "non-dropping-particle" : "", "parse-names" : false, "suffix" : "" }, { "dropping-particle" : "", "family" : "DeBerardinis", "given" : "Ralph\u00a0J.", "non-dropping-particle" : "", "parse-names" : false, "suffix" : "" }, { "dropping-particle" : "", "family" : "Chandel", "given" : "Navdeep\u00a0S.", "non-dropping-particle" : "", "parse-names" : false, "suffix" : "" } ], "container-title" : "Molecular Cell", "id" : "ITEM-1", "issue" : "2", "issued" : { "date-parts" : [ [ "2016", "1" ] ] }, "page" : "199-209", "publisher" : "Cell Press", "title" : "TCA Cycle and Mitochondrial Membrane Potential Are Necessary for Diverse Biological Functions", "type" : "article-journal", "volume" : "61" }, "uris" : [ "http://www.mendeley.com/documents/?uuid=bc65ae9c-f9a1-436e-90d8-3eb6a8c628e2" ] }, { "id" : "ITEM-2", "itemData" : { "DOI" : "10.1016/J.CMET.2015.11.002", "ISSN" : "1550-4131", "abstract" : "Long-term survival and antitumor immunity of adoptively transferred CD8+ T\u00a0cells is dependent on their metabolic fitness, but approaches to isolate therapeutic T\u00a0cells based on metabolic features are not well established. Here we utilized a lipophilic cationic dye tetramethylrhodamine methyl ester (TMRM) to identify and isolate metabolically robust T\u00a0cells based on their mitochondrial membrane potential (\u0394\u03a8m). Comprehensive metabolomic and gene expression profiling demonstrated global features of improved metabolic fitness in low-\u0394\u03a8m-sorted CD8+ T\u00a0cells. Transfer of these low-\u0394\u03a8m T\u00a0cells was associated with superior long-term in\u00a0vivo persistence and an enhanced capacity to eradicate established tumors compared with high-\u0394\u03a8m cells. Use of \u0394\u03a8m-based sorting to enrich for cells with superior metabolic features was observed in CD8+, CD4+ T\u00a0cell subsets, and long-term hematopoietic stem cells. This metabolism-based approach to cell selection may be broadly applicable to therapies involving the transfer of HSC or lymphocytes for the treatment of viral-associated illnesses and cancer.", "author" : [ { "dropping-particle" : "", "family" : "Sukumar", "given" : "Madhusudhanan", "non-dropping-particle" : "", "parse-names" : false, "suffix" : "" }, { "dropping-particle" : "", "family" : "Liu", "given" : "Jie", "non-dropping-particle" : "", "parse-names" : false, "suffix" : "" }, { "dropping-particle" : "", "family" : "Mehta", "given" : "Gautam\u00a0U.", "non-dropping-particle" : "", "parse-names" : false, "suffix" : "" }, { "dropping-particle" : "", "family" : "Patel", "given" : "Shashank\u00a0J.", "non-dropping-particle" : "", "parse-names" : false, "suffix" : "" }, { "dropping-particle" : "", "family" : "Roychoudhuri", "given" : "Rahul", "non-dropping-particle" : "", "parse-names" : false, "suffix" : "" }, { "dropping-particle" : "", "family" : "Crompton", "given" : "Joseph\u00a0G.", "non-dropping-particle" : "", "parse-names" : false, "suffix" : "" }, { "dropping-particle" : "", "family" : "Klebanoff", "given" : "Christopher\u00a0A.", "non-dropping-particle" : "", "parse-names" : false, "suffix" : "" }, { "dropping-particle" : "", "family" : "Ji", "given" : "Yun", "non-dropping-particle" : "", "parse-names" : false, "suffix" : "" }, { "dropping-particle" : "", "family" : "Li", "given" : "Peng", "non-dropping-particle" : "", "parse-names" : false, "suffix" : "" }, { "dropping-particle" : "", "family" : "Yu", "given" : "Zhiya", "non-dropping-particle" : "", "parse-names" : false, "suffix" : "" }, { "dropping-particle" : "", "family" : "Whitehill", "given" : "Greg\u00a0D.", "non-dropping-particle" : "", "parse-names" : false, "suffix" : "" }, { "dropping-particle" : "", "family" : "Clever", "given" : "David", "non-dropping-particle" : "", "parse-names" : false, "suffix" : "" }, { "dropping-particle" : "", "family" : "Eil", "given" : "Robert\u00a0L.", "non-dropping-particle" : "", "parse-names" : false, "suffix" : "" }, { "dropping-particle" : "", "family" : "Palmer", "given" : "Douglas C.", "non-dropping-particle" : "", "parse-names" : false, "suffix" : "" }, { "dropping-particle" : "", "family" : "Mitra", "given" : "Suman", "non-dropping-particle" : "", "parse-names" : false, "suffix" : "" }, { "dropping-particle" : "", "family" : "Rao", "given" : "Mahadev", "non-dropping-particle" : "", "parse-names" : false, "suffix" : "" }, { "dropping-particle" : "", "family" : "Keyvanfar", "given" : "Keyvan", "non-dropping-particle" : "", "parse-names" : false, "suffix" : "" }, { "dropping-particle" : "", "family" : "Schrump", "given" : "David S.", "non-dropping-particle" : "", "parse-names" : false, "suffix" : "" }, { "dropping-particle" : "", "family" : "Wang", "given" : "Ena", "non-dropping-particle" : "", "parse-names" : false, "suffix" : "" }, { "dropping-particle" : "", "family" : "Marincola", "given" : "Francesco M.", "non-dropping-particle" : "", "parse-names" : false, "suffix" : "" }, { "dropping-particle" : "", "family" : "Gattinoni", "given" : "Luca", "non-dropping-particle" : "", "parse-names" : false, "suffix" : "" }, { "dropping-particle" : "", "family" : "Leonard", "given" : "Warren\u00a0J.", "non-dropping-particle" : "", "parse-names" : false, "suffix" : "" }, { "dropping-particle" : "", "family" : "Muranski", "given" : "Pawel", "non-dropping-particle" : "", "parse-names" : false, "suffix" : "" }, { "dropping-particle" : "", "family" : "Finkel", "given" : "Toren", "non-dropping-particle" : "", "parse-names" : false, "suffix" : "" }, { "dropping-particle" : "", "family" : "Restifo", "given" : "Nicholas\u00a0P.", "non-dropping-particle" : "", "parse-names" : false, "suffix" : "" } ], "container-title" : "Cell Metabolism", "id" : "ITEM-2", "issue" : "1", "issued" : { "date-parts" : [ [ "2016", "1" ] ] }, "page" : "63-76", "publisher" : "Cell Press", "title" : "Mitochondrial Membrane Potential Identifies Cells with Enhanced Stemness for Cellular Therapy", "type" : "article-journal", "volume" : "23" }, "uris" : [ "http://www.mendeley.com/documents/?uuid=63c098b2-dea7-406e-9ef8-558849653b22" ] } ], "mendeley" : { "formattedCitation" : "&lt;sup&gt;13,14&lt;/sup&gt;", "plainTextFormattedCitation" : "13,14", "previouslyFormattedCitation" : "&lt;sup&gt;13,14&lt;/sup&gt;" }, "properties" : { "noteIndex" : 0 }, "schema" : "https://github.com/citation-style-language/schema/raw/master/csl-citation.json" }</w:instrText>
      </w:r>
      <w:r w:rsidR="00711D65">
        <w:rPr>
          <w:color w:val="auto"/>
        </w:rPr>
        <w:fldChar w:fldCharType="separate"/>
      </w:r>
      <w:r w:rsidR="00711D65" w:rsidRPr="00711D65">
        <w:rPr>
          <w:noProof/>
          <w:color w:val="auto"/>
          <w:vertAlign w:val="superscript"/>
        </w:rPr>
        <w:t>13,14</w:t>
      </w:r>
      <w:r w:rsidR="00711D65">
        <w:rPr>
          <w:color w:val="auto"/>
        </w:rPr>
        <w:fldChar w:fldCharType="end"/>
      </w:r>
      <w:r w:rsidRPr="00AD6123">
        <w:rPr>
          <w:color w:val="auto"/>
        </w:rPr>
        <w:t xml:space="preserve">, ATP/ADP </w:t>
      </w:r>
      <w:r w:rsidR="002C784C" w:rsidRPr="00AD6123">
        <w:rPr>
          <w:color w:val="auto"/>
        </w:rPr>
        <w:t xml:space="preserve">(adenosine 5′-triphosphate/Adenosine 5′-diphosphate) </w:t>
      </w:r>
      <w:r w:rsidRPr="00AD6123">
        <w:rPr>
          <w:color w:val="auto"/>
        </w:rPr>
        <w:t>ratio measurement</w:t>
      </w:r>
      <w:r w:rsidR="00711D65">
        <w:rPr>
          <w:color w:val="auto"/>
        </w:rPr>
        <w:fldChar w:fldCharType="begin" w:fldLock="1"/>
      </w:r>
      <w:r w:rsidR="00711D65">
        <w:rPr>
          <w:color w:val="auto"/>
        </w:rPr>
        <w:instrText>ADDIN CSL_CITATION { "citationItems" : [ { "id" : "ITEM-1", "itemData" : { "DOI" : "10.1042/BJ20130992", "ISSN" : "1470-8728", "PMID" : "24865181", "abstract" : "InsP6 (inositol hexakisphosphate), the most abundant inositol phosphate in metazoa, is pyrophosphorylated to InsP7 [5PP-InsP5 (diphosphoinositol pentakisphosphate)] by cytosolic and nuclear IP6Ks (InsP6 kinases) and to 1PP-InsP5 by another InsP6/InsP7 kinase family. MINPP1 (multiple inositol-polyphosphate phosphatase 1), the only known InsP6 phosphatase, is localized in the ER (endoplasmic reticulum) and lysosome lumina. A mechanism of cytosolic InsP6 dephosphorylation has remained enigmatic so far. In the present study, we demonstrated that IP6Ks change their kinase activity towards InsP6 at a decreasing ATP/ADP ratio to an ADP phosphotransferase activity and dephosphorylate InsP6. Enantio-selective analysis revealed that Ins(2,3,4,5,6)P5 is the main InsP5 product of the IP6K reaction, whereas the exclusive product of MINPP1 activity is the enantiomer Ins(1,2,4,5,6)P5. Whereas lentiviral RNAi-based depletion of MINPP1 at falling cellular ATP/ADP ratios had no significant impact on Ins(2,3,4,5,6)P5 production, the use of the selective IP6K inhibitor TNP [N2-(m-trifluorobenzyl),N6-(p-nitrobenzyl)purine] abolished the production of this enatiomer in different types\u00a0of cells. Furthermore, by analysis of rat tissue and human blood samples all (main and minor) dephosphorylation products of InsP6 were detected in\u00a0vivo. In summary, we identified IP6Ks as novel nuclear and cytosolic InsP6- (and InsP5-) dephosphorylating enzymes whose activity is sensitively driven by a decrease in the cellular ATP/ADP ratio, thus suggesting a role for IP6Ks as cellular adenylate energy 'sensors'.", "author" : [ { "dropping-particle" : "", "family" : "Wundenberg", "given" : "Torsten", "non-dropping-particle" : "", "parse-names" : false, "suffix" : "" }, { "dropping-particle" : "", "family" : "Grabinski", "given" : "Nicole", "non-dropping-particle" : "", "parse-names" : false, "suffix" : "" }, { "dropping-particle" : "", "family" : "Lin", "given" : "Hongying", "non-dropping-particle" : "", "parse-names" : false, "suffix" : "" }, { "dropping-particle" : "", "family" : "Mayr", "given" : "Georg W", "non-dropping-particle" : "", "parse-names" : false, "suffix" : "" } ], "container-title" : "The Biochemical journal", "id" : "ITEM-1", "issue" : "1", "issued" : { "date-parts" : [ [ "2014", "8" ] ] }, "page" : "173-84", "publisher" : "Portland Press Limited", "title" : "Discovery of InsP6-kinases as InsP6-dephosphorylating enzymes provides a new mechanism of cytosolic InsP6 degradation driven by the cellular ATP/ADP ratio.", "type" : "article-journal", "volume" : "462" }, "uris" : [ "http://www.mendeley.com/documents/?uuid=947e17ad-c51b-4070-8d31-0a1158c16453" ] } ], "mendeley" : { "formattedCitation" : "&lt;sup&gt;15&lt;/sup&gt;", "plainTextFormattedCitation" : "15", "previouslyFormattedCitation" : "&lt;sup&gt;15&lt;/sup&gt;" }, "properties" : { "noteIndex" : 0 }, "schema" : "https://github.com/citation-style-language/schema/raw/master/csl-citation.json" }</w:instrText>
      </w:r>
      <w:r w:rsidR="00711D65">
        <w:rPr>
          <w:color w:val="auto"/>
        </w:rPr>
        <w:fldChar w:fldCharType="separate"/>
      </w:r>
      <w:r w:rsidR="00711D65" w:rsidRPr="00711D65">
        <w:rPr>
          <w:noProof/>
          <w:color w:val="auto"/>
          <w:vertAlign w:val="superscript"/>
        </w:rPr>
        <w:t>15</w:t>
      </w:r>
      <w:r w:rsidR="00711D65">
        <w:rPr>
          <w:color w:val="auto"/>
        </w:rPr>
        <w:fldChar w:fldCharType="end"/>
      </w:r>
      <w:r w:rsidRPr="00AD6123">
        <w:rPr>
          <w:color w:val="auto"/>
        </w:rPr>
        <w:t xml:space="preserve"> or total intracellular ATP measurement</w:t>
      </w:r>
      <w:r w:rsidR="00711D65">
        <w:rPr>
          <w:color w:val="auto"/>
        </w:rPr>
        <w:fldChar w:fldCharType="begin" w:fldLock="1"/>
      </w:r>
      <w:r w:rsidR="00711D65">
        <w:rPr>
          <w:color w:val="auto"/>
        </w:rPr>
        <w:instrText>ADDIN CSL_CITATION { "citationItems" : [ { "id" : "ITEM-1", "itemData" : { "DOI" : "10.1038/nprot.2017.052", "ISSN" : "1754-2189", "abstract" : "This protocol describes how to construct luciferase probes that are targeted to the mitochondrial matrix or the outer surface of the plasma membrane. These probes can be used to measure ATP concentrations in different cellular compartments.", "author" : [ { "dropping-particle" : "", "family" : "Morciano", "given" : "Giampaolo", "non-dropping-particle" : "", "parse-names" : false, "suffix" : "" }, { "dropping-particle" : "", "family" : "Sarti", "given" : "Alba Clara", "non-dropping-particle" : "", "parse-names" : false, "suffix" : "" }, { "dropping-particle" : "", "family" : "Marchi", "given" : "Saverio", "non-dropping-particle" : "", "parse-names" : false, "suffix" : "" }, { "dropping-particle" : "", "family" : "Missiroli", "given" : "Sonia", "non-dropping-particle" : "", "parse-names" : false, "suffix" : "" }, { "dropping-particle" : "", "family" : "Falzoni", "given" : "Simonetta", "non-dropping-particle" : "", "parse-names" : false, "suffix" : "" }, { "dropping-particle" : "", "family" : "Raffaghello", "given" : "Lizzia", "non-dropping-particle" : "", "parse-names" : false, "suffix" : "" }, { "dropping-particle" : "", "family" : "Pistoia", "given" : "Vito", "non-dropping-particle" : "", "parse-names" : false, "suffix" : "" }, { "dropping-particle" : "", "family" : "Giorgi", "given" : "Carlotta", "non-dropping-particle" : "", "parse-names" : false, "suffix" : "" }, { "dropping-particle" : "", "family" : "Virgilio", "given" : "Francesco", "non-dropping-particle" : "Di", "parse-names" : false, "suffix" : "" }, { "dropping-particle" : "", "family" : "Pinton", "given" : "Paolo", "non-dropping-particle" : "", "parse-names" : false, "suffix" : "" } ], "container-title" : "Nature Protocols", "id" : "ITEM-1", "issue" : "8", "issued" : { "date-parts" : [ [ "2017", "7" ] ] }, "page" : "1542-1562", "publisher" : "Nature Publishing Group", "title" : "Use of luciferase probes to measure ATP in living cells and animals", "type" : "article-journal", "volume" : "12" }, "uris" : [ "http://www.mendeley.com/documents/?uuid=88b04342-e7db-422d-bc31-97fdb9a396e8" ] } ], "mendeley" : { "formattedCitation" : "&lt;sup&gt;16&lt;/sup&gt;", "plainTextFormattedCitation" : "16", "previouslyFormattedCitation" : "&lt;sup&gt;16&lt;/sup&gt;" }, "properties" : { "noteIndex" : 0 }, "schema" : "https://github.com/citation-style-language/schema/raw/master/csl-citation.json" }</w:instrText>
      </w:r>
      <w:r w:rsidR="00711D65">
        <w:rPr>
          <w:color w:val="auto"/>
        </w:rPr>
        <w:fldChar w:fldCharType="separate"/>
      </w:r>
      <w:r w:rsidR="00711D65" w:rsidRPr="00711D65">
        <w:rPr>
          <w:noProof/>
          <w:color w:val="auto"/>
          <w:vertAlign w:val="superscript"/>
        </w:rPr>
        <w:t>16</w:t>
      </w:r>
      <w:r w:rsidR="00711D65">
        <w:rPr>
          <w:color w:val="auto"/>
        </w:rPr>
        <w:fldChar w:fldCharType="end"/>
      </w:r>
      <w:r w:rsidRPr="00AD6123">
        <w:rPr>
          <w:color w:val="auto"/>
        </w:rPr>
        <w:t>. Signaling pathways known to regulate metabolic processes could be determined by protein quantification</w:t>
      </w:r>
      <w:r w:rsidR="00AE0823">
        <w:rPr>
          <w:color w:val="auto"/>
        </w:rPr>
        <w:t>s</w:t>
      </w:r>
      <w:r w:rsidRPr="00AD6123">
        <w:rPr>
          <w:color w:val="auto"/>
        </w:rPr>
        <w:t xml:space="preserve"> and </w:t>
      </w:r>
      <w:r w:rsidR="00AE0823">
        <w:rPr>
          <w:color w:val="auto"/>
        </w:rPr>
        <w:t xml:space="preserve">can </w:t>
      </w:r>
      <w:r w:rsidRPr="00AD6123">
        <w:rPr>
          <w:color w:val="auto"/>
        </w:rPr>
        <w:t>improve the understanding of metabolic measurements</w:t>
      </w:r>
      <w:r w:rsidR="00711D65">
        <w:rPr>
          <w:color w:val="auto"/>
        </w:rPr>
        <w:fldChar w:fldCharType="begin" w:fldLock="1"/>
      </w:r>
      <w:r w:rsidR="00711D65">
        <w:rPr>
          <w:color w:val="auto"/>
        </w:rPr>
        <w:instrText>ADDIN CSL_CITATION { "citationItems" : [ { "id" : "ITEM-1", "itemData" : { "DOI" : "10.1073/pnas.1006962107", "ISSN" : "1091-6490", "PMID" : "20616029", "abstract" : "Fibroblast growth factor 21 (FGF21) has been identified as a potent metabolic regulator. Administration of recombinant FGF21 protein to rodents and rhesus monkeys with diet-induced or genetic obesity and diabetes exerts strong antihyperglycemic and triglyceride-lowering effects and reduction of body weight. Despite the importance of FGF21 in the regulation of glucose, lipid, and energy homeostasis, the mechanisms by which FGF21 functions as a metabolic regulator remain largely unknown. Here we demonstrate that FGF21 regulates energy homeostasis in adipocytes through activation of AMP-activated protein kinase (AMPK) and sirtuin 1 (SIRT1), resulting in enhanced mitochondrial oxidative function. AMPK phosphorylation levels were increased by FGF21 treatment in adipocytes as well as in white adipose tissue from ob/ob mice. FGF21 treatment increased cellular NAD(+) levels, leading to activation of SIRT1 and deacetylation of its downstream targets, peroxisome proliferator-activated receptor-gamma coactivator-1alpha (PGC-1alpha) and histone 3. Activation of AMPK and SIRT1 by FGF21 in adipocytes enhanced mitochondrial oxidative capacity as demonstrated by increases in oxygen consumption, citrate synthase activity, and induction of key metabolic genes. The effects of FGF21 on mitochondrial function require serine/threonine kinase 11 (STK11/LKB1), which activates AMPK. Inhibition of AMPK, SIRT1, and PGC-1alpha activities attenuated the effects of FGF21 on oxygen consumption and gene expression, indicating that FGF21 regulates mitochondrial activity and enhances oxidative capacity through an AMPK-SIRT1-PGC1alpha-dependent mechanism in adipocytes.", "author" : [ { "dropping-particle" : "", "family" : "Chau", "given" : "Mary D L", "non-dropping-particle" : "", "parse-names" : false, "suffix" : "" }, { "dropping-particle" : "", "family" : "Gao", "given" : "Jiaping", "non-dropping-particle" : "", "parse-names" : false, "suffix" : "" }, { "dropping-particle" : "", "family" : "Yang", "given" : "Qing", "non-dropping-particle" : "", "parse-names" : false, "suffix" : "" }, { "dropping-particle" : "", "family" : "Wu", "given" : "Zhidan", "non-dropping-particle" : "", "parse-names" : false, "suffix" : "" }, { "dropping-particle" : "", "family" : "Gromada", "given" : "Jesper", "non-dropping-particle" : "", "parse-names" : false, "suffix" : "" } ], "container-title" : "Proceedings of the National Academy of Sciences of the United States of America", "id" : "ITEM-1", "issue" : "28", "issued" : { "date-parts" : [ [ "2010", "7" ] ] }, "page" : "12553-8", "publisher" : "National Academy of Sciences", "title" : "Fibroblast growth factor 21 regulates energy metabolism by activating the AMPK-SIRT1-PGC-1alpha pathway.", "type" : "article-journal", "volume" : "107" }, "uris" : [ "http://www.mendeley.com/documents/?uuid=89d16385-9ad6-4b76-99c7-b69d117e2cdf" ] }, { "id" : "ITEM-2", "itemData" : { "DOI" : "10.1074/jbc.M111.264598", "ISSN" : "1083-351X", "PMID" : "21917926", "abstract" : "The antitumor activities of the novel adenosine monophosphate-activated protein kinase (AMPK) activator, OSU-53, were assessed in in vitro and in vivo models of triple-negative breast cancer. OSU-53 directly stimulated recombinant AMPK kinase activity (EC(50), 0.3 \u03bcM) and inhibited the viability and clonogenic growth of MDA-MB-231 and MDA-MB-468 cells with equal potency (IC(50), 5 and 2 \u03bcM, respectively) despite lack of LKB1 expression in MDA-MB-231 cells. Nonmalignant MCF-10A cells, however, were unaffected. Beyond AMPK-mediated effects on mammalian target of rapamycin signaling and lipogenesis, OSU-53 also targeted multiple AMPK downstream pathways. Among these, the protein phosphatase 2A-dependent dephosphorylation of Akt is noteworthy because it circumvents the feedback activation of Akt that results from mammalian target of rapamycin inhibition. OSU-53 also modulated energy homeostasis by suppressing fatty acid biosynthesis and shifting the metabolism to oxidation by up-regulating the expression of key regulators of mitochondrial biogenesis, such as a peroxisome proliferator-activated receptor \u03b3 coactivator 1\u03b1 and the transcription factor nuclear respiratory factor 1. Moreover, OSU-53 suppressed LPS-induced IL-6 production, thereby blocking subsequent Stat3 activation, and inhibited hypoxia-induced epithelial-mesenchymal transition in association with the silencing of hypoxia-inducible factor 1a and the E-cadherin repressor Snail. In MDA-MB-231 tumor-bearing mice, daily oral administration of OSU-53 (50 and 100 mg/kg) suppressed tumor growth by 47-49% and modulated relevant intratumoral biomarkers of drug activity. However, OSU-53 also induced protective autophagy that attenuated its antiproliferative potency. Accordingly, cotreatment with the autophagy inhibitor chloroquine increased the in vivo tumor-suppressive activity of OSU-53. OSU-53 is a potent, orally bioavailable AMPK activator that acts through a broad spectrum of antitumor activities.", "author" : [ { "dropping-particle" : "", "family" : "Lee", "given" : "Kuen-Haur", "non-dropping-particle" : "", "parse-names" : false, "suffix" : "" }, { "dropping-particle" : "", "family" : "Hsu", "given" : "En-Chi", "non-dropping-particle" : "", "parse-names" : false, "suffix" : "" }, { "dropping-particle" : "", "family" : "Guh", "given" : "Jih-Hwa", "non-dropping-particle" : "", "parse-names" : false, "suffix" : "" }, { "dropping-particle" : "", "family" : "Yang", "given" : "Hsiao-Ching", "non-dropping-particle" : "", "parse-names" : false, "suffix" : "" }, { "dropping-particle" : "", "family" : "Wang", "given" : "Dasheng", "non-dropping-particle" : "", "parse-names" : false, "suffix" : "" }, { "dropping-particle" : "", "family" : "Kulp", "given" : "Samuel K", "non-dropping-particle" : "", "parse-names" : false, "suffix" : "" }, { "dropping-particle" : "", "family" : "Shapiro", "given" : "Charles L", "non-dropping-particle" : "", "parse-names" : false, "suffix" : "" }, { "dropping-particle" : "", "family" : "Chen", "given" : "Ching-Shih", "non-dropping-particle" : "", "parse-names" : false, "suffix" : "" } ], "container-title" : "The Journal of biological chemistry", "id" : "ITEM-2", "issue" : "45", "issued" : { "date-parts" : [ [ "2011", "11" ] ] }, "page" : "39247-58", "publisher" : "American Society for Biochemistry and Molecular Biology", "title" : "Targeting energy metabolic and oncogenic signaling pathways in triple-negative breast cancer by a novel adenosine monophosphate-activated protein kinase (AMPK) activator.", "type" : "article-journal", "volume" : "286" }, "uris" : [ "http://www.mendeley.com/documents/?uuid=d5673322-f479-402d-9da6-8a61e886b243" ] }, { "id" : "ITEM-3", "itemData" : { "DOI" : "10.1016/J.MOLCEL.2010.02.018", "ISSN" : "1097-2765", "abstract" : "To sustain tumor growth, cancer cells must be able to adapt to fluctuations in energy availability. We have identified a single microRNA that controls glioma cell proliferation, migration, and responsiveness to\u00a0glucose deprivation. Abundant glucose allows relatively high miR-451 expression, promoting cell growth. In low glucose, miR-451 levels decrease, slowing proliferation but enhancing migration and survival. This allows cells to survive metabolic stress and seek out favorable growth conditions. In glioblastoma patients, elevated miR-451 is associated with shorter survival. The effects of miR-451 are mediated by LKB1, which it represses through targeting its binding partner, CAB39 (MO25\u03b1). Overexpression of miR-451 sensitized cells to glucose deprivation, suggesting that its downregulation is necessary for robust activation of LKB1 in response to metabolic stress. Thus, miR-451 is a regulator of the LKB1/AMPK pathway, and this may represent\u00a0a fundamental mechanism that contributes to cellular adaptation in response to altered energy availability.", "author" : [ { "dropping-particle" : "", "family" : "Godlewski", "given" : "Jakub", "non-dropping-particle" : "", "parse-names" : false, "suffix" : "" }, { "dropping-particle" : "", "family" : "Nowicki", "given" : "Michal O.", "non-dropping-particle" : "", "parse-names" : false, "suffix" : "" }, { "dropping-particle" : "", "family" : "Bronisz", "given" : "Agnieszka", "non-dropping-particle" : "", "parse-names" : false, "suffix" : "" }, { "dropping-particle" : "", "family" : "Nuovo", "given" : "Gerard", "non-dropping-particle" : "", "parse-names" : false, "suffix" : "" }, { "dropping-particle" : "", "family" : "Palatini", "given" : "Jeff", "non-dropping-particle" : "", "parse-names" : false, "suffix" : "" }, { "dropping-particle" : "", "family" : "Lay", "given" : "Michael", "non-dropping-particle" : "De", "parse-names" : false, "suffix" : "" }, { "dropping-particle" : "", "family" : "Brocklyn", "given" : "James", "non-dropping-particle" : "Van", "parse-names" : false, "suffix" : "" }, { "dropping-particle" : "", "family" : "Ostrowski", "given" : "Michael C.", "non-dropping-particle" : "", "parse-names" : false, "suffix" : "" }, { "dropping-particle" : "", "family" : "Chiocca", "given" : "E. Antonio", "non-dropping-particle" : "", "parse-names" : false, "suffix" : "" }, { "dropping-particle" : "", "family" : "Lawler", "given" : "Sean E.", "non-dropping-particle" : "", "parse-names" : false, "suffix" : "" } ], "container-title" : "Molecular Cell", "id" : "ITEM-3", "issue" : "5", "issued" : { "date-parts" : [ [ "2010", "3" ] ] }, "page" : "620-632", "publisher" : "Cell Press", "title" : "MicroRNA-451 Regulates LKB1/AMPK Signaling and Allows Adaptation to Metabolic Stress in Glioma Cells", "type" : "article-journal", "volume" : "37" }, "uris" : [ "http://www.mendeley.com/documents/?uuid=56773773-40c2-49a0-a3b7-66c25b7014b6" ] } ], "mendeley" : { "formattedCitation" : "&lt;sup&gt;17\u201319&lt;/sup&gt;", "plainTextFormattedCitation" : "17\u201319", "previouslyFormattedCitation" : "&lt;sup&gt;17\u201319&lt;/sup&gt;" }, "properties" : { "noteIndex" : 0 }, "schema" : "https://github.com/citation-style-language/schema/raw/master/csl-citation.json" }</w:instrText>
      </w:r>
      <w:r w:rsidR="00711D65">
        <w:rPr>
          <w:color w:val="auto"/>
        </w:rPr>
        <w:fldChar w:fldCharType="separate"/>
      </w:r>
      <w:r w:rsidR="00711D65" w:rsidRPr="00711D65">
        <w:rPr>
          <w:noProof/>
          <w:color w:val="auto"/>
          <w:vertAlign w:val="superscript"/>
        </w:rPr>
        <w:t>17–19</w:t>
      </w:r>
      <w:r w:rsidR="00711D65">
        <w:rPr>
          <w:color w:val="auto"/>
        </w:rPr>
        <w:fldChar w:fldCharType="end"/>
      </w:r>
      <w:r w:rsidRPr="00AD6123">
        <w:rPr>
          <w:color w:val="auto"/>
        </w:rPr>
        <w:t>.</w:t>
      </w:r>
    </w:p>
    <w:p w14:paraId="768D0643" w14:textId="77777777" w:rsidR="00C121CB" w:rsidRPr="00AD6123" w:rsidRDefault="00C121CB" w:rsidP="00371E99">
      <w:pPr>
        <w:rPr>
          <w:color w:val="auto"/>
        </w:rPr>
      </w:pPr>
    </w:p>
    <w:p w14:paraId="29984A4C" w14:textId="614F05E8" w:rsidR="00707E7A" w:rsidRPr="00AD6123" w:rsidRDefault="00707E7A" w:rsidP="00371E99">
      <w:pPr>
        <w:rPr>
          <w:rFonts w:asciiTheme="minorHAnsi" w:hAnsiTheme="minorHAnsi" w:cstheme="minorHAnsi"/>
          <w:color w:val="auto"/>
        </w:rPr>
      </w:pPr>
      <w:r w:rsidRPr="00AD6123">
        <w:rPr>
          <w:rFonts w:asciiTheme="minorHAnsi" w:hAnsiTheme="minorHAnsi" w:cstheme="minorHAnsi"/>
          <w:color w:val="auto"/>
        </w:rPr>
        <w:t>However, all these methods measure only one</w:t>
      </w:r>
      <w:r w:rsidR="007B0428" w:rsidRPr="00AD6123">
        <w:rPr>
          <w:rFonts w:asciiTheme="minorHAnsi" w:hAnsiTheme="minorHAnsi" w:cstheme="minorHAnsi"/>
          <w:color w:val="auto"/>
        </w:rPr>
        <w:t xml:space="preserve"> or, in the best scenario, a few</w:t>
      </w:r>
      <w:r w:rsidRPr="00AD6123">
        <w:rPr>
          <w:rFonts w:asciiTheme="minorHAnsi" w:hAnsiTheme="minorHAnsi" w:cstheme="minorHAnsi"/>
          <w:color w:val="auto"/>
        </w:rPr>
        <w:t xml:space="preserve"> metabolic parameter</w:t>
      </w:r>
      <w:r w:rsidR="00CA1B0B" w:rsidRPr="00AD6123">
        <w:rPr>
          <w:rFonts w:asciiTheme="minorHAnsi" w:hAnsiTheme="minorHAnsi" w:cstheme="minorHAnsi"/>
          <w:color w:val="auto"/>
        </w:rPr>
        <w:t>s</w:t>
      </w:r>
      <w:r w:rsidRPr="00AD6123">
        <w:rPr>
          <w:rFonts w:asciiTheme="minorHAnsi" w:hAnsiTheme="minorHAnsi" w:cstheme="minorHAnsi"/>
          <w:color w:val="auto"/>
        </w:rPr>
        <w:t xml:space="preserve"> in one sample simultaneously. Importantly, simultaneous measurement of </w:t>
      </w:r>
      <w:r w:rsidR="008C374B">
        <w:rPr>
          <w:rFonts w:asciiTheme="minorHAnsi" w:hAnsiTheme="minorHAnsi" w:cstheme="minorHAnsi"/>
          <w:color w:val="auto"/>
        </w:rPr>
        <w:t xml:space="preserve">the </w:t>
      </w:r>
      <w:r w:rsidRPr="00AD6123">
        <w:rPr>
          <w:rFonts w:asciiTheme="minorHAnsi" w:hAnsiTheme="minorHAnsi" w:cstheme="minorHAnsi"/>
          <w:color w:val="auto"/>
        </w:rPr>
        <w:t xml:space="preserve">oxygen consumption rate (OCR) and extracellular acidification rate (ECAR) can be achieved by </w:t>
      </w:r>
      <w:r w:rsidR="001A4B44">
        <w:rPr>
          <w:rFonts w:asciiTheme="minorHAnsi" w:hAnsiTheme="minorHAnsi" w:cstheme="minorHAnsi"/>
          <w:color w:val="auto"/>
        </w:rPr>
        <w:t xml:space="preserve">the </w:t>
      </w:r>
      <w:r w:rsidRPr="00AD6123">
        <w:rPr>
          <w:rFonts w:asciiTheme="minorHAnsi" w:hAnsiTheme="minorHAnsi" w:cstheme="minorHAnsi"/>
          <w:color w:val="auto"/>
        </w:rPr>
        <w:t>extracellular flux analysis</w:t>
      </w:r>
      <w:r w:rsidR="00420B59">
        <w:rPr>
          <w:rFonts w:asciiTheme="minorHAnsi" w:hAnsiTheme="minorHAnsi" w:cstheme="minorHAnsi"/>
          <w:color w:val="auto"/>
        </w:rPr>
        <w:t xml:space="preserve"> by, for example, </w:t>
      </w:r>
      <w:r w:rsidR="00762C11">
        <w:rPr>
          <w:rFonts w:asciiTheme="minorHAnsi" w:hAnsiTheme="minorHAnsi" w:cstheme="minorHAnsi"/>
          <w:color w:val="auto"/>
        </w:rPr>
        <w:t xml:space="preserve">Seahorse </w:t>
      </w:r>
      <w:proofErr w:type="spellStart"/>
      <w:r w:rsidR="00762C11">
        <w:rPr>
          <w:rFonts w:asciiTheme="minorHAnsi" w:hAnsiTheme="minorHAnsi" w:cstheme="minorHAnsi"/>
          <w:color w:val="auto"/>
        </w:rPr>
        <w:t>XFp</w:t>
      </w:r>
      <w:proofErr w:type="spellEnd"/>
      <w:r w:rsidR="00762C11">
        <w:rPr>
          <w:rFonts w:asciiTheme="minorHAnsi" w:hAnsiTheme="minorHAnsi" w:cstheme="minorHAnsi"/>
          <w:color w:val="auto"/>
        </w:rPr>
        <w:t xml:space="preserve"> Analyzer</w:t>
      </w:r>
      <w:r w:rsidRPr="00AD6123">
        <w:rPr>
          <w:rFonts w:asciiTheme="minorHAnsi" w:hAnsiTheme="minorHAnsi" w:cstheme="minorHAnsi"/>
          <w:color w:val="auto"/>
        </w:rPr>
        <w:t>. OCR is an indicator of mitochondrial respiration and ECAR is mainly the result of glycolysis (we cannot ignore CO</w:t>
      </w:r>
      <w:r w:rsidRPr="00AD6123">
        <w:rPr>
          <w:rFonts w:asciiTheme="minorHAnsi" w:hAnsiTheme="minorHAnsi" w:cstheme="minorHAnsi"/>
          <w:color w:val="auto"/>
          <w:vertAlign w:val="subscript"/>
        </w:rPr>
        <w:t>2</w:t>
      </w:r>
      <w:r w:rsidRPr="00AD6123">
        <w:rPr>
          <w:rFonts w:asciiTheme="minorHAnsi" w:hAnsiTheme="minorHAnsi" w:cstheme="minorHAnsi"/>
          <w:color w:val="auto"/>
        </w:rPr>
        <w:t xml:space="preserve"> production possibly elevating ECAR of cells with high oxidative phosphorylation activity)</w:t>
      </w:r>
      <w:r w:rsidR="00711D65">
        <w:rPr>
          <w:rFonts w:asciiTheme="minorHAnsi" w:hAnsiTheme="minorHAnsi" w:cstheme="minorHAnsi"/>
          <w:color w:val="auto"/>
        </w:rPr>
        <w:fldChar w:fldCharType="begin" w:fldLock="1"/>
      </w:r>
      <w:r w:rsidR="00325018">
        <w:rPr>
          <w:rFonts w:asciiTheme="minorHAnsi" w:hAnsiTheme="minorHAnsi" w:cstheme="minorHAnsi"/>
          <w:color w:val="auto"/>
        </w:rPr>
        <w:instrText>ADDIN CSL_CITATION { "citationItems" : [ { "id" : "ITEM-1", "itemData" : { "DOI" : "10.1038/nprot.2012.048", "ISSN" : "1750-2799", "PMID" : "22576106", "abstract" : "Measurements of glycolysis and mitochondrial function are required to quantify energy metabolism in a wide variety of cellular contexts. In human pluripotent stem cells (hPSCs) and their differentiated progeny, this analysis can be challenging because of the unique cell properties, growth conditions and expense required to maintain these cell types. Here we provide protocols for analyzing energy metabolism in hPSCs and their early differentiated progenies that are generally applicable to mature cell types as well. Our approach has revealed distinct energy metabolism profiles used by hPSCs, differentiated cells, a variety of cancer cells and Rho-null cells. The protocols measure or estimate glycolysis on the basis of the extracellular acidification rate, and they measure or estimate oxidative phosphorylation on the basis of the oxygen consumption rate. Assays typically require 3 h after overnight sample preparation. Companion methods are also discussed and provided to aid researchers in developing more sophisticated experimental regimens for extended analyses of cellular bioenergetics.", "author" : [ { "dropping-particle" : "", "family" : "Zhang", "given" : "Jin", "non-dropping-particle" : "", "parse-names" : false, "suffix" : "" }, { "dropping-particle" : "", "family" : "Nuebel", "given" : "Esther", "non-dropping-particle" : "", "parse-names" : false, "suffix" : "" }, { "dropping-particle" : "", "family" : "Wisidagama", "given" : "Dona R R", "non-dropping-particle" : "", "parse-names" : false, "suffix" : "" }, { "dropping-particle" : "", "family" : "Setoguchi", "given" : "Kiyoko", "non-dropping-particle" : "", "parse-names" : false, "suffix" : "" }, { "dropping-particle" : "", "family" : "Hong", "given" : "Jason S", "non-dropping-particle" : "", "parse-names" : false, "suffix" : "" }, { "dropping-particle" : "", "family" : "Horn", "given" : "Christine M", "non-dropping-particle" : "Van", "parse-names" : false, "suffix" : "" }, { "dropping-particle" : "", "family" : "Imam", "given" : "Sarah S", "non-dropping-particle" : "", "parse-names" : false, "suffix" : "" }, { "dropping-particle" : "", "family" : "Vergnes", "given" : "Laurent", "non-dropping-particle" : "", "parse-names" : false, "suffix" : "" }, { "dropping-particle" : "", "family" : "Malone", "given" : "Cindy S", "non-dropping-particle" : "", "parse-names" : false, "suffix" : "" }, { "dropping-particle" : "", "family" : "Koehler", "given" : "Carla M", "non-dropping-particle" : "", "parse-names" : false, "suffix" : "" }, { "dropping-particle" : "", "family" : "Teitell", "given" : "Michael A", "non-dropping-particle" : "", "parse-names" : false, "suffix" : "" } ], "container-title" : "Nature protocols", "id" : "ITEM-1", "issue" : "6", "issued" : { "date-parts" : [ [ "2012", "5", "10" ] ] }, "page" : "1068-85", "publisher" : "NIH Public Access", "title" : "Measuring energy metabolism in cultured cells, including human pluripotent stem cells and differentiated cells.", "type" : "article-journal", "volume" : "7" }, "uris" : [ "http://www.mendeley.com/documents/?uuid=bbb95a89-4bda-3f26-af68-6f335a89f04f" ] } ], "mendeley" : { "formattedCitation" : "&lt;sup&gt;20&lt;/sup&gt;", "plainTextFormattedCitation" : "20", "previouslyFormattedCitation" : "&lt;sup&gt;20&lt;/sup&gt;" }, "properties" : { "noteIndex" : 0 }, "schema" : "https://github.com/citation-style-language/schema/raw/master/csl-citation.json" }</w:instrText>
      </w:r>
      <w:r w:rsidR="00711D65">
        <w:rPr>
          <w:rFonts w:asciiTheme="minorHAnsi" w:hAnsiTheme="minorHAnsi" w:cstheme="minorHAnsi"/>
          <w:color w:val="auto"/>
        </w:rPr>
        <w:fldChar w:fldCharType="separate"/>
      </w:r>
      <w:r w:rsidR="00711D65" w:rsidRPr="00711D65">
        <w:rPr>
          <w:rFonts w:asciiTheme="minorHAnsi" w:hAnsiTheme="minorHAnsi" w:cstheme="minorHAnsi"/>
          <w:noProof/>
          <w:color w:val="auto"/>
          <w:vertAlign w:val="superscript"/>
        </w:rPr>
        <w:t>20</w:t>
      </w:r>
      <w:r w:rsidR="00711D65">
        <w:rPr>
          <w:rFonts w:asciiTheme="minorHAnsi" w:hAnsiTheme="minorHAnsi" w:cstheme="minorHAnsi"/>
          <w:color w:val="auto"/>
        </w:rPr>
        <w:fldChar w:fldCharType="end"/>
      </w:r>
      <w:r w:rsidRPr="00AD6123">
        <w:rPr>
          <w:rFonts w:asciiTheme="minorHAnsi" w:hAnsiTheme="minorHAnsi" w:cstheme="minorHAnsi"/>
          <w:color w:val="auto"/>
        </w:rPr>
        <w:t>. So far, various cell types have been studied using the</w:t>
      </w:r>
      <w:r w:rsidR="009C2D21">
        <w:rPr>
          <w:rFonts w:asciiTheme="minorHAnsi" w:hAnsiTheme="minorHAnsi" w:cstheme="minorHAnsi"/>
          <w:color w:val="auto"/>
        </w:rPr>
        <w:t>se</w:t>
      </w:r>
      <w:r w:rsidRPr="00AD6123">
        <w:rPr>
          <w:rFonts w:asciiTheme="minorHAnsi" w:hAnsiTheme="minorHAnsi" w:cstheme="minorHAnsi"/>
          <w:color w:val="auto"/>
        </w:rPr>
        <w:t xml:space="preserve"> analyzers</w:t>
      </w:r>
      <w:r w:rsidR="00711D65">
        <w:rPr>
          <w:rFonts w:asciiTheme="minorHAnsi" w:hAnsiTheme="minorHAnsi" w:cstheme="minorHAnsi"/>
          <w:color w:val="auto"/>
        </w:rPr>
        <w:fldChar w:fldCharType="begin" w:fldLock="1"/>
      </w:r>
      <w:r w:rsidR="00325018">
        <w:rPr>
          <w:rFonts w:asciiTheme="minorHAnsi" w:hAnsiTheme="minorHAnsi" w:cstheme="minorHAnsi"/>
          <w:color w:val="auto"/>
        </w:rPr>
        <w:instrText>ADDIN CSL_CITATION { "citationItems" : [ { "id" : "ITEM-1", "itemData" : { "DOI" : "10.1038/nature12154", "ISSN" : "0028-0836", "PMID" : "23685455", "abstract" : "In response to tenacious stress signals, such as the unscheduled activation of oncogenes, cells can mobilize tumour suppressor networks to avert the hazard of malignant transformation. A large body of evidence indicates that oncogene-induced senescence (OIS) acts as such a break, withdrawing cells from the proliferative pool almost irreversibly, thus crafting a vital pathophysiological mechanism that protects against cancer. Despite the widespread contribution of OIS to the cessation of tumorigenic expansion in animal models and humans, we have only just begun to define the underlying mechanism and identify key players. Although deregulation of metabolism is intimately linked to the proliferative capacity of cells, and senescent cells are thought to remain metabolically active, little has been investigated in detail about the role of cellular metabolism in OIS. Here we show, by metabolic profiling and functional perturbations, that the mitochondrial gatekeeper pyruvate dehydrogenase (PDH) is a crucial mediator of senescence induced by BRAF(V600E), an oncogene commonly mutated in melanoma and other cancers. BRAF(V600E)-induced senescence was accompanied by simultaneous suppression of the PDH-inhibitory enzyme pyruvate dehydrogenase kinase 1 (PDK1) and induction of the PDH-activating enzyme pyruvate dehydrogenase phosphatase 2 (PDP2). The resulting combined activation of PDH enhanced the use of pyruvate in the tricarboxylic acid cycle, causing increased respiration and redox stress. Abrogation of OIS, a rate-limiting step towards oncogenic transformation, coincided with reversion of these processes. Further supporting a crucial role of PDH in OIS, enforced normalization of either PDK1 or PDP2 expression levels inhibited PDH and abrogated OIS, thereby licensing BRAF(V600E)-driven melanoma development. Finally, depletion of PDK1 eradicated melanoma subpopulations resistant to targeted BRAF inhibition, and caused regression of established melanomas. These results reveal a mechanistic relationship between OIS and a key metabolic signalling axis, which may be exploited therapeutically.", "author" : [ { "dropping-particle" : "", "family" : "Kaplon", "given" : "Joanna", "non-dropping-particle" : "", "parse-names" : false, "suffix" : "" }, { "dropping-particle" : "", "family" : "Zheng", "given" : "Liang", "non-dropping-particle" : "", "parse-names" : false, "suffix" : "" }, { "dropping-particle" : "", "family" : "Meissl", "given" : "Katrin", "non-dropping-particle" : "", "parse-names" : false, "suffix" : "" }, { "dropping-particle" : "", "family" : "Chaneton", "given" : "Barbara", "non-dropping-particle" : "", "parse-names" : false, "suffix" : "" }, { "dropping-particle" : "", "family" : "Selivanov", "given" : "Vitaly A.", "non-dropping-particle" : "", "parse-names" : false, "suffix" : "" }, { "dropping-particle" : "", "family" : "Mackay", "given" : "Gillian", "non-dropping-particle" : "", "parse-names" : false, "suffix" : "" }, { "dropping-particle" : "", "family" : "Burg", "given" : "Sjoerd H.", "non-dropping-particle" : "van der", "parse-names" : false, "suffix" : "" }, { "dropping-particle" : "", "family" : "Verdegaal", "given" : "Elizabeth M. E.", "non-dropping-particle" : "", "parse-names" : false, "suffix" : "" }, { "dropping-particle" : "", "family" : "Cascante", "given" : "Marta", "non-dropping-particle" : "", "parse-names" : false, "suffix" : "" }, { "dropping-particle" : "", "family" : "Shlomi", "given" : "Tomer", "non-dropping-particle" : "", "parse-names" : false, "suffix" : "" }, { "dropping-particle" : "", "family" : "Gottlieb", "given" : "Eyal", "non-dropping-particle" : "", "parse-names" : false, "suffix" : "" }, { "dropping-particle" : "", "family" : "Peeper", "given" : "Daniel S.", "non-dropping-particle" : "", "parse-names" : false, "suffix" : "" } ], "container-title" : "Nature", "id" : "ITEM-1", "issue" : "7452", "issued" : { "date-parts" : [ [ "2013", "6" ] ] }, "page" : "109-112", "title" : "A key role for mitochondrial gatekeeper pyruvate dehydrogenase in oncogene-induced senescence", "type" : "article-journal", "volume" : "498" }, "uris" : [ "http://www.mendeley.com/documents/?uuid=49234aba-0cea-4f85-b853-0cf2674925b2" ] }, { "id" : "ITEM-2", "itemData" : { "DOI" : "10.1158/1078-0432.CCR-14-1019", "ISSN" : "1078-0432", "PMID" : "25165100", "abstract" : "PURPOSE The lipoate derivative CPI-613 is a first-in-class agent that targets mitochondrial metabolism. This study determined the effects of CPI-613 on mitochondrial function and defined the MTD, pharmacokinetics, and safety in patients with relapsed or refractory hematologic malignancies. EXPERIMENTAL DESIGN Human leukemia cell lines were exposed to CPI-613 and mitochondrial function was assayed. A phase I trial was conducted in which CPI-613 was given as a 2-hour infusion on days 1 and 4 for 3 weeks every 28 days. RESULTS CPI-613 inhibited mitochondrial respiration of human leukemia cells consistent with the proposed mechanism of action. In the phase I trial, 26 patients were enrolled. CPI-613 was well tolerated with no marrow suppression observed. When the infusion time was shortened to 1 hour, renal failure occurred in 2 patients. At 3,780 mg/m(2), there were two dose-limiting toxicities (DLT). At a dose of 2,940 mg/m(2) over 2 hours, no DLTs were observed, establishing this as the MTD. Renal failure occurred in a total of 4 patients and resolved in all but 1, who chose hospice care. CPI-613 has a triphasic elimination with an alpha half-life of approximately 1.34 hours. Of the 21 evaluable, heavily pretreated patients, 4 achieved an objective response and 2 achieved prolonged stabilization of disease for a clinical benefit rate of 29%. Following drug exposure, gene expression profiles of peripheral blood mononuclear cells from responders demonstrated immune activation. CONCLUSION CPI-613 inhibits mitochondrial function and demonstrates activity in a heavily pretreated cohort of patients.", "author" : [ { "dropping-particle" : "", "family" : "Pardee", "given" : "Timothy S", "non-dropping-particle" : "", "parse-names" : false, "suffix" : "" }, { "dropping-particle" : "", "family" : "Lee", "given" : "King", "non-dropping-particle" : "", "parse-names" : false, "suffix" : "" }, { "dropping-particle" : "", "family" : "Luddy", "given" : "John", "non-dropping-particle" : "", "parse-names" : false, "suffix" : "" }, { "dropping-particle" : "", "family" : "Maturo", "given" : "Claudia", "non-dropping-particle" : "", "parse-names" : false, "suffix" : "" }, { "dropping-particle" : "", "family" : "Rodriguez", "given" : "Robert", "non-dropping-particle" : "", "parse-names" : false, "suffix" : "" }, { "dropping-particle" : "", "family" : "Isom", "given" : "Scott", "non-dropping-particle" : "", "parse-names" : false, "suffix" : "" }, { "dropping-particle" : "", "family" : "Miller", "given" : "Lance D", "non-dropping-particle" : "", "parse-names" : false, "suffix" : "" }, { "dropping-particle" : "", "family" : "Stadelman", "given" : "Kristin M", "non-dropping-particle" : "", "parse-names" : false, "suffix" : "" }, { "dropping-particle" : "", "family" : "Levitan", "given" : "Denise", "non-dropping-particle" : "", "parse-names" : false, "suffix" : "" }, { "dropping-particle" : "", "family" : "Hurd", "given" : "David", "non-dropping-particle" : "", "parse-names" : false, "suffix" : "" }, { "dropping-particle" : "", "family" : "Ellis", "given" : "Leslie R", "non-dropping-particle" : "", "parse-names" : false, "suffix" : "" }, { "dropping-particle" : "", "family" : "Harrelson", "given" : "Robin", "non-dropping-particle" : "", "parse-names" : false, "suffix" : "" }, { "dropping-particle" : "", "family" : "Manuel", "given" : "Megan", "non-dropping-particle" : "", "parse-names" : false, "suffix" : "" }, { "dropping-particle" : "", "family" : "Dralle", "given" : "Sarah", "non-dropping-particle" : "", "parse-names" : false, "suffix" : "" }, { "dropping-particle" : "", "family" : "Lyerly", "given" : "Susan", "non-dropping-particle" : "", "parse-names" : false, "suffix" : "" }, { "dropping-particle" : "", "family" : "Powell", "given" : "Bayard L", "non-dropping-particle" : "", "parse-names" : false, "suffix" : "" } ], "container-title" : "Clinical cancer research : an official journal of the American Association for Cancer Research", "id" : "ITEM-2", "issue" : "20", "issued" : { "date-parts" : [ [ "2014", "10" ] ] }, "page" : "5255-64", "publisher" : "NIH Public Access", "title" : "A phase I study of the first-in-class antimitochondrial metabolism agent, CPI-613, in patients with advanced hematologic malignancies.", "type" : "article-journal", "volume" : "20" }, "uris" : [ "http://www.mendeley.com/documents/?uuid=290832bc-fc94-49b4-9905-8ce8ed63563f" ] }, { "id" : "ITEM-3", "itemData" : { "DOI" : "10.1038/cdd.2017.52", "ISSN" : "1350-9047", "PMID" : "28524857", "abstract" : "B-cell development in the bone marrow comprises proliferative and resting phases in different niches. We asked whether B-cell metabolism relates to these changes. Compared to pro B and small pre B cells, large pre B cells revealed the highest glucose uptake and ROS but not mitochondrial mass, whereas small pre B cells exhibited the lowest mitochondrial membrane potential. Small pre B cells from Rag1-/-;33.C9 \u03bc heavy chain knock-in mice revealed decreased glycolysis (ECAR) and mitochondrial spare capacity compared to pro B cells from Rag1-/- mice. We were interested in the step regulating this metabolic switch from pro to pre B cells and uncovered that Swiprosin-2/EFhd1, a Ca2+-binding protein of the inner mitochondrial membrane involved in Ca2+-induced mitoflashes, is expressed in pro B cells, but downregulated by surface pre B-cell receptor expression. Knockdown and knockout of EFhd1 in 38B9 pro B cells decreased the oxidative phosphorylation/glycolysis (OCR/ECAR) ratio by increasing glycolysis, glycolytic capacity and reserve. Prolonged expression of EFhd1 in EFhd1 transgenic mice beyond the pro B cell stage increased expression of the mitochondrial co-activator PGC-1\u03b1 in primary pre B cells, but reduced mitochondrial ATP production at the pro to pre B cell transition in IL-7 cultures. Transgenic EFhd1 expression caused a B-cell intrinsic developmental disadvantage for pro and pre B cells. Hence, coordinated expression of EFhd1 in pro B cells and by the pre BCR regulates metabolic changes and pro/pre B-cell development.", "author" : [ { "dropping-particle" : "", "family" : "Stein", "given" : "Merle", "non-dropping-particle" : "", "parse-names" : false, "suffix" : "" }, { "dropping-particle" : "", "family" : "D\u00fctting", "given" : "Sebastian", "non-dropping-particle" : "", "parse-names" : false, "suffix" : "" }, { "dropping-particle" : "", "family" : "Mougiakakos", "given" : "Dimitrios", "non-dropping-particle" : "", "parse-names" : false, "suffix" : "" }, { "dropping-particle" : "", "family" : "B\u00f6sl", "given" : "Michael", "non-dropping-particle" : "", "parse-names" : false, "suffix" : "" }, { "dropping-particle" : "", "family" : "Fritsch", "given" : "Kristin", "non-dropping-particle" : "", "parse-names" : false, "suffix" : "" }, { "dropping-particle" : "", "family" : "Reimer", "given" : "Dorothea", "non-dropping-particle" : "", "parse-names" : false, "suffix" : "" }, { "dropping-particle" : "", "family" : "Urbanczyk", "given" : "Sophia", "non-dropping-particle" : "", "parse-names" : false, "suffix" : "" }, { "dropping-particle" : "", "family" : "Steinmetz", "given" : "Tobit", "non-dropping-particle" : "", "parse-names" : false, "suffix" : "" }, { "dropping-particle" : "", "family" : "Schuh", "given" : "Wolfgang", "non-dropping-particle" : "", "parse-names" : false, "suffix" : "" }, { "dropping-particle" : "", "family" : "Bozec", "given" : "Aline", "non-dropping-particle" : "", "parse-names" : false, "suffix" : "" }, { "dropping-particle" : "", "family" : "Winkler", "given" : "Thomas H", "non-dropping-particle" : "", "parse-names" : false, "suffix" : "" }, { "dropping-particle" : "", "family" : "J\u00e4ck", "given" : "Hans-Martin", "non-dropping-particle" : "", "parse-names" : false, "suffix" : "" }, { "dropping-particle" : "", "family" : "Mielenz", "given" : "Dirk", "non-dropping-particle" : "", "parse-names" : false, "suffix" : "" } ], "container-title" : "Cell Death and Differentiation", "id" : "ITEM-3", "issue" : "7", "issued" : { "date-parts" : [ [ "2017", "7" ] ] }, "page" : "1239-1252", "title" : "A defined metabolic state in pre B cells governs B-cell development and is counterbalanced by Swiprosin-2/EFhd1", "type" : "article-journal", "volume" : "24" }, "uris" : [ "http://www.mendeley.com/documents/?uuid=07aab8fd-dd83-4704-85f0-0c78b28ea359" ] } ], "mendeley" : { "formattedCitation" : "&lt;sup&gt;21\u201323&lt;/sup&gt;", "plainTextFormattedCitation" : "21\u201323", "previouslyFormattedCitation" : "&lt;sup&gt;21\u201323&lt;/sup&gt;" }, "properties" : { "noteIndex" : 0 }, "schema" : "https://github.com/citation-style-language/schema/raw/master/csl-citation.json" }</w:instrText>
      </w:r>
      <w:r w:rsidR="00711D65">
        <w:rPr>
          <w:rFonts w:asciiTheme="minorHAnsi" w:hAnsiTheme="minorHAnsi" w:cstheme="minorHAnsi"/>
          <w:color w:val="auto"/>
        </w:rPr>
        <w:fldChar w:fldCharType="separate"/>
      </w:r>
      <w:r w:rsidR="00711D65" w:rsidRPr="00711D65">
        <w:rPr>
          <w:rFonts w:asciiTheme="minorHAnsi" w:hAnsiTheme="minorHAnsi" w:cstheme="minorHAnsi"/>
          <w:noProof/>
          <w:color w:val="auto"/>
          <w:vertAlign w:val="superscript"/>
        </w:rPr>
        <w:t>21–23</w:t>
      </w:r>
      <w:r w:rsidR="00711D65">
        <w:rPr>
          <w:rFonts w:asciiTheme="minorHAnsi" w:hAnsiTheme="minorHAnsi" w:cstheme="minorHAnsi"/>
          <w:color w:val="auto"/>
        </w:rPr>
        <w:fldChar w:fldCharType="end"/>
      </w:r>
      <w:r w:rsidRPr="00AD6123">
        <w:rPr>
          <w:rFonts w:asciiTheme="minorHAnsi" w:hAnsiTheme="minorHAnsi" w:cstheme="minorHAnsi"/>
          <w:color w:val="auto"/>
        </w:rPr>
        <w:t>.</w:t>
      </w:r>
    </w:p>
    <w:p w14:paraId="7D2CB488" w14:textId="77777777" w:rsidR="00C121CB" w:rsidRPr="00AD6123" w:rsidRDefault="00C121CB" w:rsidP="00371E99">
      <w:pPr>
        <w:rPr>
          <w:rFonts w:asciiTheme="minorHAnsi" w:hAnsiTheme="minorHAnsi" w:cstheme="minorHAnsi"/>
          <w:color w:val="auto"/>
        </w:rPr>
      </w:pPr>
    </w:p>
    <w:p w14:paraId="237AD7DD" w14:textId="493A67B0" w:rsidR="00D15131" w:rsidRPr="00AD6123" w:rsidRDefault="00707E7A" w:rsidP="00371E99">
      <w:pPr>
        <w:rPr>
          <w:rFonts w:asciiTheme="minorHAnsi" w:hAnsiTheme="minorHAnsi" w:cstheme="minorHAnsi"/>
          <w:color w:val="auto"/>
        </w:rPr>
      </w:pPr>
      <w:r w:rsidRPr="00AD6123">
        <w:rPr>
          <w:rFonts w:asciiTheme="minorHAnsi" w:hAnsiTheme="minorHAnsi" w:cstheme="minorHAnsi"/>
          <w:color w:val="auto"/>
        </w:rPr>
        <w:t xml:space="preserve">Here we describe the protocol for </w:t>
      </w:r>
      <w:r w:rsidR="00AE0823">
        <w:rPr>
          <w:rFonts w:asciiTheme="minorHAnsi" w:hAnsiTheme="minorHAnsi" w:cstheme="minorHAnsi"/>
          <w:color w:val="auto"/>
        </w:rPr>
        <w:t xml:space="preserve">the </w:t>
      </w:r>
      <w:r w:rsidRPr="00AD6123">
        <w:rPr>
          <w:rFonts w:asciiTheme="minorHAnsi" w:hAnsiTheme="minorHAnsi" w:cstheme="minorHAnsi"/>
          <w:color w:val="auto"/>
        </w:rPr>
        <w:t>extracellular flux analysis of primary blasts</w:t>
      </w:r>
      <w:r w:rsidR="008E00BA" w:rsidRPr="00AD6123">
        <w:rPr>
          <w:rFonts w:asciiTheme="minorHAnsi" w:hAnsiTheme="minorHAnsi" w:cstheme="minorHAnsi"/>
          <w:color w:val="auto"/>
        </w:rPr>
        <w:t xml:space="preserve"> (leukemia cells derived from </w:t>
      </w:r>
      <w:r w:rsidR="001F39AD">
        <w:rPr>
          <w:rFonts w:asciiTheme="minorHAnsi" w:hAnsiTheme="minorHAnsi" w:cstheme="minorHAnsi"/>
          <w:color w:val="auto"/>
        </w:rPr>
        <w:t xml:space="preserve">the </w:t>
      </w:r>
      <w:r w:rsidR="008E00BA" w:rsidRPr="00AD6123">
        <w:rPr>
          <w:rFonts w:asciiTheme="minorHAnsi" w:hAnsiTheme="minorHAnsi" w:cstheme="minorHAnsi"/>
          <w:color w:val="auto"/>
        </w:rPr>
        <w:t>immature hematopoietic stage)</w:t>
      </w:r>
      <w:r w:rsidRPr="00AD6123">
        <w:rPr>
          <w:rFonts w:asciiTheme="minorHAnsi" w:hAnsiTheme="minorHAnsi" w:cstheme="minorHAnsi"/>
          <w:color w:val="auto"/>
        </w:rPr>
        <w:t xml:space="preserve"> from leukemia patients. To the best of our knowledge, a specific protocol for primary blasts is not available yet.</w:t>
      </w:r>
    </w:p>
    <w:p w14:paraId="6241989C" w14:textId="77777777" w:rsidR="00707E7A" w:rsidRPr="00AD6123" w:rsidRDefault="00707E7A" w:rsidP="00371E99">
      <w:pPr>
        <w:rPr>
          <w:rFonts w:asciiTheme="minorHAnsi" w:hAnsiTheme="minorHAnsi" w:cstheme="minorHAnsi"/>
          <w:color w:val="auto"/>
        </w:rPr>
      </w:pPr>
    </w:p>
    <w:p w14:paraId="3D4CD2F3" w14:textId="33188FCB" w:rsidR="006305D7" w:rsidRDefault="006305D7" w:rsidP="00371E99">
      <w:pPr>
        <w:rPr>
          <w:rFonts w:asciiTheme="minorHAnsi" w:hAnsiTheme="minorHAnsi" w:cstheme="minorHAnsi"/>
          <w:b/>
          <w:color w:val="auto"/>
        </w:rPr>
      </w:pPr>
      <w:r w:rsidRPr="00AD6123">
        <w:rPr>
          <w:rFonts w:asciiTheme="minorHAnsi" w:hAnsiTheme="minorHAnsi" w:cstheme="minorHAnsi"/>
          <w:b/>
          <w:color w:val="auto"/>
        </w:rPr>
        <w:t>PROTOCOL:</w:t>
      </w:r>
    </w:p>
    <w:p w14:paraId="50511AEA" w14:textId="77777777" w:rsidR="00AD6123" w:rsidRPr="00AD6123" w:rsidRDefault="00AD6123" w:rsidP="00371E99">
      <w:pPr>
        <w:rPr>
          <w:rFonts w:asciiTheme="minorHAnsi" w:hAnsiTheme="minorHAnsi" w:cstheme="minorHAnsi"/>
          <w:b/>
          <w:color w:val="auto"/>
        </w:rPr>
      </w:pPr>
    </w:p>
    <w:p w14:paraId="56355867" w14:textId="4FC51DA9" w:rsidR="003D298B" w:rsidRPr="00AD6123" w:rsidRDefault="003D298B" w:rsidP="00371E99">
      <w:pPr>
        <w:rPr>
          <w:rFonts w:asciiTheme="minorHAnsi" w:hAnsiTheme="minorHAnsi" w:cstheme="minorHAnsi"/>
          <w:color w:val="auto"/>
        </w:rPr>
      </w:pPr>
      <w:r w:rsidRPr="00AD6123">
        <w:rPr>
          <w:rFonts w:asciiTheme="minorHAnsi" w:hAnsiTheme="minorHAnsi" w:cstheme="minorHAnsi"/>
          <w:color w:val="auto"/>
        </w:rPr>
        <w:t>All samples were obtained with the informed consent of the children’s parents or guardians and approval of Ethical committee</w:t>
      </w:r>
      <w:r w:rsidR="00475ADF">
        <w:rPr>
          <w:rFonts w:asciiTheme="minorHAnsi" w:hAnsiTheme="minorHAnsi" w:cstheme="minorHAnsi"/>
          <w:color w:val="auto"/>
        </w:rPr>
        <w:t xml:space="preserve"> of </w:t>
      </w:r>
      <w:r w:rsidR="00475ADF" w:rsidRPr="0097303D">
        <w:rPr>
          <w:rFonts w:asciiTheme="minorHAnsi" w:hAnsiTheme="minorHAnsi" w:cstheme="minorHAnsi"/>
          <w:color w:val="auto"/>
        </w:rPr>
        <w:t xml:space="preserve">Charles University in Prague, Czech </w:t>
      </w:r>
      <w:r w:rsidR="0097303D">
        <w:rPr>
          <w:rFonts w:asciiTheme="minorHAnsi" w:hAnsiTheme="minorHAnsi" w:cstheme="minorHAnsi"/>
          <w:color w:val="auto"/>
        </w:rPr>
        <w:t>R</w:t>
      </w:r>
      <w:r w:rsidR="00475ADF" w:rsidRPr="0097303D">
        <w:rPr>
          <w:rFonts w:asciiTheme="minorHAnsi" w:hAnsiTheme="minorHAnsi" w:cstheme="minorHAnsi"/>
          <w:color w:val="auto"/>
        </w:rPr>
        <w:t>epublic</w:t>
      </w:r>
      <w:r w:rsidRPr="00AD6123">
        <w:rPr>
          <w:rFonts w:asciiTheme="minorHAnsi" w:hAnsiTheme="minorHAnsi" w:cstheme="minorHAnsi"/>
          <w:color w:val="auto"/>
        </w:rPr>
        <w:t>, the study no. NV15-28848A.</w:t>
      </w:r>
    </w:p>
    <w:p w14:paraId="521EF053" w14:textId="77777777" w:rsidR="003D298B" w:rsidRPr="00AD6123" w:rsidRDefault="003D298B" w:rsidP="00371E99">
      <w:pPr>
        <w:rPr>
          <w:rFonts w:asciiTheme="minorHAnsi" w:hAnsiTheme="minorHAnsi" w:cstheme="minorHAnsi"/>
          <w:color w:val="auto"/>
        </w:rPr>
      </w:pPr>
    </w:p>
    <w:p w14:paraId="1231C6CE" w14:textId="785F87D0" w:rsidR="000766BD" w:rsidRPr="00AD6123" w:rsidRDefault="000766BD" w:rsidP="00371E99">
      <w:pPr>
        <w:pStyle w:val="Heading1"/>
      </w:pPr>
      <w:r w:rsidRPr="00AD6123">
        <w:t xml:space="preserve">Preparation of </w:t>
      </w:r>
      <w:r w:rsidR="00E62AA2" w:rsidRPr="00AD6123">
        <w:t>R</w:t>
      </w:r>
      <w:r w:rsidRPr="00AD6123">
        <w:t>eagents</w:t>
      </w:r>
    </w:p>
    <w:p w14:paraId="2470131F" w14:textId="77777777" w:rsidR="00AD1109" w:rsidRPr="00AD6123" w:rsidRDefault="00AD1109" w:rsidP="00371E99">
      <w:pPr>
        <w:rPr>
          <w:color w:val="auto"/>
        </w:rPr>
      </w:pPr>
    </w:p>
    <w:p w14:paraId="56C8C979" w14:textId="0624CD12" w:rsidR="00AD1109" w:rsidRPr="00AD6123" w:rsidRDefault="00AD1109" w:rsidP="00371E99">
      <w:pPr>
        <w:pStyle w:val="Heading2"/>
        <w:rPr>
          <w:color w:val="auto"/>
        </w:rPr>
      </w:pPr>
      <w:r w:rsidRPr="00AD6123">
        <w:rPr>
          <w:color w:val="auto"/>
        </w:rPr>
        <w:t xml:space="preserve">Prepare </w:t>
      </w:r>
      <w:r w:rsidR="007F78B6">
        <w:rPr>
          <w:color w:val="auto"/>
        </w:rPr>
        <w:t xml:space="preserve">500 mL of </w:t>
      </w:r>
      <w:r w:rsidRPr="00AD6123">
        <w:rPr>
          <w:color w:val="auto"/>
        </w:rPr>
        <w:t>PBS</w:t>
      </w:r>
      <w:r w:rsidR="001B49C8" w:rsidRPr="00AD6123">
        <w:rPr>
          <w:color w:val="auto"/>
        </w:rPr>
        <w:t xml:space="preserve"> by </w:t>
      </w:r>
      <w:r w:rsidR="00AF1CA1" w:rsidRPr="00AD6123">
        <w:rPr>
          <w:color w:val="auto"/>
        </w:rPr>
        <w:t xml:space="preserve">dissolving </w:t>
      </w:r>
      <w:r w:rsidR="00585D1A" w:rsidRPr="00AD6123">
        <w:rPr>
          <w:color w:val="auto"/>
        </w:rPr>
        <w:t>137 mM NaCl</w:t>
      </w:r>
      <w:r w:rsidR="00AF1CA1" w:rsidRPr="00AD6123">
        <w:rPr>
          <w:color w:val="auto"/>
        </w:rPr>
        <w:t xml:space="preserve">, </w:t>
      </w:r>
      <w:r w:rsidR="00585D1A" w:rsidRPr="00AD6123">
        <w:rPr>
          <w:color w:val="auto"/>
        </w:rPr>
        <w:t xml:space="preserve">2.7 mM </w:t>
      </w:r>
      <w:proofErr w:type="spellStart"/>
      <w:r w:rsidR="00585D1A" w:rsidRPr="00AD6123">
        <w:rPr>
          <w:color w:val="auto"/>
        </w:rPr>
        <w:t>KCl</w:t>
      </w:r>
      <w:proofErr w:type="spellEnd"/>
      <w:r w:rsidR="00AF1CA1" w:rsidRPr="00AD6123">
        <w:rPr>
          <w:color w:val="auto"/>
        </w:rPr>
        <w:t>,</w:t>
      </w:r>
      <w:r w:rsidR="00585D1A" w:rsidRPr="00AD6123">
        <w:rPr>
          <w:color w:val="auto"/>
        </w:rPr>
        <w:t xml:space="preserve"> 4.3 mM Na</w:t>
      </w:r>
      <w:r w:rsidR="00585D1A" w:rsidRPr="00AD6123">
        <w:rPr>
          <w:color w:val="auto"/>
          <w:vertAlign w:val="subscript"/>
        </w:rPr>
        <w:t>2</w:t>
      </w:r>
      <w:r w:rsidR="00585D1A" w:rsidRPr="00AD6123">
        <w:rPr>
          <w:color w:val="auto"/>
        </w:rPr>
        <w:t>HPO</w:t>
      </w:r>
      <w:r w:rsidR="00AF1CA1" w:rsidRPr="00AD6123">
        <w:rPr>
          <w:color w:val="auto"/>
          <w:vertAlign w:val="subscript"/>
        </w:rPr>
        <w:t>4</w:t>
      </w:r>
      <w:r w:rsidR="00AF1CA1" w:rsidRPr="00AD6123">
        <w:rPr>
          <w:color w:val="auto"/>
        </w:rPr>
        <w:t>, 1.47</w:t>
      </w:r>
      <w:r w:rsidR="00585D1A" w:rsidRPr="00AD6123">
        <w:rPr>
          <w:color w:val="auto"/>
        </w:rPr>
        <w:t xml:space="preserve"> mM KH</w:t>
      </w:r>
      <w:r w:rsidR="00585D1A" w:rsidRPr="00AD6123">
        <w:rPr>
          <w:color w:val="auto"/>
          <w:vertAlign w:val="subscript"/>
        </w:rPr>
        <w:t>2</w:t>
      </w:r>
      <w:r w:rsidR="00585D1A" w:rsidRPr="00AD6123">
        <w:rPr>
          <w:color w:val="auto"/>
        </w:rPr>
        <w:t>PO</w:t>
      </w:r>
      <w:r w:rsidR="00585D1A" w:rsidRPr="00AD6123">
        <w:rPr>
          <w:color w:val="auto"/>
          <w:vertAlign w:val="subscript"/>
        </w:rPr>
        <w:t>4</w:t>
      </w:r>
      <w:r w:rsidRPr="00AD6123">
        <w:rPr>
          <w:color w:val="auto"/>
        </w:rPr>
        <w:t>,</w:t>
      </w:r>
      <w:r w:rsidR="00AF1CA1" w:rsidRPr="00AD6123">
        <w:rPr>
          <w:color w:val="auto"/>
        </w:rPr>
        <w:t xml:space="preserve"> in ddH</w:t>
      </w:r>
      <w:r w:rsidR="00AF1CA1" w:rsidRPr="00AD6123">
        <w:rPr>
          <w:color w:val="auto"/>
          <w:vertAlign w:val="subscript"/>
        </w:rPr>
        <w:t>2</w:t>
      </w:r>
      <w:r w:rsidR="00AF1CA1" w:rsidRPr="00AD6123">
        <w:rPr>
          <w:color w:val="auto"/>
        </w:rPr>
        <w:t>O. Adjust the</w:t>
      </w:r>
      <w:r w:rsidRPr="00AD6123">
        <w:rPr>
          <w:color w:val="auto"/>
        </w:rPr>
        <w:t xml:space="preserve"> pH </w:t>
      </w:r>
      <w:r w:rsidR="00AF1CA1" w:rsidRPr="00AD6123">
        <w:rPr>
          <w:color w:val="auto"/>
        </w:rPr>
        <w:t xml:space="preserve">to </w:t>
      </w:r>
      <w:r w:rsidRPr="00AD6123">
        <w:rPr>
          <w:color w:val="auto"/>
        </w:rPr>
        <w:t>7.4</w:t>
      </w:r>
      <w:r w:rsidR="00AF1CA1" w:rsidRPr="00AD6123">
        <w:rPr>
          <w:color w:val="auto"/>
        </w:rPr>
        <w:t xml:space="preserve"> with HCl. </w:t>
      </w:r>
      <w:r w:rsidR="007F78B6">
        <w:rPr>
          <w:color w:val="auto"/>
        </w:rPr>
        <w:t>Sterilize by autoclaving.</w:t>
      </w:r>
    </w:p>
    <w:p w14:paraId="1DF69B85" w14:textId="77777777" w:rsidR="00AD1109" w:rsidRPr="00AD6123" w:rsidRDefault="00AD1109" w:rsidP="00371E99">
      <w:pPr>
        <w:rPr>
          <w:color w:val="auto"/>
        </w:rPr>
      </w:pPr>
    </w:p>
    <w:p w14:paraId="335CD46D" w14:textId="72D42392" w:rsidR="000766BD" w:rsidRPr="00AD6123" w:rsidRDefault="000766BD" w:rsidP="00371E99">
      <w:pPr>
        <w:pStyle w:val="Heading2"/>
      </w:pPr>
      <w:r w:rsidRPr="00AD6123">
        <w:t xml:space="preserve">Prepare </w:t>
      </w:r>
      <w:r w:rsidR="00F35C43">
        <w:t xml:space="preserve">100 mL of </w:t>
      </w:r>
      <w:r w:rsidRPr="00AD6123">
        <w:t>RPMI medium: RPMI-1640 medium with</w:t>
      </w:r>
      <w:r w:rsidR="00475ADF">
        <w:t xml:space="preserve"> </w:t>
      </w:r>
      <w:r w:rsidR="00475ADF" w:rsidRPr="006169F4">
        <w:t>L-</w:t>
      </w:r>
      <w:r w:rsidR="006169F4">
        <w:t>A</w:t>
      </w:r>
      <w:r w:rsidR="00475ADF" w:rsidRPr="006169F4">
        <w:t>lanyl-</w:t>
      </w:r>
      <w:r w:rsidR="006169F4">
        <w:t>G</w:t>
      </w:r>
      <w:r w:rsidR="00475ADF" w:rsidRPr="006169F4">
        <w:t>lutamine</w:t>
      </w:r>
      <w:r w:rsidRPr="00AD6123">
        <w:t xml:space="preserve"> supplemented with 10 % fetal </w:t>
      </w:r>
      <w:r w:rsidR="00517F8E" w:rsidRPr="00AD6123">
        <w:t xml:space="preserve">bovine </w:t>
      </w:r>
      <w:r w:rsidRPr="00AD6123">
        <w:t>serum</w:t>
      </w:r>
      <w:r w:rsidR="00517F8E" w:rsidRPr="00AD6123">
        <w:t xml:space="preserve"> (FBS)</w:t>
      </w:r>
      <w:r w:rsidRPr="00AD6123">
        <w:t xml:space="preserve">, penicillin (100 U/mL) and streptomycin (100 </w:t>
      </w:r>
      <w:proofErr w:type="spellStart"/>
      <w:r w:rsidRPr="00AD6123">
        <w:t>μg</w:t>
      </w:r>
      <w:proofErr w:type="spellEnd"/>
      <w:r w:rsidRPr="00AD6123">
        <w:t>/mL).</w:t>
      </w:r>
    </w:p>
    <w:p w14:paraId="5BFFDB49" w14:textId="77777777" w:rsidR="00AD1109" w:rsidRPr="00AD6123" w:rsidRDefault="00AD1109" w:rsidP="00371E99">
      <w:pPr>
        <w:rPr>
          <w:color w:val="auto"/>
        </w:rPr>
      </w:pPr>
    </w:p>
    <w:p w14:paraId="05FFE77A" w14:textId="5ACF1756" w:rsidR="00AD6123" w:rsidRDefault="000766BD" w:rsidP="00371E99">
      <w:pPr>
        <w:pStyle w:val="Heading2"/>
        <w:rPr>
          <w:color w:val="auto"/>
        </w:rPr>
      </w:pPr>
      <w:r w:rsidRPr="00AD6123">
        <w:rPr>
          <w:color w:val="auto"/>
        </w:rPr>
        <w:t xml:space="preserve">Prepare </w:t>
      </w:r>
      <w:r w:rsidR="00F35C43">
        <w:rPr>
          <w:color w:val="auto"/>
        </w:rPr>
        <w:t xml:space="preserve">50 mL of </w:t>
      </w:r>
      <w:r w:rsidRPr="00AD6123">
        <w:rPr>
          <w:color w:val="auto"/>
        </w:rPr>
        <w:t>0.1 M NaHCO</w:t>
      </w:r>
      <w:r w:rsidRPr="00AD6123">
        <w:rPr>
          <w:color w:val="auto"/>
          <w:vertAlign w:val="subscript"/>
        </w:rPr>
        <w:t>3</w:t>
      </w:r>
      <w:r w:rsidRPr="00AD6123">
        <w:rPr>
          <w:color w:val="auto"/>
        </w:rPr>
        <w:t xml:space="preserve"> in distilled water. Adjust the pH to 8.1, filter sterilize </w:t>
      </w:r>
      <w:r w:rsidR="004D57F1" w:rsidRPr="00AD6123">
        <w:rPr>
          <w:color w:val="auto"/>
        </w:rPr>
        <w:t xml:space="preserve">(0.22 </w:t>
      </w:r>
      <w:proofErr w:type="spellStart"/>
      <w:r w:rsidR="004D57F1" w:rsidRPr="00AD6123">
        <w:rPr>
          <w:color w:val="auto"/>
        </w:rPr>
        <w:t>μ</w:t>
      </w:r>
      <w:r w:rsidR="006F4CA5" w:rsidRPr="00AD6123">
        <w:rPr>
          <w:color w:val="auto"/>
        </w:rPr>
        <w:t>m</w:t>
      </w:r>
      <w:proofErr w:type="spellEnd"/>
      <w:r w:rsidR="004D57F1" w:rsidRPr="00AD6123">
        <w:rPr>
          <w:color w:val="auto"/>
        </w:rPr>
        <w:t xml:space="preserve">) </w:t>
      </w:r>
      <w:r w:rsidRPr="00AD6123">
        <w:rPr>
          <w:color w:val="auto"/>
        </w:rPr>
        <w:t>and store at 4 °C.</w:t>
      </w:r>
      <w:r w:rsidR="004D57F1" w:rsidRPr="00AD6123">
        <w:rPr>
          <w:color w:val="auto"/>
        </w:rPr>
        <w:t xml:space="preserve"> </w:t>
      </w:r>
    </w:p>
    <w:p w14:paraId="063D14FB" w14:textId="77777777" w:rsidR="00AD6123" w:rsidRDefault="00AD6123" w:rsidP="00371E99">
      <w:pPr>
        <w:pStyle w:val="Heading2"/>
        <w:numPr>
          <w:ilvl w:val="0"/>
          <w:numId w:val="0"/>
        </w:numPr>
        <w:rPr>
          <w:color w:val="auto"/>
        </w:rPr>
      </w:pPr>
    </w:p>
    <w:p w14:paraId="0B4E2880" w14:textId="0403FC19" w:rsidR="000766BD" w:rsidRPr="00AD6123" w:rsidRDefault="00AD6123" w:rsidP="00371E99">
      <w:pPr>
        <w:pStyle w:val="Heading2"/>
        <w:numPr>
          <w:ilvl w:val="0"/>
          <w:numId w:val="0"/>
        </w:numPr>
        <w:rPr>
          <w:color w:val="auto"/>
        </w:rPr>
      </w:pPr>
      <w:r>
        <w:rPr>
          <w:color w:val="auto"/>
        </w:rPr>
        <w:t xml:space="preserve">Note: </w:t>
      </w:r>
      <w:r w:rsidR="004D57F1" w:rsidRPr="00AD6123">
        <w:rPr>
          <w:color w:val="auto"/>
        </w:rPr>
        <w:t>For two</w:t>
      </w:r>
      <w:r w:rsidR="00C43002">
        <w:rPr>
          <w:color w:val="auto"/>
        </w:rPr>
        <w:t xml:space="preserve"> </w:t>
      </w:r>
      <w:r w:rsidR="00C43002" w:rsidRPr="00B25A75">
        <w:rPr>
          <w:color w:val="auto"/>
        </w:rPr>
        <w:t>8-well extracellular flux analyzer plates</w:t>
      </w:r>
      <w:r w:rsidR="004D57F1" w:rsidRPr="00AD6123">
        <w:rPr>
          <w:color w:val="auto"/>
        </w:rPr>
        <w:t>,</w:t>
      </w:r>
      <w:r w:rsidR="00C43002">
        <w:rPr>
          <w:color w:val="auto"/>
        </w:rPr>
        <w:t xml:space="preserve"> </w:t>
      </w:r>
      <w:r w:rsidR="00C43002" w:rsidRPr="00B25A75">
        <w:rPr>
          <w:color w:val="auto"/>
        </w:rPr>
        <w:t>prepare</w:t>
      </w:r>
      <w:r w:rsidR="004D57F1" w:rsidRPr="00AD6123">
        <w:rPr>
          <w:color w:val="auto"/>
        </w:rPr>
        <w:t xml:space="preserve"> </w:t>
      </w:r>
      <w:r w:rsidR="0063004F" w:rsidRPr="00AD6123">
        <w:rPr>
          <w:color w:val="auto"/>
        </w:rPr>
        <w:t>250 μL of 0.1 M NaHCO</w:t>
      </w:r>
      <w:r w:rsidR="0063004F" w:rsidRPr="00AD6123">
        <w:rPr>
          <w:color w:val="auto"/>
          <w:vertAlign w:val="subscript"/>
        </w:rPr>
        <w:t>3</w:t>
      </w:r>
      <w:r w:rsidR="0063004F" w:rsidRPr="00AD6123">
        <w:rPr>
          <w:color w:val="auto"/>
        </w:rPr>
        <w:t xml:space="preserve"> pH 8.1.</w:t>
      </w:r>
    </w:p>
    <w:p w14:paraId="6D8D94F8" w14:textId="77777777" w:rsidR="00AD1109" w:rsidRPr="00AD6123" w:rsidRDefault="00AD1109" w:rsidP="00371E99">
      <w:pPr>
        <w:rPr>
          <w:color w:val="auto"/>
        </w:rPr>
      </w:pPr>
    </w:p>
    <w:p w14:paraId="5074743E" w14:textId="1A93C470" w:rsidR="000766BD" w:rsidRPr="00AD6123" w:rsidRDefault="000766BD" w:rsidP="00371E99">
      <w:pPr>
        <w:pStyle w:val="Heading2"/>
        <w:rPr>
          <w:color w:val="auto"/>
        </w:rPr>
      </w:pPr>
      <w:r w:rsidRPr="00AD6123">
        <w:rPr>
          <w:color w:val="auto"/>
        </w:rPr>
        <w:t xml:space="preserve">Prepare </w:t>
      </w:r>
      <w:r w:rsidR="000B426C" w:rsidRPr="00AD6123">
        <w:rPr>
          <w:color w:val="auto"/>
        </w:rPr>
        <w:t>1 m</w:t>
      </w:r>
      <w:r w:rsidR="00AE0823">
        <w:rPr>
          <w:color w:val="auto"/>
        </w:rPr>
        <w:t>L</w:t>
      </w:r>
      <w:r w:rsidR="000B426C" w:rsidRPr="00AD6123">
        <w:rPr>
          <w:color w:val="auto"/>
        </w:rPr>
        <w:t xml:space="preserve"> of </w:t>
      </w:r>
      <w:r w:rsidRPr="00AD6123">
        <w:rPr>
          <w:color w:val="auto"/>
        </w:rPr>
        <w:t xml:space="preserve">2 M D-glucose in distilled water. Filter sterilize </w:t>
      </w:r>
      <w:r w:rsidR="000B426C" w:rsidRPr="00AD6123">
        <w:rPr>
          <w:color w:val="auto"/>
        </w:rPr>
        <w:t xml:space="preserve">(0.22 </w:t>
      </w:r>
      <w:proofErr w:type="spellStart"/>
      <w:r w:rsidR="000B426C" w:rsidRPr="00AD6123">
        <w:rPr>
          <w:color w:val="auto"/>
        </w:rPr>
        <w:t>μ</w:t>
      </w:r>
      <w:r w:rsidR="006F4CA5" w:rsidRPr="00AD6123">
        <w:rPr>
          <w:color w:val="auto"/>
        </w:rPr>
        <w:t>m</w:t>
      </w:r>
      <w:proofErr w:type="spellEnd"/>
      <w:r w:rsidR="000B426C" w:rsidRPr="00AD6123">
        <w:rPr>
          <w:color w:val="auto"/>
        </w:rPr>
        <w:t xml:space="preserve">) </w:t>
      </w:r>
      <w:r w:rsidRPr="00AD6123">
        <w:rPr>
          <w:color w:val="auto"/>
        </w:rPr>
        <w:t>and store at -20 °C.</w:t>
      </w:r>
      <w:r w:rsidR="000B426C" w:rsidRPr="00AD6123">
        <w:rPr>
          <w:color w:val="auto"/>
        </w:rPr>
        <w:t xml:space="preserve"> </w:t>
      </w:r>
    </w:p>
    <w:p w14:paraId="50E780F7" w14:textId="77777777" w:rsidR="00AD1109" w:rsidRPr="00AD6123" w:rsidRDefault="00AD1109" w:rsidP="00371E99">
      <w:pPr>
        <w:rPr>
          <w:color w:val="auto"/>
        </w:rPr>
      </w:pPr>
    </w:p>
    <w:p w14:paraId="1E9C3BC7" w14:textId="44D88E3A" w:rsidR="000766BD" w:rsidRPr="00AD6123" w:rsidRDefault="000766BD" w:rsidP="00371E99">
      <w:pPr>
        <w:pStyle w:val="Heading2"/>
        <w:rPr>
          <w:color w:val="auto"/>
        </w:rPr>
      </w:pPr>
      <w:r w:rsidRPr="00AD6123">
        <w:rPr>
          <w:color w:val="auto"/>
        </w:rPr>
        <w:t>Prepare</w:t>
      </w:r>
      <w:r w:rsidR="00002C6E" w:rsidRPr="00AD6123">
        <w:rPr>
          <w:color w:val="auto"/>
        </w:rPr>
        <w:t xml:space="preserve"> 100 μL of</w:t>
      </w:r>
      <w:r w:rsidRPr="00AD6123">
        <w:rPr>
          <w:color w:val="auto"/>
        </w:rPr>
        <w:t xml:space="preserve"> 1 mM Oligomycin A in ethanol. Filter sterilize </w:t>
      </w:r>
      <w:r w:rsidR="00002C6E" w:rsidRPr="00AD6123">
        <w:rPr>
          <w:color w:val="auto"/>
        </w:rPr>
        <w:t xml:space="preserve">(0.22 </w:t>
      </w:r>
      <w:proofErr w:type="spellStart"/>
      <w:r w:rsidR="00002C6E" w:rsidRPr="00AD6123">
        <w:rPr>
          <w:color w:val="auto"/>
        </w:rPr>
        <w:t>μ</w:t>
      </w:r>
      <w:r w:rsidR="006F4CA5" w:rsidRPr="00AD6123">
        <w:rPr>
          <w:color w:val="auto"/>
        </w:rPr>
        <w:t>m</w:t>
      </w:r>
      <w:proofErr w:type="spellEnd"/>
      <w:r w:rsidR="00002C6E" w:rsidRPr="00AD6123">
        <w:rPr>
          <w:color w:val="auto"/>
        </w:rPr>
        <w:t xml:space="preserve">) </w:t>
      </w:r>
      <w:r w:rsidRPr="00AD6123">
        <w:rPr>
          <w:color w:val="auto"/>
        </w:rPr>
        <w:t>and store at -20 °C.</w:t>
      </w:r>
    </w:p>
    <w:p w14:paraId="16BBAE76" w14:textId="77777777" w:rsidR="00AD1109" w:rsidRPr="00AD6123" w:rsidRDefault="00AD1109" w:rsidP="00371E99">
      <w:pPr>
        <w:rPr>
          <w:color w:val="auto"/>
        </w:rPr>
      </w:pPr>
    </w:p>
    <w:p w14:paraId="6AADFF2E" w14:textId="2721A113" w:rsidR="000766BD" w:rsidRPr="00AD6123" w:rsidRDefault="000766BD" w:rsidP="00371E99">
      <w:pPr>
        <w:pStyle w:val="Heading2"/>
      </w:pPr>
      <w:r w:rsidRPr="00AD6123">
        <w:t xml:space="preserve">Prepare </w:t>
      </w:r>
      <w:r w:rsidR="00A42D45" w:rsidRPr="00AD6123">
        <w:t xml:space="preserve">250 μL of </w:t>
      </w:r>
      <w:r w:rsidRPr="00AD6123">
        <w:t xml:space="preserve">1 M 2-deoxy-D-glucose </w:t>
      </w:r>
      <w:r w:rsidR="00230DA8" w:rsidRPr="00AD6123">
        <w:t xml:space="preserve">(2-DG) </w:t>
      </w:r>
      <w:r w:rsidRPr="00AD6123">
        <w:t>in</w:t>
      </w:r>
      <w:r w:rsidR="00C43002">
        <w:t xml:space="preserve"> </w:t>
      </w:r>
      <w:r w:rsidR="00C72802" w:rsidRPr="003D29FF">
        <w:t>Minimal</w:t>
      </w:r>
      <w:r w:rsidR="00C43002" w:rsidRPr="003D29FF">
        <w:t xml:space="preserve"> DMEM</w:t>
      </w:r>
      <w:r w:rsidR="003D29FF">
        <w:t xml:space="preserve"> (</w:t>
      </w:r>
      <w:r w:rsidR="003D29FF" w:rsidRPr="003D29FF">
        <w:rPr>
          <w:color w:val="auto"/>
        </w:rPr>
        <w:t>Dulbecco's Modified Eagle's medium</w:t>
      </w:r>
      <w:r w:rsidR="003D29FF">
        <w:rPr>
          <w:color w:val="auto"/>
        </w:rPr>
        <w:t>)</w:t>
      </w:r>
      <w:r w:rsidRPr="00AD6123">
        <w:t xml:space="preserve">. Warm to 37 °C and adjust the pH to 7.4 (carry out pH measurement at 37 °C). Filter sterilize </w:t>
      </w:r>
      <w:r w:rsidR="00A42D45" w:rsidRPr="00AD6123">
        <w:t xml:space="preserve">(0.22 </w:t>
      </w:r>
      <w:proofErr w:type="spellStart"/>
      <w:r w:rsidR="00A42D45" w:rsidRPr="00AD6123">
        <w:t>μ</w:t>
      </w:r>
      <w:r w:rsidR="006F4CA5" w:rsidRPr="00AD6123">
        <w:t>m</w:t>
      </w:r>
      <w:proofErr w:type="spellEnd"/>
      <w:r w:rsidR="00A42D45" w:rsidRPr="00AD6123">
        <w:t xml:space="preserve">) </w:t>
      </w:r>
      <w:r w:rsidRPr="00AD6123">
        <w:t>and store at -20 °C.</w:t>
      </w:r>
    </w:p>
    <w:p w14:paraId="0C44F34E" w14:textId="77777777" w:rsidR="00AD1109" w:rsidRPr="00AD6123" w:rsidRDefault="00AD1109" w:rsidP="00371E99">
      <w:pPr>
        <w:rPr>
          <w:color w:val="auto"/>
        </w:rPr>
      </w:pPr>
    </w:p>
    <w:p w14:paraId="30238943" w14:textId="53FD3B94" w:rsidR="000766BD" w:rsidRPr="00AD6123" w:rsidRDefault="000766BD" w:rsidP="00371E99">
      <w:pPr>
        <w:pStyle w:val="Heading2"/>
        <w:rPr>
          <w:color w:val="auto"/>
        </w:rPr>
      </w:pPr>
      <w:r w:rsidRPr="00AD6123">
        <w:rPr>
          <w:color w:val="auto"/>
        </w:rPr>
        <w:t xml:space="preserve">Prepare </w:t>
      </w:r>
      <w:r w:rsidR="006F4CA5" w:rsidRPr="00AD6123">
        <w:rPr>
          <w:color w:val="auto"/>
        </w:rPr>
        <w:t xml:space="preserve">100 μL of </w:t>
      </w:r>
      <w:r w:rsidRPr="00AD6123">
        <w:rPr>
          <w:color w:val="auto"/>
        </w:rPr>
        <w:t xml:space="preserve">1 mM FCCP </w:t>
      </w:r>
      <w:r w:rsidR="00263496" w:rsidRPr="00AD6123">
        <w:rPr>
          <w:color w:val="auto"/>
        </w:rPr>
        <w:t>(carbonyl cyanide-p-</w:t>
      </w:r>
      <w:proofErr w:type="spellStart"/>
      <w:r w:rsidR="00263496" w:rsidRPr="00AD6123">
        <w:rPr>
          <w:color w:val="auto"/>
        </w:rPr>
        <w:t>trifluoromethoxyphenylhydrazone</w:t>
      </w:r>
      <w:proofErr w:type="spellEnd"/>
      <w:r w:rsidR="00263496" w:rsidRPr="00AD6123">
        <w:rPr>
          <w:color w:val="auto"/>
        </w:rPr>
        <w:t xml:space="preserve">) </w:t>
      </w:r>
      <w:r w:rsidRPr="00AD6123">
        <w:rPr>
          <w:color w:val="auto"/>
        </w:rPr>
        <w:t xml:space="preserve">in DMSO. Filter sterilize </w:t>
      </w:r>
      <w:r w:rsidR="00045578" w:rsidRPr="00AD6123">
        <w:rPr>
          <w:color w:val="auto"/>
        </w:rPr>
        <w:t xml:space="preserve">(0.22 </w:t>
      </w:r>
      <w:proofErr w:type="spellStart"/>
      <w:r w:rsidR="00045578" w:rsidRPr="00AD6123">
        <w:rPr>
          <w:color w:val="auto"/>
        </w:rPr>
        <w:t>μm</w:t>
      </w:r>
      <w:proofErr w:type="spellEnd"/>
      <w:r w:rsidR="00045578" w:rsidRPr="00AD6123">
        <w:rPr>
          <w:color w:val="auto"/>
        </w:rPr>
        <w:t xml:space="preserve">) </w:t>
      </w:r>
      <w:r w:rsidRPr="00AD6123">
        <w:rPr>
          <w:color w:val="auto"/>
        </w:rPr>
        <w:t>and store at -20 °C.</w:t>
      </w:r>
    </w:p>
    <w:p w14:paraId="3765CC0D" w14:textId="77777777" w:rsidR="00AD1109" w:rsidRPr="00AD6123" w:rsidRDefault="00AD1109" w:rsidP="00371E99">
      <w:pPr>
        <w:rPr>
          <w:color w:val="auto"/>
        </w:rPr>
      </w:pPr>
    </w:p>
    <w:p w14:paraId="5E55AB5A" w14:textId="3571CECC" w:rsidR="000766BD" w:rsidRPr="00AD6123" w:rsidRDefault="000766BD" w:rsidP="00371E99">
      <w:pPr>
        <w:pStyle w:val="Heading2"/>
        <w:rPr>
          <w:color w:val="auto"/>
        </w:rPr>
      </w:pPr>
      <w:r w:rsidRPr="00AD6123">
        <w:rPr>
          <w:color w:val="auto"/>
        </w:rPr>
        <w:t xml:space="preserve">Prepare </w:t>
      </w:r>
      <w:r w:rsidR="00045578" w:rsidRPr="00AD6123">
        <w:rPr>
          <w:color w:val="auto"/>
        </w:rPr>
        <w:t xml:space="preserve">100 μL of </w:t>
      </w:r>
      <w:r w:rsidRPr="00AD6123">
        <w:rPr>
          <w:color w:val="auto"/>
        </w:rPr>
        <w:t xml:space="preserve">1 mM Rotenone in ethanol. Filter sterilize </w:t>
      </w:r>
      <w:r w:rsidR="006F4CA5" w:rsidRPr="00AD6123">
        <w:rPr>
          <w:color w:val="auto"/>
        </w:rPr>
        <w:t xml:space="preserve">(0.22 </w:t>
      </w:r>
      <w:proofErr w:type="spellStart"/>
      <w:r w:rsidR="006F4CA5" w:rsidRPr="00AD6123">
        <w:rPr>
          <w:color w:val="auto"/>
        </w:rPr>
        <w:t>μm</w:t>
      </w:r>
      <w:proofErr w:type="spellEnd"/>
      <w:r w:rsidR="006F4CA5" w:rsidRPr="00AD6123">
        <w:rPr>
          <w:color w:val="auto"/>
        </w:rPr>
        <w:t xml:space="preserve">) </w:t>
      </w:r>
      <w:r w:rsidRPr="00AD6123">
        <w:rPr>
          <w:color w:val="auto"/>
        </w:rPr>
        <w:t>and store at -20 °C.</w:t>
      </w:r>
    </w:p>
    <w:p w14:paraId="35919F91" w14:textId="77777777" w:rsidR="00AD1109" w:rsidRPr="00AD6123" w:rsidRDefault="00AD1109" w:rsidP="00371E99">
      <w:pPr>
        <w:rPr>
          <w:color w:val="auto"/>
        </w:rPr>
      </w:pPr>
    </w:p>
    <w:p w14:paraId="179B77A3" w14:textId="46ABA786" w:rsidR="000766BD" w:rsidRPr="00AD6123" w:rsidRDefault="000766BD" w:rsidP="00371E99">
      <w:pPr>
        <w:pStyle w:val="Heading2"/>
        <w:rPr>
          <w:color w:val="auto"/>
        </w:rPr>
      </w:pPr>
      <w:r w:rsidRPr="00AD6123">
        <w:rPr>
          <w:color w:val="auto"/>
        </w:rPr>
        <w:t xml:space="preserve">Prepare </w:t>
      </w:r>
      <w:r w:rsidR="00045578" w:rsidRPr="00AD6123">
        <w:rPr>
          <w:color w:val="auto"/>
        </w:rPr>
        <w:t xml:space="preserve">100 μL of </w:t>
      </w:r>
      <w:r w:rsidRPr="00AD6123">
        <w:rPr>
          <w:color w:val="auto"/>
        </w:rPr>
        <w:t xml:space="preserve">1 mg/mL Antimycin A in ethanol. Filter sterilize </w:t>
      </w:r>
      <w:r w:rsidR="00045578" w:rsidRPr="00AD6123">
        <w:rPr>
          <w:color w:val="auto"/>
        </w:rPr>
        <w:t xml:space="preserve">(0.22 </w:t>
      </w:r>
      <w:proofErr w:type="spellStart"/>
      <w:r w:rsidR="00045578" w:rsidRPr="00AD6123">
        <w:rPr>
          <w:color w:val="auto"/>
        </w:rPr>
        <w:t>μm</w:t>
      </w:r>
      <w:proofErr w:type="spellEnd"/>
      <w:r w:rsidR="00045578" w:rsidRPr="00AD6123">
        <w:rPr>
          <w:color w:val="auto"/>
        </w:rPr>
        <w:t xml:space="preserve">) </w:t>
      </w:r>
      <w:r w:rsidRPr="00AD6123">
        <w:rPr>
          <w:color w:val="auto"/>
        </w:rPr>
        <w:t>and store at -20 °C.</w:t>
      </w:r>
    </w:p>
    <w:p w14:paraId="59A14178" w14:textId="77777777" w:rsidR="00AD1109" w:rsidRPr="00AD6123" w:rsidRDefault="00AD1109" w:rsidP="00371E99">
      <w:pPr>
        <w:rPr>
          <w:color w:val="auto"/>
        </w:rPr>
      </w:pPr>
    </w:p>
    <w:p w14:paraId="424956D2" w14:textId="7BA9C503" w:rsidR="000766BD" w:rsidRPr="00AD6123" w:rsidRDefault="000766BD" w:rsidP="00371E99">
      <w:pPr>
        <w:pStyle w:val="Heading2"/>
        <w:rPr>
          <w:color w:val="auto"/>
        </w:rPr>
      </w:pPr>
      <w:r w:rsidRPr="00AD6123">
        <w:rPr>
          <w:color w:val="auto"/>
        </w:rPr>
        <w:t>Just before</w:t>
      </w:r>
      <w:r w:rsidR="00CC14D4">
        <w:rPr>
          <w:color w:val="auto"/>
        </w:rPr>
        <w:t xml:space="preserve"> the</w:t>
      </w:r>
      <w:r w:rsidRPr="00AD6123">
        <w:rPr>
          <w:color w:val="auto"/>
        </w:rPr>
        <w:t xml:space="preserve"> use, prepare</w:t>
      </w:r>
      <w:r w:rsidR="003847B5" w:rsidRPr="00AD6123">
        <w:rPr>
          <w:color w:val="auto"/>
        </w:rPr>
        <w:t xml:space="preserve"> 10 mL of</w:t>
      </w:r>
      <w:r w:rsidRPr="00AD6123">
        <w:rPr>
          <w:color w:val="auto"/>
        </w:rPr>
        <w:t xml:space="preserve"> Glycolysis stress test medium. Warm </w:t>
      </w:r>
      <w:r w:rsidR="00A55804">
        <w:rPr>
          <w:color w:val="auto"/>
        </w:rPr>
        <w:t>Minimal DMEM</w:t>
      </w:r>
      <w:r w:rsidRPr="00AD6123">
        <w:rPr>
          <w:color w:val="auto"/>
        </w:rPr>
        <w:t xml:space="preserve"> to 37 °C </w:t>
      </w:r>
      <w:r w:rsidR="004972E3" w:rsidRPr="00AD6123">
        <w:rPr>
          <w:color w:val="auto"/>
        </w:rPr>
        <w:t xml:space="preserve">in a water bath </w:t>
      </w:r>
      <w:r w:rsidRPr="00AD6123">
        <w:rPr>
          <w:color w:val="auto"/>
        </w:rPr>
        <w:t>and adjust the pH to 7.4 (carry out pH measurement at 37 °C).</w:t>
      </w:r>
    </w:p>
    <w:p w14:paraId="0AF7BEC7" w14:textId="77777777" w:rsidR="00AD1109" w:rsidRPr="00AD6123" w:rsidRDefault="00AD1109" w:rsidP="00371E99">
      <w:pPr>
        <w:rPr>
          <w:color w:val="auto"/>
        </w:rPr>
      </w:pPr>
    </w:p>
    <w:p w14:paraId="12948F62" w14:textId="6035DD3F" w:rsidR="000766BD" w:rsidRPr="00AD6123" w:rsidRDefault="000766BD" w:rsidP="00371E99">
      <w:pPr>
        <w:pStyle w:val="Heading2"/>
        <w:rPr>
          <w:color w:val="auto"/>
        </w:rPr>
      </w:pPr>
      <w:r w:rsidRPr="00AD6123">
        <w:rPr>
          <w:color w:val="auto"/>
        </w:rPr>
        <w:t>Prior to</w:t>
      </w:r>
      <w:r w:rsidR="001F39AD">
        <w:rPr>
          <w:color w:val="auto"/>
        </w:rPr>
        <w:t xml:space="preserve"> the</w:t>
      </w:r>
      <w:r w:rsidRPr="00AD6123">
        <w:rPr>
          <w:color w:val="auto"/>
        </w:rPr>
        <w:t xml:space="preserve"> use, prepare</w:t>
      </w:r>
      <w:r w:rsidR="003847B5" w:rsidRPr="00AD6123">
        <w:rPr>
          <w:color w:val="auto"/>
        </w:rPr>
        <w:t xml:space="preserve"> 10 mL of</w:t>
      </w:r>
      <w:r w:rsidRPr="00AD6123">
        <w:rPr>
          <w:color w:val="auto"/>
        </w:rPr>
        <w:t xml:space="preserve"> Cell </w:t>
      </w:r>
      <w:r w:rsidR="001F39AD">
        <w:rPr>
          <w:color w:val="auto"/>
        </w:rPr>
        <w:t>M</w:t>
      </w:r>
      <w:r w:rsidRPr="00AD6123">
        <w:rPr>
          <w:color w:val="auto"/>
        </w:rPr>
        <w:t xml:space="preserve">ito stress test medium with BSA. Supplement </w:t>
      </w:r>
      <w:r w:rsidR="00A55804">
        <w:rPr>
          <w:color w:val="auto"/>
        </w:rPr>
        <w:t xml:space="preserve">Minimal DMEM with </w:t>
      </w:r>
      <w:r w:rsidRPr="00AD6123">
        <w:rPr>
          <w:color w:val="auto"/>
        </w:rPr>
        <w:t>2 mM L-glutamine, 10 mM D-glucose, 1 mM HEPES (pH 7.4), 1 mM pyruvate and 0.1 % BSA</w:t>
      </w:r>
      <w:r w:rsidR="00263496" w:rsidRPr="00AD6123">
        <w:rPr>
          <w:color w:val="auto"/>
        </w:rPr>
        <w:t xml:space="preserve"> (</w:t>
      </w:r>
      <w:r w:rsidR="00ED1575" w:rsidRPr="00AD6123">
        <w:rPr>
          <w:color w:val="auto"/>
        </w:rPr>
        <w:t>b</w:t>
      </w:r>
      <w:r w:rsidR="00263496" w:rsidRPr="00AD6123">
        <w:rPr>
          <w:color w:val="auto"/>
        </w:rPr>
        <w:t>ovine serum albumin)</w:t>
      </w:r>
      <w:r w:rsidRPr="00AD6123">
        <w:rPr>
          <w:color w:val="auto"/>
        </w:rPr>
        <w:t xml:space="preserve">. Warm to 37 °C </w:t>
      </w:r>
      <w:r w:rsidR="004972E3" w:rsidRPr="00AD6123">
        <w:rPr>
          <w:color w:val="auto"/>
        </w:rPr>
        <w:t xml:space="preserve">in a water bath </w:t>
      </w:r>
      <w:r w:rsidRPr="00AD6123">
        <w:rPr>
          <w:color w:val="auto"/>
        </w:rPr>
        <w:t>and adjust the pH to 7.4 (carry out pH measurement at 37 °C).</w:t>
      </w:r>
    </w:p>
    <w:p w14:paraId="7D2D72D7" w14:textId="7BF9DC48" w:rsidR="00AD1109" w:rsidRPr="00AD6123" w:rsidRDefault="00AD1109" w:rsidP="00371E99">
      <w:pPr>
        <w:rPr>
          <w:color w:val="auto"/>
        </w:rPr>
      </w:pPr>
    </w:p>
    <w:p w14:paraId="684D54F4" w14:textId="6FB0F22B" w:rsidR="000766BD" w:rsidRPr="00AD6123" w:rsidRDefault="000766BD" w:rsidP="00371E99">
      <w:pPr>
        <w:pStyle w:val="Heading2"/>
        <w:rPr>
          <w:color w:val="auto"/>
        </w:rPr>
      </w:pPr>
      <w:r w:rsidRPr="00AD6123">
        <w:rPr>
          <w:color w:val="auto"/>
        </w:rPr>
        <w:t xml:space="preserve">Prior to </w:t>
      </w:r>
      <w:r w:rsidR="001F39AD">
        <w:rPr>
          <w:color w:val="auto"/>
        </w:rPr>
        <w:t xml:space="preserve">the </w:t>
      </w:r>
      <w:r w:rsidRPr="00AD6123">
        <w:rPr>
          <w:color w:val="auto"/>
        </w:rPr>
        <w:t xml:space="preserve">use, prepare </w:t>
      </w:r>
      <w:r w:rsidR="003847B5" w:rsidRPr="00AD6123">
        <w:rPr>
          <w:color w:val="auto"/>
        </w:rPr>
        <w:t xml:space="preserve">10 mL of </w:t>
      </w:r>
      <w:r w:rsidRPr="00AD6123">
        <w:rPr>
          <w:color w:val="auto"/>
        </w:rPr>
        <w:t xml:space="preserve">Cell Mito stress test medium without BSA. Supplement </w:t>
      </w:r>
      <w:r w:rsidR="00A55804">
        <w:rPr>
          <w:color w:val="auto"/>
        </w:rPr>
        <w:t>Minimal DMEM</w:t>
      </w:r>
      <w:r w:rsidRPr="00AD6123">
        <w:rPr>
          <w:color w:val="auto"/>
        </w:rPr>
        <w:t xml:space="preserve"> with 2 mM L-glutamine, 10 mM D-glucose,1 mM HEPES (pH 7.4) and 1 mM pyruvate. Warm Cell </w:t>
      </w:r>
      <w:r w:rsidR="001F39AD">
        <w:rPr>
          <w:color w:val="auto"/>
        </w:rPr>
        <w:t>M</w:t>
      </w:r>
      <w:r w:rsidRPr="00AD6123">
        <w:rPr>
          <w:color w:val="auto"/>
        </w:rPr>
        <w:t>ito stress test medium with</w:t>
      </w:r>
      <w:r w:rsidR="00CA1B0B" w:rsidRPr="00AD6123">
        <w:rPr>
          <w:color w:val="auto"/>
        </w:rPr>
        <w:t>out</w:t>
      </w:r>
      <w:r w:rsidRPr="00AD6123">
        <w:rPr>
          <w:color w:val="auto"/>
        </w:rPr>
        <w:t xml:space="preserve"> BSA to 37 °C </w:t>
      </w:r>
      <w:r w:rsidR="004972E3" w:rsidRPr="00AD6123">
        <w:rPr>
          <w:color w:val="auto"/>
        </w:rPr>
        <w:t xml:space="preserve">in a water bath </w:t>
      </w:r>
      <w:r w:rsidRPr="00AD6123">
        <w:rPr>
          <w:color w:val="auto"/>
        </w:rPr>
        <w:t>and adjust the pH to 7.4 (carry out pH measurement at 37 °C).</w:t>
      </w:r>
    </w:p>
    <w:p w14:paraId="79C0F0E0" w14:textId="2582649F" w:rsidR="000766BD" w:rsidRPr="00AD6123" w:rsidRDefault="000766BD" w:rsidP="00371E99">
      <w:pPr>
        <w:rPr>
          <w:rFonts w:asciiTheme="minorHAnsi" w:hAnsiTheme="minorHAnsi" w:cstheme="minorHAnsi"/>
          <w:color w:val="auto"/>
        </w:rPr>
      </w:pPr>
    </w:p>
    <w:p w14:paraId="165AE6DB" w14:textId="761107CF" w:rsidR="003F1E40" w:rsidRPr="00AD6123" w:rsidRDefault="003F1E40" w:rsidP="00371E99">
      <w:pPr>
        <w:rPr>
          <w:rFonts w:asciiTheme="minorHAnsi" w:hAnsiTheme="minorHAnsi" w:cstheme="minorHAnsi"/>
          <w:color w:val="auto"/>
        </w:rPr>
      </w:pPr>
      <w:r w:rsidRPr="00AD6123">
        <w:rPr>
          <w:rFonts w:asciiTheme="minorHAnsi" w:hAnsiTheme="minorHAnsi" w:cstheme="minorHAnsi"/>
          <w:color w:val="auto"/>
        </w:rPr>
        <w:t>N</w:t>
      </w:r>
      <w:r w:rsidR="00371E99">
        <w:rPr>
          <w:rFonts w:asciiTheme="minorHAnsi" w:hAnsiTheme="minorHAnsi" w:cstheme="minorHAnsi"/>
          <w:color w:val="auto"/>
        </w:rPr>
        <w:t>ote</w:t>
      </w:r>
      <w:r w:rsidRPr="00AD6123">
        <w:rPr>
          <w:rFonts w:asciiTheme="minorHAnsi" w:hAnsiTheme="minorHAnsi" w:cstheme="minorHAnsi"/>
          <w:color w:val="auto"/>
        </w:rPr>
        <w:t xml:space="preserve">: BSA is added to the Cell </w:t>
      </w:r>
      <w:r w:rsidR="001F39AD">
        <w:rPr>
          <w:rFonts w:asciiTheme="minorHAnsi" w:hAnsiTheme="minorHAnsi" w:cstheme="minorHAnsi"/>
          <w:color w:val="auto"/>
        </w:rPr>
        <w:t>M</w:t>
      </w:r>
      <w:r w:rsidRPr="00AD6123">
        <w:rPr>
          <w:rFonts w:asciiTheme="minorHAnsi" w:hAnsiTheme="minorHAnsi" w:cstheme="minorHAnsi"/>
          <w:color w:val="auto"/>
        </w:rPr>
        <w:t>ito stress test medium because the cells respon</w:t>
      </w:r>
      <w:r w:rsidR="00AE0823">
        <w:rPr>
          <w:rFonts w:asciiTheme="minorHAnsi" w:hAnsiTheme="minorHAnsi" w:cstheme="minorHAnsi"/>
          <w:color w:val="auto"/>
        </w:rPr>
        <w:t>d</w:t>
      </w:r>
      <w:r w:rsidRPr="00AD6123">
        <w:rPr>
          <w:rFonts w:asciiTheme="minorHAnsi" w:hAnsiTheme="minorHAnsi" w:cstheme="minorHAnsi"/>
          <w:color w:val="auto"/>
        </w:rPr>
        <w:t xml:space="preserve"> better</w:t>
      </w:r>
      <w:r w:rsidR="00C43002">
        <w:rPr>
          <w:rFonts w:asciiTheme="minorHAnsi" w:hAnsiTheme="minorHAnsi" w:cstheme="minorHAnsi"/>
          <w:color w:val="auto"/>
        </w:rPr>
        <w:t xml:space="preserve"> </w:t>
      </w:r>
      <w:r w:rsidRPr="00AD6123">
        <w:rPr>
          <w:rFonts w:asciiTheme="minorHAnsi" w:hAnsiTheme="minorHAnsi" w:cstheme="minorHAnsi"/>
          <w:color w:val="auto"/>
        </w:rPr>
        <w:t>to FCCP when the medium is supplemented with BSA</w:t>
      </w:r>
      <w:r w:rsidR="001A7C01">
        <w:rPr>
          <w:rFonts w:asciiTheme="minorHAnsi" w:hAnsiTheme="minorHAnsi" w:cstheme="minorHAnsi"/>
          <w:color w:val="auto"/>
        </w:rPr>
        <w:t xml:space="preserve"> (different conditions were tested)</w:t>
      </w:r>
      <w:r w:rsidRPr="00AD6123">
        <w:rPr>
          <w:rFonts w:asciiTheme="minorHAnsi" w:hAnsiTheme="minorHAnsi" w:cstheme="minorHAnsi"/>
          <w:color w:val="auto"/>
        </w:rPr>
        <w:t xml:space="preserve">. </w:t>
      </w:r>
      <w:r w:rsidRPr="00AD6123">
        <w:rPr>
          <w:color w:val="auto"/>
        </w:rPr>
        <w:t xml:space="preserve">Cell Mito stress test medium without BSA is used for loading the ports as </w:t>
      </w:r>
      <w:r w:rsidR="008B19E7" w:rsidRPr="00AD6123">
        <w:rPr>
          <w:color w:val="auto"/>
        </w:rPr>
        <w:t>the manufacturer</w:t>
      </w:r>
      <w:r w:rsidRPr="00AD6123">
        <w:rPr>
          <w:color w:val="auto"/>
        </w:rPr>
        <w:t xml:space="preserve"> does not recommend using BSA </w:t>
      </w:r>
      <w:r w:rsidR="00AE0823">
        <w:rPr>
          <w:color w:val="auto"/>
        </w:rPr>
        <w:t>in the medium</w:t>
      </w:r>
      <w:r w:rsidRPr="00AD6123">
        <w:rPr>
          <w:color w:val="auto"/>
        </w:rPr>
        <w:t>.</w:t>
      </w:r>
    </w:p>
    <w:p w14:paraId="46A050C3" w14:textId="77777777" w:rsidR="003F1E40" w:rsidRPr="00AD6123" w:rsidRDefault="003F1E40" w:rsidP="00371E99">
      <w:pPr>
        <w:rPr>
          <w:rFonts w:asciiTheme="minorHAnsi" w:hAnsiTheme="minorHAnsi" w:cstheme="minorHAnsi"/>
          <w:color w:val="auto"/>
        </w:rPr>
      </w:pPr>
    </w:p>
    <w:p w14:paraId="79E5B237" w14:textId="1E79CE13" w:rsidR="000766BD" w:rsidRPr="00AD6123" w:rsidRDefault="000766BD" w:rsidP="00371E99">
      <w:pPr>
        <w:pStyle w:val="Heading1"/>
        <w:rPr>
          <w:color w:val="auto"/>
          <w:highlight w:val="yellow"/>
        </w:rPr>
      </w:pPr>
      <w:r w:rsidRPr="00AD6123">
        <w:rPr>
          <w:color w:val="auto"/>
          <w:highlight w:val="yellow"/>
        </w:rPr>
        <w:t xml:space="preserve">Isolation of </w:t>
      </w:r>
      <w:r w:rsidR="00371E99">
        <w:rPr>
          <w:color w:val="auto"/>
          <w:highlight w:val="yellow"/>
        </w:rPr>
        <w:t>M</w:t>
      </w:r>
      <w:r w:rsidRPr="00AD6123">
        <w:rPr>
          <w:color w:val="auto"/>
          <w:highlight w:val="yellow"/>
        </w:rPr>
        <w:t xml:space="preserve">ononuclear </w:t>
      </w:r>
      <w:r w:rsidR="00371E99">
        <w:rPr>
          <w:color w:val="auto"/>
          <w:highlight w:val="yellow"/>
        </w:rPr>
        <w:t>C</w:t>
      </w:r>
      <w:r w:rsidRPr="00AD6123">
        <w:rPr>
          <w:color w:val="auto"/>
          <w:highlight w:val="yellow"/>
        </w:rPr>
        <w:t xml:space="preserve">ells from </w:t>
      </w:r>
      <w:r w:rsidR="00371E99">
        <w:rPr>
          <w:color w:val="auto"/>
          <w:highlight w:val="yellow"/>
        </w:rPr>
        <w:t>B</w:t>
      </w:r>
      <w:r w:rsidRPr="00AD6123">
        <w:rPr>
          <w:color w:val="auto"/>
          <w:highlight w:val="yellow"/>
        </w:rPr>
        <w:t xml:space="preserve">one </w:t>
      </w:r>
      <w:r w:rsidR="00371E99">
        <w:rPr>
          <w:color w:val="auto"/>
          <w:highlight w:val="yellow"/>
        </w:rPr>
        <w:t>M</w:t>
      </w:r>
      <w:r w:rsidRPr="00AD6123">
        <w:rPr>
          <w:color w:val="auto"/>
          <w:highlight w:val="yellow"/>
        </w:rPr>
        <w:t>arrow</w:t>
      </w:r>
    </w:p>
    <w:p w14:paraId="2DCF2FD3" w14:textId="77777777" w:rsidR="00B20848" w:rsidRPr="00AD6123" w:rsidRDefault="00B20848" w:rsidP="00371E99">
      <w:pPr>
        <w:rPr>
          <w:color w:val="auto"/>
          <w:highlight w:val="yellow"/>
        </w:rPr>
      </w:pPr>
    </w:p>
    <w:p w14:paraId="7BF2D719" w14:textId="7F3A253E" w:rsidR="000766BD" w:rsidRPr="00AD6123" w:rsidRDefault="00B20848" w:rsidP="00371E99">
      <w:pPr>
        <w:rPr>
          <w:color w:val="auto"/>
        </w:rPr>
      </w:pPr>
      <w:r w:rsidRPr="00AD6123">
        <w:rPr>
          <w:color w:val="auto"/>
        </w:rPr>
        <w:t>N</w:t>
      </w:r>
      <w:r w:rsidR="00371E99">
        <w:rPr>
          <w:color w:val="auto"/>
        </w:rPr>
        <w:t>ote</w:t>
      </w:r>
      <w:r w:rsidRPr="00AD6123">
        <w:rPr>
          <w:color w:val="auto"/>
        </w:rPr>
        <w:t xml:space="preserve">: </w:t>
      </w:r>
      <w:r w:rsidR="000F5CBA" w:rsidRPr="00AD6123">
        <w:rPr>
          <w:color w:val="auto"/>
        </w:rPr>
        <w:t xml:space="preserve">Ideally, measurement </w:t>
      </w:r>
      <w:r w:rsidR="007544C3" w:rsidRPr="00AD6123">
        <w:rPr>
          <w:color w:val="auto"/>
        </w:rPr>
        <w:t xml:space="preserve">of metabolic state of primary leukemia cells </w:t>
      </w:r>
      <w:r w:rsidR="000F5CBA" w:rsidRPr="00AD6123">
        <w:rPr>
          <w:color w:val="auto"/>
        </w:rPr>
        <w:t xml:space="preserve">should start immediately </w:t>
      </w:r>
      <w:r w:rsidR="007544C3" w:rsidRPr="00AD6123">
        <w:rPr>
          <w:color w:val="auto"/>
        </w:rPr>
        <w:t>after bone marrow</w:t>
      </w:r>
      <w:r w:rsidR="000F5CBA" w:rsidRPr="00AD6123">
        <w:rPr>
          <w:color w:val="auto"/>
        </w:rPr>
        <w:t xml:space="preserve"> collection</w:t>
      </w:r>
      <w:r w:rsidR="00343CA3" w:rsidRPr="00AD6123">
        <w:rPr>
          <w:color w:val="auto"/>
        </w:rPr>
        <w:t xml:space="preserve"> and cell isolation</w:t>
      </w:r>
      <w:r w:rsidRPr="00AD6123">
        <w:rPr>
          <w:color w:val="auto"/>
        </w:rPr>
        <w:t xml:space="preserve">. Nevertheless, </w:t>
      </w:r>
      <w:r w:rsidR="00663974" w:rsidRPr="00AD6123">
        <w:rPr>
          <w:color w:val="auto"/>
        </w:rPr>
        <w:t xml:space="preserve">relevant </w:t>
      </w:r>
      <w:r w:rsidR="00663974" w:rsidRPr="00575E9F">
        <w:rPr>
          <w:color w:val="auto"/>
        </w:rPr>
        <w:t>data</w:t>
      </w:r>
      <w:r w:rsidR="00C43002" w:rsidRPr="00575E9F">
        <w:rPr>
          <w:color w:val="auto"/>
        </w:rPr>
        <w:t xml:space="preserve"> could be </w:t>
      </w:r>
      <w:r w:rsidR="00575E9F" w:rsidRPr="00575E9F">
        <w:rPr>
          <w:color w:val="auto"/>
        </w:rPr>
        <w:t xml:space="preserve">also </w:t>
      </w:r>
      <w:r w:rsidR="00C43002" w:rsidRPr="00575E9F">
        <w:rPr>
          <w:color w:val="auto"/>
        </w:rPr>
        <w:t>obtained</w:t>
      </w:r>
      <w:r w:rsidR="00663974" w:rsidRPr="00575E9F">
        <w:rPr>
          <w:color w:val="auto"/>
        </w:rPr>
        <w:t xml:space="preserve"> from cell</w:t>
      </w:r>
      <w:r w:rsidR="00575E9F" w:rsidRPr="00575E9F">
        <w:rPr>
          <w:color w:val="auto"/>
        </w:rPr>
        <w:t>s isolated after transportation</w:t>
      </w:r>
      <w:r w:rsidR="00663974" w:rsidRPr="00575E9F">
        <w:rPr>
          <w:color w:val="auto"/>
        </w:rPr>
        <w:t xml:space="preserve"> from other hematology cent</w:t>
      </w:r>
      <w:r w:rsidR="00663974" w:rsidRPr="00AD6123">
        <w:rPr>
          <w:color w:val="auto"/>
        </w:rPr>
        <w:t xml:space="preserve">ers </w:t>
      </w:r>
      <w:r w:rsidR="00575E9F">
        <w:rPr>
          <w:color w:val="auto"/>
        </w:rPr>
        <w:t>in the</w:t>
      </w:r>
      <w:r w:rsidR="00663974" w:rsidRPr="00AD6123">
        <w:rPr>
          <w:color w:val="auto"/>
        </w:rPr>
        <w:t xml:space="preserve"> Czech Republic. </w:t>
      </w:r>
      <w:r w:rsidR="000766BD" w:rsidRPr="00AD6123">
        <w:rPr>
          <w:color w:val="auto"/>
        </w:rPr>
        <w:t>Perform all sub-steps in a sterile tissue culture hood.</w:t>
      </w:r>
    </w:p>
    <w:p w14:paraId="0B4C6415" w14:textId="77777777" w:rsidR="00AD1109" w:rsidRPr="00AD6123" w:rsidRDefault="00AD1109" w:rsidP="00371E99">
      <w:pPr>
        <w:rPr>
          <w:color w:val="auto"/>
        </w:rPr>
      </w:pPr>
    </w:p>
    <w:p w14:paraId="60817DE7" w14:textId="6192FF3C" w:rsidR="00F10B07" w:rsidRPr="00F10B07" w:rsidRDefault="000766BD" w:rsidP="00371E99">
      <w:pPr>
        <w:pStyle w:val="Heading2"/>
        <w:rPr>
          <w:color w:val="auto"/>
        </w:rPr>
      </w:pPr>
      <w:r w:rsidRPr="00AD6123">
        <w:rPr>
          <w:color w:val="auto"/>
          <w:highlight w:val="yellow"/>
        </w:rPr>
        <w:t>Warm up PBS and</w:t>
      </w:r>
      <w:r w:rsidR="00C43002">
        <w:rPr>
          <w:color w:val="auto"/>
          <w:highlight w:val="yellow"/>
        </w:rPr>
        <w:t xml:space="preserve"> </w:t>
      </w:r>
      <w:r w:rsidR="00DF17CE">
        <w:rPr>
          <w:color w:val="auto"/>
          <w:highlight w:val="yellow"/>
        </w:rPr>
        <w:t xml:space="preserve">the </w:t>
      </w:r>
      <w:r w:rsidR="00C43002" w:rsidRPr="00325018">
        <w:rPr>
          <w:color w:val="auto"/>
          <w:highlight w:val="yellow"/>
        </w:rPr>
        <w:t>density gradient</w:t>
      </w:r>
      <w:r w:rsidR="00325018" w:rsidRPr="00325018">
        <w:rPr>
          <w:color w:val="auto"/>
          <w:highlight w:val="yellow"/>
        </w:rPr>
        <w:t xml:space="preserve"> medium</w:t>
      </w:r>
      <w:r w:rsidRPr="00325018">
        <w:rPr>
          <w:color w:val="auto"/>
          <w:highlight w:val="yellow"/>
        </w:rPr>
        <w:t xml:space="preserve"> to </w:t>
      </w:r>
      <w:r w:rsidRPr="00AD6123">
        <w:rPr>
          <w:color w:val="auto"/>
          <w:highlight w:val="yellow"/>
        </w:rPr>
        <w:t xml:space="preserve">room temperature. </w:t>
      </w:r>
    </w:p>
    <w:p w14:paraId="4EA414EC" w14:textId="77777777" w:rsidR="00F10B07" w:rsidRPr="00F10B07" w:rsidRDefault="00F10B07" w:rsidP="00371E99">
      <w:pPr>
        <w:pStyle w:val="Heading2"/>
        <w:numPr>
          <w:ilvl w:val="0"/>
          <w:numId w:val="0"/>
        </w:numPr>
        <w:rPr>
          <w:color w:val="auto"/>
        </w:rPr>
      </w:pPr>
    </w:p>
    <w:p w14:paraId="104D45F4" w14:textId="48D6DF54" w:rsidR="00F10B07" w:rsidRDefault="000766BD" w:rsidP="00371E99">
      <w:pPr>
        <w:pStyle w:val="Heading2"/>
        <w:rPr>
          <w:color w:val="auto"/>
        </w:rPr>
      </w:pPr>
      <w:r w:rsidRPr="00AD6123">
        <w:rPr>
          <w:color w:val="auto"/>
          <w:highlight w:val="yellow"/>
        </w:rPr>
        <w:t xml:space="preserve">Dilute the bone marrow sample of leukemia patient with PBS, in a ratio of 1:1. Make sure that </w:t>
      </w:r>
      <w:r w:rsidR="00BC3132">
        <w:rPr>
          <w:color w:val="auto"/>
          <w:highlight w:val="yellow"/>
        </w:rPr>
        <w:t xml:space="preserve">the </w:t>
      </w:r>
      <w:r w:rsidRPr="00AD6123">
        <w:rPr>
          <w:color w:val="auto"/>
          <w:highlight w:val="yellow"/>
        </w:rPr>
        <w:t>sample contains at least 80% of leukemic blasts</w:t>
      </w:r>
      <w:r w:rsidRPr="00AD6123">
        <w:rPr>
          <w:color w:val="auto"/>
        </w:rPr>
        <w:t>.</w:t>
      </w:r>
      <w:r w:rsidR="00570939" w:rsidRPr="00AD6123">
        <w:rPr>
          <w:color w:val="auto"/>
        </w:rPr>
        <w:t xml:space="preserve"> </w:t>
      </w:r>
    </w:p>
    <w:p w14:paraId="30B20C49" w14:textId="77777777" w:rsidR="00F10B07" w:rsidRPr="00F10B07" w:rsidRDefault="00F10B07" w:rsidP="00371E99"/>
    <w:p w14:paraId="40A3ACCD" w14:textId="01F09203" w:rsidR="00325018" w:rsidRDefault="00325018" w:rsidP="00371E99">
      <w:pPr>
        <w:pStyle w:val="Heading2"/>
        <w:rPr>
          <w:color w:val="auto"/>
        </w:rPr>
      </w:pPr>
      <w:r>
        <w:rPr>
          <w:color w:val="auto"/>
        </w:rPr>
        <w:t>Determine t</w:t>
      </w:r>
      <w:r w:rsidR="00570939" w:rsidRPr="00AD6123">
        <w:rPr>
          <w:color w:val="auto"/>
        </w:rPr>
        <w:t xml:space="preserve">he percentage of blasts </w:t>
      </w:r>
      <w:r w:rsidR="00230D35" w:rsidRPr="00AD6123">
        <w:rPr>
          <w:color w:val="auto"/>
        </w:rPr>
        <w:t>by</w:t>
      </w:r>
      <w:r w:rsidR="00570939" w:rsidRPr="00AD6123">
        <w:rPr>
          <w:color w:val="auto"/>
        </w:rPr>
        <w:t xml:space="preserve"> flow cytometry </w:t>
      </w:r>
      <w:r w:rsidR="00230D35" w:rsidRPr="00AD6123">
        <w:rPr>
          <w:color w:val="auto"/>
        </w:rPr>
        <w:t>using specific CD markers for immunophenotype characterization of cell types</w:t>
      </w:r>
      <w:r w:rsidR="00570939" w:rsidRPr="00AD6123">
        <w:rPr>
          <w:color w:val="auto"/>
        </w:rPr>
        <w:t>.</w:t>
      </w:r>
      <w:r w:rsidR="00230D35" w:rsidRPr="00AD6123">
        <w:rPr>
          <w:color w:val="auto"/>
        </w:rPr>
        <w:t xml:space="preserve"> After </w:t>
      </w:r>
      <w:r>
        <w:rPr>
          <w:color w:val="auto"/>
        </w:rPr>
        <w:t>density gradient</w:t>
      </w:r>
      <w:r w:rsidR="00230D35" w:rsidRPr="00AD6123">
        <w:rPr>
          <w:color w:val="auto"/>
        </w:rPr>
        <w:t xml:space="preserve"> separation</w:t>
      </w:r>
      <w:r>
        <w:rPr>
          <w:color w:val="auto"/>
        </w:rPr>
        <w:t>, detect</w:t>
      </w:r>
      <w:r w:rsidR="00230D35" w:rsidRPr="00AD6123">
        <w:rPr>
          <w:color w:val="auto"/>
        </w:rPr>
        <w:t xml:space="preserve"> </w:t>
      </w:r>
      <w:r w:rsidR="00BC3132">
        <w:rPr>
          <w:color w:val="auto"/>
        </w:rPr>
        <w:t>nucleic acid</w:t>
      </w:r>
      <w:r w:rsidR="00230D35" w:rsidRPr="00AD6123">
        <w:rPr>
          <w:color w:val="auto"/>
        </w:rPr>
        <w:t xml:space="preserve"> positive events </w:t>
      </w:r>
      <w:r w:rsidR="00BC3132">
        <w:rPr>
          <w:color w:val="auto"/>
        </w:rPr>
        <w:t xml:space="preserve">with a nuclear dye </w:t>
      </w:r>
      <w:proofErr w:type="gramStart"/>
      <w:r w:rsidR="00230D35" w:rsidRPr="00AD6123">
        <w:rPr>
          <w:color w:val="auto"/>
        </w:rPr>
        <w:t>in order to</w:t>
      </w:r>
      <w:proofErr w:type="gramEnd"/>
      <w:r w:rsidR="00230D35" w:rsidRPr="00AD6123">
        <w:rPr>
          <w:color w:val="auto"/>
        </w:rPr>
        <w:t xml:space="preserve"> establish the overall cell count.</w:t>
      </w:r>
    </w:p>
    <w:p w14:paraId="0925C641" w14:textId="77777777" w:rsidR="00325018" w:rsidRPr="00325018" w:rsidRDefault="00325018" w:rsidP="00371E99"/>
    <w:p w14:paraId="2E32C24F" w14:textId="48722710" w:rsidR="000766BD" w:rsidRPr="00AD6123" w:rsidRDefault="00230D35" w:rsidP="00371E99">
      <w:pPr>
        <w:pStyle w:val="Heading2"/>
        <w:rPr>
          <w:color w:val="auto"/>
        </w:rPr>
      </w:pPr>
      <w:r w:rsidRPr="00AD6123">
        <w:rPr>
          <w:color w:val="auto"/>
        </w:rPr>
        <w:t xml:space="preserve"> Then</w:t>
      </w:r>
      <w:r w:rsidR="00325018">
        <w:rPr>
          <w:color w:val="auto"/>
        </w:rPr>
        <w:t>, determine</w:t>
      </w:r>
      <w:r w:rsidRPr="00AD6123">
        <w:rPr>
          <w:color w:val="auto"/>
        </w:rPr>
        <w:t xml:space="preserve"> leukemia cells using specific CD markers for each type of leukemia: B-ALL (CD19, CD45), T-ALL (CD3,</w:t>
      </w:r>
      <w:r w:rsidR="00343CA3" w:rsidRPr="00AD6123">
        <w:rPr>
          <w:color w:val="auto"/>
        </w:rPr>
        <w:t xml:space="preserve"> </w:t>
      </w:r>
      <w:r w:rsidRPr="00AD6123">
        <w:rPr>
          <w:color w:val="auto"/>
        </w:rPr>
        <w:t>CD4, CD8, CD5, CD7, CD99) and AML (CD45, CD33</w:t>
      </w:r>
      <w:r w:rsidR="001F39AD">
        <w:rPr>
          <w:color w:val="auto"/>
        </w:rPr>
        <w:t>,</w:t>
      </w:r>
      <w:r w:rsidRPr="00AD6123">
        <w:rPr>
          <w:color w:val="auto"/>
        </w:rPr>
        <w:t xml:space="preserve"> and specific myeloid markers)</w:t>
      </w:r>
      <w:r w:rsidR="00325018">
        <w:rPr>
          <w:color w:val="auto"/>
        </w:rPr>
        <w:fldChar w:fldCharType="begin" w:fldLock="1"/>
      </w:r>
      <w:r w:rsidR="00A24433">
        <w:rPr>
          <w:color w:val="auto"/>
        </w:rPr>
        <w:instrText>ADDIN CSL_CITATION { "citationItems" : [ { "id" : "ITEM-1", "itemData" : { "DOI" : "10.1038/sj.leu.2402504", "ISSN" : "0887-6924", "PMID" : "12094248", "abstract" : "Multi-parameter flow cytometry, molecular genetics, and cytogenetic studies have all contributed to new classification of leukemia. In this review we discuss immunophenotypic characteristics of major genotypic leukemia categories. We describe immunophenotype of: B-lineage ALL with MLL rearrangements, TEL/AML1, BCR/ABL, E2A/PBX1 translocations, hyperdiploidy, and myc fusion genes; T-ALL with SCL gene aberrations and t(5;14) translocation; and AML with AML1/ETO, PML/RARalpha, OTT/MAL and CBFbeta/MYH11 translocations, trisomies 8 or 11 and aberrations of chromosomes 7 and 5. Whereas some genotypes associate with certain immunophenotypic features, others can present with variable immunophenotype. Single molecules (as NG2, CBFbeta/SMMHC and PML/RARalpha proteins) associated with or derived from specific translocations have been described. More often, complex immunophenotype patterns have been related to the genotype categories. Most known associations between immunophenotype and genotype have been defined empirically. Therefore, these associations should be validated in independent patient cohorts before they can be widely used for prescreening of leukemia. Progress in our knowledge on leukemia will show how the molecular-genetic changes modulate the immunophenotype as well as how the expressed protein molecules further modulate cell behavior.", "author" : [ { "dropping-particle" : "", "family" : "Hru\u0161\u00e1k", "given" : "O", "non-dropping-particle" : "", "parse-names" : false, "suffix" : "" }, { "dropping-particle" : "", "family" : "Porwit-MacDonald", "given" : "A", "non-dropping-particle" : "", "parse-names" : false, "suffix" : "" } ], "container-title" : "Leukemia", "id" : "ITEM-1", "issue" : "7", "issued" : { "date-parts" : [ [ "2002", "7", "1" ] ] }, "page" : "1233-1258", "title" : "Antigen expression patterns reflecting genotype of acute leukemias", "type" : "article-journal", "volume" : "16" }, "uris" : [ "http://www.mendeley.com/documents/?uuid=877f8a01-c00c-31a1-ba30-061e6c4fbf6a" ] } ], "mendeley" : { "formattedCitation" : "&lt;sup&gt;24&lt;/sup&gt;", "plainTextFormattedCitation" : "24", "previouslyFormattedCitation" : "&lt;sup&gt;24&lt;/sup&gt;" }, "properties" : { "noteIndex" : 0 }, "schema" : "https://github.com/citation-style-language/schema/raw/master/csl-citation.json" }</w:instrText>
      </w:r>
      <w:r w:rsidR="00325018">
        <w:rPr>
          <w:color w:val="auto"/>
        </w:rPr>
        <w:fldChar w:fldCharType="separate"/>
      </w:r>
      <w:r w:rsidR="00325018" w:rsidRPr="00325018">
        <w:rPr>
          <w:noProof/>
          <w:color w:val="auto"/>
          <w:vertAlign w:val="superscript"/>
        </w:rPr>
        <w:t>24</w:t>
      </w:r>
      <w:r w:rsidR="00325018">
        <w:rPr>
          <w:color w:val="auto"/>
        </w:rPr>
        <w:fldChar w:fldCharType="end"/>
      </w:r>
      <w:r w:rsidRPr="00AD6123">
        <w:rPr>
          <w:color w:val="auto"/>
        </w:rPr>
        <w:t xml:space="preserve">. </w:t>
      </w:r>
      <w:r w:rsidR="00FC170C">
        <w:rPr>
          <w:color w:val="auto"/>
        </w:rPr>
        <w:t>Divide the n</w:t>
      </w:r>
      <w:r w:rsidRPr="00AD6123">
        <w:rPr>
          <w:color w:val="auto"/>
        </w:rPr>
        <w:t xml:space="preserve">umber of leukemia cells positive for specific CD markers </w:t>
      </w:r>
      <w:r w:rsidR="00FC170C">
        <w:rPr>
          <w:color w:val="auto"/>
        </w:rPr>
        <w:t>by</w:t>
      </w:r>
      <w:r w:rsidRPr="00AD6123">
        <w:rPr>
          <w:color w:val="auto"/>
        </w:rPr>
        <w:t xml:space="preserve"> all nuclear cells </w:t>
      </w:r>
      <w:r w:rsidR="00BC3132" w:rsidRPr="00AD6123">
        <w:rPr>
          <w:color w:val="auto"/>
        </w:rPr>
        <w:t>to</w:t>
      </w:r>
      <w:r w:rsidRPr="00AD6123">
        <w:rPr>
          <w:color w:val="auto"/>
        </w:rPr>
        <w:t xml:space="preserve"> determine the percentage of leukemia blast cells.</w:t>
      </w:r>
    </w:p>
    <w:p w14:paraId="6FC94A45" w14:textId="77777777" w:rsidR="00325018" w:rsidRDefault="00325018" w:rsidP="00371E99">
      <w:pPr>
        <w:rPr>
          <w:color w:val="auto"/>
        </w:rPr>
      </w:pPr>
    </w:p>
    <w:p w14:paraId="6C551DA6" w14:textId="4974AFC8" w:rsidR="000766BD" w:rsidRPr="00AD6123" w:rsidRDefault="00371E99" w:rsidP="00371E99">
      <w:pPr>
        <w:rPr>
          <w:rFonts w:asciiTheme="minorHAnsi" w:hAnsiTheme="minorHAnsi" w:cstheme="minorHAnsi"/>
          <w:color w:val="auto"/>
        </w:rPr>
      </w:pPr>
      <w:r>
        <w:rPr>
          <w:rFonts w:asciiTheme="minorHAnsi" w:hAnsiTheme="minorHAnsi" w:cstheme="minorHAnsi"/>
          <w:color w:val="auto"/>
        </w:rPr>
        <w:t>Note</w:t>
      </w:r>
      <w:r w:rsidR="000766BD" w:rsidRPr="004E0F88">
        <w:rPr>
          <w:rFonts w:asciiTheme="minorHAnsi" w:hAnsiTheme="minorHAnsi" w:cstheme="minorHAnsi"/>
          <w:color w:val="auto"/>
        </w:rPr>
        <w:t xml:space="preserve">: </w:t>
      </w:r>
      <w:r w:rsidR="004E0F88" w:rsidRPr="004E0F88">
        <w:rPr>
          <w:rFonts w:asciiTheme="minorHAnsi" w:hAnsiTheme="minorHAnsi" w:cstheme="minorHAnsi"/>
          <w:color w:val="auto"/>
        </w:rPr>
        <w:t>T</w:t>
      </w:r>
      <w:r w:rsidR="00C43002" w:rsidRPr="004E0F88">
        <w:rPr>
          <w:rFonts w:asciiTheme="minorHAnsi" w:hAnsiTheme="minorHAnsi" w:cstheme="minorHAnsi"/>
          <w:color w:val="auto"/>
        </w:rPr>
        <w:t xml:space="preserve">he </w:t>
      </w:r>
      <w:r w:rsidR="004E0F88" w:rsidRPr="004E0F88">
        <w:rPr>
          <w:rFonts w:asciiTheme="minorHAnsi" w:hAnsiTheme="minorHAnsi" w:cstheme="minorHAnsi"/>
          <w:color w:val="auto"/>
        </w:rPr>
        <w:t>b</w:t>
      </w:r>
      <w:r w:rsidR="000766BD" w:rsidRPr="004E0F88">
        <w:rPr>
          <w:rFonts w:asciiTheme="minorHAnsi" w:hAnsiTheme="minorHAnsi" w:cstheme="minorHAnsi"/>
          <w:color w:val="auto"/>
        </w:rPr>
        <w:t>one marrow</w:t>
      </w:r>
      <w:r w:rsidR="00C43002" w:rsidRPr="004E0F88">
        <w:rPr>
          <w:rFonts w:asciiTheme="minorHAnsi" w:hAnsiTheme="minorHAnsi" w:cstheme="minorHAnsi"/>
          <w:color w:val="auto"/>
        </w:rPr>
        <w:t xml:space="preserve"> </w:t>
      </w:r>
      <w:proofErr w:type="gramStart"/>
      <w:r w:rsidR="00C43002" w:rsidRPr="004E0F88">
        <w:rPr>
          <w:rFonts w:asciiTheme="minorHAnsi" w:hAnsiTheme="minorHAnsi" w:cstheme="minorHAnsi"/>
          <w:color w:val="auto"/>
        </w:rPr>
        <w:t>has to</w:t>
      </w:r>
      <w:proofErr w:type="gramEnd"/>
      <w:r w:rsidR="00C43002" w:rsidRPr="004E0F88">
        <w:rPr>
          <w:rFonts w:asciiTheme="minorHAnsi" w:hAnsiTheme="minorHAnsi" w:cstheme="minorHAnsi"/>
          <w:color w:val="auto"/>
        </w:rPr>
        <w:t xml:space="preserve"> be collected into the tubes with anticoagulants</w:t>
      </w:r>
      <w:r w:rsidR="004E0F88" w:rsidRPr="004E0F88">
        <w:rPr>
          <w:rFonts w:asciiTheme="minorHAnsi" w:hAnsiTheme="minorHAnsi" w:cstheme="minorHAnsi"/>
          <w:color w:val="auto"/>
        </w:rPr>
        <w:t>.</w:t>
      </w:r>
    </w:p>
    <w:p w14:paraId="2DF88994" w14:textId="77777777" w:rsidR="00AD1109" w:rsidRPr="00AD6123" w:rsidRDefault="00AD1109" w:rsidP="00371E99">
      <w:pPr>
        <w:rPr>
          <w:rFonts w:asciiTheme="minorHAnsi" w:hAnsiTheme="minorHAnsi" w:cstheme="minorHAnsi"/>
          <w:color w:val="auto"/>
        </w:rPr>
      </w:pPr>
    </w:p>
    <w:p w14:paraId="185F580D" w14:textId="22886D93" w:rsidR="000766BD" w:rsidRPr="00AD6123" w:rsidRDefault="000766BD" w:rsidP="00371E99">
      <w:pPr>
        <w:pStyle w:val="Heading2"/>
        <w:rPr>
          <w:color w:val="auto"/>
        </w:rPr>
      </w:pPr>
      <w:r w:rsidRPr="00AD6123">
        <w:rPr>
          <w:color w:val="auto"/>
          <w:highlight w:val="yellow"/>
        </w:rPr>
        <w:t>Carefully layer 6 mL of diluted bone marrow sample over 6 mL of</w:t>
      </w:r>
      <w:r w:rsidR="00AE0823">
        <w:rPr>
          <w:color w:val="auto"/>
          <w:highlight w:val="yellow"/>
        </w:rPr>
        <w:t xml:space="preserve"> the</w:t>
      </w:r>
      <w:r w:rsidRPr="00AD6123">
        <w:rPr>
          <w:color w:val="auto"/>
          <w:highlight w:val="yellow"/>
        </w:rPr>
        <w:t xml:space="preserve"> </w:t>
      </w:r>
      <w:r w:rsidR="003461CC">
        <w:rPr>
          <w:color w:val="auto"/>
          <w:highlight w:val="yellow"/>
        </w:rPr>
        <w:t>density gradient medium</w:t>
      </w:r>
      <w:r w:rsidRPr="00AD6123">
        <w:rPr>
          <w:color w:val="auto"/>
          <w:highlight w:val="yellow"/>
        </w:rPr>
        <w:t xml:space="preserve"> in a 15 mL conical tube. Centrifuge at 400 × g for 35 min at 4 °C in a</w:t>
      </w:r>
      <w:r w:rsidR="00343CA3" w:rsidRPr="00AD6123">
        <w:rPr>
          <w:color w:val="auto"/>
          <w:highlight w:val="yellow"/>
        </w:rPr>
        <w:t xml:space="preserve"> swinging-bucket rotor without</w:t>
      </w:r>
      <w:r w:rsidRPr="00AD6123">
        <w:rPr>
          <w:color w:val="auto"/>
          <w:highlight w:val="yellow"/>
        </w:rPr>
        <w:t xml:space="preserve"> </w:t>
      </w:r>
      <w:r w:rsidR="001F39AD">
        <w:rPr>
          <w:color w:val="auto"/>
          <w:highlight w:val="yellow"/>
        </w:rPr>
        <w:t xml:space="preserve">the </w:t>
      </w:r>
      <w:r w:rsidR="00343CA3" w:rsidRPr="00AD6123">
        <w:rPr>
          <w:color w:val="auto"/>
          <w:highlight w:val="yellow"/>
        </w:rPr>
        <w:t>brake</w:t>
      </w:r>
      <w:r w:rsidRPr="00AD6123">
        <w:rPr>
          <w:color w:val="auto"/>
          <w:highlight w:val="yellow"/>
        </w:rPr>
        <w:t>.</w:t>
      </w:r>
    </w:p>
    <w:p w14:paraId="2953DA2C" w14:textId="77777777" w:rsidR="00AD1109" w:rsidRPr="00AD6123" w:rsidRDefault="00AD1109" w:rsidP="00371E99">
      <w:pPr>
        <w:rPr>
          <w:color w:val="auto"/>
        </w:rPr>
      </w:pPr>
    </w:p>
    <w:p w14:paraId="1CC1B02F" w14:textId="73C5107B" w:rsidR="000766BD" w:rsidRPr="00AD6123" w:rsidRDefault="000766BD" w:rsidP="00371E99">
      <w:pPr>
        <w:rPr>
          <w:rFonts w:asciiTheme="minorHAnsi" w:hAnsiTheme="minorHAnsi" w:cstheme="minorHAnsi"/>
          <w:color w:val="auto"/>
        </w:rPr>
      </w:pPr>
      <w:r w:rsidRPr="00AD6123">
        <w:rPr>
          <w:rFonts w:asciiTheme="minorHAnsi" w:hAnsiTheme="minorHAnsi" w:cstheme="minorHAnsi"/>
          <w:color w:val="auto"/>
        </w:rPr>
        <w:t>N</w:t>
      </w:r>
      <w:r w:rsidR="00371E99">
        <w:rPr>
          <w:rFonts w:asciiTheme="minorHAnsi" w:hAnsiTheme="minorHAnsi" w:cstheme="minorHAnsi"/>
          <w:color w:val="auto"/>
        </w:rPr>
        <w:t>ote</w:t>
      </w:r>
      <w:r w:rsidRPr="00AD6123">
        <w:rPr>
          <w:rFonts w:asciiTheme="minorHAnsi" w:hAnsiTheme="minorHAnsi" w:cstheme="minorHAnsi"/>
          <w:color w:val="auto"/>
        </w:rPr>
        <w:t xml:space="preserve">: Larger volume of the sample could be divided into more aliquots or 50 mL conical tube </w:t>
      </w:r>
      <w:r w:rsidR="001F39AD">
        <w:rPr>
          <w:rFonts w:asciiTheme="minorHAnsi" w:hAnsiTheme="minorHAnsi" w:cstheme="minorHAnsi"/>
          <w:color w:val="auto"/>
        </w:rPr>
        <w:t xml:space="preserve">can be used </w:t>
      </w:r>
      <w:r w:rsidRPr="00AD6123">
        <w:rPr>
          <w:rFonts w:asciiTheme="minorHAnsi" w:hAnsiTheme="minorHAnsi" w:cstheme="minorHAnsi"/>
          <w:color w:val="auto"/>
        </w:rPr>
        <w:t xml:space="preserve">with </w:t>
      </w:r>
      <w:r w:rsidR="001F39AD">
        <w:rPr>
          <w:rFonts w:asciiTheme="minorHAnsi" w:hAnsiTheme="minorHAnsi" w:cstheme="minorHAnsi"/>
          <w:color w:val="auto"/>
        </w:rPr>
        <w:t xml:space="preserve">the larger amount of </w:t>
      </w:r>
      <w:r w:rsidR="003461CC">
        <w:rPr>
          <w:rFonts w:asciiTheme="minorHAnsi" w:hAnsiTheme="minorHAnsi" w:cstheme="minorHAnsi"/>
          <w:color w:val="auto"/>
        </w:rPr>
        <w:t>density gradient medium.</w:t>
      </w:r>
    </w:p>
    <w:p w14:paraId="7CAB8BEF" w14:textId="77777777" w:rsidR="00AD1109" w:rsidRPr="00AD6123" w:rsidRDefault="00AD1109" w:rsidP="00371E99">
      <w:pPr>
        <w:rPr>
          <w:rFonts w:asciiTheme="minorHAnsi" w:hAnsiTheme="minorHAnsi" w:cstheme="minorHAnsi"/>
          <w:color w:val="auto"/>
        </w:rPr>
      </w:pPr>
    </w:p>
    <w:p w14:paraId="4D90BD29" w14:textId="1594E3F4" w:rsidR="000766BD" w:rsidRPr="00AD6123" w:rsidRDefault="00F10B07" w:rsidP="00371E99">
      <w:pPr>
        <w:pStyle w:val="Heading2"/>
        <w:rPr>
          <w:color w:val="auto"/>
          <w:highlight w:val="yellow"/>
        </w:rPr>
      </w:pPr>
      <w:r>
        <w:rPr>
          <w:color w:val="auto"/>
          <w:highlight w:val="yellow"/>
        </w:rPr>
        <w:t>Using a Pasteur pipette, c</w:t>
      </w:r>
      <w:r w:rsidR="000766BD" w:rsidRPr="00AD6123">
        <w:rPr>
          <w:color w:val="auto"/>
          <w:highlight w:val="yellow"/>
        </w:rPr>
        <w:t xml:space="preserve">arefully transfer </w:t>
      </w:r>
      <w:r>
        <w:rPr>
          <w:color w:val="auto"/>
          <w:highlight w:val="yellow"/>
        </w:rPr>
        <w:t xml:space="preserve">the interphase layer </w:t>
      </w:r>
      <w:r w:rsidR="000D6F39">
        <w:rPr>
          <w:color w:val="auto"/>
          <w:highlight w:val="yellow"/>
        </w:rPr>
        <w:t>which consist</w:t>
      </w:r>
      <w:r w:rsidR="002972D8">
        <w:rPr>
          <w:color w:val="auto"/>
          <w:highlight w:val="yellow"/>
        </w:rPr>
        <w:t>s</w:t>
      </w:r>
      <w:r w:rsidR="000D6F39">
        <w:rPr>
          <w:color w:val="auto"/>
          <w:highlight w:val="yellow"/>
        </w:rPr>
        <w:t xml:space="preserve"> of </w:t>
      </w:r>
      <w:r w:rsidR="000766BD" w:rsidRPr="00AD6123">
        <w:rPr>
          <w:color w:val="auto"/>
          <w:highlight w:val="yellow"/>
        </w:rPr>
        <w:t>mononuclear cell</w:t>
      </w:r>
      <w:r w:rsidR="003461CC">
        <w:rPr>
          <w:color w:val="auto"/>
          <w:highlight w:val="yellow"/>
        </w:rPr>
        <w:t>s</w:t>
      </w:r>
      <w:r w:rsidR="000766BD" w:rsidRPr="00AD6123">
        <w:rPr>
          <w:color w:val="auto"/>
          <w:highlight w:val="yellow"/>
        </w:rPr>
        <w:t xml:space="preserve"> </w:t>
      </w:r>
      <w:r w:rsidR="003461CC" w:rsidRPr="00AD6123">
        <w:rPr>
          <w:color w:val="auto"/>
          <w:highlight w:val="yellow"/>
        </w:rPr>
        <w:t>(</w:t>
      </w:r>
      <w:r w:rsidR="003461CC" w:rsidRPr="00F10B07">
        <w:rPr>
          <w:b/>
          <w:color w:val="auto"/>
          <w:highlight w:val="yellow"/>
        </w:rPr>
        <w:t>Figure 1</w:t>
      </w:r>
      <w:r w:rsidR="003461CC" w:rsidRPr="00AD6123">
        <w:rPr>
          <w:color w:val="auto"/>
          <w:highlight w:val="yellow"/>
        </w:rPr>
        <w:t>)</w:t>
      </w:r>
      <w:r w:rsidR="003461CC">
        <w:rPr>
          <w:color w:val="auto"/>
          <w:highlight w:val="yellow"/>
        </w:rPr>
        <w:t xml:space="preserve"> </w:t>
      </w:r>
      <w:r w:rsidR="000766BD" w:rsidRPr="00AD6123">
        <w:rPr>
          <w:color w:val="auto"/>
          <w:highlight w:val="yellow"/>
        </w:rPr>
        <w:t>to a new 50 mL conical tube with 5 mL of PBS. Centrifuge at 400 × g for 10 min at 4 °C in a swinging-bucket rotor.</w:t>
      </w:r>
    </w:p>
    <w:p w14:paraId="5AAF6E8A" w14:textId="77777777" w:rsidR="00AD1109" w:rsidRPr="00AD6123" w:rsidRDefault="00AD1109" w:rsidP="00371E99">
      <w:pPr>
        <w:rPr>
          <w:color w:val="auto"/>
        </w:rPr>
      </w:pPr>
    </w:p>
    <w:p w14:paraId="44B5AFAD" w14:textId="0CA549DF" w:rsidR="000766BD" w:rsidRPr="00AD6123" w:rsidRDefault="000766BD" w:rsidP="00371E99">
      <w:pPr>
        <w:rPr>
          <w:rFonts w:asciiTheme="minorHAnsi" w:hAnsiTheme="minorHAnsi" w:cstheme="minorHAnsi"/>
          <w:color w:val="auto"/>
        </w:rPr>
      </w:pPr>
      <w:r w:rsidRPr="00AD6123">
        <w:rPr>
          <w:rFonts w:asciiTheme="minorHAnsi" w:hAnsiTheme="minorHAnsi" w:cstheme="minorHAnsi"/>
          <w:color w:val="auto"/>
        </w:rPr>
        <w:t>N</w:t>
      </w:r>
      <w:r w:rsidR="00371E99">
        <w:rPr>
          <w:rFonts w:asciiTheme="minorHAnsi" w:hAnsiTheme="minorHAnsi" w:cstheme="minorHAnsi"/>
          <w:color w:val="auto"/>
        </w:rPr>
        <w:t>ote</w:t>
      </w:r>
      <w:r w:rsidRPr="00AD6123">
        <w:rPr>
          <w:rFonts w:asciiTheme="minorHAnsi" w:hAnsiTheme="minorHAnsi" w:cstheme="minorHAnsi"/>
          <w:color w:val="auto"/>
        </w:rPr>
        <w:t>: Transfer all mononuclear cell layers into</w:t>
      </w:r>
      <w:r w:rsidR="001F39AD">
        <w:rPr>
          <w:rFonts w:asciiTheme="minorHAnsi" w:hAnsiTheme="minorHAnsi" w:cstheme="minorHAnsi"/>
          <w:color w:val="auto"/>
        </w:rPr>
        <w:t xml:space="preserve"> a</w:t>
      </w:r>
      <w:r w:rsidRPr="00AD6123">
        <w:rPr>
          <w:rFonts w:asciiTheme="minorHAnsi" w:hAnsiTheme="minorHAnsi" w:cstheme="minorHAnsi"/>
          <w:color w:val="auto"/>
        </w:rPr>
        <w:t xml:space="preserve"> single 50 mL conical tube with 5 mL of PBS.</w:t>
      </w:r>
    </w:p>
    <w:p w14:paraId="7EB689D3" w14:textId="77777777" w:rsidR="00AD1109" w:rsidRPr="00AD6123" w:rsidRDefault="00AD1109" w:rsidP="00371E99">
      <w:pPr>
        <w:rPr>
          <w:rFonts w:asciiTheme="minorHAnsi" w:hAnsiTheme="minorHAnsi" w:cstheme="minorHAnsi"/>
          <w:color w:val="auto"/>
        </w:rPr>
      </w:pPr>
    </w:p>
    <w:p w14:paraId="3C8B8205" w14:textId="77777777" w:rsidR="00D85412" w:rsidRDefault="000766BD" w:rsidP="00371E99">
      <w:pPr>
        <w:pStyle w:val="Heading2"/>
        <w:rPr>
          <w:color w:val="auto"/>
        </w:rPr>
      </w:pPr>
      <w:r w:rsidRPr="00D85412">
        <w:rPr>
          <w:color w:val="auto"/>
          <w:highlight w:val="yellow"/>
        </w:rPr>
        <w:t xml:space="preserve">Aspirate the supernatant and resuspend the cell pellet in 2 mL of </w:t>
      </w:r>
      <w:r w:rsidR="00AD1109" w:rsidRPr="00D85412">
        <w:rPr>
          <w:color w:val="auto"/>
          <w:highlight w:val="yellow"/>
        </w:rPr>
        <w:t xml:space="preserve">sterile </w:t>
      </w:r>
      <w:r w:rsidRPr="00D85412">
        <w:rPr>
          <w:color w:val="auto"/>
          <w:highlight w:val="yellow"/>
        </w:rPr>
        <w:t>PBS. Count the cells</w:t>
      </w:r>
      <w:r w:rsidR="00F10B07" w:rsidRPr="00D85412">
        <w:rPr>
          <w:color w:val="auto"/>
          <w:highlight w:val="yellow"/>
        </w:rPr>
        <w:t xml:space="preserve"> using a hemocytometer</w:t>
      </w:r>
      <w:r w:rsidRPr="00D85412">
        <w:rPr>
          <w:color w:val="auto"/>
          <w:highlight w:val="yellow"/>
        </w:rPr>
        <w:t>.</w:t>
      </w:r>
      <w:r w:rsidRPr="00D85412">
        <w:rPr>
          <w:color w:val="auto"/>
        </w:rPr>
        <w:t xml:space="preserve"> </w:t>
      </w:r>
      <w:r w:rsidR="00232A88" w:rsidRPr="00D85412">
        <w:rPr>
          <w:color w:val="auto"/>
        </w:rPr>
        <w:t xml:space="preserve"> </w:t>
      </w:r>
    </w:p>
    <w:p w14:paraId="6B166FE8" w14:textId="77777777" w:rsidR="00D85412" w:rsidRDefault="00D85412" w:rsidP="00371E99">
      <w:pPr>
        <w:pStyle w:val="Heading2"/>
        <w:numPr>
          <w:ilvl w:val="0"/>
          <w:numId w:val="0"/>
        </w:numPr>
        <w:rPr>
          <w:color w:val="auto"/>
        </w:rPr>
      </w:pPr>
    </w:p>
    <w:p w14:paraId="09215B44" w14:textId="18C49F31" w:rsidR="000766BD" w:rsidRPr="00D85412" w:rsidRDefault="00D85412" w:rsidP="00371E99">
      <w:pPr>
        <w:pStyle w:val="Heading2"/>
        <w:numPr>
          <w:ilvl w:val="0"/>
          <w:numId w:val="0"/>
        </w:numPr>
        <w:rPr>
          <w:color w:val="auto"/>
        </w:rPr>
      </w:pPr>
      <w:r>
        <w:rPr>
          <w:color w:val="auto"/>
        </w:rPr>
        <w:t>N</w:t>
      </w:r>
      <w:r w:rsidR="00371E99">
        <w:rPr>
          <w:color w:val="auto"/>
        </w:rPr>
        <w:t>ote</w:t>
      </w:r>
      <w:r>
        <w:rPr>
          <w:color w:val="auto"/>
        </w:rPr>
        <w:t xml:space="preserve">: </w:t>
      </w:r>
      <w:r w:rsidR="001619CE" w:rsidRPr="00D85412">
        <w:rPr>
          <w:color w:val="auto"/>
        </w:rPr>
        <w:t xml:space="preserve">The number of leukemia cells </w:t>
      </w:r>
      <w:r>
        <w:rPr>
          <w:color w:val="auto"/>
        </w:rPr>
        <w:t>in one</w:t>
      </w:r>
      <w:r w:rsidR="005326A3" w:rsidRPr="00D85412">
        <w:rPr>
          <w:color w:val="auto"/>
        </w:rPr>
        <w:t xml:space="preserve"> mL of </w:t>
      </w:r>
      <w:r>
        <w:rPr>
          <w:color w:val="auto"/>
        </w:rPr>
        <w:t xml:space="preserve">aspirated </w:t>
      </w:r>
      <w:r w:rsidR="005326A3" w:rsidRPr="00D85412">
        <w:rPr>
          <w:color w:val="auto"/>
        </w:rPr>
        <w:t xml:space="preserve">bone marrow </w:t>
      </w:r>
      <w:r w:rsidR="001619CE" w:rsidRPr="00D85412">
        <w:rPr>
          <w:color w:val="auto"/>
        </w:rPr>
        <w:t xml:space="preserve">differs </w:t>
      </w:r>
      <w:r w:rsidR="005326A3" w:rsidRPr="00D85412">
        <w:rPr>
          <w:color w:val="auto"/>
        </w:rPr>
        <w:t xml:space="preserve">significantly </w:t>
      </w:r>
      <w:r w:rsidR="001619CE" w:rsidRPr="00D85412">
        <w:rPr>
          <w:color w:val="auto"/>
        </w:rPr>
        <w:t>among patients</w:t>
      </w:r>
      <w:r w:rsidR="005326A3" w:rsidRPr="00D85412">
        <w:rPr>
          <w:color w:val="auto"/>
        </w:rPr>
        <w:fldChar w:fldCharType="begin" w:fldLock="1"/>
      </w:r>
      <w:r w:rsidR="005326A3" w:rsidRPr="00D85412">
        <w:rPr>
          <w:color w:val="auto"/>
        </w:rPr>
        <w:instrText>ADDIN CSL_CITATION { "citationItems" : [ { "id" : "ITEM-1", "itemData" : { "DOI" : "10.1038/sj.leu.2403876", "ISSN" : "0887-6924", "abstract" : "Having a higher blast percentage in circulation than bone marrow: clinical implications in myelodysplastic syndrome and acute lymphoid and myeloid leukemias", "author" : [ { "dropping-particle" : "", "family" : "Amin", "given" : "H M", "non-dropping-particle" : "", "parse-names" : false, "suffix" : "" }, { "dropping-particle" : "", "family" : "Yang", "given" : "Y", "non-dropping-particle" : "", "parse-names" : false, "suffix" : "" }, { "dropping-particle" : "", "family" : "Shen", "given" : "Y", "non-dropping-particle" : "", "parse-names" : false, "suffix" : "" }, { "dropping-particle" : "", "family" : "Estey", "given" : "E H", "non-dropping-particle" : "", "parse-names" : false, "suffix" : "" }, { "dropping-particle" : "", "family" : "Giles", "given" : "F J", "non-dropping-particle" : "", "parse-names" : false, "suffix" : "" }, { "dropping-particle" : "", "family" : "Pierce", "given" : "S A", "non-dropping-particle" : "", "parse-names" : false, "suffix" : "" }, { "dropping-particle" : "", "family" : "Kantarjian", "given" : "H M", "non-dropping-particle" : "", "parse-names" : false, "suffix" : "" }, { "dropping-particle" : "", "family" : "O'Brien", "given" : "S M", "non-dropping-particle" : "", "parse-names" : false, "suffix" : "" }, { "dropping-particle" : "", "family" : "Jilani", "given" : "I", "non-dropping-particle" : "", "parse-names" : false, "suffix" : "" }, { "dropping-particle" : "", "family" : "Albitar", "given" : "M", "non-dropping-particle" : "", "parse-names" : false, "suffix" : "" } ], "container-title" : "Leukemia", "id" : "ITEM-1", "issue" : "9", "issued" : { "date-parts" : [ [ "2005", "9", "28" ] ] }, "page" : "1567-1572", "publisher" : "Nature Publishing Group", "title" : "Having a higher blast percentage in circulation than bone marrow: clinical implications in myelodysplastic syndrome and acute lymphoid and myeloid leukemias", "type" : "article-journal", "volume" : "19" }, "uris" : [ "http://www.mendeley.com/documents/?uuid=a76f7e09-638a-32f8-91d1-3cb3cd7a5ce9" ] } ], "mendeley" : { "formattedCitation" : "&lt;sup&gt;25&lt;/sup&gt;", "plainTextFormattedCitation" : "25" }, "properties" : { "noteIndex" : 0 }, "schema" : "https://github.com/citation-style-language/schema/raw/master/csl-citation.json" }</w:instrText>
      </w:r>
      <w:r w:rsidR="005326A3" w:rsidRPr="00D85412">
        <w:rPr>
          <w:color w:val="auto"/>
        </w:rPr>
        <w:fldChar w:fldCharType="separate"/>
      </w:r>
      <w:r w:rsidR="005326A3" w:rsidRPr="00D85412">
        <w:rPr>
          <w:noProof/>
          <w:color w:val="auto"/>
          <w:vertAlign w:val="superscript"/>
        </w:rPr>
        <w:t>25</w:t>
      </w:r>
      <w:r w:rsidR="005326A3" w:rsidRPr="00D85412">
        <w:rPr>
          <w:color w:val="auto"/>
        </w:rPr>
        <w:fldChar w:fldCharType="end"/>
      </w:r>
      <w:r w:rsidR="005326A3" w:rsidRPr="00D85412">
        <w:rPr>
          <w:color w:val="auto"/>
        </w:rPr>
        <w:t>.</w:t>
      </w:r>
    </w:p>
    <w:p w14:paraId="5FB6E3E4" w14:textId="77777777" w:rsidR="000766BD" w:rsidRPr="00AD6123" w:rsidRDefault="000766BD" w:rsidP="00371E99">
      <w:pPr>
        <w:rPr>
          <w:rFonts w:asciiTheme="minorHAnsi" w:hAnsiTheme="minorHAnsi" w:cstheme="minorHAnsi"/>
          <w:color w:val="auto"/>
        </w:rPr>
      </w:pPr>
    </w:p>
    <w:p w14:paraId="065197C5" w14:textId="78D74593" w:rsidR="000766BD" w:rsidRPr="00AD6123" w:rsidRDefault="000766BD" w:rsidP="00371E99">
      <w:pPr>
        <w:pStyle w:val="Heading1"/>
        <w:rPr>
          <w:color w:val="auto"/>
          <w:highlight w:val="yellow"/>
        </w:rPr>
      </w:pPr>
      <w:r w:rsidRPr="00AD6123">
        <w:rPr>
          <w:color w:val="auto"/>
          <w:highlight w:val="yellow"/>
        </w:rPr>
        <w:t xml:space="preserve">Overnight </w:t>
      </w:r>
      <w:r w:rsidR="00371E99">
        <w:rPr>
          <w:color w:val="auto"/>
          <w:highlight w:val="yellow"/>
        </w:rPr>
        <w:t>C</w:t>
      </w:r>
      <w:r w:rsidRPr="00AD6123">
        <w:rPr>
          <w:color w:val="auto"/>
          <w:highlight w:val="yellow"/>
        </w:rPr>
        <w:t xml:space="preserve">ultivation of </w:t>
      </w:r>
      <w:r w:rsidR="00371E99">
        <w:rPr>
          <w:color w:val="auto"/>
          <w:highlight w:val="yellow"/>
        </w:rPr>
        <w:t>M</w:t>
      </w:r>
      <w:r w:rsidRPr="00AD6123">
        <w:rPr>
          <w:color w:val="auto"/>
          <w:highlight w:val="yellow"/>
        </w:rPr>
        <w:t xml:space="preserve">ononuclear </w:t>
      </w:r>
      <w:r w:rsidR="00371E99">
        <w:rPr>
          <w:color w:val="auto"/>
          <w:highlight w:val="yellow"/>
        </w:rPr>
        <w:t>C</w:t>
      </w:r>
      <w:r w:rsidRPr="00AD6123">
        <w:rPr>
          <w:color w:val="auto"/>
          <w:highlight w:val="yellow"/>
        </w:rPr>
        <w:t>ells</w:t>
      </w:r>
    </w:p>
    <w:p w14:paraId="49410C2A" w14:textId="77777777" w:rsidR="00343CA3" w:rsidRPr="00AD6123" w:rsidRDefault="00343CA3" w:rsidP="00371E99">
      <w:pPr>
        <w:rPr>
          <w:color w:val="auto"/>
          <w:highlight w:val="yellow"/>
        </w:rPr>
      </w:pPr>
    </w:p>
    <w:p w14:paraId="0338104D" w14:textId="357875AA" w:rsidR="000766BD" w:rsidRPr="00AD6123" w:rsidRDefault="00D50196" w:rsidP="00371E99">
      <w:pPr>
        <w:pStyle w:val="Heading2"/>
        <w:numPr>
          <w:ilvl w:val="0"/>
          <w:numId w:val="0"/>
        </w:numPr>
        <w:rPr>
          <w:color w:val="auto"/>
        </w:rPr>
      </w:pPr>
      <w:r w:rsidRPr="00AD6123">
        <w:rPr>
          <w:color w:val="auto"/>
        </w:rPr>
        <w:t>N</w:t>
      </w:r>
      <w:r w:rsidR="00371E99">
        <w:rPr>
          <w:color w:val="auto"/>
        </w:rPr>
        <w:t>ote</w:t>
      </w:r>
      <w:r w:rsidRPr="00AD6123">
        <w:rPr>
          <w:color w:val="auto"/>
        </w:rPr>
        <w:t xml:space="preserve">: </w:t>
      </w:r>
      <w:r w:rsidR="000766BD" w:rsidRPr="00AD6123">
        <w:rPr>
          <w:color w:val="auto"/>
        </w:rPr>
        <w:t>Perform all sub-steps in a sterile tissue culture hood.</w:t>
      </w:r>
    </w:p>
    <w:p w14:paraId="57C14F13" w14:textId="77777777" w:rsidR="00AD1109" w:rsidRPr="00AD6123" w:rsidRDefault="00AD1109" w:rsidP="00371E99">
      <w:pPr>
        <w:rPr>
          <w:color w:val="auto"/>
        </w:rPr>
      </w:pPr>
    </w:p>
    <w:p w14:paraId="5215E6EA" w14:textId="40327C8F" w:rsidR="001F39AD" w:rsidRDefault="000766BD" w:rsidP="001F39AD">
      <w:pPr>
        <w:pStyle w:val="Heading2"/>
        <w:rPr>
          <w:color w:val="auto"/>
          <w:highlight w:val="yellow"/>
        </w:rPr>
      </w:pPr>
      <w:r w:rsidRPr="001F39AD">
        <w:rPr>
          <w:color w:val="auto"/>
          <w:highlight w:val="yellow"/>
        </w:rPr>
        <w:t>Prepare two T75 flasks with 20 mL of RPMI. To each flask, add 30 x 10</w:t>
      </w:r>
      <w:r w:rsidRPr="001F39AD">
        <w:rPr>
          <w:color w:val="auto"/>
          <w:highlight w:val="yellow"/>
          <w:vertAlign w:val="superscript"/>
        </w:rPr>
        <w:t>6</w:t>
      </w:r>
      <w:r w:rsidR="00BC3132" w:rsidRPr="001F39AD">
        <w:rPr>
          <w:color w:val="auto"/>
          <w:highlight w:val="yellow"/>
        </w:rPr>
        <w:t xml:space="preserve"> </w:t>
      </w:r>
      <w:r w:rsidRPr="001F39AD">
        <w:rPr>
          <w:color w:val="auto"/>
          <w:highlight w:val="yellow"/>
        </w:rPr>
        <w:t>isolated mononuclear cells. Incubate the cells</w:t>
      </w:r>
      <w:r w:rsidR="001F39AD">
        <w:rPr>
          <w:color w:val="auto"/>
          <w:highlight w:val="yellow"/>
        </w:rPr>
        <w:t xml:space="preserve"> with</w:t>
      </w:r>
      <w:r w:rsidR="001F39AD" w:rsidRPr="001F39AD">
        <w:rPr>
          <w:color w:val="auto"/>
          <w:highlight w:val="yellow"/>
        </w:rPr>
        <w:t xml:space="preserve"> the flask standing up </w:t>
      </w:r>
      <w:r w:rsidR="000D6F39" w:rsidRPr="001F39AD">
        <w:rPr>
          <w:color w:val="auto"/>
          <w:highlight w:val="yellow"/>
        </w:rPr>
        <w:t>for 16- 24 h at</w:t>
      </w:r>
      <w:r w:rsidRPr="001F39AD">
        <w:rPr>
          <w:color w:val="auto"/>
          <w:highlight w:val="yellow"/>
        </w:rPr>
        <w:t xml:space="preserve"> 5% CO</w:t>
      </w:r>
      <w:r w:rsidRPr="001F39AD">
        <w:rPr>
          <w:color w:val="auto"/>
          <w:highlight w:val="yellow"/>
          <w:vertAlign w:val="subscript"/>
        </w:rPr>
        <w:t>2</w:t>
      </w:r>
      <w:r w:rsidRPr="001F39AD">
        <w:rPr>
          <w:color w:val="auto"/>
          <w:highlight w:val="yellow"/>
        </w:rPr>
        <w:t xml:space="preserve"> and 37 °C. </w:t>
      </w:r>
    </w:p>
    <w:p w14:paraId="31F04ABC" w14:textId="77777777" w:rsidR="001F39AD" w:rsidRPr="001F39AD" w:rsidRDefault="001F39AD" w:rsidP="001F39AD">
      <w:pPr>
        <w:rPr>
          <w:highlight w:val="yellow"/>
        </w:rPr>
      </w:pPr>
    </w:p>
    <w:p w14:paraId="18158087" w14:textId="650F6EE9" w:rsidR="000766BD" w:rsidRDefault="000766BD" w:rsidP="00371E99">
      <w:pPr>
        <w:pStyle w:val="Heading1"/>
        <w:rPr>
          <w:color w:val="auto"/>
        </w:rPr>
      </w:pPr>
      <w:r w:rsidRPr="00AD6123">
        <w:rPr>
          <w:color w:val="auto"/>
          <w:highlight w:val="yellow"/>
        </w:rPr>
        <w:t xml:space="preserve">Preparation of </w:t>
      </w:r>
      <w:r w:rsidR="00371E99">
        <w:rPr>
          <w:color w:val="auto"/>
          <w:highlight w:val="yellow"/>
        </w:rPr>
        <w:t>C</w:t>
      </w:r>
      <w:r w:rsidR="000106AD">
        <w:rPr>
          <w:color w:val="auto"/>
          <w:highlight w:val="yellow"/>
        </w:rPr>
        <w:t xml:space="preserve">ell </w:t>
      </w:r>
      <w:r w:rsidR="00371E99">
        <w:rPr>
          <w:color w:val="auto"/>
          <w:highlight w:val="yellow"/>
        </w:rPr>
        <w:t>A</w:t>
      </w:r>
      <w:r w:rsidR="000106AD">
        <w:rPr>
          <w:color w:val="auto"/>
          <w:highlight w:val="yellow"/>
        </w:rPr>
        <w:t>dhesive</w:t>
      </w:r>
      <w:r w:rsidRPr="00AD6123">
        <w:rPr>
          <w:color w:val="auto"/>
          <w:highlight w:val="yellow"/>
        </w:rPr>
        <w:t xml:space="preserve">-coated </w:t>
      </w:r>
      <w:r w:rsidR="00371E99">
        <w:rPr>
          <w:color w:val="auto"/>
          <w:highlight w:val="yellow"/>
        </w:rPr>
        <w:t>P</w:t>
      </w:r>
      <w:r w:rsidRPr="00AD6123">
        <w:rPr>
          <w:color w:val="auto"/>
          <w:highlight w:val="yellow"/>
        </w:rPr>
        <w:t>lates</w:t>
      </w:r>
    </w:p>
    <w:p w14:paraId="7FD8B4A1" w14:textId="77777777" w:rsidR="00AD1109" w:rsidRPr="00AD6123" w:rsidRDefault="00AD1109" w:rsidP="00371E99">
      <w:pPr>
        <w:rPr>
          <w:color w:val="auto"/>
        </w:rPr>
      </w:pPr>
    </w:p>
    <w:p w14:paraId="0BF0824E" w14:textId="61E16672" w:rsidR="000766BD" w:rsidRPr="00581D0B" w:rsidRDefault="000766BD" w:rsidP="00371E99">
      <w:pPr>
        <w:pStyle w:val="Heading2"/>
        <w:rPr>
          <w:rFonts w:asciiTheme="minorHAnsi" w:hAnsiTheme="minorHAnsi" w:cstheme="minorHAnsi"/>
          <w:b/>
        </w:rPr>
      </w:pPr>
      <w:r w:rsidRPr="00581D0B">
        <w:rPr>
          <w:rFonts w:asciiTheme="minorHAnsi" w:hAnsiTheme="minorHAnsi" w:cstheme="minorHAnsi"/>
          <w:b/>
        </w:rPr>
        <w:t xml:space="preserve">Coat two </w:t>
      </w:r>
      <w:r w:rsidR="008B5FF8" w:rsidRPr="00581D0B">
        <w:rPr>
          <w:b/>
        </w:rPr>
        <w:t>8-well extracellular flux analyzer plates.</w:t>
      </w:r>
    </w:p>
    <w:p w14:paraId="1A8C7D98" w14:textId="77777777" w:rsidR="00AD1109" w:rsidRPr="00AD6123" w:rsidRDefault="00AD1109" w:rsidP="00371E99">
      <w:pPr>
        <w:rPr>
          <w:rFonts w:asciiTheme="minorHAnsi" w:hAnsiTheme="minorHAnsi" w:cstheme="minorHAnsi"/>
          <w:color w:val="auto"/>
        </w:rPr>
      </w:pPr>
    </w:p>
    <w:p w14:paraId="24C393D9" w14:textId="70B3AD5F" w:rsidR="000766BD" w:rsidRPr="005D19F1" w:rsidRDefault="00343CA3" w:rsidP="00371E99">
      <w:pPr>
        <w:pStyle w:val="Heading2"/>
        <w:numPr>
          <w:ilvl w:val="0"/>
          <w:numId w:val="0"/>
        </w:numPr>
        <w:rPr>
          <w:color w:val="auto"/>
        </w:rPr>
      </w:pPr>
      <w:r w:rsidRPr="005D19F1">
        <w:rPr>
          <w:color w:val="auto"/>
        </w:rPr>
        <w:t>N</w:t>
      </w:r>
      <w:r w:rsidR="00371E99">
        <w:rPr>
          <w:color w:val="auto"/>
        </w:rPr>
        <w:t>ote</w:t>
      </w:r>
      <w:r w:rsidRPr="005D19F1">
        <w:rPr>
          <w:color w:val="auto"/>
        </w:rPr>
        <w:t xml:space="preserve">: </w:t>
      </w:r>
      <w:r w:rsidR="000766BD" w:rsidRPr="005D19F1">
        <w:rPr>
          <w:color w:val="auto"/>
        </w:rPr>
        <w:t>Perform the coating in a sterile tissue culture hood.</w:t>
      </w:r>
    </w:p>
    <w:p w14:paraId="37C90FAB" w14:textId="77777777" w:rsidR="00AD1109" w:rsidRPr="00AD6123" w:rsidRDefault="00AD1109" w:rsidP="00371E99">
      <w:pPr>
        <w:rPr>
          <w:color w:val="auto"/>
        </w:rPr>
      </w:pPr>
    </w:p>
    <w:p w14:paraId="1A30356B" w14:textId="0575A706" w:rsidR="008B5FF8" w:rsidRPr="008B5FF8" w:rsidRDefault="000766BD" w:rsidP="00371E99">
      <w:pPr>
        <w:pStyle w:val="Heading2"/>
        <w:rPr>
          <w:color w:val="auto"/>
        </w:rPr>
      </w:pPr>
      <w:r w:rsidRPr="00AD6123">
        <w:rPr>
          <w:color w:val="auto"/>
          <w:highlight w:val="yellow"/>
        </w:rPr>
        <w:t xml:space="preserve">Add 2.2 μL of </w:t>
      </w:r>
      <w:r w:rsidR="00427688">
        <w:rPr>
          <w:color w:val="auto"/>
          <w:highlight w:val="yellow"/>
        </w:rPr>
        <w:t xml:space="preserve">cell </w:t>
      </w:r>
      <w:r w:rsidR="00427688" w:rsidRPr="00427688">
        <w:rPr>
          <w:color w:val="auto"/>
          <w:highlight w:val="yellow"/>
        </w:rPr>
        <w:t>adhe</w:t>
      </w:r>
      <w:bookmarkStart w:id="0" w:name="_GoBack"/>
      <w:bookmarkEnd w:id="0"/>
      <w:r w:rsidR="00427688" w:rsidRPr="00427688">
        <w:rPr>
          <w:color w:val="auto"/>
          <w:highlight w:val="yellow"/>
        </w:rPr>
        <w:t>sive</w:t>
      </w:r>
      <w:r w:rsidR="00427688" w:rsidRPr="00427688">
        <w:rPr>
          <w:rStyle w:val="CommentReference"/>
          <w:rFonts w:cs="Calibri"/>
          <w:bCs w:val="0"/>
          <w:iCs w:val="0"/>
          <w:highlight w:val="yellow"/>
        </w:rPr>
        <w:t xml:space="preserve"> </w:t>
      </w:r>
      <w:r w:rsidR="00427688" w:rsidRPr="00427688">
        <w:rPr>
          <w:rStyle w:val="CommentReference"/>
          <w:rFonts w:cs="Calibri"/>
          <w:bCs w:val="0"/>
          <w:iCs w:val="0"/>
          <w:sz w:val="24"/>
          <w:szCs w:val="24"/>
          <w:highlight w:val="yellow"/>
        </w:rPr>
        <w:t>(</w:t>
      </w:r>
      <w:r w:rsidRPr="00427688">
        <w:rPr>
          <w:color w:val="auto"/>
          <w:highlight w:val="yellow"/>
        </w:rPr>
        <w:t>density</w:t>
      </w:r>
      <w:r w:rsidRPr="00AD6123">
        <w:rPr>
          <w:color w:val="auto"/>
          <w:highlight w:val="yellow"/>
        </w:rPr>
        <w:t>: 2.54 mg/ml) to 250 μL of 0.1 M NaHCO</w:t>
      </w:r>
      <w:r w:rsidRPr="00AD6123">
        <w:rPr>
          <w:color w:val="auto"/>
          <w:highlight w:val="yellow"/>
          <w:vertAlign w:val="subscript"/>
        </w:rPr>
        <w:t>3</w:t>
      </w:r>
      <w:r w:rsidRPr="00AD6123">
        <w:rPr>
          <w:color w:val="auto"/>
          <w:highlight w:val="yellow"/>
        </w:rPr>
        <w:t>, pH 8.1, and pipette immediately 12.5 μL of the solution into each well.</w:t>
      </w:r>
    </w:p>
    <w:p w14:paraId="7D0FF617" w14:textId="77777777" w:rsidR="00AD1109" w:rsidRPr="00AD6123" w:rsidRDefault="00AD1109" w:rsidP="00371E99">
      <w:pPr>
        <w:rPr>
          <w:color w:val="auto"/>
        </w:rPr>
      </w:pPr>
    </w:p>
    <w:p w14:paraId="228901BB" w14:textId="3604F169" w:rsidR="000766BD" w:rsidRPr="00AD6123" w:rsidRDefault="000766BD" w:rsidP="00371E99">
      <w:pPr>
        <w:rPr>
          <w:rFonts w:asciiTheme="minorHAnsi" w:hAnsiTheme="minorHAnsi" w:cstheme="minorHAnsi"/>
          <w:color w:val="auto"/>
        </w:rPr>
      </w:pPr>
      <w:r w:rsidRPr="00AD6123">
        <w:rPr>
          <w:rFonts w:asciiTheme="minorHAnsi" w:hAnsiTheme="minorHAnsi" w:cstheme="minorHAnsi"/>
          <w:color w:val="auto"/>
        </w:rPr>
        <w:t>N</w:t>
      </w:r>
      <w:r w:rsidR="00371E99">
        <w:rPr>
          <w:rFonts w:asciiTheme="minorHAnsi" w:hAnsiTheme="minorHAnsi" w:cstheme="minorHAnsi"/>
          <w:color w:val="auto"/>
        </w:rPr>
        <w:t>ote</w:t>
      </w:r>
      <w:r w:rsidRPr="00AD6123">
        <w:rPr>
          <w:rFonts w:asciiTheme="minorHAnsi" w:hAnsiTheme="minorHAnsi" w:cstheme="minorHAnsi"/>
          <w:color w:val="auto"/>
        </w:rPr>
        <w:t xml:space="preserve">: </w:t>
      </w:r>
      <w:r w:rsidR="000872E3">
        <w:rPr>
          <w:rFonts w:asciiTheme="minorHAnsi" w:hAnsiTheme="minorHAnsi" w:cstheme="minorHAnsi"/>
          <w:color w:val="auto"/>
        </w:rPr>
        <w:t>Cell adhesive stock solutions can differ in their density</w:t>
      </w:r>
      <w:r w:rsidRPr="00AD6123">
        <w:rPr>
          <w:rFonts w:asciiTheme="minorHAnsi" w:hAnsiTheme="minorHAnsi" w:cstheme="minorHAnsi"/>
          <w:color w:val="auto"/>
        </w:rPr>
        <w:t>, adjust the volume added to NaHCO</w:t>
      </w:r>
      <w:r w:rsidRPr="00AD6123">
        <w:rPr>
          <w:rFonts w:asciiTheme="minorHAnsi" w:hAnsiTheme="minorHAnsi" w:cstheme="minorHAnsi"/>
          <w:color w:val="auto"/>
          <w:vertAlign w:val="subscript"/>
        </w:rPr>
        <w:t>3</w:t>
      </w:r>
      <w:r w:rsidR="000872E3">
        <w:rPr>
          <w:rFonts w:asciiTheme="minorHAnsi" w:hAnsiTheme="minorHAnsi" w:cstheme="minorHAnsi"/>
          <w:color w:val="auto"/>
        </w:rPr>
        <w:t xml:space="preserve"> accordingly.</w:t>
      </w:r>
    </w:p>
    <w:p w14:paraId="5812CF69" w14:textId="77777777" w:rsidR="00AD1109" w:rsidRPr="00AD6123" w:rsidRDefault="00AD1109" w:rsidP="00371E99">
      <w:pPr>
        <w:rPr>
          <w:rFonts w:asciiTheme="minorHAnsi" w:hAnsiTheme="minorHAnsi" w:cstheme="minorHAnsi"/>
          <w:color w:val="auto"/>
        </w:rPr>
      </w:pPr>
    </w:p>
    <w:p w14:paraId="7D1425B1" w14:textId="7E3983AB" w:rsidR="000766BD" w:rsidRPr="00AD6123" w:rsidRDefault="000766BD" w:rsidP="00371E99">
      <w:pPr>
        <w:pStyle w:val="Heading2"/>
        <w:rPr>
          <w:color w:val="auto"/>
        </w:rPr>
      </w:pPr>
      <w:r w:rsidRPr="00AD6123">
        <w:rPr>
          <w:color w:val="auto"/>
          <w:highlight w:val="yellow"/>
        </w:rPr>
        <w:t xml:space="preserve">Let </w:t>
      </w:r>
      <w:r w:rsidR="006A0CBF" w:rsidRPr="00AD6123">
        <w:rPr>
          <w:color w:val="auto"/>
          <w:highlight w:val="yellow"/>
        </w:rPr>
        <w:t>the plates</w:t>
      </w:r>
      <w:r w:rsidR="000D6F39">
        <w:rPr>
          <w:color w:val="auto"/>
          <w:highlight w:val="yellow"/>
        </w:rPr>
        <w:t xml:space="preserve"> </w:t>
      </w:r>
      <w:r w:rsidRPr="00AD6123">
        <w:rPr>
          <w:color w:val="auto"/>
          <w:highlight w:val="yellow"/>
        </w:rPr>
        <w:t xml:space="preserve">sit in </w:t>
      </w:r>
      <w:r w:rsidR="006A0CBF" w:rsidRPr="00AD6123">
        <w:rPr>
          <w:color w:val="auto"/>
          <w:highlight w:val="yellow"/>
        </w:rPr>
        <w:t xml:space="preserve">the </w:t>
      </w:r>
      <w:r w:rsidRPr="00AD6123">
        <w:rPr>
          <w:color w:val="auto"/>
          <w:highlight w:val="yellow"/>
        </w:rPr>
        <w:t xml:space="preserve">hood </w:t>
      </w:r>
      <w:r w:rsidR="000D6F39">
        <w:rPr>
          <w:color w:val="auto"/>
          <w:highlight w:val="yellow"/>
        </w:rPr>
        <w:t xml:space="preserve">for </w:t>
      </w:r>
      <w:r w:rsidRPr="00AD6123">
        <w:rPr>
          <w:color w:val="auto"/>
          <w:highlight w:val="yellow"/>
        </w:rPr>
        <w:t xml:space="preserve">about 20 min, then aspirate </w:t>
      </w:r>
      <w:r w:rsidR="00A52382">
        <w:rPr>
          <w:color w:val="auto"/>
          <w:highlight w:val="yellow"/>
        </w:rPr>
        <w:t>the cell adhesive</w:t>
      </w:r>
      <w:r w:rsidRPr="00AD6123">
        <w:rPr>
          <w:color w:val="auto"/>
          <w:highlight w:val="yellow"/>
        </w:rPr>
        <w:t xml:space="preserve"> and wash each well twice using 200 μL of sterile water. Let </w:t>
      </w:r>
      <w:r w:rsidR="00662311" w:rsidRPr="00AD6123">
        <w:rPr>
          <w:color w:val="auto"/>
          <w:highlight w:val="yellow"/>
        </w:rPr>
        <w:t xml:space="preserve">it </w:t>
      </w:r>
      <w:r w:rsidRPr="00AD6123">
        <w:rPr>
          <w:color w:val="auto"/>
          <w:highlight w:val="yellow"/>
        </w:rPr>
        <w:t>sit in the hood with the lid open until wells are dry</w:t>
      </w:r>
      <w:r w:rsidRPr="00AD6123">
        <w:rPr>
          <w:color w:val="auto"/>
        </w:rPr>
        <w:t>.</w:t>
      </w:r>
    </w:p>
    <w:p w14:paraId="67CB26AC" w14:textId="77777777" w:rsidR="00AD1109" w:rsidRPr="00AD6123" w:rsidRDefault="00AD1109" w:rsidP="00371E99">
      <w:pPr>
        <w:rPr>
          <w:color w:val="auto"/>
        </w:rPr>
      </w:pPr>
    </w:p>
    <w:p w14:paraId="08F6F170" w14:textId="5448B0D9" w:rsidR="000766BD" w:rsidRPr="00E515DF" w:rsidRDefault="000766BD" w:rsidP="00371E99">
      <w:pPr>
        <w:pStyle w:val="Heading2"/>
        <w:rPr>
          <w:color w:val="auto"/>
          <w:highlight w:val="yellow"/>
        </w:rPr>
      </w:pPr>
      <w:r w:rsidRPr="00E515DF">
        <w:rPr>
          <w:color w:val="auto"/>
          <w:highlight w:val="yellow"/>
        </w:rPr>
        <w:t xml:space="preserve">Use the plates right away or save up to 1 week at 4 °C with </w:t>
      </w:r>
      <w:r w:rsidR="00E5399B" w:rsidRPr="00E515DF">
        <w:rPr>
          <w:color w:val="auto"/>
          <w:highlight w:val="yellow"/>
        </w:rPr>
        <w:t xml:space="preserve">the </w:t>
      </w:r>
      <w:r w:rsidRPr="00E515DF">
        <w:rPr>
          <w:color w:val="auto"/>
          <w:highlight w:val="yellow"/>
        </w:rPr>
        <w:t xml:space="preserve">rim wrapped in </w:t>
      </w:r>
      <w:r w:rsidR="000D6F39" w:rsidRPr="00E515DF">
        <w:rPr>
          <w:color w:val="auto"/>
          <w:highlight w:val="yellow"/>
        </w:rPr>
        <w:t>paraffin film</w:t>
      </w:r>
      <w:r w:rsidRPr="00E515DF">
        <w:rPr>
          <w:color w:val="auto"/>
          <w:highlight w:val="yellow"/>
        </w:rPr>
        <w:t xml:space="preserve"> to avoid condensation. </w:t>
      </w:r>
      <w:r w:rsidR="000D6F39" w:rsidRPr="00E515DF">
        <w:rPr>
          <w:color w:val="auto"/>
          <w:highlight w:val="yellow"/>
        </w:rPr>
        <w:t xml:space="preserve">Ensure that the </w:t>
      </w:r>
      <w:r w:rsidRPr="00E515DF">
        <w:rPr>
          <w:color w:val="auto"/>
          <w:highlight w:val="yellow"/>
        </w:rPr>
        <w:t xml:space="preserve">plates </w:t>
      </w:r>
      <w:r w:rsidR="000D6F39" w:rsidRPr="00E515DF">
        <w:rPr>
          <w:color w:val="auto"/>
          <w:highlight w:val="yellow"/>
        </w:rPr>
        <w:t>are</w:t>
      </w:r>
      <w:r w:rsidRPr="00E515DF">
        <w:rPr>
          <w:color w:val="auto"/>
          <w:highlight w:val="yellow"/>
        </w:rPr>
        <w:t xml:space="preserve"> warm</w:t>
      </w:r>
      <w:r w:rsidR="000D6F39" w:rsidRPr="00E515DF">
        <w:rPr>
          <w:color w:val="auto"/>
          <w:highlight w:val="yellow"/>
        </w:rPr>
        <w:t>ed</w:t>
      </w:r>
      <w:r w:rsidRPr="00E515DF">
        <w:rPr>
          <w:color w:val="auto"/>
          <w:highlight w:val="yellow"/>
        </w:rPr>
        <w:t xml:space="preserve"> up to room temperature </w:t>
      </w:r>
      <w:r w:rsidR="000D6F39" w:rsidRPr="00E515DF">
        <w:rPr>
          <w:color w:val="auto"/>
          <w:highlight w:val="yellow"/>
        </w:rPr>
        <w:t>(</w:t>
      </w:r>
      <w:r w:rsidRPr="00E515DF">
        <w:rPr>
          <w:color w:val="auto"/>
          <w:highlight w:val="yellow"/>
        </w:rPr>
        <w:t>for about 20 min</w:t>
      </w:r>
      <w:r w:rsidR="000D6F39" w:rsidRPr="00E515DF">
        <w:rPr>
          <w:color w:val="auto"/>
          <w:highlight w:val="yellow"/>
        </w:rPr>
        <w:t>)</w:t>
      </w:r>
      <w:r w:rsidRPr="00E515DF">
        <w:rPr>
          <w:color w:val="auto"/>
          <w:highlight w:val="yellow"/>
        </w:rPr>
        <w:t xml:space="preserve"> in the hood before seeding the cells.</w:t>
      </w:r>
    </w:p>
    <w:p w14:paraId="04990C2A" w14:textId="77777777" w:rsidR="000766BD" w:rsidRPr="00AD6123" w:rsidRDefault="000766BD" w:rsidP="00371E99">
      <w:pPr>
        <w:rPr>
          <w:rFonts w:asciiTheme="minorHAnsi" w:hAnsiTheme="minorHAnsi" w:cstheme="minorHAnsi"/>
          <w:color w:val="auto"/>
        </w:rPr>
      </w:pPr>
    </w:p>
    <w:p w14:paraId="7E745CC1" w14:textId="3E6E855E" w:rsidR="000766BD" w:rsidRPr="00AD6123" w:rsidRDefault="000766BD" w:rsidP="00371E99">
      <w:pPr>
        <w:pStyle w:val="Heading1"/>
        <w:rPr>
          <w:color w:val="auto"/>
          <w:highlight w:val="yellow"/>
        </w:rPr>
      </w:pPr>
      <w:r w:rsidRPr="00AD6123">
        <w:rPr>
          <w:color w:val="auto"/>
          <w:highlight w:val="yellow"/>
        </w:rPr>
        <w:t xml:space="preserve">Hydration of </w:t>
      </w:r>
      <w:r w:rsidR="00371E99">
        <w:rPr>
          <w:color w:val="auto"/>
          <w:highlight w:val="yellow"/>
        </w:rPr>
        <w:t>S</w:t>
      </w:r>
      <w:r w:rsidRPr="00AD6123">
        <w:rPr>
          <w:color w:val="auto"/>
          <w:highlight w:val="yellow"/>
        </w:rPr>
        <w:t xml:space="preserve">ensor </w:t>
      </w:r>
      <w:r w:rsidR="00371E99">
        <w:rPr>
          <w:color w:val="auto"/>
          <w:highlight w:val="yellow"/>
        </w:rPr>
        <w:t>C</w:t>
      </w:r>
      <w:r w:rsidRPr="00AD6123">
        <w:rPr>
          <w:color w:val="auto"/>
          <w:highlight w:val="yellow"/>
        </w:rPr>
        <w:t>artridge</w:t>
      </w:r>
    </w:p>
    <w:p w14:paraId="54B57DAB" w14:textId="77777777" w:rsidR="00AD1109" w:rsidRPr="00AD6123" w:rsidRDefault="00AD1109" w:rsidP="00371E99">
      <w:pPr>
        <w:rPr>
          <w:color w:val="auto"/>
        </w:rPr>
      </w:pPr>
    </w:p>
    <w:p w14:paraId="51174C7A" w14:textId="1E666635" w:rsidR="000766BD" w:rsidRPr="00AD6123" w:rsidRDefault="000766BD" w:rsidP="00371E99">
      <w:pPr>
        <w:rPr>
          <w:rFonts w:asciiTheme="minorHAnsi" w:hAnsiTheme="minorHAnsi" w:cstheme="minorHAnsi"/>
          <w:color w:val="auto"/>
        </w:rPr>
      </w:pPr>
      <w:r w:rsidRPr="00AD6123">
        <w:rPr>
          <w:rFonts w:asciiTheme="minorHAnsi" w:hAnsiTheme="minorHAnsi" w:cstheme="minorHAnsi"/>
          <w:color w:val="auto"/>
        </w:rPr>
        <w:t>N</w:t>
      </w:r>
      <w:r w:rsidR="00371E99">
        <w:rPr>
          <w:rFonts w:asciiTheme="minorHAnsi" w:hAnsiTheme="minorHAnsi" w:cstheme="minorHAnsi"/>
          <w:color w:val="auto"/>
        </w:rPr>
        <w:t>ote</w:t>
      </w:r>
      <w:r w:rsidRPr="00AD6123">
        <w:rPr>
          <w:rFonts w:asciiTheme="minorHAnsi" w:hAnsiTheme="minorHAnsi" w:cstheme="minorHAnsi"/>
          <w:color w:val="auto"/>
        </w:rPr>
        <w:t>: Hydrate two</w:t>
      </w:r>
      <w:r w:rsidR="0095410C">
        <w:rPr>
          <w:rFonts w:asciiTheme="minorHAnsi" w:hAnsiTheme="minorHAnsi" w:cstheme="minorHAnsi"/>
          <w:color w:val="auto"/>
        </w:rPr>
        <w:t xml:space="preserve"> </w:t>
      </w:r>
      <w:r w:rsidR="0095410C" w:rsidRPr="00B25A75">
        <w:t>8-well extracellular flux analyzer</w:t>
      </w:r>
      <w:r w:rsidR="0095410C">
        <w:t xml:space="preserve"> </w:t>
      </w:r>
      <w:r w:rsidRPr="00AD6123">
        <w:rPr>
          <w:rFonts w:asciiTheme="minorHAnsi" w:hAnsiTheme="minorHAnsi" w:cstheme="minorHAnsi"/>
          <w:color w:val="auto"/>
        </w:rPr>
        <w:t>cartridges.</w:t>
      </w:r>
    </w:p>
    <w:p w14:paraId="085A0D0A" w14:textId="77777777" w:rsidR="00AD1109" w:rsidRPr="00AD6123" w:rsidRDefault="00AD1109" w:rsidP="00371E99">
      <w:pPr>
        <w:rPr>
          <w:rFonts w:asciiTheme="minorHAnsi" w:hAnsiTheme="minorHAnsi" w:cstheme="minorHAnsi"/>
          <w:color w:val="auto"/>
        </w:rPr>
      </w:pPr>
    </w:p>
    <w:p w14:paraId="05DDC19C" w14:textId="3D947D20" w:rsidR="000766BD" w:rsidRPr="00AD6123" w:rsidRDefault="000766BD" w:rsidP="00371E99">
      <w:pPr>
        <w:pStyle w:val="Heading2"/>
        <w:rPr>
          <w:color w:val="auto"/>
          <w:highlight w:val="yellow"/>
        </w:rPr>
      </w:pPr>
      <w:r w:rsidRPr="00AD6123">
        <w:rPr>
          <w:color w:val="auto"/>
          <w:highlight w:val="yellow"/>
        </w:rPr>
        <w:t xml:space="preserve">Separate the utility plate and </w:t>
      </w:r>
      <w:r w:rsidR="00AE0823">
        <w:rPr>
          <w:color w:val="auto"/>
          <w:highlight w:val="yellow"/>
        </w:rPr>
        <w:t xml:space="preserve">the </w:t>
      </w:r>
      <w:r w:rsidRPr="00AD6123">
        <w:rPr>
          <w:color w:val="auto"/>
          <w:highlight w:val="yellow"/>
        </w:rPr>
        <w:t>sensor cartridge. Place the sensor cartridge upside down on the lab bench.</w:t>
      </w:r>
    </w:p>
    <w:p w14:paraId="5B78D2C8" w14:textId="77777777" w:rsidR="00AD1109" w:rsidRPr="00AD6123" w:rsidRDefault="00AD1109" w:rsidP="00371E99">
      <w:pPr>
        <w:rPr>
          <w:color w:val="auto"/>
        </w:rPr>
      </w:pPr>
    </w:p>
    <w:p w14:paraId="2759369F" w14:textId="7BB0E39B" w:rsidR="000766BD" w:rsidRPr="000D6F39" w:rsidRDefault="000766BD" w:rsidP="00371E99">
      <w:pPr>
        <w:pStyle w:val="Heading2"/>
        <w:rPr>
          <w:color w:val="auto"/>
          <w:highlight w:val="yellow"/>
        </w:rPr>
      </w:pPr>
      <w:r w:rsidRPr="000D6F39">
        <w:rPr>
          <w:color w:val="auto"/>
          <w:highlight w:val="yellow"/>
        </w:rPr>
        <w:t>Fill each well of the utility plate with 200 μL calibrant. Fill each moat around the outside of the wells with 400 μL of calibrant.</w:t>
      </w:r>
    </w:p>
    <w:p w14:paraId="4C189D6E" w14:textId="77777777" w:rsidR="00AD1109" w:rsidRPr="00AD6123" w:rsidRDefault="00AD1109" w:rsidP="00371E99">
      <w:pPr>
        <w:rPr>
          <w:color w:val="auto"/>
        </w:rPr>
      </w:pPr>
    </w:p>
    <w:p w14:paraId="2491270A" w14:textId="3784A4A7" w:rsidR="000766BD" w:rsidRPr="00AD6123" w:rsidRDefault="000766BD" w:rsidP="00371E99">
      <w:pPr>
        <w:pStyle w:val="Heading2"/>
        <w:rPr>
          <w:color w:val="auto"/>
          <w:highlight w:val="yellow"/>
        </w:rPr>
      </w:pPr>
      <w:r w:rsidRPr="00AD6123">
        <w:rPr>
          <w:color w:val="auto"/>
          <w:highlight w:val="yellow"/>
        </w:rPr>
        <w:t>Return the sensor cartridge to the utility plate that now contains</w:t>
      </w:r>
      <w:r w:rsidR="00BC3132">
        <w:rPr>
          <w:color w:val="auto"/>
          <w:highlight w:val="yellow"/>
        </w:rPr>
        <w:t xml:space="preserve"> the</w:t>
      </w:r>
      <w:r w:rsidRPr="00AD6123">
        <w:rPr>
          <w:color w:val="auto"/>
          <w:highlight w:val="yellow"/>
        </w:rPr>
        <w:t xml:space="preserve"> calibrant. </w:t>
      </w:r>
    </w:p>
    <w:p w14:paraId="3E5C15A3" w14:textId="77777777" w:rsidR="00AD1109" w:rsidRPr="00AD6123" w:rsidRDefault="00AD1109" w:rsidP="00371E99">
      <w:pPr>
        <w:rPr>
          <w:color w:val="auto"/>
        </w:rPr>
      </w:pPr>
    </w:p>
    <w:p w14:paraId="6F9363BA" w14:textId="4F959162" w:rsidR="000766BD" w:rsidRPr="00AD6123" w:rsidRDefault="000766BD" w:rsidP="00371E99">
      <w:pPr>
        <w:pStyle w:val="Heading2"/>
        <w:rPr>
          <w:color w:val="auto"/>
          <w:highlight w:val="yellow"/>
        </w:rPr>
      </w:pPr>
      <w:r w:rsidRPr="00AD6123">
        <w:rPr>
          <w:color w:val="auto"/>
          <w:highlight w:val="yellow"/>
        </w:rPr>
        <w:t>Place the cartridge assembly in a humidified, non-CO</w:t>
      </w:r>
      <w:r w:rsidRPr="00AD6123">
        <w:rPr>
          <w:color w:val="auto"/>
          <w:highlight w:val="yellow"/>
          <w:vertAlign w:val="subscript"/>
        </w:rPr>
        <w:t>2</w:t>
      </w:r>
      <w:r w:rsidRPr="00AD6123">
        <w:rPr>
          <w:color w:val="auto"/>
          <w:highlight w:val="yellow"/>
        </w:rPr>
        <w:t xml:space="preserve">, 37 °C incubator overnight. </w:t>
      </w:r>
    </w:p>
    <w:p w14:paraId="37F73A0A" w14:textId="77777777" w:rsidR="00AD1109" w:rsidRPr="00AD6123" w:rsidRDefault="00AD1109" w:rsidP="00371E99">
      <w:pPr>
        <w:rPr>
          <w:color w:val="auto"/>
          <w:highlight w:val="yellow"/>
        </w:rPr>
      </w:pPr>
    </w:p>
    <w:p w14:paraId="0465C026" w14:textId="75D612D2" w:rsidR="000766BD" w:rsidRPr="00AD6123" w:rsidRDefault="000766BD" w:rsidP="00371E99">
      <w:pPr>
        <w:pStyle w:val="Heading2"/>
        <w:rPr>
          <w:color w:val="auto"/>
          <w:highlight w:val="yellow"/>
        </w:rPr>
      </w:pPr>
      <w:r w:rsidRPr="00AD6123">
        <w:rPr>
          <w:color w:val="auto"/>
          <w:highlight w:val="yellow"/>
        </w:rPr>
        <w:t>Turn on the</w:t>
      </w:r>
      <w:r w:rsidR="00112017">
        <w:rPr>
          <w:color w:val="auto"/>
          <w:highlight w:val="yellow"/>
        </w:rPr>
        <w:t xml:space="preserve"> extracellular flux analyzer</w:t>
      </w:r>
      <w:r w:rsidRPr="00AD6123">
        <w:rPr>
          <w:color w:val="auto"/>
          <w:highlight w:val="yellow"/>
        </w:rPr>
        <w:t xml:space="preserve"> and let it warm to 37 °C overnight.</w:t>
      </w:r>
    </w:p>
    <w:p w14:paraId="4E8922BB" w14:textId="77777777" w:rsidR="000766BD" w:rsidRPr="00AD6123" w:rsidRDefault="000766BD" w:rsidP="00371E99">
      <w:pPr>
        <w:rPr>
          <w:rFonts w:asciiTheme="minorHAnsi" w:hAnsiTheme="minorHAnsi" w:cstheme="minorHAnsi"/>
          <w:color w:val="auto"/>
        </w:rPr>
      </w:pPr>
    </w:p>
    <w:p w14:paraId="7E065139" w14:textId="23567EED" w:rsidR="000766BD" w:rsidRPr="00AD6123" w:rsidRDefault="000766BD" w:rsidP="00371E99">
      <w:pPr>
        <w:pStyle w:val="Heading1"/>
        <w:rPr>
          <w:color w:val="auto"/>
          <w:highlight w:val="yellow"/>
        </w:rPr>
      </w:pPr>
      <w:r w:rsidRPr="00AD6123">
        <w:rPr>
          <w:color w:val="auto"/>
          <w:highlight w:val="yellow"/>
        </w:rPr>
        <w:t xml:space="preserve">Seeding </w:t>
      </w:r>
      <w:r w:rsidR="00371E99">
        <w:rPr>
          <w:color w:val="auto"/>
          <w:highlight w:val="yellow"/>
        </w:rPr>
        <w:t>C</w:t>
      </w:r>
      <w:r w:rsidRPr="00AD6123">
        <w:rPr>
          <w:color w:val="auto"/>
          <w:highlight w:val="yellow"/>
        </w:rPr>
        <w:t xml:space="preserve">ells </w:t>
      </w:r>
      <w:r w:rsidRPr="00112017">
        <w:rPr>
          <w:color w:val="auto"/>
          <w:highlight w:val="yellow"/>
        </w:rPr>
        <w:t xml:space="preserve">in </w:t>
      </w:r>
      <w:r w:rsidR="00371E99">
        <w:rPr>
          <w:color w:val="auto"/>
          <w:highlight w:val="yellow"/>
        </w:rPr>
        <w:t>C</w:t>
      </w:r>
      <w:r w:rsidR="00112017" w:rsidRPr="00112017">
        <w:rPr>
          <w:color w:val="auto"/>
          <w:highlight w:val="yellow"/>
        </w:rPr>
        <w:t xml:space="preserve">ell </w:t>
      </w:r>
      <w:r w:rsidR="00371E99">
        <w:rPr>
          <w:color w:val="auto"/>
          <w:highlight w:val="yellow"/>
        </w:rPr>
        <w:t>A</w:t>
      </w:r>
      <w:r w:rsidR="00112017" w:rsidRPr="00112017">
        <w:rPr>
          <w:color w:val="auto"/>
          <w:highlight w:val="yellow"/>
        </w:rPr>
        <w:t xml:space="preserve">dhesive-coated </w:t>
      </w:r>
      <w:r w:rsidR="00371E99">
        <w:rPr>
          <w:color w:val="auto"/>
          <w:highlight w:val="yellow"/>
        </w:rPr>
        <w:t>P</w:t>
      </w:r>
      <w:r w:rsidR="00112017" w:rsidRPr="00112017">
        <w:rPr>
          <w:color w:val="auto"/>
          <w:highlight w:val="yellow"/>
        </w:rPr>
        <w:t>lates</w:t>
      </w:r>
    </w:p>
    <w:p w14:paraId="27707B75" w14:textId="77777777" w:rsidR="00AD1109" w:rsidRPr="00AD6123" w:rsidRDefault="00AD1109" w:rsidP="00371E99">
      <w:pPr>
        <w:rPr>
          <w:color w:val="auto"/>
        </w:rPr>
      </w:pPr>
    </w:p>
    <w:p w14:paraId="5366EA1F" w14:textId="11200A41" w:rsidR="000766BD" w:rsidRPr="00AD6123" w:rsidRDefault="000766BD" w:rsidP="00371E99">
      <w:pPr>
        <w:rPr>
          <w:rFonts w:asciiTheme="minorHAnsi" w:hAnsiTheme="minorHAnsi" w:cstheme="minorHAnsi"/>
          <w:color w:val="auto"/>
        </w:rPr>
      </w:pPr>
      <w:r w:rsidRPr="00AD6123">
        <w:rPr>
          <w:rFonts w:asciiTheme="minorHAnsi" w:hAnsiTheme="minorHAnsi" w:cstheme="minorHAnsi"/>
          <w:color w:val="auto"/>
        </w:rPr>
        <w:t>N</w:t>
      </w:r>
      <w:r w:rsidR="00371E99">
        <w:rPr>
          <w:rFonts w:asciiTheme="minorHAnsi" w:hAnsiTheme="minorHAnsi" w:cstheme="minorHAnsi"/>
          <w:color w:val="auto"/>
        </w:rPr>
        <w:t>ote</w:t>
      </w:r>
      <w:r w:rsidRPr="00AD6123">
        <w:rPr>
          <w:rFonts w:asciiTheme="minorHAnsi" w:hAnsiTheme="minorHAnsi" w:cstheme="minorHAnsi"/>
          <w:color w:val="auto"/>
        </w:rPr>
        <w:t xml:space="preserve">: For Glycolysis stress test, use Glycolysis stress test medium. For Cell </w:t>
      </w:r>
      <w:r w:rsidR="001F39AD">
        <w:rPr>
          <w:rFonts w:asciiTheme="minorHAnsi" w:hAnsiTheme="minorHAnsi" w:cstheme="minorHAnsi"/>
          <w:color w:val="auto"/>
        </w:rPr>
        <w:t>M</w:t>
      </w:r>
      <w:r w:rsidRPr="00AD6123">
        <w:rPr>
          <w:rFonts w:asciiTheme="minorHAnsi" w:hAnsiTheme="minorHAnsi" w:cstheme="minorHAnsi"/>
          <w:color w:val="auto"/>
        </w:rPr>
        <w:t xml:space="preserve">ito stress test, use Cell </w:t>
      </w:r>
      <w:r w:rsidR="001F39AD">
        <w:rPr>
          <w:rFonts w:asciiTheme="minorHAnsi" w:hAnsiTheme="minorHAnsi" w:cstheme="minorHAnsi"/>
          <w:color w:val="auto"/>
        </w:rPr>
        <w:t>M</w:t>
      </w:r>
      <w:r w:rsidRPr="00AD6123">
        <w:rPr>
          <w:rFonts w:asciiTheme="minorHAnsi" w:hAnsiTheme="minorHAnsi" w:cstheme="minorHAnsi"/>
          <w:color w:val="auto"/>
        </w:rPr>
        <w:t>ito stress test medium with BSA.</w:t>
      </w:r>
    </w:p>
    <w:p w14:paraId="6640516F" w14:textId="77777777" w:rsidR="00AD1109" w:rsidRPr="00AD6123" w:rsidRDefault="00AD1109" w:rsidP="00371E99">
      <w:pPr>
        <w:rPr>
          <w:rFonts w:asciiTheme="minorHAnsi" w:hAnsiTheme="minorHAnsi" w:cstheme="minorHAnsi"/>
          <w:color w:val="auto"/>
        </w:rPr>
      </w:pPr>
    </w:p>
    <w:p w14:paraId="2E308F30" w14:textId="43D16C31" w:rsidR="000766BD" w:rsidRPr="00E515DF" w:rsidRDefault="00570408" w:rsidP="00371E99">
      <w:pPr>
        <w:pStyle w:val="Heading2"/>
        <w:rPr>
          <w:color w:val="auto"/>
          <w:highlight w:val="yellow"/>
        </w:rPr>
      </w:pPr>
      <w:r w:rsidRPr="00E515DF">
        <w:rPr>
          <w:color w:val="auto"/>
          <w:highlight w:val="yellow"/>
        </w:rPr>
        <w:t xml:space="preserve">Seed cells for the </w:t>
      </w:r>
      <w:r w:rsidR="000766BD" w:rsidRPr="00E515DF">
        <w:rPr>
          <w:color w:val="auto"/>
          <w:highlight w:val="yellow"/>
        </w:rPr>
        <w:t xml:space="preserve">Glycolysis stress test and </w:t>
      </w:r>
      <w:r w:rsidRPr="00E515DF">
        <w:rPr>
          <w:color w:val="auto"/>
          <w:highlight w:val="yellow"/>
        </w:rPr>
        <w:t xml:space="preserve">the </w:t>
      </w:r>
      <w:r w:rsidR="000766BD" w:rsidRPr="00E515DF">
        <w:rPr>
          <w:color w:val="auto"/>
          <w:highlight w:val="yellow"/>
        </w:rPr>
        <w:t>Cell Mito stress test in separate plates. For each test, use cells from one flask with overnight culture.</w:t>
      </w:r>
    </w:p>
    <w:p w14:paraId="3BC1229E" w14:textId="77777777" w:rsidR="00AD1109" w:rsidRPr="00AD6123" w:rsidRDefault="00AD1109" w:rsidP="00371E99">
      <w:pPr>
        <w:rPr>
          <w:color w:val="auto"/>
        </w:rPr>
      </w:pPr>
    </w:p>
    <w:p w14:paraId="17F1FBCF" w14:textId="5BF52BBA" w:rsidR="000766BD" w:rsidRPr="00AD6123" w:rsidRDefault="000766BD" w:rsidP="00371E99">
      <w:pPr>
        <w:pStyle w:val="Heading2"/>
        <w:rPr>
          <w:color w:val="auto"/>
          <w:highlight w:val="yellow"/>
        </w:rPr>
      </w:pPr>
      <w:r w:rsidRPr="00AD6123">
        <w:rPr>
          <w:color w:val="auto"/>
          <w:highlight w:val="yellow"/>
        </w:rPr>
        <w:t>Centrifuge cells at 200 × g for 5 min at room temperature. Resuspend cells in 1 m</w:t>
      </w:r>
      <w:r w:rsidR="00AE0823">
        <w:rPr>
          <w:color w:val="auto"/>
          <w:highlight w:val="yellow"/>
        </w:rPr>
        <w:t>L</w:t>
      </w:r>
      <w:r w:rsidRPr="00AD6123">
        <w:rPr>
          <w:color w:val="auto"/>
          <w:highlight w:val="yellow"/>
        </w:rPr>
        <w:t xml:space="preserve"> of </w:t>
      </w:r>
      <w:r w:rsidR="00AE0823">
        <w:rPr>
          <w:color w:val="auto"/>
          <w:highlight w:val="yellow"/>
        </w:rPr>
        <w:t xml:space="preserve">the </w:t>
      </w:r>
      <w:r w:rsidRPr="00AD6123">
        <w:rPr>
          <w:color w:val="auto"/>
          <w:highlight w:val="yellow"/>
        </w:rPr>
        <w:t>appropriate medium and count them.</w:t>
      </w:r>
    </w:p>
    <w:p w14:paraId="154BD4D8" w14:textId="77777777" w:rsidR="00AD1109" w:rsidRPr="00AD6123" w:rsidRDefault="00AD1109" w:rsidP="00371E99">
      <w:pPr>
        <w:rPr>
          <w:color w:val="auto"/>
          <w:highlight w:val="yellow"/>
        </w:rPr>
      </w:pPr>
    </w:p>
    <w:p w14:paraId="3955DFBC" w14:textId="3AA562AF" w:rsidR="000766BD" w:rsidRPr="00AD6123" w:rsidRDefault="000766BD" w:rsidP="00371E99">
      <w:pPr>
        <w:pStyle w:val="Heading2"/>
        <w:rPr>
          <w:color w:val="auto"/>
          <w:highlight w:val="yellow"/>
        </w:rPr>
      </w:pPr>
      <w:r w:rsidRPr="00AD6123">
        <w:rPr>
          <w:color w:val="auto"/>
          <w:highlight w:val="yellow"/>
        </w:rPr>
        <w:t>Add 4 x 10</w:t>
      </w:r>
      <w:r w:rsidRPr="00AD6123">
        <w:rPr>
          <w:color w:val="auto"/>
          <w:highlight w:val="yellow"/>
          <w:vertAlign w:val="superscript"/>
        </w:rPr>
        <w:t>6</w:t>
      </w:r>
      <w:r w:rsidRPr="00AD6123">
        <w:rPr>
          <w:color w:val="auto"/>
          <w:highlight w:val="yellow"/>
        </w:rPr>
        <w:t xml:space="preserve"> of live cells to the final volume of 400 μL (use appropriate medium).</w:t>
      </w:r>
    </w:p>
    <w:p w14:paraId="75C7B773" w14:textId="77777777" w:rsidR="00AD1109" w:rsidRPr="00BC3132" w:rsidRDefault="00AD1109" w:rsidP="00371E99">
      <w:pPr>
        <w:rPr>
          <w:color w:val="auto"/>
          <w:highlight w:val="yellow"/>
        </w:rPr>
      </w:pPr>
    </w:p>
    <w:p w14:paraId="2E74F73B" w14:textId="2C709410" w:rsidR="000766BD" w:rsidRPr="00BC3132" w:rsidRDefault="000766BD" w:rsidP="00371E99">
      <w:pPr>
        <w:pStyle w:val="Heading2"/>
        <w:rPr>
          <w:color w:val="auto"/>
          <w:highlight w:val="yellow"/>
        </w:rPr>
      </w:pPr>
      <w:r w:rsidRPr="00BC3132">
        <w:rPr>
          <w:color w:val="auto"/>
          <w:highlight w:val="yellow"/>
        </w:rPr>
        <w:t xml:space="preserve">Plate 50 μL of </w:t>
      </w:r>
      <w:r w:rsidR="00AE0823">
        <w:rPr>
          <w:color w:val="auto"/>
          <w:highlight w:val="yellow"/>
        </w:rPr>
        <w:t xml:space="preserve">the </w:t>
      </w:r>
      <w:r w:rsidRPr="00BC3132">
        <w:rPr>
          <w:color w:val="auto"/>
          <w:highlight w:val="yellow"/>
        </w:rPr>
        <w:t xml:space="preserve">cell suspension into wells B-G. </w:t>
      </w:r>
      <w:r w:rsidR="00BC3132" w:rsidRPr="00BC3132">
        <w:rPr>
          <w:color w:val="auto"/>
          <w:highlight w:val="yellow"/>
        </w:rPr>
        <w:t xml:space="preserve">Ensure </w:t>
      </w:r>
      <w:r w:rsidRPr="00BC3132">
        <w:rPr>
          <w:color w:val="auto"/>
          <w:highlight w:val="yellow"/>
        </w:rPr>
        <w:t>500,000 cells are seeded in one well.</w:t>
      </w:r>
    </w:p>
    <w:p w14:paraId="42225A71" w14:textId="77777777" w:rsidR="00AD1109" w:rsidRPr="00AD6123" w:rsidRDefault="00AD1109" w:rsidP="00371E99">
      <w:pPr>
        <w:rPr>
          <w:color w:val="auto"/>
        </w:rPr>
      </w:pPr>
    </w:p>
    <w:p w14:paraId="583D544B" w14:textId="30A60F31" w:rsidR="000766BD" w:rsidRPr="00AD6123" w:rsidRDefault="000766BD" w:rsidP="00371E99">
      <w:pPr>
        <w:rPr>
          <w:rFonts w:asciiTheme="minorHAnsi" w:hAnsiTheme="minorHAnsi" w:cstheme="minorHAnsi"/>
          <w:color w:val="auto"/>
        </w:rPr>
      </w:pPr>
      <w:r w:rsidRPr="00AD6123">
        <w:rPr>
          <w:rFonts w:asciiTheme="minorHAnsi" w:hAnsiTheme="minorHAnsi" w:cstheme="minorHAnsi"/>
          <w:color w:val="auto"/>
        </w:rPr>
        <w:t>N</w:t>
      </w:r>
      <w:r w:rsidR="00371E99">
        <w:rPr>
          <w:rFonts w:asciiTheme="minorHAnsi" w:hAnsiTheme="minorHAnsi" w:cstheme="minorHAnsi"/>
          <w:color w:val="auto"/>
        </w:rPr>
        <w:t>ote</w:t>
      </w:r>
      <w:r w:rsidRPr="00AD6123">
        <w:rPr>
          <w:rFonts w:asciiTheme="minorHAnsi" w:hAnsiTheme="minorHAnsi" w:cstheme="minorHAnsi"/>
          <w:color w:val="auto"/>
        </w:rPr>
        <w:t>: It is crucial to seed exactly 500,000 cells per well as no other normalization is performed. That way, the results from different patients can be compared.</w:t>
      </w:r>
      <w:r w:rsidR="00E5399B" w:rsidRPr="00AD6123">
        <w:rPr>
          <w:rFonts w:asciiTheme="minorHAnsi" w:hAnsiTheme="minorHAnsi" w:cstheme="minorHAnsi"/>
          <w:color w:val="auto"/>
        </w:rPr>
        <w:t xml:space="preserve"> The optimal number of replicates is six, as is described here. </w:t>
      </w:r>
      <w:r w:rsidR="004C4A38" w:rsidRPr="004C4A38">
        <w:rPr>
          <w:rFonts w:asciiTheme="minorHAnsi" w:hAnsiTheme="minorHAnsi" w:cstheme="minorHAnsi"/>
          <w:color w:val="auto"/>
        </w:rPr>
        <w:t>U</w:t>
      </w:r>
      <w:r w:rsidR="00E5399B" w:rsidRPr="004C4A38">
        <w:rPr>
          <w:rFonts w:asciiTheme="minorHAnsi" w:hAnsiTheme="minorHAnsi" w:cstheme="minorHAnsi"/>
          <w:color w:val="auto"/>
        </w:rPr>
        <w:t>sing less replicates</w:t>
      </w:r>
      <w:r w:rsidR="00232A88" w:rsidRPr="004C4A38">
        <w:rPr>
          <w:rFonts w:asciiTheme="minorHAnsi" w:hAnsiTheme="minorHAnsi" w:cstheme="minorHAnsi"/>
          <w:color w:val="auto"/>
        </w:rPr>
        <w:t xml:space="preserve"> is not recommended</w:t>
      </w:r>
      <w:r w:rsidR="00E5399B" w:rsidRPr="004C4A38">
        <w:rPr>
          <w:rFonts w:asciiTheme="minorHAnsi" w:hAnsiTheme="minorHAnsi" w:cstheme="minorHAnsi"/>
          <w:color w:val="auto"/>
        </w:rPr>
        <w:t xml:space="preserve"> since</w:t>
      </w:r>
      <w:r w:rsidR="00E5399B" w:rsidRPr="00AD6123">
        <w:rPr>
          <w:rFonts w:asciiTheme="minorHAnsi" w:hAnsiTheme="minorHAnsi" w:cstheme="minorHAnsi"/>
          <w:color w:val="auto"/>
        </w:rPr>
        <w:t xml:space="preserve"> primary cells could </w:t>
      </w:r>
      <w:r w:rsidR="00B32C65" w:rsidRPr="00AD6123">
        <w:rPr>
          <w:rFonts w:asciiTheme="minorHAnsi" w:hAnsiTheme="minorHAnsi" w:cstheme="minorHAnsi"/>
          <w:color w:val="auto"/>
        </w:rPr>
        <w:t xml:space="preserve">sometimes </w:t>
      </w:r>
      <w:r w:rsidR="00E5399B" w:rsidRPr="00AD6123">
        <w:rPr>
          <w:rFonts w:asciiTheme="minorHAnsi" w:hAnsiTheme="minorHAnsi" w:cstheme="minorHAnsi"/>
          <w:color w:val="auto"/>
        </w:rPr>
        <w:t>behave erroneously.</w:t>
      </w:r>
    </w:p>
    <w:p w14:paraId="4303D8EA" w14:textId="77777777" w:rsidR="00AD1109" w:rsidRPr="00AD6123" w:rsidRDefault="00AD1109" w:rsidP="00371E99">
      <w:pPr>
        <w:rPr>
          <w:rFonts w:asciiTheme="minorHAnsi" w:hAnsiTheme="minorHAnsi" w:cstheme="minorHAnsi"/>
          <w:color w:val="auto"/>
        </w:rPr>
      </w:pPr>
    </w:p>
    <w:p w14:paraId="43D7B47C" w14:textId="6546D240" w:rsidR="000766BD" w:rsidRPr="00AD6123" w:rsidRDefault="000766BD" w:rsidP="00371E99">
      <w:pPr>
        <w:pStyle w:val="Heading2"/>
        <w:rPr>
          <w:color w:val="auto"/>
          <w:highlight w:val="yellow"/>
        </w:rPr>
      </w:pPr>
      <w:r w:rsidRPr="00AD6123">
        <w:rPr>
          <w:color w:val="auto"/>
          <w:highlight w:val="yellow"/>
        </w:rPr>
        <w:t>Add 180 μL of the appropriate medium into wells A and H (these wells will serve as a background correction).</w:t>
      </w:r>
    </w:p>
    <w:p w14:paraId="68FCC2F4" w14:textId="77777777" w:rsidR="00AD1109" w:rsidRPr="00AD6123" w:rsidRDefault="00AD1109" w:rsidP="00371E99">
      <w:pPr>
        <w:rPr>
          <w:color w:val="auto"/>
          <w:highlight w:val="yellow"/>
        </w:rPr>
      </w:pPr>
    </w:p>
    <w:p w14:paraId="4533E0D3" w14:textId="6EB702EA" w:rsidR="000766BD" w:rsidRPr="00AD6123" w:rsidRDefault="000766BD" w:rsidP="00371E99">
      <w:pPr>
        <w:pStyle w:val="Heading2"/>
        <w:rPr>
          <w:color w:val="auto"/>
          <w:highlight w:val="yellow"/>
        </w:rPr>
      </w:pPr>
      <w:r w:rsidRPr="00AD6123">
        <w:rPr>
          <w:color w:val="auto"/>
          <w:highlight w:val="yellow"/>
        </w:rPr>
        <w:t>Centrifuge the plate at 400 × g for 5 min at room temperature with brake set to 1.</w:t>
      </w:r>
    </w:p>
    <w:p w14:paraId="426EAB2C" w14:textId="77777777" w:rsidR="00AD1109" w:rsidRPr="00AD6123" w:rsidRDefault="00AD1109" w:rsidP="00371E99">
      <w:pPr>
        <w:rPr>
          <w:color w:val="auto"/>
          <w:highlight w:val="yellow"/>
        </w:rPr>
      </w:pPr>
    </w:p>
    <w:p w14:paraId="7244C814" w14:textId="6B26E987" w:rsidR="000766BD" w:rsidRPr="00AD6123" w:rsidRDefault="000766BD" w:rsidP="00371E99">
      <w:pPr>
        <w:pStyle w:val="Heading2"/>
        <w:rPr>
          <w:color w:val="auto"/>
          <w:highlight w:val="yellow"/>
        </w:rPr>
      </w:pPr>
      <w:r w:rsidRPr="00AD6123">
        <w:rPr>
          <w:color w:val="auto"/>
          <w:highlight w:val="yellow"/>
        </w:rPr>
        <w:t>Add 130 μL of appropriate medium to wel</w:t>
      </w:r>
      <w:r w:rsidRPr="00552E21">
        <w:rPr>
          <w:color w:val="auto"/>
          <w:highlight w:val="yellow"/>
        </w:rPr>
        <w:t>ls B-G</w:t>
      </w:r>
      <w:r w:rsidR="00552E21" w:rsidRPr="00552E21">
        <w:rPr>
          <w:color w:val="auto"/>
          <w:highlight w:val="yellow"/>
        </w:rPr>
        <w:t xml:space="preserve"> in </w:t>
      </w:r>
      <w:r w:rsidR="00552E21" w:rsidRPr="00552E21">
        <w:rPr>
          <w:rFonts w:asciiTheme="minorHAnsi" w:hAnsiTheme="minorHAnsi" w:cstheme="minorHAnsi"/>
          <w:highlight w:val="yellow"/>
        </w:rPr>
        <w:t xml:space="preserve">two </w:t>
      </w:r>
      <w:r w:rsidR="00552E21" w:rsidRPr="00552E21">
        <w:rPr>
          <w:highlight w:val="yellow"/>
        </w:rPr>
        <w:t>8-well extracellular flux analyzer plates</w:t>
      </w:r>
      <w:r w:rsidR="00BC3132">
        <w:rPr>
          <w:highlight w:val="yellow"/>
        </w:rPr>
        <w:t xml:space="preserve"> </w:t>
      </w:r>
      <w:r w:rsidR="00BC3132" w:rsidRPr="00AD6123">
        <w:rPr>
          <w:color w:val="auto"/>
          <w:highlight w:val="yellow"/>
        </w:rPr>
        <w:t>slowly and carefully</w:t>
      </w:r>
      <w:r w:rsidRPr="00552E21">
        <w:rPr>
          <w:color w:val="auto"/>
          <w:highlight w:val="yellow"/>
        </w:rPr>
        <w:t xml:space="preserve">. Visually </w:t>
      </w:r>
      <w:r w:rsidRPr="00AD6123">
        <w:rPr>
          <w:color w:val="auto"/>
          <w:highlight w:val="yellow"/>
        </w:rPr>
        <w:t>confirm that the cells are stably adhered to the bottom of the wells by viewing under the microscope.</w:t>
      </w:r>
    </w:p>
    <w:p w14:paraId="46EF220C" w14:textId="77777777" w:rsidR="001C10DE" w:rsidRPr="00AD6123" w:rsidRDefault="001C10DE" w:rsidP="00371E99">
      <w:pPr>
        <w:rPr>
          <w:color w:val="auto"/>
          <w:highlight w:val="yellow"/>
        </w:rPr>
      </w:pPr>
    </w:p>
    <w:p w14:paraId="53BCA7C4" w14:textId="14DD9A1F" w:rsidR="000766BD" w:rsidRPr="000D6F39" w:rsidRDefault="000766BD" w:rsidP="00371E99">
      <w:pPr>
        <w:pStyle w:val="Heading2"/>
        <w:rPr>
          <w:color w:val="auto"/>
          <w:highlight w:val="yellow"/>
        </w:rPr>
      </w:pPr>
      <w:r w:rsidRPr="000D6F39">
        <w:rPr>
          <w:color w:val="auto"/>
          <w:highlight w:val="yellow"/>
        </w:rPr>
        <w:t xml:space="preserve">Place the plate </w:t>
      </w:r>
      <w:r w:rsidR="00024F78">
        <w:rPr>
          <w:color w:val="auto"/>
          <w:highlight w:val="yellow"/>
        </w:rPr>
        <w:t>in</w:t>
      </w:r>
      <w:r w:rsidRPr="000D6F39">
        <w:rPr>
          <w:color w:val="auto"/>
          <w:highlight w:val="yellow"/>
        </w:rPr>
        <w:t>to a humidified, non-CO</w:t>
      </w:r>
      <w:r w:rsidRPr="000D6F39">
        <w:rPr>
          <w:color w:val="auto"/>
          <w:highlight w:val="yellow"/>
          <w:vertAlign w:val="subscript"/>
        </w:rPr>
        <w:t>2</w:t>
      </w:r>
      <w:r w:rsidRPr="000D6F39">
        <w:rPr>
          <w:color w:val="auto"/>
          <w:highlight w:val="yellow"/>
        </w:rPr>
        <w:t>, 37 °C incubator for 30 min.</w:t>
      </w:r>
    </w:p>
    <w:p w14:paraId="077CF7D4" w14:textId="77777777" w:rsidR="000766BD" w:rsidRPr="00AD6123" w:rsidRDefault="000766BD" w:rsidP="00371E99">
      <w:pPr>
        <w:rPr>
          <w:rFonts w:asciiTheme="minorHAnsi" w:hAnsiTheme="minorHAnsi" w:cstheme="minorHAnsi"/>
          <w:color w:val="auto"/>
        </w:rPr>
      </w:pPr>
    </w:p>
    <w:p w14:paraId="603C2986" w14:textId="09E05EB4" w:rsidR="000766BD" w:rsidRPr="00B107EC" w:rsidRDefault="000766BD" w:rsidP="00371E99">
      <w:pPr>
        <w:pStyle w:val="Heading1"/>
        <w:rPr>
          <w:color w:val="auto"/>
          <w:highlight w:val="yellow"/>
        </w:rPr>
      </w:pPr>
      <w:r w:rsidRPr="00B107EC">
        <w:rPr>
          <w:color w:val="auto"/>
          <w:highlight w:val="yellow"/>
        </w:rPr>
        <w:t xml:space="preserve">Loading the </w:t>
      </w:r>
      <w:r w:rsidR="005D19F1">
        <w:rPr>
          <w:color w:val="auto"/>
          <w:highlight w:val="yellow"/>
        </w:rPr>
        <w:t>S</w:t>
      </w:r>
      <w:r w:rsidRPr="00B107EC">
        <w:rPr>
          <w:color w:val="auto"/>
          <w:highlight w:val="yellow"/>
        </w:rPr>
        <w:t xml:space="preserve">ensor </w:t>
      </w:r>
      <w:r w:rsidR="005D19F1">
        <w:rPr>
          <w:color w:val="auto"/>
          <w:highlight w:val="yellow"/>
        </w:rPr>
        <w:t>C</w:t>
      </w:r>
      <w:r w:rsidRPr="00B107EC">
        <w:rPr>
          <w:color w:val="auto"/>
          <w:highlight w:val="yellow"/>
        </w:rPr>
        <w:t>artridge</w:t>
      </w:r>
    </w:p>
    <w:p w14:paraId="227423B7" w14:textId="77777777" w:rsidR="001C10DE" w:rsidRPr="00AD6123" w:rsidRDefault="001C10DE" w:rsidP="00371E99">
      <w:pPr>
        <w:rPr>
          <w:color w:val="auto"/>
        </w:rPr>
      </w:pPr>
    </w:p>
    <w:p w14:paraId="7F11EBA4" w14:textId="66901419" w:rsidR="000766BD" w:rsidRPr="00AD6123" w:rsidRDefault="000766BD" w:rsidP="00371E99">
      <w:pPr>
        <w:pStyle w:val="Heading2"/>
        <w:rPr>
          <w:color w:val="auto"/>
          <w:highlight w:val="yellow"/>
        </w:rPr>
      </w:pPr>
      <w:r w:rsidRPr="00AD6123">
        <w:rPr>
          <w:color w:val="auto"/>
          <w:highlight w:val="yellow"/>
        </w:rPr>
        <w:t xml:space="preserve">For the Glycolysis stress test, prepare 250 μL each of 100 mM glucose, 20 </w:t>
      </w:r>
      <w:proofErr w:type="spellStart"/>
      <w:r w:rsidRPr="00AD6123">
        <w:rPr>
          <w:color w:val="auto"/>
          <w:highlight w:val="yellow"/>
        </w:rPr>
        <w:t>μM</w:t>
      </w:r>
      <w:proofErr w:type="spellEnd"/>
      <w:r w:rsidRPr="00AD6123">
        <w:rPr>
          <w:color w:val="auto"/>
          <w:highlight w:val="yellow"/>
        </w:rPr>
        <w:t xml:space="preserve"> Oligomycin A and 1 M 2-DG, all in Glycolysis stress test medium.</w:t>
      </w:r>
    </w:p>
    <w:p w14:paraId="405FF127" w14:textId="77777777" w:rsidR="001C10DE" w:rsidRPr="00AD6123" w:rsidRDefault="001C10DE" w:rsidP="00371E99">
      <w:pPr>
        <w:rPr>
          <w:color w:val="auto"/>
          <w:highlight w:val="yellow"/>
        </w:rPr>
      </w:pPr>
    </w:p>
    <w:p w14:paraId="6D89FD58" w14:textId="1B681CAC" w:rsidR="000766BD" w:rsidRPr="00AD6123" w:rsidRDefault="000766BD" w:rsidP="00371E99">
      <w:pPr>
        <w:pStyle w:val="Heading2"/>
        <w:rPr>
          <w:color w:val="auto"/>
        </w:rPr>
      </w:pPr>
      <w:r w:rsidRPr="00AD6123">
        <w:rPr>
          <w:color w:val="auto"/>
          <w:highlight w:val="yellow"/>
        </w:rPr>
        <w:t xml:space="preserve">For the Cell </w:t>
      </w:r>
      <w:r w:rsidR="001F39AD">
        <w:rPr>
          <w:color w:val="auto"/>
          <w:highlight w:val="yellow"/>
        </w:rPr>
        <w:t>M</w:t>
      </w:r>
      <w:r w:rsidRPr="00AD6123">
        <w:rPr>
          <w:color w:val="auto"/>
          <w:highlight w:val="yellow"/>
        </w:rPr>
        <w:t xml:space="preserve">ito stress test, prepare 250 μL each of 20 </w:t>
      </w:r>
      <w:proofErr w:type="spellStart"/>
      <w:r w:rsidRPr="00AD6123">
        <w:rPr>
          <w:color w:val="auto"/>
          <w:highlight w:val="yellow"/>
        </w:rPr>
        <w:t>μM</w:t>
      </w:r>
      <w:proofErr w:type="spellEnd"/>
      <w:r w:rsidRPr="00AD6123">
        <w:rPr>
          <w:color w:val="auto"/>
          <w:highlight w:val="yellow"/>
        </w:rPr>
        <w:t xml:space="preserve"> Oligomycin A, 15 </w:t>
      </w:r>
      <w:proofErr w:type="spellStart"/>
      <w:r w:rsidRPr="00AD6123">
        <w:rPr>
          <w:color w:val="auto"/>
          <w:highlight w:val="yellow"/>
        </w:rPr>
        <w:t>μM</w:t>
      </w:r>
      <w:proofErr w:type="spellEnd"/>
      <w:r w:rsidRPr="00AD6123">
        <w:rPr>
          <w:color w:val="auto"/>
          <w:highlight w:val="yellow"/>
        </w:rPr>
        <w:t xml:space="preserve"> FCCP, 30 </w:t>
      </w:r>
      <w:proofErr w:type="spellStart"/>
      <w:r w:rsidRPr="00AD6123">
        <w:rPr>
          <w:color w:val="auto"/>
          <w:highlight w:val="yellow"/>
        </w:rPr>
        <w:t>μM</w:t>
      </w:r>
      <w:proofErr w:type="spellEnd"/>
      <w:r w:rsidRPr="00AD6123">
        <w:rPr>
          <w:color w:val="auto"/>
          <w:highlight w:val="yellow"/>
        </w:rPr>
        <w:t xml:space="preserve"> FCCP and a mixture of 10 </w:t>
      </w:r>
      <w:proofErr w:type="spellStart"/>
      <w:r w:rsidRPr="00AD6123">
        <w:rPr>
          <w:color w:val="auto"/>
          <w:highlight w:val="yellow"/>
        </w:rPr>
        <w:t>μM</w:t>
      </w:r>
      <w:proofErr w:type="spellEnd"/>
      <w:r w:rsidRPr="00AD6123">
        <w:rPr>
          <w:color w:val="auto"/>
          <w:highlight w:val="yellow"/>
        </w:rPr>
        <w:t xml:space="preserve"> Rotenone and 10 </w:t>
      </w:r>
      <w:proofErr w:type="spellStart"/>
      <w:r w:rsidRPr="00AD6123">
        <w:rPr>
          <w:color w:val="auto"/>
          <w:highlight w:val="yellow"/>
        </w:rPr>
        <w:t>μg</w:t>
      </w:r>
      <w:proofErr w:type="spellEnd"/>
      <w:r w:rsidRPr="00AD6123">
        <w:rPr>
          <w:color w:val="auto"/>
          <w:highlight w:val="yellow"/>
        </w:rPr>
        <w:t xml:space="preserve">/ml Antimycin A, all in </w:t>
      </w:r>
      <w:r w:rsidR="001C10DE" w:rsidRPr="00AD6123">
        <w:rPr>
          <w:color w:val="auto"/>
          <w:highlight w:val="yellow"/>
        </w:rPr>
        <w:t>C</w:t>
      </w:r>
      <w:r w:rsidRPr="00AD6123">
        <w:rPr>
          <w:color w:val="auto"/>
          <w:highlight w:val="yellow"/>
        </w:rPr>
        <w:t xml:space="preserve">ell </w:t>
      </w:r>
      <w:r w:rsidR="001F39AD">
        <w:rPr>
          <w:color w:val="auto"/>
          <w:highlight w:val="yellow"/>
        </w:rPr>
        <w:t>M</w:t>
      </w:r>
      <w:r w:rsidRPr="00AD6123">
        <w:rPr>
          <w:color w:val="auto"/>
          <w:highlight w:val="yellow"/>
        </w:rPr>
        <w:t>ito stress test medium without BSA.</w:t>
      </w:r>
    </w:p>
    <w:p w14:paraId="5B445079" w14:textId="77777777" w:rsidR="001C10DE" w:rsidRPr="00AD6123" w:rsidRDefault="001C10DE" w:rsidP="00371E99">
      <w:pPr>
        <w:rPr>
          <w:color w:val="auto"/>
        </w:rPr>
      </w:pPr>
    </w:p>
    <w:p w14:paraId="61C90217" w14:textId="52AF98F1" w:rsidR="000766BD" w:rsidRPr="00AD6123" w:rsidRDefault="000766BD" w:rsidP="00371E99">
      <w:pPr>
        <w:rPr>
          <w:rFonts w:asciiTheme="minorHAnsi" w:hAnsiTheme="minorHAnsi" w:cstheme="minorHAnsi"/>
          <w:color w:val="auto"/>
        </w:rPr>
      </w:pPr>
      <w:r w:rsidRPr="00AD6123">
        <w:rPr>
          <w:rFonts w:asciiTheme="minorHAnsi" w:hAnsiTheme="minorHAnsi" w:cstheme="minorHAnsi"/>
          <w:color w:val="auto"/>
        </w:rPr>
        <w:t>N</w:t>
      </w:r>
      <w:r w:rsidR="00371E99">
        <w:rPr>
          <w:rFonts w:asciiTheme="minorHAnsi" w:hAnsiTheme="minorHAnsi" w:cstheme="minorHAnsi"/>
          <w:color w:val="auto"/>
        </w:rPr>
        <w:t>ote</w:t>
      </w:r>
      <w:r w:rsidRPr="00AD6123">
        <w:rPr>
          <w:rFonts w:asciiTheme="minorHAnsi" w:hAnsiTheme="minorHAnsi" w:cstheme="minorHAnsi"/>
          <w:color w:val="auto"/>
        </w:rPr>
        <w:t xml:space="preserve">: </w:t>
      </w:r>
      <w:r w:rsidR="002E60D0">
        <w:rPr>
          <w:rFonts w:asciiTheme="minorHAnsi" w:hAnsiTheme="minorHAnsi" w:cstheme="minorHAnsi"/>
          <w:color w:val="auto"/>
        </w:rPr>
        <w:t>I</w:t>
      </w:r>
      <w:r w:rsidR="00500EA0" w:rsidRPr="00AD6123">
        <w:rPr>
          <w:rFonts w:asciiTheme="minorHAnsi" w:hAnsiTheme="minorHAnsi" w:cstheme="minorHAnsi"/>
          <w:color w:val="auto"/>
        </w:rPr>
        <w:t>njecting</w:t>
      </w:r>
      <w:r w:rsidRPr="00AD6123">
        <w:rPr>
          <w:rFonts w:asciiTheme="minorHAnsi" w:hAnsiTheme="minorHAnsi" w:cstheme="minorHAnsi"/>
          <w:color w:val="auto"/>
        </w:rPr>
        <w:t xml:space="preserve"> two concentrations of FCCP in one </w:t>
      </w:r>
      <w:r w:rsidRPr="002E60D0">
        <w:rPr>
          <w:rFonts w:asciiTheme="minorHAnsi" w:hAnsiTheme="minorHAnsi" w:cstheme="minorHAnsi"/>
          <w:color w:val="auto"/>
        </w:rPr>
        <w:t>assay</w:t>
      </w:r>
      <w:r w:rsidR="00232A88" w:rsidRPr="002E60D0">
        <w:rPr>
          <w:rFonts w:asciiTheme="minorHAnsi" w:hAnsiTheme="minorHAnsi" w:cstheme="minorHAnsi"/>
          <w:color w:val="auto"/>
        </w:rPr>
        <w:t xml:space="preserve"> is recommended</w:t>
      </w:r>
      <w:r w:rsidRPr="002E60D0">
        <w:rPr>
          <w:rFonts w:asciiTheme="minorHAnsi" w:hAnsiTheme="minorHAnsi" w:cstheme="minorHAnsi"/>
          <w:color w:val="auto"/>
        </w:rPr>
        <w:t xml:space="preserve"> since</w:t>
      </w:r>
      <w:r w:rsidRPr="00AD6123">
        <w:rPr>
          <w:rFonts w:asciiTheme="minorHAnsi" w:hAnsiTheme="minorHAnsi" w:cstheme="minorHAnsi"/>
          <w:color w:val="auto"/>
        </w:rPr>
        <w:t xml:space="preserve"> there is not enough patients’ material for the FCCP titration. Nevertheless, the concentrations should be determined by the researcher.</w:t>
      </w:r>
    </w:p>
    <w:p w14:paraId="3B5E1880" w14:textId="77777777" w:rsidR="001C10DE" w:rsidRPr="00AD6123" w:rsidRDefault="001C10DE" w:rsidP="00371E99">
      <w:pPr>
        <w:rPr>
          <w:rFonts w:asciiTheme="minorHAnsi" w:hAnsiTheme="minorHAnsi" w:cstheme="minorHAnsi"/>
          <w:color w:val="auto"/>
        </w:rPr>
      </w:pPr>
    </w:p>
    <w:p w14:paraId="7762268F" w14:textId="3D352347" w:rsidR="000766BD" w:rsidRPr="00AD6123" w:rsidRDefault="000766BD" w:rsidP="00371E99">
      <w:pPr>
        <w:pStyle w:val="Heading2"/>
        <w:rPr>
          <w:color w:val="auto"/>
          <w:highlight w:val="yellow"/>
        </w:rPr>
      </w:pPr>
      <w:r w:rsidRPr="00AD6123">
        <w:rPr>
          <w:color w:val="auto"/>
          <w:highlight w:val="yellow"/>
        </w:rPr>
        <w:t>Load the compounds into the appropriate injector ports of the cartridge as follows</w:t>
      </w:r>
      <w:r w:rsidR="001C10DE" w:rsidRPr="00AD6123">
        <w:rPr>
          <w:color w:val="auto"/>
          <w:highlight w:val="yellow"/>
        </w:rPr>
        <w:t xml:space="preserve"> (</w:t>
      </w:r>
      <w:r w:rsidR="001C10DE" w:rsidRPr="00500EA0">
        <w:rPr>
          <w:b/>
          <w:color w:val="auto"/>
          <w:highlight w:val="yellow"/>
        </w:rPr>
        <w:t>Table 1)</w:t>
      </w:r>
      <w:r w:rsidRPr="00500EA0">
        <w:rPr>
          <w:b/>
          <w:color w:val="auto"/>
          <w:highlight w:val="yellow"/>
        </w:rPr>
        <w:t>:</w:t>
      </w:r>
    </w:p>
    <w:p w14:paraId="49AE3497" w14:textId="77777777" w:rsidR="000766BD" w:rsidRPr="00AD6123" w:rsidRDefault="000766BD" w:rsidP="00371E99">
      <w:pPr>
        <w:rPr>
          <w:rFonts w:asciiTheme="minorHAnsi" w:hAnsiTheme="minorHAnsi" w:cstheme="minorHAnsi"/>
          <w:color w:val="auto"/>
        </w:rPr>
      </w:pPr>
    </w:p>
    <w:p w14:paraId="3B24722D" w14:textId="3F1A15CC" w:rsidR="000766BD" w:rsidRPr="00AD6123" w:rsidRDefault="000766BD" w:rsidP="00371E99">
      <w:pPr>
        <w:pStyle w:val="Heading1"/>
        <w:rPr>
          <w:color w:val="auto"/>
          <w:highlight w:val="yellow"/>
        </w:rPr>
      </w:pPr>
      <w:r w:rsidRPr="00AD6123">
        <w:rPr>
          <w:color w:val="auto"/>
          <w:highlight w:val="yellow"/>
        </w:rPr>
        <w:t xml:space="preserve">Setting </w:t>
      </w:r>
      <w:r w:rsidR="00371E99">
        <w:rPr>
          <w:color w:val="auto"/>
          <w:highlight w:val="yellow"/>
        </w:rPr>
        <w:t>U</w:t>
      </w:r>
      <w:r w:rsidRPr="00AD6123">
        <w:rPr>
          <w:color w:val="auto"/>
          <w:highlight w:val="yellow"/>
        </w:rPr>
        <w:t xml:space="preserve">p the </w:t>
      </w:r>
      <w:r w:rsidR="00371E99">
        <w:rPr>
          <w:color w:val="auto"/>
          <w:highlight w:val="yellow"/>
        </w:rPr>
        <w:t>P</w:t>
      </w:r>
      <w:r w:rsidRPr="00AD6123">
        <w:rPr>
          <w:color w:val="auto"/>
          <w:highlight w:val="yellow"/>
        </w:rPr>
        <w:t>rogram</w:t>
      </w:r>
    </w:p>
    <w:p w14:paraId="4C7B606E" w14:textId="77777777" w:rsidR="001C10DE" w:rsidRPr="00AD6123" w:rsidRDefault="001C10DE" w:rsidP="00371E99">
      <w:pPr>
        <w:rPr>
          <w:color w:val="auto"/>
          <w:highlight w:val="yellow"/>
        </w:rPr>
      </w:pPr>
    </w:p>
    <w:p w14:paraId="003D02B7" w14:textId="2431DC88" w:rsidR="000766BD" w:rsidRPr="00AD6123" w:rsidRDefault="000766BD" w:rsidP="00371E99">
      <w:pPr>
        <w:pStyle w:val="Heading2"/>
        <w:rPr>
          <w:color w:val="auto"/>
          <w:highlight w:val="yellow"/>
        </w:rPr>
      </w:pPr>
      <w:r w:rsidRPr="00AD6123">
        <w:rPr>
          <w:color w:val="auto"/>
          <w:highlight w:val="yellow"/>
        </w:rPr>
        <w:t>For the Glycolysis stress test, set up the program</w:t>
      </w:r>
      <w:r w:rsidR="00500EA0">
        <w:rPr>
          <w:color w:val="auto"/>
          <w:highlight w:val="yellow"/>
        </w:rPr>
        <w:t xml:space="preserve"> as described in</w:t>
      </w:r>
      <w:r w:rsidR="001C10DE" w:rsidRPr="00AD6123">
        <w:rPr>
          <w:color w:val="auto"/>
          <w:highlight w:val="yellow"/>
        </w:rPr>
        <w:t xml:space="preserve"> </w:t>
      </w:r>
      <w:r w:rsidR="001C10DE" w:rsidRPr="00500EA0">
        <w:rPr>
          <w:b/>
          <w:color w:val="auto"/>
          <w:highlight w:val="yellow"/>
        </w:rPr>
        <w:t>Table 2</w:t>
      </w:r>
      <w:r w:rsidR="00500EA0">
        <w:rPr>
          <w:color w:val="auto"/>
          <w:highlight w:val="yellow"/>
        </w:rPr>
        <w:t>.</w:t>
      </w:r>
    </w:p>
    <w:p w14:paraId="0F6D5346" w14:textId="2BF9ECAB" w:rsidR="000766BD" w:rsidRPr="00AD6123" w:rsidRDefault="000766BD" w:rsidP="00371E99">
      <w:pPr>
        <w:rPr>
          <w:rFonts w:asciiTheme="minorHAnsi" w:hAnsiTheme="minorHAnsi" w:cstheme="minorHAnsi"/>
          <w:color w:val="auto"/>
          <w:highlight w:val="yellow"/>
        </w:rPr>
      </w:pPr>
    </w:p>
    <w:p w14:paraId="70206025" w14:textId="1DF2D72D" w:rsidR="000766BD" w:rsidRPr="00AD6123" w:rsidRDefault="000766BD" w:rsidP="00371E99">
      <w:pPr>
        <w:pStyle w:val="Heading2"/>
        <w:rPr>
          <w:color w:val="auto"/>
          <w:highlight w:val="yellow"/>
        </w:rPr>
      </w:pPr>
      <w:r w:rsidRPr="00AD6123">
        <w:rPr>
          <w:color w:val="auto"/>
          <w:highlight w:val="yellow"/>
        </w:rPr>
        <w:t xml:space="preserve">For the Cell </w:t>
      </w:r>
      <w:r w:rsidR="001F39AD">
        <w:rPr>
          <w:color w:val="auto"/>
          <w:highlight w:val="yellow"/>
        </w:rPr>
        <w:t>M</w:t>
      </w:r>
      <w:r w:rsidRPr="00AD6123">
        <w:rPr>
          <w:color w:val="auto"/>
          <w:highlight w:val="yellow"/>
        </w:rPr>
        <w:t>ito stress tes</w:t>
      </w:r>
      <w:r w:rsidR="001C10DE" w:rsidRPr="00AD6123">
        <w:rPr>
          <w:color w:val="auto"/>
          <w:highlight w:val="yellow"/>
        </w:rPr>
        <w:t xml:space="preserve">t, set up the program </w:t>
      </w:r>
      <w:r w:rsidR="00500EA0">
        <w:rPr>
          <w:color w:val="auto"/>
          <w:highlight w:val="yellow"/>
        </w:rPr>
        <w:t xml:space="preserve">as described in </w:t>
      </w:r>
      <w:r w:rsidR="001C10DE" w:rsidRPr="00500EA0">
        <w:rPr>
          <w:b/>
          <w:color w:val="auto"/>
          <w:highlight w:val="yellow"/>
        </w:rPr>
        <w:t>Table 3</w:t>
      </w:r>
      <w:r w:rsidR="00500EA0">
        <w:rPr>
          <w:color w:val="auto"/>
          <w:highlight w:val="yellow"/>
        </w:rPr>
        <w:t>.</w:t>
      </w:r>
    </w:p>
    <w:p w14:paraId="7E2FD02F" w14:textId="77777777" w:rsidR="000766BD" w:rsidRPr="00AD6123" w:rsidRDefault="000766BD" w:rsidP="00371E99">
      <w:pPr>
        <w:rPr>
          <w:rFonts w:asciiTheme="minorHAnsi" w:hAnsiTheme="minorHAnsi" w:cstheme="minorHAnsi"/>
          <w:color w:val="auto"/>
          <w:highlight w:val="yellow"/>
        </w:rPr>
      </w:pPr>
    </w:p>
    <w:p w14:paraId="0B529A88" w14:textId="5F43C835" w:rsidR="000766BD" w:rsidRPr="00AD6123" w:rsidRDefault="000766BD" w:rsidP="00371E99">
      <w:pPr>
        <w:pStyle w:val="Heading2"/>
        <w:rPr>
          <w:color w:val="auto"/>
        </w:rPr>
      </w:pPr>
      <w:r w:rsidRPr="00AD6123">
        <w:rPr>
          <w:color w:val="auto"/>
          <w:highlight w:val="yellow"/>
        </w:rPr>
        <w:t xml:space="preserve">Start the program. Replace the calibrant plate </w:t>
      </w:r>
      <w:r w:rsidR="00024F78">
        <w:rPr>
          <w:color w:val="auto"/>
          <w:highlight w:val="yellow"/>
        </w:rPr>
        <w:t>with</w:t>
      </w:r>
      <w:r w:rsidRPr="00AD6123">
        <w:rPr>
          <w:color w:val="auto"/>
          <w:highlight w:val="yellow"/>
        </w:rPr>
        <w:t xml:space="preserve"> the assay plate (when prompted</w:t>
      </w:r>
      <w:r w:rsidRPr="00AD6123">
        <w:rPr>
          <w:color w:val="auto"/>
        </w:rPr>
        <w:t>).</w:t>
      </w:r>
    </w:p>
    <w:p w14:paraId="7AFF05D4" w14:textId="77777777" w:rsidR="000766BD" w:rsidRPr="00AD6123" w:rsidRDefault="000766BD" w:rsidP="00371E99">
      <w:pPr>
        <w:rPr>
          <w:rFonts w:asciiTheme="minorHAnsi" w:hAnsiTheme="minorHAnsi" w:cstheme="minorHAnsi"/>
          <w:color w:val="auto"/>
        </w:rPr>
      </w:pPr>
    </w:p>
    <w:p w14:paraId="248F9F96" w14:textId="19FD27FC" w:rsidR="000766BD" w:rsidRPr="00AD6123" w:rsidRDefault="000766BD" w:rsidP="00371E99">
      <w:pPr>
        <w:pStyle w:val="Heading1"/>
        <w:rPr>
          <w:color w:val="auto"/>
        </w:rPr>
      </w:pPr>
      <w:r w:rsidRPr="00AD6123">
        <w:rPr>
          <w:color w:val="auto"/>
        </w:rPr>
        <w:t xml:space="preserve">Evaluation and </w:t>
      </w:r>
      <w:r w:rsidR="00371E99">
        <w:rPr>
          <w:color w:val="auto"/>
        </w:rPr>
        <w:t>I</w:t>
      </w:r>
      <w:r w:rsidRPr="00AD6123">
        <w:rPr>
          <w:color w:val="auto"/>
        </w:rPr>
        <w:t xml:space="preserve">nterpretation of the </w:t>
      </w:r>
      <w:r w:rsidR="00371E99">
        <w:rPr>
          <w:color w:val="auto"/>
        </w:rPr>
        <w:t>R</w:t>
      </w:r>
      <w:r w:rsidRPr="00AD6123">
        <w:rPr>
          <w:color w:val="auto"/>
        </w:rPr>
        <w:t>esults</w:t>
      </w:r>
    </w:p>
    <w:p w14:paraId="5A2084D4" w14:textId="4577FC0C" w:rsidR="001C10DE" w:rsidRPr="00AD6123" w:rsidRDefault="001C10DE" w:rsidP="00371E99">
      <w:pPr>
        <w:rPr>
          <w:color w:val="auto"/>
        </w:rPr>
      </w:pPr>
    </w:p>
    <w:p w14:paraId="02D149C0" w14:textId="0A00BF01" w:rsidR="001C10DE" w:rsidRPr="00AD6123" w:rsidRDefault="001C10DE" w:rsidP="00371E99">
      <w:pPr>
        <w:pStyle w:val="Heading2"/>
        <w:rPr>
          <w:color w:val="auto"/>
        </w:rPr>
      </w:pPr>
      <w:r w:rsidRPr="00AD6123">
        <w:rPr>
          <w:color w:val="auto"/>
        </w:rPr>
        <w:t>In the Glycolysis stress test results, subtract the lowest ECAR value after 2-DG injec</w:t>
      </w:r>
      <w:r w:rsidR="0094033C" w:rsidRPr="00AD6123">
        <w:rPr>
          <w:color w:val="auto"/>
        </w:rPr>
        <w:t>tion from all other ECAR values.</w:t>
      </w:r>
    </w:p>
    <w:p w14:paraId="5C4982D9" w14:textId="7EA19545" w:rsidR="001C10DE" w:rsidRPr="00AD6123" w:rsidRDefault="001C10DE" w:rsidP="00371E99">
      <w:pPr>
        <w:rPr>
          <w:color w:val="auto"/>
        </w:rPr>
      </w:pPr>
    </w:p>
    <w:p w14:paraId="17E8775F" w14:textId="3C2C4E52" w:rsidR="001C10DE" w:rsidRPr="00AD6123" w:rsidRDefault="001C10DE" w:rsidP="00371E99">
      <w:pPr>
        <w:rPr>
          <w:color w:val="auto"/>
        </w:rPr>
      </w:pPr>
      <w:r w:rsidRPr="00AD6123">
        <w:rPr>
          <w:color w:val="auto"/>
        </w:rPr>
        <w:t>N</w:t>
      </w:r>
      <w:r w:rsidR="00371E99">
        <w:rPr>
          <w:color w:val="auto"/>
        </w:rPr>
        <w:t>ote</w:t>
      </w:r>
      <w:r w:rsidRPr="00AD6123">
        <w:rPr>
          <w:color w:val="auto"/>
        </w:rPr>
        <w:t xml:space="preserve">: </w:t>
      </w:r>
      <w:r w:rsidR="00500EA0" w:rsidRPr="00AD6123">
        <w:rPr>
          <w:color w:val="auto"/>
        </w:rPr>
        <w:t>This lowest value represents the non-glycolytic acidification</w:t>
      </w:r>
      <w:r w:rsidR="00500EA0">
        <w:rPr>
          <w:color w:val="auto"/>
        </w:rPr>
        <w:t>.</w:t>
      </w:r>
      <w:r w:rsidR="00500EA0" w:rsidRPr="00AD6123">
        <w:rPr>
          <w:color w:val="auto"/>
        </w:rPr>
        <w:t xml:space="preserve"> </w:t>
      </w:r>
      <w:r w:rsidRPr="00AD6123">
        <w:rPr>
          <w:color w:val="auto"/>
        </w:rPr>
        <w:t>Usually, the lowest value is from the 4</w:t>
      </w:r>
      <w:r w:rsidRPr="00AD6123">
        <w:rPr>
          <w:color w:val="auto"/>
          <w:vertAlign w:val="superscript"/>
        </w:rPr>
        <w:t>th</w:t>
      </w:r>
      <w:r w:rsidRPr="00AD6123">
        <w:rPr>
          <w:color w:val="auto"/>
        </w:rPr>
        <w:t xml:space="preserve"> measurement.</w:t>
      </w:r>
    </w:p>
    <w:p w14:paraId="5B4D85A5" w14:textId="77777777" w:rsidR="0094033C" w:rsidRPr="00AD6123" w:rsidRDefault="0094033C" w:rsidP="00371E99">
      <w:pPr>
        <w:rPr>
          <w:color w:val="auto"/>
        </w:rPr>
      </w:pPr>
    </w:p>
    <w:p w14:paraId="270D3EF0" w14:textId="346F33E1" w:rsidR="001C10DE" w:rsidRPr="00AD6123" w:rsidRDefault="0094033C" w:rsidP="00371E99">
      <w:pPr>
        <w:pStyle w:val="Heading2"/>
        <w:rPr>
          <w:color w:val="auto"/>
        </w:rPr>
      </w:pPr>
      <w:r w:rsidRPr="00AD6123">
        <w:rPr>
          <w:color w:val="auto"/>
        </w:rPr>
        <w:t xml:space="preserve">Calculate Basal acidification, Glycolysis, Maximal glycolysis and Glycolytic reserve parameters from glycolytic function </w:t>
      </w:r>
      <w:r w:rsidRPr="006B1400">
        <w:rPr>
          <w:b/>
          <w:color w:val="auto"/>
        </w:rPr>
        <w:t>(Fig</w:t>
      </w:r>
      <w:r w:rsidR="006B1400" w:rsidRPr="006B1400">
        <w:rPr>
          <w:b/>
          <w:color w:val="auto"/>
        </w:rPr>
        <w:t xml:space="preserve">ure </w:t>
      </w:r>
      <w:r w:rsidRPr="006B1400">
        <w:rPr>
          <w:b/>
          <w:color w:val="auto"/>
        </w:rPr>
        <w:t>2A)</w:t>
      </w:r>
      <w:r w:rsidRPr="00AD6123">
        <w:rPr>
          <w:color w:val="auto"/>
        </w:rPr>
        <w:t xml:space="preserve">. </w:t>
      </w:r>
      <w:r w:rsidR="007D57A6" w:rsidRPr="00AD6123">
        <w:rPr>
          <w:color w:val="auto"/>
        </w:rPr>
        <w:t>After subtracting the lowest ECAR value,</w:t>
      </w:r>
      <w:r w:rsidR="00DB1A49">
        <w:rPr>
          <w:color w:val="auto"/>
        </w:rPr>
        <w:t xml:space="preserve"> calculate </w:t>
      </w:r>
      <w:r w:rsidR="007D57A6" w:rsidRPr="00AD6123">
        <w:rPr>
          <w:color w:val="auto"/>
        </w:rPr>
        <w:t>Basal acidification as a mean of ECAR from the first three measurement</w:t>
      </w:r>
      <w:r w:rsidR="007A1241" w:rsidRPr="00AD6123">
        <w:rPr>
          <w:color w:val="auto"/>
        </w:rPr>
        <w:t xml:space="preserve"> points</w:t>
      </w:r>
      <w:r w:rsidR="00C92264" w:rsidRPr="00AD6123">
        <w:rPr>
          <w:color w:val="auto"/>
        </w:rPr>
        <w:t xml:space="preserve"> (omit the first ECAR value if it significantly differs from the other two)</w:t>
      </w:r>
      <w:r w:rsidR="007D57A6" w:rsidRPr="00AD6123">
        <w:rPr>
          <w:color w:val="auto"/>
        </w:rPr>
        <w:t xml:space="preserve">, </w:t>
      </w:r>
      <w:r w:rsidR="00DB1A49">
        <w:rPr>
          <w:color w:val="auto"/>
        </w:rPr>
        <w:t xml:space="preserve">calculate </w:t>
      </w:r>
      <w:r w:rsidR="007D57A6" w:rsidRPr="00AD6123">
        <w:rPr>
          <w:color w:val="auto"/>
        </w:rPr>
        <w:t>Glycolysis as a mean of ECAR from three measurement</w:t>
      </w:r>
      <w:r w:rsidR="007A1241" w:rsidRPr="00AD6123">
        <w:rPr>
          <w:color w:val="auto"/>
        </w:rPr>
        <w:t xml:space="preserve"> points</w:t>
      </w:r>
      <w:r w:rsidR="007D57A6" w:rsidRPr="00AD6123">
        <w:rPr>
          <w:color w:val="auto"/>
        </w:rPr>
        <w:t xml:space="preserve"> after glucose injection and </w:t>
      </w:r>
      <w:r w:rsidR="00DB1A49">
        <w:rPr>
          <w:color w:val="auto"/>
        </w:rPr>
        <w:t xml:space="preserve">calculate </w:t>
      </w:r>
      <w:r w:rsidR="007D57A6" w:rsidRPr="00AD6123">
        <w:rPr>
          <w:color w:val="auto"/>
        </w:rPr>
        <w:t>Maximal glycolysis as a mean of ECAR from three measurement</w:t>
      </w:r>
      <w:r w:rsidR="007A1241" w:rsidRPr="00AD6123">
        <w:rPr>
          <w:color w:val="auto"/>
        </w:rPr>
        <w:t xml:space="preserve"> points</w:t>
      </w:r>
      <w:r w:rsidR="007D57A6" w:rsidRPr="00AD6123">
        <w:rPr>
          <w:color w:val="auto"/>
        </w:rPr>
        <w:t xml:space="preserve"> after Oligomycin A injection. </w:t>
      </w:r>
      <w:r w:rsidR="00DB1A49">
        <w:rPr>
          <w:color w:val="auto"/>
        </w:rPr>
        <w:t xml:space="preserve">Calculate </w:t>
      </w:r>
      <w:r w:rsidR="007D57A6" w:rsidRPr="00AD6123">
        <w:rPr>
          <w:color w:val="auto"/>
        </w:rPr>
        <w:t xml:space="preserve">Glycolytic reserve </w:t>
      </w:r>
      <w:r w:rsidR="00DB1A49">
        <w:rPr>
          <w:color w:val="auto"/>
        </w:rPr>
        <w:t>as</w:t>
      </w:r>
      <w:r w:rsidR="007D57A6" w:rsidRPr="00AD6123">
        <w:rPr>
          <w:color w:val="auto"/>
        </w:rPr>
        <w:t xml:space="preserve"> Maximal glycolysis minus Glycolysis.</w:t>
      </w:r>
    </w:p>
    <w:p w14:paraId="33CFB23B" w14:textId="77777777" w:rsidR="00DB1A49" w:rsidRDefault="00DB1A49" w:rsidP="00371E99">
      <w:pPr>
        <w:rPr>
          <w:color w:val="auto"/>
        </w:rPr>
      </w:pPr>
    </w:p>
    <w:p w14:paraId="18CE6C87" w14:textId="2F1AD52F" w:rsidR="007D57A6" w:rsidRPr="00AD6123" w:rsidRDefault="00371E99" w:rsidP="00371E99">
      <w:pPr>
        <w:rPr>
          <w:color w:val="auto"/>
        </w:rPr>
      </w:pPr>
      <w:r>
        <w:rPr>
          <w:color w:val="auto"/>
        </w:rPr>
        <w:t>Note</w:t>
      </w:r>
      <w:r w:rsidR="00516CF6" w:rsidRPr="00AD6123">
        <w:rPr>
          <w:color w:val="auto"/>
        </w:rPr>
        <w:t xml:space="preserve">: Alternatively, for Maximal glycolysis calculation, use the highest ECAR value from the three </w:t>
      </w:r>
      <w:r w:rsidR="007A1241" w:rsidRPr="00AD6123">
        <w:rPr>
          <w:color w:val="auto"/>
        </w:rPr>
        <w:t xml:space="preserve">points </w:t>
      </w:r>
      <w:r w:rsidR="00516CF6" w:rsidRPr="00AD6123">
        <w:rPr>
          <w:color w:val="auto"/>
        </w:rPr>
        <w:t>measured.</w:t>
      </w:r>
    </w:p>
    <w:p w14:paraId="27DFD71A" w14:textId="57C938F5" w:rsidR="00516CF6" w:rsidRPr="00AD6123" w:rsidRDefault="00516CF6" w:rsidP="00371E99">
      <w:pPr>
        <w:rPr>
          <w:color w:val="auto"/>
        </w:rPr>
      </w:pPr>
    </w:p>
    <w:p w14:paraId="5D9AEA7D" w14:textId="4E3D1EA8" w:rsidR="00516CF6" w:rsidRPr="00AD6123" w:rsidRDefault="00516CF6" w:rsidP="00371E99">
      <w:pPr>
        <w:pStyle w:val="Heading2"/>
        <w:rPr>
          <w:color w:val="auto"/>
        </w:rPr>
      </w:pPr>
      <w:r w:rsidRPr="00AD6123">
        <w:rPr>
          <w:color w:val="auto"/>
        </w:rPr>
        <w:t xml:space="preserve">In the Cell </w:t>
      </w:r>
      <w:r w:rsidR="001F39AD">
        <w:rPr>
          <w:color w:val="auto"/>
        </w:rPr>
        <w:t>M</w:t>
      </w:r>
      <w:r w:rsidRPr="00AD6123">
        <w:rPr>
          <w:color w:val="auto"/>
        </w:rPr>
        <w:t>ito stress test results, subtract the lowest OCR value after Rotenone/Antimycin A injection from all other OCR values.</w:t>
      </w:r>
    </w:p>
    <w:p w14:paraId="3528E337" w14:textId="77777777" w:rsidR="00516CF6" w:rsidRPr="00AD6123" w:rsidRDefault="00516CF6" w:rsidP="00371E99">
      <w:pPr>
        <w:rPr>
          <w:color w:val="auto"/>
        </w:rPr>
      </w:pPr>
    </w:p>
    <w:p w14:paraId="2003E852" w14:textId="77777777" w:rsidR="00371E99" w:rsidRDefault="000766BD" w:rsidP="00371E99">
      <w:pPr>
        <w:pStyle w:val="Heading2"/>
        <w:rPr>
          <w:color w:val="auto"/>
        </w:rPr>
      </w:pPr>
      <w:r w:rsidRPr="00AD6123">
        <w:rPr>
          <w:color w:val="auto"/>
        </w:rPr>
        <w:t>Calculate Basal respiration, ATP production, Maximal respiration and Spare capacity parameters from mitochondrial function (</w:t>
      </w:r>
      <w:r w:rsidRPr="00500EA0">
        <w:rPr>
          <w:b/>
          <w:color w:val="auto"/>
        </w:rPr>
        <w:t>Fig</w:t>
      </w:r>
      <w:r w:rsidR="00500EA0" w:rsidRPr="00500EA0">
        <w:rPr>
          <w:b/>
          <w:color w:val="auto"/>
        </w:rPr>
        <w:t xml:space="preserve">ure </w:t>
      </w:r>
      <w:r w:rsidRPr="00500EA0">
        <w:rPr>
          <w:b/>
          <w:color w:val="auto"/>
        </w:rPr>
        <w:t>2B</w:t>
      </w:r>
      <w:r w:rsidRPr="00AD6123">
        <w:rPr>
          <w:color w:val="auto"/>
        </w:rPr>
        <w:t>).</w:t>
      </w:r>
      <w:r w:rsidR="00516CF6" w:rsidRPr="00AD6123">
        <w:rPr>
          <w:color w:val="auto"/>
        </w:rPr>
        <w:t xml:space="preserve"> After subtracting the lowest OCR value, </w:t>
      </w:r>
      <w:r w:rsidR="0070332A">
        <w:rPr>
          <w:color w:val="auto"/>
        </w:rPr>
        <w:t>c</w:t>
      </w:r>
      <w:r w:rsidR="00500EA0">
        <w:rPr>
          <w:color w:val="auto"/>
        </w:rPr>
        <w:t xml:space="preserve">alculate </w:t>
      </w:r>
      <w:r w:rsidR="00516CF6" w:rsidRPr="00AD6123">
        <w:rPr>
          <w:color w:val="auto"/>
        </w:rPr>
        <w:t>Basal respiration as a mean of OCR from the first three measurement</w:t>
      </w:r>
      <w:r w:rsidR="007A1241" w:rsidRPr="00AD6123">
        <w:rPr>
          <w:color w:val="auto"/>
        </w:rPr>
        <w:t xml:space="preserve"> points</w:t>
      </w:r>
      <w:r w:rsidR="006B1400">
        <w:rPr>
          <w:color w:val="auto"/>
        </w:rPr>
        <w:t>.</w:t>
      </w:r>
      <w:r w:rsidR="00516CF6" w:rsidRPr="00AD6123">
        <w:rPr>
          <w:color w:val="auto"/>
        </w:rPr>
        <w:t xml:space="preserve"> </w:t>
      </w:r>
    </w:p>
    <w:p w14:paraId="70574688" w14:textId="77777777" w:rsidR="00371E99" w:rsidRDefault="00371E99" w:rsidP="00371E99">
      <w:pPr>
        <w:pStyle w:val="Heading2"/>
        <w:numPr>
          <w:ilvl w:val="0"/>
          <w:numId w:val="0"/>
        </w:numPr>
        <w:rPr>
          <w:color w:val="auto"/>
        </w:rPr>
      </w:pPr>
    </w:p>
    <w:p w14:paraId="567914B6" w14:textId="551BC426" w:rsidR="0070332A" w:rsidRDefault="00371E99" w:rsidP="00371E99">
      <w:pPr>
        <w:pStyle w:val="Heading2"/>
        <w:numPr>
          <w:ilvl w:val="0"/>
          <w:numId w:val="0"/>
        </w:numPr>
        <w:rPr>
          <w:color w:val="auto"/>
        </w:rPr>
      </w:pPr>
      <w:r>
        <w:rPr>
          <w:color w:val="auto"/>
        </w:rPr>
        <w:t xml:space="preserve">Note: </w:t>
      </w:r>
      <w:r w:rsidR="00516CF6" w:rsidRPr="00AD6123">
        <w:rPr>
          <w:color w:val="auto"/>
        </w:rPr>
        <w:t xml:space="preserve">Maximal respiration is the highest OCR value after FCCP injection. </w:t>
      </w:r>
    </w:p>
    <w:p w14:paraId="7CC3B32E" w14:textId="77777777" w:rsidR="0070332A" w:rsidRPr="0070332A" w:rsidRDefault="0070332A" w:rsidP="00371E99"/>
    <w:p w14:paraId="34EA03DA" w14:textId="7A8E76D4" w:rsidR="000766BD" w:rsidRPr="0070332A" w:rsidRDefault="00516CF6" w:rsidP="00371E99">
      <w:pPr>
        <w:pStyle w:val="Heading2"/>
        <w:rPr>
          <w:color w:val="auto"/>
        </w:rPr>
      </w:pPr>
      <w:r w:rsidRPr="0070332A">
        <w:rPr>
          <w:color w:val="auto"/>
        </w:rPr>
        <w:t xml:space="preserve">For ATP production calculation, subtract the mean of </w:t>
      </w:r>
      <w:r w:rsidR="00024F78">
        <w:rPr>
          <w:color w:val="auto"/>
        </w:rPr>
        <w:t xml:space="preserve">the </w:t>
      </w:r>
      <w:r w:rsidRPr="0070332A">
        <w:rPr>
          <w:color w:val="auto"/>
        </w:rPr>
        <w:t>three OCR measurement</w:t>
      </w:r>
      <w:r w:rsidR="007A1241" w:rsidRPr="0070332A">
        <w:rPr>
          <w:color w:val="auto"/>
        </w:rPr>
        <w:t xml:space="preserve"> points</w:t>
      </w:r>
      <w:r w:rsidRPr="0070332A">
        <w:rPr>
          <w:color w:val="auto"/>
        </w:rPr>
        <w:t xml:space="preserve"> after Oligomycin A injection from Basal respiration. </w:t>
      </w:r>
      <w:r w:rsidR="006B1400">
        <w:rPr>
          <w:color w:val="auto"/>
        </w:rPr>
        <w:t xml:space="preserve">Calculate </w:t>
      </w:r>
      <w:r w:rsidRPr="0070332A">
        <w:rPr>
          <w:color w:val="auto"/>
        </w:rPr>
        <w:t xml:space="preserve">Spare capacity </w:t>
      </w:r>
      <w:r w:rsidR="006B1400">
        <w:rPr>
          <w:color w:val="auto"/>
        </w:rPr>
        <w:t>as</w:t>
      </w:r>
      <w:r w:rsidR="00024F78">
        <w:rPr>
          <w:color w:val="auto"/>
        </w:rPr>
        <w:t xml:space="preserve"> the</w:t>
      </w:r>
      <w:r w:rsidRPr="0070332A">
        <w:rPr>
          <w:color w:val="auto"/>
        </w:rPr>
        <w:t xml:space="preserve"> Maximal respiration minus </w:t>
      </w:r>
      <w:r w:rsidR="00024F78">
        <w:rPr>
          <w:color w:val="auto"/>
        </w:rPr>
        <w:t xml:space="preserve">the </w:t>
      </w:r>
      <w:r w:rsidRPr="0070332A">
        <w:rPr>
          <w:color w:val="auto"/>
        </w:rPr>
        <w:t>Basal respiration.</w:t>
      </w:r>
    </w:p>
    <w:p w14:paraId="385E0893" w14:textId="77777777" w:rsidR="00516CF6" w:rsidRPr="00AD6123" w:rsidRDefault="00516CF6" w:rsidP="00371E99">
      <w:pPr>
        <w:rPr>
          <w:color w:val="auto"/>
        </w:rPr>
      </w:pPr>
    </w:p>
    <w:p w14:paraId="105092BC" w14:textId="5CDA95F6" w:rsidR="00001169" w:rsidRPr="00AD6123" w:rsidRDefault="00371E99" w:rsidP="00371E99">
      <w:pPr>
        <w:rPr>
          <w:rFonts w:asciiTheme="minorHAnsi" w:hAnsiTheme="minorHAnsi" w:cstheme="minorHAnsi"/>
          <w:color w:val="auto"/>
        </w:rPr>
      </w:pPr>
      <w:r>
        <w:rPr>
          <w:rFonts w:asciiTheme="minorHAnsi" w:hAnsiTheme="minorHAnsi" w:cstheme="minorHAnsi"/>
          <w:color w:val="auto"/>
        </w:rPr>
        <w:t>Note</w:t>
      </w:r>
      <w:r w:rsidR="000766BD" w:rsidRPr="00AD6123">
        <w:rPr>
          <w:rFonts w:asciiTheme="minorHAnsi" w:hAnsiTheme="minorHAnsi" w:cstheme="minorHAnsi"/>
          <w:color w:val="auto"/>
        </w:rPr>
        <w:t xml:space="preserve">: Always calculate the Maximal respiration from the highest OCR value, regardless </w:t>
      </w:r>
      <w:r w:rsidR="001F39AD">
        <w:rPr>
          <w:rFonts w:asciiTheme="minorHAnsi" w:hAnsiTheme="minorHAnsi" w:cstheme="minorHAnsi"/>
          <w:color w:val="auto"/>
        </w:rPr>
        <w:t xml:space="preserve">of </w:t>
      </w:r>
      <w:r w:rsidR="000766BD" w:rsidRPr="00AD6123">
        <w:rPr>
          <w:rFonts w:asciiTheme="minorHAnsi" w:hAnsiTheme="minorHAnsi" w:cstheme="minorHAnsi"/>
          <w:color w:val="auto"/>
        </w:rPr>
        <w:t>the FCCP concentration used.</w:t>
      </w:r>
    </w:p>
    <w:p w14:paraId="496AB0B4" w14:textId="77777777" w:rsidR="001C1E49" w:rsidRPr="00AD6123" w:rsidRDefault="001C1E49" w:rsidP="00371E99">
      <w:pPr>
        <w:pStyle w:val="NormalWeb"/>
        <w:spacing w:before="0" w:beforeAutospacing="0" w:after="0" w:afterAutospacing="0"/>
        <w:rPr>
          <w:rFonts w:asciiTheme="minorHAnsi" w:hAnsiTheme="minorHAnsi" w:cstheme="minorHAnsi"/>
          <w:b/>
          <w:color w:val="auto"/>
        </w:rPr>
      </w:pPr>
    </w:p>
    <w:p w14:paraId="3E79FCA8" w14:textId="66449163" w:rsidR="006305D7" w:rsidRPr="00AD6123" w:rsidRDefault="006305D7" w:rsidP="00371E99">
      <w:pPr>
        <w:pStyle w:val="NormalWeb"/>
        <w:spacing w:before="0" w:beforeAutospacing="0" w:after="0" w:afterAutospacing="0"/>
        <w:rPr>
          <w:rFonts w:asciiTheme="minorHAnsi" w:hAnsiTheme="minorHAnsi" w:cstheme="minorHAnsi"/>
          <w:color w:val="auto"/>
        </w:rPr>
      </w:pPr>
      <w:r w:rsidRPr="00AD6123">
        <w:rPr>
          <w:rFonts w:asciiTheme="minorHAnsi" w:hAnsiTheme="minorHAnsi" w:cstheme="minorHAnsi"/>
          <w:b/>
          <w:color w:val="auto"/>
        </w:rPr>
        <w:t>REPRESENTATIVE RESULTS</w:t>
      </w:r>
      <w:r w:rsidR="00EF1462" w:rsidRPr="00AD6123">
        <w:rPr>
          <w:rFonts w:asciiTheme="minorHAnsi" w:hAnsiTheme="minorHAnsi" w:cstheme="minorHAnsi"/>
          <w:b/>
          <w:color w:val="auto"/>
        </w:rPr>
        <w:t>:</w:t>
      </w:r>
    </w:p>
    <w:p w14:paraId="66F7CBCF" w14:textId="6312F2E5" w:rsidR="004758A2" w:rsidRPr="00AD6123" w:rsidRDefault="004758A2" w:rsidP="00371E99">
      <w:pPr>
        <w:rPr>
          <w:rFonts w:asciiTheme="minorHAnsi" w:hAnsiTheme="minorHAnsi" w:cstheme="minorHAnsi"/>
          <w:color w:val="auto"/>
        </w:rPr>
      </w:pPr>
      <w:r w:rsidRPr="0070332A">
        <w:rPr>
          <w:rFonts w:asciiTheme="minorHAnsi" w:hAnsiTheme="minorHAnsi" w:cstheme="minorHAnsi"/>
          <w:b/>
          <w:color w:val="auto"/>
        </w:rPr>
        <w:t>Fig</w:t>
      </w:r>
      <w:r w:rsidR="0070332A" w:rsidRPr="0070332A">
        <w:rPr>
          <w:rFonts w:asciiTheme="minorHAnsi" w:hAnsiTheme="minorHAnsi" w:cstheme="minorHAnsi"/>
          <w:b/>
          <w:color w:val="auto"/>
        </w:rPr>
        <w:t xml:space="preserve">ure </w:t>
      </w:r>
      <w:r w:rsidRPr="0070332A">
        <w:rPr>
          <w:rFonts w:asciiTheme="minorHAnsi" w:hAnsiTheme="minorHAnsi" w:cstheme="minorHAnsi"/>
          <w:b/>
          <w:color w:val="auto"/>
        </w:rPr>
        <w:t>3</w:t>
      </w:r>
      <w:r w:rsidRPr="00AD6123">
        <w:rPr>
          <w:rFonts w:asciiTheme="minorHAnsi" w:hAnsiTheme="minorHAnsi" w:cstheme="minorHAnsi"/>
          <w:color w:val="auto"/>
        </w:rPr>
        <w:t xml:space="preserve"> shows the curves after Glycolysis stress test and Cell </w:t>
      </w:r>
      <w:r w:rsidR="001F39AD">
        <w:rPr>
          <w:rFonts w:asciiTheme="minorHAnsi" w:hAnsiTheme="minorHAnsi" w:cstheme="minorHAnsi"/>
          <w:color w:val="auto"/>
        </w:rPr>
        <w:t>M</w:t>
      </w:r>
      <w:r w:rsidRPr="00AD6123">
        <w:rPr>
          <w:rFonts w:asciiTheme="minorHAnsi" w:hAnsiTheme="minorHAnsi" w:cstheme="minorHAnsi"/>
          <w:color w:val="auto"/>
        </w:rPr>
        <w:t xml:space="preserve">ito stress test measurements of leukemic blasts from the BCP-ALL (B-cell precursor acute lymphoblastic leukemia) and AML (acute myeloid leukemia) patients. The calculation of metabolic parameters from these measurements is also indicated. 500,000 cells per well were seeded and all measurements were done in </w:t>
      </w:r>
      <w:proofErr w:type="spellStart"/>
      <w:r w:rsidRPr="00AD6123">
        <w:rPr>
          <w:rFonts w:asciiTheme="minorHAnsi" w:hAnsiTheme="minorHAnsi" w:cstheme="minorHAnsi"/>
          <w:color w:val="auto"/>
        </w:rPr>
        <w:t>hexaplicates</w:t>
      </w:r>
      <w:proofErr w:type="spellEnd"/>
      <w:r w:rsidRPr="00AD6123">
        <w:rPr>
          <w:rFonts w:asciiTheme="minorHAnsi" w:hAnsiTheme="minorHAnsi" w:cstheme="minorHAnsi"/>
          <w:color w:val="auto"/>
        </w:rPr>
        <w:t xml:space="preserve">. </w:t>
      </w:r>
    </w:p>
    <w:p w14:paraId="70808316" w14:textId="77777777" w:rsidR="00C121CB" w:rsidRPr="00AD6123" w:rsidRDefault="00C121CB" w:rsidP="00371E99">
      <w:pPr>
        <w:rPr>
          <w:rFonts w:asciiTheme="minorHAnsi" w:hAnsiTheme="minorHAnsi" w:cstheme="minorHAnsi"/>
          <w:color w:val="auto"/>
        </w:rPr>
      </w:pPr>
    </w:p>
    <w:p w14:paraId="4B52A7EE" w14:textId="6A49BCAE" w:rsidR="004758A2" w:rsidRPr="00AD6123" w:rsidRDefault="004758A2" w:rsidP="00371E99">
      <w:pPr>
        <w:rPr>
          <w:rFonts w:asciiTheme="minorHAnsi" w:hAnsiTheme="minorHAnsi" w:cstheme="minorHAnsi"/>
          <w:color w:val="auto"/>
        </w:rPr>
      </w:pPr>
      <w:r w:rsidRPr="00AD6123">
        <w:rPr>
          <w:rFonts w:asciiTheme="minorHAnsi" w:hAnsiTheme="minorHAnsi" w:cstheme="minorHAnsi"/>
          <w:color w:val="auto"/>
        </w:rPr>
        <w:t xml:space="preserve">In </w:t>
      </w:r>
      <w:r w:rsidR="00571125" w:rsidRPr="00AD6123">
        <w:rPr>
          <w:rFonts w:asciiTheme="minorHAnsi" w:hAnsiTheme="minorHAnsi" w:cstheme="minorHAnsi"/>
          <w:color w:val="auto"/>
        </w:rPr>
        <w:t xml:space="preserve">the </w:t>
      </w:r>
      <w:r w:rsidRPr="00AD6123">
        <w:rPr>
          <w:rFonts w:asciiTheme="minorHAnsi" w:hAnsiTheme="minorHAnsi" w:cstheme="minorHAnsi"/>
          <w:color w:val="auto"/>
        </w:rPr>
        <w:t xml:space="preserve">Glycolysis stress test, the only basal medium is used, so that the cells are deprived of nutrients. The first parameter </w:t>
      </w:r>
      <w:r w:rsidR="00C90ACF">
        <w:rPr>
          <w:rFonts w:asciiTheme="minorHAnsi" w:hAnsiTheme="minorHAnsi" w:cstheme="minorHAnsi"/>
          <w:color w:val="auto"/>
        </w:rPr>
        <w:t>obtained</w:t>
      </w:r>
      <w:r w:rsidRPr="00AD6123">
        <w:rPr>
          <w:rFonts w:asciiTheme="minorHAnsi" w:hAnsiTheme="minorHAnsi" w:cstheme="minorHAnsi"/>
          <w:color w:val="auto"/>
        </w:rPr>
        <w:t xml:space="preserve"> is the Basal acidification, which should reflect the amount of glucose stored in cells. After the first injection, ECAR is increased since cells utilize glucose and can ferment it to lactate. Oligomycin A in the second injection inhibits ATP-synthase and thus directs the cells to produce ATP mainly via glycolysis. This should cause further elevation of ECAR. Injection of 2-DG completely inhibits glycolysis and ECAR drops.</w:t>
      </w:r>
    </w:p>
    <w:p w14:paraId="2DDB333A" w14:textId="77777777" w:rsidR="00C121CB" w:rsidRPr="00AD6123" w:rsidRDefault="00C121CB" w:rsidP="00371E99">
      <w:pPr>
        <w:rPr>
          <w:rFonts w:asciiTheme="minorHAnsi" w:hAnsiTheme="minorHAnsi" w:cstheme="minorHAnsi"/>
          <w:color w:val="auto"/>
        </w:rPr>
      </w:pPr>
    </w:p>
    <w:p w14:paraId="7F5815FC" w14:textId="7AFB5BCE" w:rsidR="004A71E4" w:rsidRPr="00AD6123" w:rsidRDefault="004758A2" w:rsidP="00371E99">
      <w:pPr>
        <w:rPr>
          <w:rFonts w:asciiTheme="minorHAnsi" w:hAnsiTheme="minorHAnsi" w:cstheme="minorHAnsi"/>
          <w:color w:val="auto"/>
        </w:rPr>
      </w:pPr>
      <w:r w:rsidRPr="00AD6123">
        <w:rPr>
          <w:rFonts w:asciiTheme="minorHAnsi" w:hAnsiTheme="minorHAnsi" w:cstheme="minorHAnsi"/>
          <w:color w:val="auto"/>
        </w:rPr>
        <w:t xml:space="preserve">In </w:t>
      </w:r>
      <w:r w:rsidR="00571125" w:rsidRPr="00AD6123">
        <w:rPr>
          <w:rFonts w:asciiTheme="minorHAnsi" w:hAnsiTheme="minorHAnsi" w:cstheme="minorHAnsi"/>
          <w:color w:val="auto"/>
        </w:rPr>
        <w:t xml:space="preserve">the </w:t>
      </w:r>
      <w:r w:rsidRPr="00AD6123">
        <w:rPr>
          <w:rFonts w:asciiTheme="minorHAnsi" w:hAnsiTheme="minorHAnsi" w:cstheme="minorHAnsi"/>
          <w:color w:val="auto"/>
        </w:rPr>
        <w:t xml:space="preserve">Cell </w:t>
      </w:r>
      <w:r w:rsidR="001F39AD">
        <w:rPr>
          <w:rFonts w:asciiTheme="minorHAnsi" w:hAnsiTheme="minorHAnsi" w:cstheme="minorHAnsi"/>
          <w:color w:val="auto"/>
        </w:rPr>
        <w:t>M</w:t>
      </w:r>
      <w:r w:rsidRPr="00AD6123">
        <w:rPr>
          <w:rFonts w:asciiTheme="minorHAnsi" w:hAnsiTheme="minorHAnsi" w:cstheme="minorHAnsi"/>
          <w:color w:val="auto"/>
        </w:rPr>
        <w:t>ito stress test, a medium supplemented with glutamine and glucose are used, so that the cells are not deprived of all nutrients and the Basal respiration parameter reflects their basal metabolic state. After first injection with Oligomycin A</w:t>
      </w:r>
      <w:r w:rsidR="001F39AD">
        <w:rPr>
          <w:rFonts w:asciiTheme="minorHAnsi" w:hAnsiTheme="minorHAnsi" w:cstheme="minorHAnsi"/>
          <w:color w:val="auto"/>
        </w:rPr>
        <w:t>,</w:t>
      </w:r>
      <w:r w:rsidRPr="00AD6123">
        <w:rPr>
          <w:rFonts w:asciiTheme="minorHAnsi" w:hAnsiTheme="minorHAnsi" w:cstheme="minorHAnsi"/>
          <w:color w:val="auto"/>
        </w:rPr>
        <w:t xml:space="preserve"> cells inhibit mitochondrial respiration and switch to glycolysis which is represented as a decrease of OCR. FCCP (the second and third injection), on the other hand, uncouples ATP production from respiration, so that the cells now consume oxygen at a maximal rate and OCR rise to its highest value. The last injection of Rotenone and Antimycin A mixture completely inhibits mitochondrial respiration and OCR is decreased close to zero.</w:t>
      </w:r>
    </w:p>
    <w:p w14:paraId="5BE8FA3F" w14:textId="77777777" w:rsidR="004758A2" w:rsidRPr="00AD6123" w:rsidRDefault="004758A2" w:rsidP="00371E99">
      <w:pPr>
        <w:rPr>
          <w:rFonts w:asciiTheme="minorHAnsi" w:hAnsiTheme="minorHAnsi" w:cstheme="minorHAnsi"/>
          <w:color w:val="auto"/>
        </w:rPr>
      </w:pPr>
    </w:p>
    <w:p w14:paraId="3C9083F6" w14:textId="11277070" w:rsidR="00B32616" w:rsidRPr="00AD6123" w:rsidRDefault="00B32616" w:rsidP="00371E99">
      <w:pPr>
        <w:rPr>
          <w:rFonts w:asciiTheme="minorHAnsi" w:hAnsiTheme="minorHAnsi" w:cstheme="minorHAnsi"/>
          <w:bCs/>
          <w:color w:val="auto"/>
        </w:rPr>
      </w:pPr>
      <w:r w:rsidRPr="00AD6123">
        <w:rPr>
          <w:rFonts w:asciiTheme="minorHAnsi" w:hAnsiTheme="minorHAnsi" w:cstheme="minorHAnsi"/>
          <w:b/>
          <w:color w:val="auto"/>
        </w:rPr>
        <w:t xml:space="preserve">FIGURE </w:t>
      </w:r>
      <w:r w:rsidR="0013621E" w:rsidRPr="00AD6123">
        <w:rPr>
          <w:rFonts w:asciiTheme="minorHAnsi" w:hAnsiTheme="minorHAnsi" w:cstheme="minorHAnsi"/>
          <w:b/>
          <w:color w:val="auto"/>
        </w:rPr>
        <w:t xml:space="preserve">AND TABLE </w:t>
      </w:r>
      <w:r w:rsidRPr="00AD6123">
        <w:rPr>
          <w:rFonts w:asciiTheme="minorHAnsi" w:hAnsiTheme="minorHAnsi" w:cstheme="minorHAnsi"/>
          <w:b/>
          <w:color w:val="auto"/>
        </w:rPr>
        <w:t>LEGENDS:</w:t>
      </w:r>
    </w:p>
    <w:p w14:paraId="75182EC3" w14:textId="5A28F7AC" w:rsidR="00B32616" w:rsidRPr="00AD6123" w:rsidRDefault="00EF7EC7" w:rsidP="00371E99">
      <w:pPr>
        <w:rPr>
          <w:rFonts w:asciiTheme="minorHAnsi" w:hAnsiTheme="minorHAnsi" w:cstheme="minorHAnsi"/>
          <w:color w:val="auto"/>
        </w:rPr>
      </w:pPr>
      <w:r w:rsidRPr="00AD6123">
        <w:rPr>
          <w:rFonts w:asciiTheme="minorHAnsi" w:hAnsiTheme="minorHAnsi" w:cstheme="minorHAnsi"/>
          <w:b/>
          <w:color w:val="auto"/>
        </w:rPr>
        <w:t xml:space="preserve">Figure 1: Density gradient centrifugation of </w:t>
      </w:r>
      <w:r w:rsidR="00546C3B">
        <w:rPr>
          <w:rFonts w:asciiTheme="minorHAnsi" w:hAnsiTheme="minorHAnsi" w:cstheme="minorHAnsi"/>
          <w:b/>
          <w:color w:val="auto"/>
        </w:rPr>
        <w:t xml:space="preserve">the </w:t>
      </w:r>
      <w:r w:rsidRPr="00AD6123">
        <w:rPr>
          <w:rFonts w:asciiTheme="minorHAnsi" w:hAnsiTheme="minorHAnsi" w:cstheme="minorHAnsi"/>
          <w:b/>
          <w:color w:val="auto"/>
        </w:rPr>
        <w:t>bone marrow sample.</w:t>
      </w:r>
      <w:r w:rsidRPr="00AD6123">
        <w:rPr>
          <w:rFonts w:asciiTheme="minorHAnsi" w:hAnsiTheme="minorHAnsi" w:cstheme="minorHAnsi"/>
          <w:color w:val="auto"/>
        </w:rPr>
        <w:t xml:space="preserve"> Mononuclear cells enriched for leukemic cells are separated by density gradient </w:t>
      </w:r>
      <w:r w:rsidR="00742801">
        <w:rPr>
          <w:rFonts w:asciiTheme="minorHAnsi" w:hAnsiTheme="minorHAnsi" w:cstheme="minorHAnsi"/>
          <w:color w:val="auto"/>
        </w:rPr>
        <w:t>medium.</w:t>
      </w:r>
    </w:p>
    <w:p w14:paraId="46844CCE" w14:textId="21CDD318" w:rsidR="00EF7EC7" w:rsidRPr="00AD6123" w:rsidRDefault="00EF7EC7" w:rsidP="00371E99">
      <w:pPr>
        <w:rPr>
          <w:rFonts w:asciiTheme="minorHAnsi" w:hAnsiTheme="minorHAnsi" w:cstheme="minorHAnsi"/>
          <w:color w:val="auto"/>
        </w:rPr>
      </w:pPr>
    </w:p>
    <w:p w14:paraId="7027FF08" w14:textId="4ACA3FE3" w:rsidR="00EF7EC7" w:rsidRPr="00AD6123" w:rsidRDefault="00EF7EC7" w:rsidP="00371E99">
      <w:pPr>
        <w:rPr>
          <w:rFonts w:asciiTheme="minorHAnsi" w:hAnsiTheme="minorHAnsi" w:cstheme="minorHAnsi"/>
          <w:color w:val="auto"/>
        </w:rPr>
      </w:pPr>
      <w:r w:rsidRPr="00AD6123">
        <w:rPr>
          <w:rFonts w:asciiTheme="minorHAnsi" w:hAnsiTheme="minorHAnsi" w:cstheme="minorHAnsi"/>
          <w:b/>
          <w:color w:val="auto"/>
        </w:rPr>
        <w:t xml:space="preserve">Figure 2: Outline of Glycolysis stress test and Cell </w:t>
      </w:r>
      <w:r w:rsidR="00546C3B">
        <w:rPr>
          <w:rFonts w:asciiTheme="minorHAnsi" w:hAnsiTheme="minorHAnsi" w:cstheme="minorHAnsi"/>
          <w:b/>
          <w:color w:val="auto"/>
        </w:rPr>
        <w:t>M</w:t>
      </w:r>
      <w:r w:rsidRPr="00AD6123">
        <w:rPr>
          <w:rFonts w:asciiTheme="minorHAnsi" w:hAnsiTheme="minorHAnsi" w:cstheme="minorHAnsi"/>
          <w:b/>
          <w:color w:val="auto"/>
        </w:rPr>
        <w:t>ito stress test.</w:t>
      </w:r>
      <w:r w:rsidRPr="00AD6123">
        <w:rPr>
          <w:rFonts w:asciiTheme="minorHAnsi" w:hAnsiTheme="minorHAnsi" w:cstheme="minorHAnsi"/>
          <w:color w:val="auto"/>
        </w:rPr>
        <w:t xml:space="preserve"> </w:t>
      </w:r>
      <w:r w:rsidRPr="00AD6123">
        <w:rPr>
          <w:rFonts w:asciiTheme="minorHAnsi" w:hAnsiTheme="minorHAnsi" w:cstheme="minorHAnsi"/>
          <w:b/>
          <w:color w:val="auto"/>
        </w:rPr>
        <w:t>A.</w:t>
      </w:r>
      <w:r w:rsidRPr="00AD6123">
        <w:rPr>
          <w:rFonts w:asciiTheme="minorHAnsi" w:hAnsiTheme="minorHAnsi" w:cstheme="minorHAnsi"/>
          <w:color w:val="auto"/>
        </w:rPr>
        <w:t xml:space="preserve"> Exemplary result of Glycolysis stress test. </w:t>
      </w:r>
      <w:r w:rsidRPr="00AD6123">
        <w:rPr>
          <w:rFonts w:asciiTheme="minorHAnsi" w:hAnsiTheme="minorHAnsi" w:cstheme="minorHAnsi"/>
          <w:b/>
          <w:color w:val="auto"/>
        </w:rPr>
        <w:t>B.</w:t>
      </w:r>
      <w:r w:rsidRPr="00AD6123">
        <w:rPr>
          <w:rFonts w:asciiTheme="minorHAnsi" w:hAnsiTheme="minorHAnsi" w:cstheme="minorHAnsi"/>
          <w:color w:val="auto"/>
        </w:rPr>
        <w:t xml:space="preserve"> Exemplary result of Cell </w:t>
      </w:r>
      <w:r w:rsidR="00546C3B">
        <w:rPr>
          <w:rFonts w:asciiTheme="minorHAnsi" w:hAnsiTheme="minorHAnsi" w:cstheme="minorHAnsi"/>
          <w:color w:val="auto"/>
        </w:rPr>
        <w:t>M</w:t>
      </w:r>
      <w:r w:rsidRPr="00AD6123">
        <w:rPr>
          <w:rFonts w:asciiTheme="minorHAnsi" w:hAnsiTheme="minorHAnsi" w:cstheme="minorHAnsi"/>
          <w:color w:val="auto"/>
        </w:rPr>
        <w:t xml:space="preserve">ito stress test. </w:t>
      </w:r>
      <w:r w:rsidR="0070332A">
        <w:rPr>
          <w:rFonts w:asciiTheme="minorHAnsi" w:hAnsiTheme="minorHAnsi" w:cstheme="minorHAnsi"/>
          <w:color w:val="auto"/>
        </w:rPr>
        <w:t xml:space="preserve"> </w:t>
      </w:r>
      <w:r w:rsidRPr="00AD6123">
        <w:rPr>
          <w:rFonts w:asciiTheme="minorHAnsi" w:hAnsiTheme="minorHAnsi" w:cstheme="minorHAnsi"/>
          <w:color w:val="auto"/>
        </w:rPr>
        <w:t xml:space="preserve">Parameters </w:t>
      </w:r>
      <w:r w:rsidR="00546C3B">
        <w:rPr>
          <w:rFonts w:asciiTheme="minorHAnsi" w:hAnsiTheme="minorHAnsi" w:cstheme="minorHAnsi"/>
          <w:color w:val="auto"/>
        </w:rPr>
        <w:t xml:space="preserve">are indicated </w:t>
      </w:r>
      <w:r w:rsidRPr="00AD6123">
        <w:rPr>
          <w:rFonts w:asciiTheme="minorHAnsi" w:hAnsiTheme="minorHAnsi" w:cstheme="minorHAnsi"/>
          <w:color w:val="auto"/>
        </w:rPr>
        <w:t>within the curves.</w:t>
      </w:r>
    </w:p>
    <w:p w14:paraId="68F1DFD1" w14:textId="27699393" w:rsidR="00EF7EC7" w:rsidRPr="00AD6123" w:rsidRDefault="00EF7EC7" w:rsidP="00371E99">
      <w:pPr>
        <w:rPr>
          <w:rFonts w:asciiTheme="minorHAnsi" w:hAnsiTheme="minorHAnsi" w:cstheme="minorHAnsi"/>
          <w:color w:val="auto"/>
        </w:rPr>
      </w:pPr>
    </w:p>
    <w:p w14:paraId="184F43E6" w14:textId="024D64ED" w:rsidR="00EF7EC7" w:rsidRPr="00AD6123" w:rsidRDefault="00EF7EC7" w:rsidP="00371E99">
      <w:pPr>
        <w:rPr>
          <w:rFonts w:asciiTheme="minorHAnsi" w:hAnsiTheme="minorHAnsi" w:cstheme="minorHAnsi"/>
          <w:color w:val="auto"/>
        </w:rPr>
      </w:pPr>
      <w:r w:rsidRPr="00AD6123">
        <w:rPr>
          <w:rFonts w:asciiTheme="minorHAnsi" w:hAnsiTheme="minorHAnsi" w:cstheme="minorHAnsi"/>
          <w:b/>
          <w:color w:val="auto"/>
        </w:rPr>
        <w:t>Figure 3: Extracellular flux analysis of leukemic blasts from BCP-ALL (A, B) and AML (B, C) patient.</w:t>
      </w:r>
      <w:r w:rsidRPr="00AD6123">
        <w:rPr>
          <w:rFonts w:asciiTheme="minorHAnsi" w:hAnsiTheme="minorHAnsi" w:cstheme="minorHAnsi"/>
          <w:color w:val="auto"/>
        </w:rPr>
        <w:t xml:space="preserve"> </w:t>
      </w:r>
      <w:r w:rsidRPr="00AD6123">
        <w:rPr>
          <w:rFonts w:asciiTheme="minorHAnsi" w:hAnsiTheme="minorHAnsi" w:cstheme="minorHAnsi"/>
          <w:b/>
          <w:color w:val="auto"/>
        </w:rPr>
        <w:t>A and C.</w:t>
      </w:r>
      <w:r w:rsidRPr="00AD6123">
        <w:rPr>
          <w:rFonts w:asciiTheme="minorHAnsi" w:hAnsiTheme="minorHAnsi" w:cstheme="minorHAnsi"/>
          <w:color w:val="auto"/>
        </w:rPr>
        <w:t xml:space="preserve"> Glycolysis stress test results.</w:t>
      </w:r>
      <w:r w:rsidR="00B43DAC" w:rsidRPr="00AD6123">
        <w:rPr>
          <w:rFonts w:asciiTheme="minorHAnsi" w:hAnsiTheme="minorHAnsi" w:cstheme="minorHAnsi"/>
          <w:color w:val="auto"/>
        </w:rPr>
        <w:t xml:space="preserve"> Please note that the first measurement point can significantly differ from the rest and should be excluded from the analysis in that case.</w:t>
      </w:r>
      <w:r w:rsidRPr="00AD6123">
        <w:rPr>
          <w:rFonts w:asciiTheme="minorHAnsi" w:hAnsiTheme="minorHAnsi" w:cstheme="minorHAnsi"/>
          <w:color w:val="auto"/>
        </w:rPr>
        <w:t xml:space="preserve"> </w:t>
      </w:r>
      <w:r w:rsidRPr="00AD6123">
        <w:rPr>
          <w:rFonts w:asciiTheme="minorHAnsi" w:hAnsiTheme="minorHAnsi" w:cstheme="minorHAnsi"/>
          <w:b/>
          <w:color w:val="auto"/>
        </w:rPr>
        <w:t>B and D.</w:t>
      </w:r>
      <w:r w:rsidRPr="00AD6123">
        <w:rPr>
          <w:rFonts w:asciiTheme="minorHAnsi" w:hAnsiTheme="minorHAnsi" w:cstheme="minorHAnsi"/>
          <w:color w:val="auto"/>
        </w:rPr>
        <w:t xml:space="preserve"> Cell </w:t>
      </w:r>
      <w:r w:rsidR="00546C3B">
        <w:rPr>
          <w:rFonts w:asciiTheme="minorHAnsi" w:hAnsiTheme="minorHAnsi" w:cstheme="minorHAnsi"/>
          <w:color w:val="auto"/>
        </w:rPr>
        <w:t>M</w:t>
      </w:r>
      <w:r w:rsidRPr="00AD6123">
        <w:rPr>
          <w:rFonts w:asciiTheme="minorHAnsi" w:hAnsiTheme="minorHAnsi" w:cstheme="minorHAnsi"/>
          <w:color w:val="auto"/>
        </w:rPr>
        <w:t>ito stress test results.</w:t>
      </w:r>
      <w:r w:rsidR="0070332A">
        <w:rPr>
          <w:rFonts w:asciiTheme="minorHAnsi" w:hAnsiTheme="minorHAnsi" w:cstheme="minorHAnsi"/>
          <w:color w:val="auto"/>
        </w:rPr>
        <w:t xml:space="preserve"> </w:t>
      </w:r>
      <w:r w:rsidRPr="00AD6123">
        <w:rPr>
          <w:rFonts w:asciiTheme="minorHAnsi" w:hAnsiTheme="minorHAnsi" w:cstheme="minorHAnsi"/>
          <w:color w:val="auto"/>
        </w:rPr>
        <w:t>Parameters are indicated</w:t>
      </w:r>
      <w:r w:rsidR="00546C3B">
        <w:rPr>
          <w:rFonts w:asciiTheme="minorHAnsi" w:hAnsiTheme="minorHAnsi" w:cstheme="minorHAnsi"/>
          <w:color w:val="auto"/>
        </w:rPr>
        <w:t xml:space="preserve"> </w:t>
      </w:r>
      <w:r w:rsidR="00546C3B" w:rsidRPr="00AD6123">
        <w:rPr>
          <w:rFonts w:asciiTheme="minorHAnsi" w:hAnsiTheme="minorHAnsi" w:cstheme="minorHAnsi"/>
          <w:color w:val="auto"/>
        </w:rPr>
        <w:t>within the curves</w:t>
      </w:r>
      <w:r w:rsidRPr="00AD6123">
        <w:rPr>
          <w:rFonts w:asciiTheme="minorHAnsi" w:hAnsiTheme="minorHAnsi" w:cstheme="minorHAnsi"/>
          <w:color w:val="auto"/>
        </w:rPr>
        <w:t>.</w:t>
      </w:r>
    </w:p>
    <w:p w14:paraId="4C504CEE" w14:textId="5AD362D6" w:rsidR="00AF7D20" w:rsidRPr="00AD6123" w:rsidRDefault="00AF7D20" w:rsidP="00371E99">
      <w:pPr>
        <w:rPr>
          <w:rFonts w:asciiTheme="minorHAnsi" w:hAnsiTheme="minorHAnsi" w:cstheme="minorHAnsi"/>
          <w:color w:val="auto"/>
        </w:rPr>
      </w:pPr>
    </w:p>
    <w:p w14:paraId="7A83A379" w14:textId="7C38D431" w:rsidR="00AF7D20" w:rsidRPr="00AD6123" w:rsidRDefault="00AF7D20" w:rsidP="00371E99">
      <w:pPr>
        <w:rPr>
          <w:rFonts w:asciiTheme="minorHAnsi" w:hAnsiTheme="minorHAnsi" w:cstheme="minorHAnsi"/>
          <w:b/>
          <w:color w:val="auto"/>
        </w:rPr>
      </w:pPr>
      <w:r w:rsidRPr="00AD6123">
        <w:rPr>
          <w:rFonts w:asciiTheme="minorHAnsi" w:hAnsiTheme="minorHAnsi" w:cstheme="minorHAnsi"/>
          <w:b/>
          <w:color w:val="auto"/>
        </w:rPr>
        <w:t>Table 1: Compound volumes.</w:t>
      </w:r>
    </w:p>
    <w:p w14:paraId="2B31673E" w14:textId="0EDD43AD" w:rsidR="00AF7D20" w:rsidRPr="00AD6123" w:rsidRDefault="00AF7D20" w:rsidP="00371E99">
      <w:pPr>
        <w:rPr>
          <w:rFonts w:asciiTheme="minorHAnsi" w:hAnsiTheme="minorHAnsi" w:cstheme="minorHAnsi"/>
          <w:color w:val="auto"/>
        </w:rPr>
      </w:pPr>
    </w:p>
    <w:p w14:paraId="5979F320" w14:textId="5295DA55" w:rsidR="00AF7D20" w:rsidRPr="00AD6123" w:rsidRDefault="00AF7D20" w:rsidP="00371E99">
      <w:pPr>
        <w:rPr>
          <w:rFonts w:asciiTheme="minorHAnsi" w:hAnsiTheme="minorHAnsi" w:cstheme="minorHAnsi"/>
          <w:b/>
          <w:color w:val="auto"/>
        </w:rPr>
      </w:pPr>
      <w:r w:rsidRPr="00AD6123">
        <w:rPr>
          <w:rFonts w:asciiTheme="minorHAnsi" w:hAnsiTheme="minorHAnsi" w:cstheme="minorHAnsi"/>
          <w:b/>
          <w:color w:val="auto"/>
        </w:rPr>
        <w:t>Table 2: Program for Glycolysis stress test.</w:t>
      </w:r>
    </w:p>
    <w:p w14:paraId="59E5D6BA" w14:textId="6ABDEB54" w:rsidR="00AF7D20" w:rsidRPr="00AD6123" w:rsidRDefault="00AF7D20" w:rsidP="00371E99">
      <w:pPr>
        <w:rPr>
          <w:rFonts w:asciiTheme="minorHAnsi" w:hAnsiTheme="minorHAnsi" w:cstheme="minorHAnsi"/>
          <w:color w:val="auto"/>
        </w:rPr>
      </w:pPr>
    </w:p>
    <w:p w14:paraId="12F9E922" w14:textId="4E55C7D8" w:rsidR="00AF7D20" w:rsidRPr="00AD6123" w:rsidRDefault="00AF7D20" w:rsidP="00371E99">
      <w:pPr>
        <w:rPr>
          <w:rFonts w:asciiTheme="minorHAnsi" w:hAnsiTheme="minorHAnsi" w:cstheme="minorHAnsi"/>
          <w:b/>
          <w:color w:val="auto"/>
        </w:rPr>
      </w:pPr>
      <w:r w:rsidRPr="00AD6123">
        <w:rPr>
          <w:rFonts w:asciiTheme="minorHAnsi" w:hAnsiTheme="minorHAnsi" w:cstheme="minorHAnsi"/>
          <w:b/>
          <w:color w:val="auto"/>
        </w:rPr>
        <w:t xml:space="preserve">Table 3: Program for Cell </w:t>
      </w:r>
      <w:r w:rsidR="00546C3B">
        <w:rPr>
          <w:rFonts w:asciiTheme="minorHAnsi" w:hAnsiTheme="minorHAnsi" w:cstheme="minorHAnsi"/>
          <w:b/>
          <w:color w:val="auto"/>
        </w:rPr>
        <w:t>M</w:t>
      </w:r>
      <w:r w:rsidRPr="00AD6123">
        <w:rPr>
          <w:rFonts w:asciiTheme="minorHAnsi" w:hAnsiTheme="minorHAnsi" w:cstheme="minorHAnsi"/>
          <w:b/>
          <w:color w:val="auto"/>
        </w:rPr>
        <w:t>ito stress test.</w:t>
      </w:r>
    </w:p>
    <w:p w14:paraId="5F2416AC" w14:textId="77777777" w:rsidR="00EF7EC7" w:rsidRPr="00AD6123" w:rsidRDefault="00EF7EC7" w:rsidP="00371E99">
      <w:pPr>
        <w:rPr>
          <w:rFonts w:asciiTheme="minorHAnsi" w:hAnsiTheme="minorHAnsi" w:cstheme="minorHAnsi"/>
          <w:color w:val="auto"/>
        </w:rPr>
      </w:pPr>
    </w:p>
    <w:p w14:paraId="64B8CF78" w14:textId="438047DF" w:rsidR="006305D7" w:rsidRPr="00AD6123" w:rsidRDefault="006305D7" w:rsidP="00371E99">
      <w:pPr>
        <w:rPr>
          <w:rFonts w:asciiTheme="minorHAnsi" w:hAnsiTheme="minorHAnsi" w:cstheme="minorHAnsi"/>
          <w:b/>
          <w:color w:val="auto"/>
        </w:rPr>
      </w:pPr>
      <w:r w:rsidRPr="00AD6123">
        <w:rPr>
          <w:rFonts w:asciiTheme="minorHAnsi" w:hAnsiTheme="minorHAnsi" w:cstheme="minorHAnsi"/>
          <w:b/>
          <w:color w:val="auto"/>
        </w:rPr>
        <w:t>DISCUSSION</w:t>
      </w:r>
      <w:r w:rsidRPr="00AD6123">
        <w:rPr>
          <w:rFonts w:asciiTheme="minorHAnsi" w:hAnsiTheme="minorHAnsi" w:cstheme="minorHAnsi"/>
          <w:b/>
          <w:bCs/>
          <w:color w:val="auto"/>
        </w:rPr>
        <w:t>:</w:t>
      </w:r>
    </w:p>
    <w:p w14:paraId="7EBD1C93" w14:textId="5CA2625D" w:rsidR="00B26E43" w:rsidRPr="00AD6123" w:rsidRDefault="00B26E43" w:rsidP="00371E99">
      <w:pPr>
        <w:rPr>
          <w:rFonts w:asciiTheme="minorHAnsi" w:hAnsiTheme="minorHAnsi" w:cstheme="minorHAnsi"/>
          <w:color w:val="auto"/>
        </w:rPr>
      </w:pPr>
      <w:r w:rsidRPr="00AD6123">
        <w:rPr>
          <w:rFonts w:asciiTheme="minorHAnsi" w:hAnsiTheme="minorHAnsi" w:cstheme="minorHAnsi"/>
          <w:color w:val="auto"/>
        </w:rPr>
        <w:t>The above</w:t>
      </w:r>
      <w:r w:rsidR="00546C3B">
        <w:rPr>
          <w:rFonts w:asciiTheme="minorHAnsi" w:hAnsiTheme="minorHAnsi" w:cstheme="minorHAnsi"/>
          <w:color w:val="auto"/>
        </w:rPr>
        <w:t>-</w:t>
      </w:r>
      <w:r w:rsidRPr="00AD6123">
        <w:rPr>
          <w:rFonts w:asciiTheme="minorHAnsi" w:hAnsiTheme="minorHAnsi" w:cstheme="minorHAnsi"/>
          <w:color w:val="auto"/>
        </w:rPr>
        <w:t xml:space="preserve">described protocol allows </w:t>
      </w:r>
      <w:r w:rsidR="00024F78">
        <w:rPr>
          <w:rFonts w:asciiTheme="minorHAnsi" w:hAnsiTheme="minorHAnsi" w:cstheme="minorHAnsi"/>
          <w:color w:val="auto"/>
        </w:rPr>
        <w:t xml:space="preserve">for the </w:t>
      </w:r>
      <w:r w:rsidRPr="00AD6123">
        <w:rPr>
          <w:rFonts w:asciiTheme="minorHAnsi" w:hAnsiTheme="minorHAnsi" w:cstheme="minorHAnsi"/>
          <w:color w:val="auto"/>
        </w:rPr>
        <w:t>measur</w:t>
      </w:r>
      <w:r w:rsidR="00024F78">
        <w:rPr>
          <w:rFonts w:asciiTheme="minorHAnsi" w:hAnsiTheme="minorHAnsi" w:cstheme="minorHAnsi"/>
          <w:color w:val="auto"/>
        </w:rPr>
        <w:t>ement</w:t>
      </w:r>
      <w:r w:rsidRPr="00AD6123">
        <w:rPr>
          <w:rFonts w:asciiTheme="minorHAnsi" w:hAnsiTheme="minorHAnsi" w:cstheme="minorHAnsi"/>
          <w:color w:val="auto"/>
        </w:rPr>
        <w:t xml:space="preserve"> of </w:t>
      </w:r>
      <w:r w:rsidR="00371E99">
        <w:rPr>
          <w:rFonts w:asciiTheme="minorHAnsi" w:hAnsiTheme="minorHAnsi" w:cstheme="minorHAnsi"/>
          <w:color w:val="auto"/>
        </w:rPr>
        <w:t xml:space="preserve">the </w:t>
      </w:r>
      <w:r w:rsidRPr="00AD6123">
        <w:rPr>
          <w:rFonts w:asciiTheme="minorHAnsi" w:hAnsiTheme="minorHAnsi" w:cstheme="minorHAnsi"/>
          <w:color w:val="auto"/>
        </w:rPr>
        <w:t>metabolic activity assessed by OCR and ECAR values in primary leukemic blasts derived from patients with acute lymphoblastic leukemia (ALL) or acute myeloid leukemia (AML). The advantage of measurement using</w:t>
      </w:r>
      <w:r w:rsidR="00823360">
        <w:rPr>
          <w:rFonts w:asciiTheme="minorHAnsi" w:hAnsiTheme="minorHAnsi" w:cstheme="minorHAnsi"/>
          <w:color w:val="auto"/>
        </w:rPr>
        <w:t xml:space="preserve"> an extracellular flux analyzer</w:t>
      </w:r>
      <w:r w:rsidRPr="00AD6123">
        <w:rPr>
          <w:rFonts w:asciiTheme="minorHAnsi" w:hAnsiTheme="minorHAnsi" w:cstheme="minorHAnsi"/>
          <w:color w:val="auto"/>
        </w:rPr>
        <w:t xml:space="preserve"> is that it enables the detection of metabolic profile in </w:t>
      </w:r>
      <w:r w:rsidR="00024F78">
        <w:rPr>
          <w:rFonts w:asciiTheme="minorHAnsi" w:hAnsiTheme="minorHAnsi" w:cstheme="minorHAnsi"/>
          <w:color w:val="auto"/>
        </w:rPr>
        <w:t xml:space="preserve">the </w:t>
      </w:r>
      <w:r w:rsidRPr="00AD6123">
        <w:rPr>
          <w:rFonts w:asciiTheme="minorHAnsi" w:hAnsiTheme="minorHAnsi" w:cstheme="minorHAnsi"/>
          <w:color w:val="auto"/>
        </w:rPr>
        <w:t xml:space="preserve">real time in </w:t>
      </w:r>
      <w:r w:rsidR="00024F78">
        <w:rPr>
          <w:rFonts w:asciiTheme="minorHAnsi" w:hAnsiTheme="minorHAnsi" w:cstheme="minorHAnsi"/>
          <w:color w:val="auto"/>
        </w:rPr>
        <w:t xml:space="preserve">the </w:t>
      </w:r>
      <w:r w:rsidRPr="00AD6123">
        <w:rPr>
          <w:rFonts w:asciiTheme="minorHAnsi" w:hAnsiTheme="minorHAnsi" w:cstheme="minorHAnsi"/>
          <w:color w:val="auto"/>
        </w:rPr>
        <w:t>live cells. Essentially, every step in the provided protocol could be adjusted depending on the cell type one plans to study. Here, we will discuss the most important parameters which could affect the results and could provide less than optimal values.</w:t>
      </w:r>
    </w:p>
    <w:p w14:paraId="3F7C9677" w14:textId="77777777" w:rsidR="00C121CB" w:rsidRPr="00AD6123" w:rsidRDefault="00C121CB" w:rsidP="00371E99">
      <w:pPr>
        <w:rPr>
          <w:rFonts w:asciiTheme="minorHAnsi" w:hAnsiTheme="minorHAnsi" w:cstheme="minorHAnsi"/>
          <w:color w:val="auto"/>
        </w:rPr>
      </w:pPr>
    </w:p>
    <w:p w14:paraId="37FE3B8C" w14:textId="2648A0CB" w:rsidR="00B26E43" w:rsidRPr="00AD6123" w:rsidRDefault="00B26E43" w:rsidP="00371E99">
      <w:pPr>
        <w:rPr>
          <w:rFonts w:asciiTheme="minorHAnsi" w:hAnsiTheme="minorHAnsi" w:cstheme="minorHAnsi"/>
          <w:color w:val="auto"/>
        </w:rPr>
      </w:pPr>
      <w:r w:rsidRPr="00AD6123">
        <w:rPr>
          <w:rFonts w:asciiTheme="minorHAnsi" w:hAnsiTheme="minorHAnsi" w:cstheme="minorHAnsi"/>
          <w:color w:val="auto"/>
        </w:rPr>
        <w:t>The first step towards optimization was a comparison of data obtained from fresh material vs frozen material. The ability to measure</w:t>
      </w:r>
      <w:r w:rsidR="00546C3B">
        <w:rPr>
          <w:rFonts w:asciiTheme="minorHAnsi" w:hAnsiTheme="minorHAnsi" w:cstheme="minorHAnsi"/>
          <w:color w:val="auto"/>
        </w:rPr>
        <w:t xml:space="preserve"> the</w:t>
      </w:r>
      <w:r w:rsidRPr="00AD6123">
        <w:rPr>
          <w:rFonts w:asciiTheme="minorHAnsi" w:hAnsiTheme="minorHAnsi" w:cstheme="minorHAnsi"/>
          <w:color w:val="auto"/>
        </w:rPr>
        <w:t xml:space="preserve"> metabolic activity from </w:t>
      </w:r>
      <w:r w:rsidR="00024F78">
        <w:rPr>
          <w:rFonts w:asciiTheme="minorHAnsi" w:hAnsiTheme="minorHAnsi" w:cstheme="minorHAnsi"/>
          <w:color w:val="auto"/>
        </w:rPr>
        <w:t xml:space="preserve">the </w:t>
      </w:r>
      <w:r w:rsidRPr="00AD6123">
        <w:rPr>
          <w:rFonts w:asciiTheme="minorHAnsi" w:hAnsiTheme="minorHAnsi" w:cstheme="minorHAnsi"/>
          <w:color w:val="auto"/>
        </w:rPr>
        <w:t xml:space="preserve">frozen material would allow for retrospective studies of patients’ samples stored in liquid nitrogen bank. In case of ALL samples, we were able to detect consistent metabolic activity only from </w:t>
      </w:r>
      <w:r w:rsidR="00546C3B">
        <w:rPr>
          <w:rFonts w:asciiTheme="minorHAnsi" w:hAnsiTheme="minorHAnsi" w:cstheme="minorHAnsi"/>
          <w:color w:val="auto"/>
        </w:rPr>
        <w:t xml:space="preserve">the </w:t>
      </w:r>
      <w:r w:rsidRPr="00AD6123">
        <w:rPr>
          <w:rFonts w:asciiTheme="minorHAnsi" w:hAnsiTheme="minorHAnsi" w:cstheme="minorHAnsi"/>
          <w:color w:val="auto"/>
        </w:rPr>
        <w:t xml:space="preserve">fresh material whereas AML cells were measured also after de-freezing with optimal results. </w:t>
      </w:r>
    </w:p>
    <w:p w14:paraId="6E1C4B62" w14:textId="77777777" w:rsidR="00C121CB" w:rsidRPr="00AD6123" w:rsidRDefault="00C121CB" w:rsidP="00371E99">
      <w:pPr>
        <w:rPr>
          <w:rFonts w:asciiTheme="minorHAnsi" w:hAnsiTheme="minorHAnsi" w:cstheme="minorHAnsi"/>
          <w:color w:val="auto"/>
        </w:rPr>
      </w:pPr>
    </w:p>
    <w:p w14:paraId="2F3F4559" w14:textId="77B9A213" w:rsidR="00B26E43" w:rsidRPr="00AD6123" w:rsidRDefault="00B26E43" w:rsidP="00371E99">
      <w:pPr>
        <w:rPr>
          <w:rFonts w:asciiTheme="minorHAnsi" w:hAnsiTheme="minorHAnsi" w:cstheme="minorHAnsi"/>
          <w:color w:val="auto"/>
        </w:rPr>
      </w:pPr>
      <w:r w:rsidRPr="00AD6123">
        <w:rPr>
          <w:rFonts w:asciiTheme="minorHAnsi" w:hAnsiTheme="minorHAnsi" w:cstheme="minorHAnsi"/>
          <w:color w:val="auto"/>
        </w:rPr>
        <w:t>The second step towards optimization is the cultivation of primary leukemic blasts. We have test</w:t>
      </w:r>
      <w:r w:rsidR="00024F78">
        <w:rPr>
          <w:rFonts w:asciiTheme="minorHAnsi" w:hAnsiTheme="minorHAnsi" w:cstheme="minorHAnsi"/>
          <w:color w:val="auto"/>
        </w:rPr>
        <w:t xml:space="preserve">ed </w:t>
      </w:r>
      <w:r w:rsidR="00546C3B">
        <w:rPr>
          <w:rFonts w:asciiTheme="minorHAnsi" w:hAnsiTheme="minorHAnsi" w:cstheme="minorHAnsi"/>
          <w:color w:val="auto"/>
        </w:rPr>
        <w:t xml:space="preserve">the </w:t>
      </w:r>
      <w:r w:rsidRPr="00AD6123">
        <w:rPr>
          <w:rFonts w:asciiTheme="minorHAnsi" w:hAnsiTheme="minorHAnsi" w:cstheme="minorHAnsi"/>
          <w:color w:val="auto"/>
        </w:rPr>
        <w:t>metabolic activity of the cells straight after</w:t>
      </w:r>
      <w:r w:rsidR="00546C3B">
        <w:rPr>
          <w:rFonts w:asciiTheme="minorHAnsi" w:hAnsiTheme="minorHAnsi" w:cstheme="minorHAnsi"/>
          <w:color w:val="auto"/>
        </w:rPr>
        <w:t xml:space="preserve"> the</w:t>
      </w:r>
      <w:r w:rsidRPr="00AD6123">
        <w:rPr>
          <w:rFonts w:asciiTheme="minorHAnsi" w:hAnsiTheme="minorHAnsi" w:cstheme="minorHAnsi"/>
          <w:color w:val="auto"/>
        </w:rPr>
        <w:t xml:space="preserve"> </w:t>
      </w:r>
      <w:r w:rsidR="000D222A">
        <w:rPr>
          <w:rFonts w:asciiTheme="minorHAnsi" w:hAnsiTheme="minorHAnsi" w:cstheme="minorHAnsi"/>
          <w:color w:val="auto"/>
        </w:rPr>
        <w:t xml:space="preserve">density gradient separation </w:t>
      </w:r>
      <w:r w:rsidRPr="00AD6123">
        <w:rPr>
          <w:rFonts w:asciiTheme="minorHAnsi" w:hAnsiTheme="minorHAnsi" w:cstheme="minorHAnsi"/>
          <w:color w:val="auto"/>
        </w:rPr>
        <w:t xml:space="preserve">(without culturing) or after culturing overnight. Even </w:t>
      </w:r>
      <w:r w:rsidR="00024F78">
        <w:rPr>
          <w:rFonts w:asciiTheme="minorHAnsi" w:hAnsiTheme="minorHAnsi" w:cstheme="minorHAnsi"/>
          <w:color w:val="auto"/>
        </w:rPr>
        <w:t xml:space="preserve">if </w:t>
      </w:r>
      <w:r w:rsidRPr="00AD6123">
        <w:rPr>
          <w:rFonts w:asciiTheme="minorHAnsi" w:hAnsiTheme="minorHAnsi" w:cstheme="minorHAnsi"/>
          <w:color w:val="auto"/>
        </w:rPr>
        <w:t>the cells after</w:t>
      </w:r>
      <w:r w:rsidR="00546C3B">
        <w:rPr>
          <w:rFonts w:asciiTheme="minorHAnsi" w:hAnsiTheme="minorHAnsi" w:cstheme="minorHAnsi"/>
          <w:color w:val="auto"/>
        </w:rPr>
        <w:t xml:space="preserve"> the</w:t>
      </w:r>
      <w:r w:rsidRPr="00AD6123">
        <w:rPr>
          <w:rFonts w:asciiTheme="minorHAnsi" w:hAnsiTheme="minorHAnsi" w:cstheme="minorHAnsi"/>
          <w:color w:val="auto"/>
        </w:rPr>
        <w:t xml:space="preserve"> </w:t>
      </w:r>
      <w:r w:rsidR="00371E99">
        <w:rPr>
          <w:rFonts w:asciiTheme="minorHAnsi" w:hAnsiTheme="minorHAnsi" w:cstheme="minorHAnsi"/>
          <w:color w:val="auto"/>
        </w:rPr>
        <w:t xml:space="preserve">density gradient </w:t>
      </w:r>
      <w:r w:rsidRPr="00AD6123">
        <w:rPr>
          <w:rFonts w:asciiTheme="minorHAnsi" w:hAnsiTheme="minorHAnsi" w:cstheme="minorHAnsi"/>
          <w:color w:val="auto"/>
        </w:rPr>
        <w:t xml:space="preserve">separation looked viable and vital under a microscope, their metabolic activity was impaired. Overall ECAR and OCR values were lower </w:t>
      </w:r>
      <w:proofErr w:type="gramStart"/>
      <w:r w:rsidRPr="00AD6123">
        <w:rPr>
          <w:rFonts w:asciiTheme="minorHAnsi" w:hAnsiTheme="minorHAnsi" w:cstheme="minorHAnsi"/>
          <w:color w:val="auto"/>
        </w:rPr>
        <w:t>and also</w:t>
      </w:r>
      <w:proofErr w:type="gramEnd"/>
      <w:r w:rsidRPr="00AD6123">
        <w:rPr>
          <w:rFonts w:asciiTheme="minorHAnsi" w:hAnsiTheme="minorHAnsi" w:cstheme="minorHAnsi"/>
          <w:color w:val="auto"/>
        </w:rPr>
        <w:t xml:space="preserve">, after injection, OCR or ECAR values did not respond optimally as they did in cultivated cells. </w:t>
      </w:r>
    </w:p>
    <w:p w14:paraId="256ABB75" w14:textId="77777777" w:rsidR="00C121CB" w:rsidRPr="00AD6123" w:rsidRDefault="00C121CB" w:rsidP="00371E99">
      <w:pPr>
        <w:rPr>
          <w:rFonts w:asciiTheme="minorHAnsi" w:hAnsiTheme="minorHAnsi" w:cstheme="minorHAnsi"/>
          <w:color w:val="auto"/>
        </w:rPr>
      </w:pPr>
    </w:p>
    <w:p w14:paraId="295438DB" w14:textId="640C6795" w:rsidR="00B26E43" w:rsidRPr="00AD6123" w:rsidRDefault="00B26E43" w:rsidP="00371E99">
      <w:pPr>
        <w:rPr>
          <w:rFonts w:asciiTheme="minorHAnsi" w:hAnsiTheme="minorHAnsi" w:cstheme="minorHAnsi"/>
          <w:color w:val="auto"/>
        </w:rPr>
      </w:pPr>
      <w:r w:rsidRPr="00AD6123">
        <w:rPr>
          <w:rFonts w:asciiTheme="minorHAnsi" w:hAnsiTheme="minorHAnsi" w:cstheme="minorHAnsi"/>
          <w:color w:val="auto"/>
        </w:rPr>
        <w:t xml:space="preserve">Cultivation under different conditions can also influence the results. Using insulin transferrin sodium selenite supplement (ITS) is considered </w:t>
      </w:r>
      <w:r w:rsidR="00024F78">
        <w:rPr>
          <w:rFonts w:asciiTheme="minorHAnsi" w:hAnsiTheme="minorHAnsi" w:cstheme="minorHAnsi"/>
          <w:color w:val="auto"/>
        </w:rPr>
        <w:t xml:space="preserve">a </w:t>
      </w:r>
      <w:r w:rsidRPr="00AD6123">
        <w:rPr>
          <w:rFonts w:asciiTheme="minorHAnsi" w:hAnsiTheme="minorHAnsi" w:cstheme="minorHAnsi"/>
          <w:color w:val="auto"/>
        </w:rPr>
        <w:t>good practice when cultivating primary blasts</w:t>
      </w:r>
      <w:r w:rsidRPr="00AD6123">
        <w:rPr>
          <w:rFonts w:asciiTheme="minorHAnsi" w:hAnsiTheme="minorHAnsi" w:cstheme="minorHAnsi"/>
          <w:color w:val="auto"/>
          <w:vertAlign w:val="superscript"/>
        </w:rPr>
        <w:t>8</w:t>
      </w:r>
      <w:r w:rsidRPr="00AD6123">
        <w:rPr>
          <w:rFonts w:asciiTheme="minorHAnsi" w:hAnsiTheme="minorHAnsi" w:cstheme="minorHAnsi"/>
          <w:color w:val="auto"/>
        </w:rPr>
        <w:t xml:space="preserve">, but this supplement interferes with the metabolic activity of the cells. During Cell </w:t>
      </w:r>
      <w:r w:rsidR="00546C3B">
        <w:rPr>
          <w:rFonts w:asciiTheme="minorHAnsi" w:hAnsiTheme="minorHAnsi" w:cstheme="minorHAnsi"/>
          <w:color w:val="auto"/>
        </w:rPr>
        <w:t>M</w:t>
      </w:r>
      <w:r w:rsidRPr="00AD6123">
        <w:rPr>
          <w:rFonts w:asciiTheme="minorHAnsi" w:hAnsiTheme="minorHAnsi" w:cstheme="minorHAnsi"/>
          <w:color w:val="auto"/>
        </w:rPr>
        <w:t xml:space="preserve">ito stress test, leukemic blasts cultivated with ITS did not respond to Oligomycin A (OCR should decrease </w:t>
      </w:r>
      <w:proofErr w:type="gramStart"/>
      <w:r w:rsidRPr="00AD6123">
        <w:rPr>
          <w:rFonts w:asciiTheme="minorHAnsi" w:hAnsiTheme="minorHAnsi" w:cstheme="minorHAnsi"/>
          <w:color w:val="auto"/>
        </w:rPr>
        <w:t>in order to</w:t>
      </w:r>
      <w:proofErr w:type="gramEnd"/>
      <w:r w:rsidRPr="00AD6123">
        <w:rPr>
          <w:rFonts w:asciiTheme="minorHAnsi" w:hAnsiTheme="minorHAnsi" w:cstheme="minorHAnsi"/>
          <w:color w:val="auto"/>
        </w:rPr>
        <w:t xml:space="preserve"> calculate ATP-linked respiration). We also tried to co-cultivate the cells with mesenchymal stem cells (MSC), but in this case, OCR and ECAR values have been lower compared to the cells cultivated without MSCs. In summary, cultivating primary blasts from leukemia patients in RPMI medium with 10</w:t>
      </w:r>
      <w:r w:rsidR="008465B4" w:rsidRPr="00AD6123">
        <w:rPr>
          <w:rFonts w:asciiTheme="minorHAnsi" w:hAnsiTheme="minorHAnsi" w:cstheme="minorHAnsi"/>
          <w:color w:val="auto"/>
        </w:rPr>
        <w:t xml:space="preserve"> </w:t>
      </w:r>
      <w:r w:rsidRPr="00AD6123">
        <w:rPr>
          <w:rFonts w:asciiTheme="minorHAnsi" w:hAnsiTheme="minorHAnsi" w:cstheme="minorHAnsi"/>
          <w:color w:val="auto"/>
        </w:rPr>
        <w:t>% FBS is the best option.</w:t>
      </w:r>
    </w:p>
    <w:p w14:paraId="16DAED2D" w14:textId="77777777" w:rsidR="00C121CB" w:rsidRPr="00AD6123" w:rsidRDefault="00C121CB" w:rsidP="00371E99">
      <w:pPr>
        <w:rPr>
          <w:rFonts w:asciiTheme="minorHAnsi" w:hAnsiTheme="minorHAnsi" w:cstheme="minorHAnsi"/>
          <w:color w:val="auto"/>
        </w:rPr>
      </w:pPr>
    </w:p>
    <w:p w14:paraId="1F15F504" w14:textId="57E127E2" w:rsidR="00B26E43" w:rsidRPr="00AD6123" w:rsidRDefault="00B26E43" w:rsidP="00371E99">
      <w:pPr>
        <w:rPr>
          <w:rFonts w:asciiTheme="minorHAnsi" w:hAnsiTheme="minorHAnsi" w:cstheme="minorHAnsi"/>
          <w:color w:val="auto"/>
        </w:rPr>
      </w:pPr>
      <w:r w:rsidRPr="00AD6123">
        <w:rPr>
          <w:rFonts w:asciiTheme="minorHAnsi" w:hAnsiTheme="minorHAnsi" w:cstheme="minorHAnsi"/>
          <w:color w:val="auto"/>
        </w:rPr>
        <w:t xml:space="preserve">Patients suitable for the characterization of their metabolic profile </w:t>
      </w:r>
      <w:r w:rsidR="008C374B" w:rsidRPr="00AD6123">
        <w:rPr>
          <w:rFonts w:asciiTheme="minorHAnsi" w:hAnsiTheme="minorHAnsi" w:cstheme="minorHAnsi"/>
          <w:color w:val="auto"/>
        </w:rPr>
        <w:t>must</w:t>
      </w:r>
      <w:r w:rsidRPr="00AD6123">
        <w:rPr>
          <w:rFonts w:asciiTheme="minorHAnsi" w:hAnsiTheme="minorHAnsi" w:cstheme="minorHAnsi"/>
          <w:color w:val="auto"/>
        </w:rPr>
        <w:t xml:space="preserve"> meet certain criteria which on one hand limit the number of tested samples but on the other will yield relevant results. We measured the metabolic function of patients with high cellularity (for one measurement we seeded 500,000 cells/per </w:t>
      </w:r>
      <w:r w:rsidR="0064467B" w:rsidRPr="00AD6123">
        <w:rPr>
          <w:rFonts w:asciiTheme="minorHAnsi" w:hAnsiTheme="minorHAnsi" w:cstheme="minorHAnsi"/>
          <w:color w:val="auto"/>
        </w:rPr>
        <w:t>wells</w:t>
      </w:r>
      <w:r w:rsidRPr="00AD6123">
        <w:rPr>
          <w:rFonts w:asciiTheme="minorHAnsi" w:hAnsiTheme="minorHAnsi" w:cstheme="minorHAnsi"/>
          <w:color w:val="auto"/>
        </w:rPr>
        <w:t xml:space="preserve"> in </w:t>
      </w:r>
      <w:proofErr w:type="spellStart"/>
      <w:r w:rsidRPr="00AD6123">
        <w:rPr>
          <w:rFonts w:asciiTheme="minorHAnsi" w:hAnsiTheme="minorHAnsi" w:cstheme="minorHAnsi"/>
          <w:color w:val="auto"/>
        </w:rPr>
        <w:t>hexaplicate</w:t>
      </w:r>
      <w:proofErr w:type="spellEnd"/>
      <w:r w:rsidRPr="00AD6123">
        <w:rPr>
          <w:rFonts w:asciiTheme="minorHAnsi" w:hAnsiTheme="minorHAnsi" w:cstheme="minorHAnsi"/>
          <w:color w:val="auto"/>
        </w:rPr>
        <w:t xml:space="preserve">) and only samples with 80 and a higher percentage of leukemic blasts could be measured to avoid detection of unspecific metabolic activity of other cell types present in the suspension.  </w:t>
      </w:r>
    </w:p>
    <w:p w14:paraId="699E3F04" w14:textId="77777777" w:rsidR="00C121CB" w:rsidRPr="00AD6123" w:rsidRDefault="00C121CB" w:rsidP="00371E99">
      <w:pPr>
        <w:rPr>
          <w:rFonts w:asciiTheme="minorHAnsi" w:hAnsiTheme="minorHAnsi" w:cstheme="minorHAnsi"/>
          <w:color w:val="auto"/>
        </w:rPr>
      </w:pPr>
    </w:p>
    <w:p w14:paraId="78728D18" w14:textId="024E8652" w:rsidR="00014314" w:rsidRPr="00AD6123" w:rsidRDefault="00B26E43" w:rsidP="00371E99">
      <w:pPr>
        <w:rPr>
          <w:rFonts w:asciiTheme="minorHAnsi" w:hAnsiTheme="minorHAnsi" w:cstheme="minorHAnsi"/>
          <w:color w:val="auto"/>
        </w:rPr>
      </w:pPr>
      <w:r w:rsidRPr="00AD6123">
        <w:rPr>
          <w:rFonts w:asciiTheme="minorHAnsi" w:hAnsiTheme="minorHAnsi" w:cstheme="minorHAnsi"/>
          <w:color w:val="auto"/>
        </w:rPr>
        <w:t>One of the crucial steps in data analysis is</w:t>
      </w:r>
      <w:r w:rsidR="00546C3B">
        <w:rPr>
          <w:rFonts w:asciiTheme="minorHAnsi" w:hAnsiTheme="minorHAnsi" w:cstheme="minorHAnsi"/>
          <w:color w:val="auto"/>
        </w:rPr>
        <w:t xml:space="preserve"> the</w:t>
      </w:r>
      <w:r w:rsidRPr="00AD6123">
        <w:rPr>
          <w:rFonts w:asciiTheme="minorHAnsi" w:hAnsiTheme="minorHAnsi" w:cstheme="minorHAnsi"/>
          <w:color w:val="auto"/>
        </w:rPr>
        <w:t xml:space="preserve"> normalization, so that metabolic parameters between different leukemic samples could be compared.</w:t>
      </w:r>
      <w:r w:rsidR="00371E99">
        <w:rPr>
          <w:rFonts w:asciiTheme="minorHAnsi" w:hAnsiTheme="minorHAnsi" w:cstheme="minorHAnsi"/>
          <w:color w:val="auto"/>
        </w:rPr>
        <w:t xml:space="preserve"> </w:t>
      </w:r>
      <w:r w:rsidRPr="00AD6123">
        <w:rPr>
          <w:rFonts w:asciiTheme="minorHAnsi" w:hAnsiTheme="minorHAnsi" w:cstheme="minorHAnsi"/>
          <w:color w:val="auto"/>
        </w:rPr>
        <w:t>According to our previous experiments performed with leukemic cell lines, we found that normalization to the number of the cells gives the best results. The specific number of cells per well needs to be determined by the researcher and depends on the size and metabolic activity of tested cells.</w:t>
      </w:r>
    </w:p>
    <w:p w14:paraId="6DD05DB9" w14:textId="77777777" w:rsidR="00B26E43" w:rsidRPr="00AD6123" w:rsidRDefault="00B26E43" w:rsidP="00371E99">
      <w:pPr>
        <w:rPr>
          <w:rFonts w:asciiTheme="minorHAnsi" w:hAnsiTheme="minorHAnsi" w:cstheme="minorHAnsi"/>
          <w:color w:val="auto"/>
        </w:rPr>
      </w:pPr>
    </w:p>
    <w:p w14:paraId="1734505F" w14:textId="5F6280A3" w:rsidR="00AA03DF" w:rsidRPr="00AD6123" w:rsidRDefault="00AA03DF" w:rsidP="00371E99">
      <w:pPr>
        <w:pStyle w:val="NormalWeb"/>
        <w:spacing w:before="0" w:beforeAutospacing="0" w:after="0" w:afterAutospacing="0"/>
        <w:rPr>
          <w:rFonts w:asciiTheme="minorHAnsi" w:hAnsiTheme="minorHAnsi" w:cstheme="minorHAnsi"/>
          <w:b/>
          <w:bCs/>
          <w:color w:val="auto"/>
        </w:rPr>
      </w:pPr>
      <w:r w:rsidRPr="00AD6123">
        <w:rPr>
          <w:rFonts w:asciiTheme="minorHAnsi" w:hAnsiTheme="minorHAnsi" w:cstheme="minorHAnsi"/>
          <w:b/>
          <w:bCs/>
          <w:color w:val="auto"/>
        </w:rPr>
        <w:t>ACKNOWLEDGMENTS:</w:t>
      </w:r>
    </w:p>
    <w:p w14:paraId="60EDE1BA" w14:textId="4ACBE7E2" w:rsidR="00727D0F" w:rsidRPr="00AD6123" w:rsidRDefault="00727D0F" w:rsidP="00371E99">
      <w:pPr>
        <w:pStyle w:val="NormalWeb"/>
        <w:spacing w:before="0" w:beforeAutospacing="0" w:after="0" w:afterAutospacing="0"/>
        <w:rPr>
          <w:rFonts w:asciiTheme="minorHAnsi" w:hAnsiTheme="minorHAnsi" w:cstheme="minorHAnsi"/>
          <w:color w:val="auto"/>
        </w:rPr>
      </w:pPr>
      <w:r w:rsidRPr="00AD6123">
        <w:rPr>
          <w:rFonts w:asciiTheme="minorHAnsi" w:hAnsiTheme="minorHAnsi" w:cstheme="minorHAnsi"/>
          <w:color w:val="auto"/>
        </w:rPr>
        <w:t xml:space="preserve">We would like to thank the Czech Pediatric Hematology Centers. This work was supported by the Grant of Ministry of Health (NV15-28848A), by Ministry of Health of Czech Republic, University Hospital </w:t>
      </w:r>
      <w:proofErr w:type="spellStart"/>
      <w:r w:rsidRPr="00AD6123">
        <w:rPr>
          <w:rFonts w:asciiTheme="minorHAnsi" w:hAnsiTheme="minorHAnsi" w:cstheme="minorHAnsi"/>
          <w:color w:val="auto"/>
        </w:rPr>
        <w:t>Motol</w:t>
      </w:r>
      <w:proofErr w:type="spellEnd"/>
      <w:r w:rsidRPr="00AD6123">
        <w:rPr>
          <w:rFonts w:asciiTheme="minorHAnsi" w:hAnsiTheme="minorHAnsi" w:cstheme="minorHAnsi"/>
          <w:color w:val="auto"/>
        </w:rPr>
        <w:t xml:space="preserve">, Prague, Czech Republic 00064203 and by Ministry of Education, Youth and Sports NPU I </w:t>
      </w:r>
      <w:proofErr w:type="gramStart"/>
      <w:r w:rsidRPr="00AD6123">
        <w:rPr>
          <w:rFonts w:asciiTheme="minorHAnsi" w:hAnsiTheme="minorHAnsi" w:cstheme="minorHAnsi"/>
          <w:color w:val="auto"/>
        </w:rPr>
        <w:t>nr.LO</w:t>
      </w:r>
      <w:proofErr w:type="gramEnd"/>
      <w:r w:rsidRPr="00AD6123">
        <w:rPr>
          <w:rFonts w:asciiTheme="minorHAnsi" w:hAnsiTheme="minorHAnsi" w:cstheme="minorHAnsi"/>
          <w:color w:val="auto"/>
        </w:rPr>
        <w:t>1604.</w:t>
      </w:r>
    </w:p>
    <w:p w14:paraId="2D96E92E" w14:textId="72F287DC" w:rsidR="00AA03DF" w:rsidRPr="00AD6123" w:rsidRDefault="00AA03DF" w:rsidP="00371E99">
      <w:pPr>
        <w:rPr>
          <w:rFonts w:asciiTheme="minorHAnsi" w:hAnsiTheme="minorHAnsi" w:cstheme="minorHAnsi"/>
          <w:b/>
          <w:bCs/>
          <w:color w:val="auto"/>
        </w:rPr>
      </w:pPr>
    </w:p>
    <w:p w14:paraId="5D52ED8B" w14:textId="66A4CB0C" w:rsidR="00AA03DF" w:rsidRPr="00AD6123" w:rsidRDefault="00AA03DF" w:rsidP="00371E99">
      <w:pPr>
        <w:pStyle w:val="NormalWeb"/>
        <w:spacing w:before="0" w:beforeAutospacing="0" w:after="0" w:afterAutospacing="0"/>
        <w:rPr>
          <w:rFonts w:asciiTheme="minorHAnsi" w:hAnsiTheme="minorHAnsi" w:cstheme="minorHAnsi"/>
          <w:color w:val="auto"/>
        </w:rPr>
      </w:pPr>
      <w:r w:rsidRPr="00AD6123">
        <w:rPr>
          <w:rFonts w:asciiTheme="minorHAnsi" w:hAnsiTheme="minorHAnsi" w:cstheme="minorHAnsi"/>
          <w:b/>
          <w:color w:val="auto"/>
        </w:rPr>
        <w:t>DISCLOSURES</w:t>
      </w:r>
      <w:r w:rsidRPr="00AD6123">
        <w:rPr>
          <w:rFonts w:asciiTheme="minorHAnsi" w:hAnsiTheme="minorHAnsi" w:cstheme="minorHAnsi"/>
          <w:b/>
          <w:bCs/>
          <w:color w:val="auto"/>
        </w:rPr>
        <w:t>:</w:t>
      </w:r>
    </w:p>
    <w:p w14:paraId="66030076" w14:textId="6AD2701A" w:rsidR="00AA03DF" w:rsidRPr="00AD6123" w:rsidRDefault="00727D0F" w:rsidP="00371E99">
      <w:pPr>
        <w:rPr>
          <w:rFonts w:asciiTheme="minorHAnsi" w:hAnsiTheme="minorHAnsi" w:cstheme="minorHAnsi"/>
          <w:color w:val="auto"/>
        </w:rPr>
      </w:pPr>
      <w:r w:rsidRPr="00AD6123">
        <w:rPr>
          <w:rFonts w:asciiTheme="minorHAnsi" w:hAnsiTheme="minorHAnsi" w:cstheme="minorHAnsi"/>
          <w:color w:val="auto"/>
        </w:rPr>
        <w:t>The authors have nothing to disclose.</w:t>
      </w:r>
    </w:p>
    <w:p w14:paraId="26237ECC" w14:textId="77777777" w:rsidR="00727D0F" w:rsidRPr="00AD6123" w:rsidRDefault="00727D0F" w:rsidP="00371E99">
      <w:pPr>
        <w:rPr>
          <w:rFonts w:asciiTheme="minorHAnsi" w:hAnsiTheme="minorHAnsi" w:cstheme="minorHAnsi"/>
          <w:color w:val="auto"/>
        </w:rPr>
      </w:pPr>
    </w:p>
    <w:p w14:paraId="315B4FAD" w14:textId="716CED40" w:rsidR="00B32616" w:rsidRPr="00AD6123" w:rsidRDefault="009726EE" w:rsidP="00371E99">
      <w:pPr>
        <w:rPr>
          <w:rFonts w:asciiTheme="minorHAnsi" w:hAnsiTheme="minorHAnsi" w:cstheme="minorHAnsi"/>
          <w:b/>
          <w:color w:val="auto"/>
        </w:rPr>
      </w:pPr>
      <w:r w:rsidRPr="00AD6123">
        <w:rPr>
          <w:rFonts w:asciiTheme="minorHAnsi" w:hAnsiTheme="minorHAnsi" w:cstheme="minorHAnsi"/>
          <w:b/>
          <w:bCs/>
          <w:color w:val="auto"/>
        </w:rPr>
        <w:t>REFERENCES</w:t>
      </w:r>
      <w:r w:rsidR="00D04760" w:rsidRPr="00AD6123">
        <w:rPr>
          <w:rFonts w:asciiTheme="minorHAnsi" w:hAnsiTheme="minorHAnsi" w:cstheme="minorHAnsi"/>
          <w:b/>
          <w:bCs/>
          <w:color w:val="auto"/>
        </w:rPr>
        <w:t>:</w:t>
      </w:r>
    </w:p>
    <w:p w14:paraId="0B665FA3" w14:textId="006D7F66" w:rsidR="005326A3" w:rsidRPr="005326A3" w:rsidRDefault="00A24433" w:rsidP="00371E99">
      <w:pPr>
        <w:rPr>
          <w:rFonts w:cs="Times New Roman"/>
          <w:noProof/>
        </w:rPr>
      </w:pPr>
      <w:r>
        <w:rPr>
          <w:rFonts w:asciiTheme="minorHAnsi" w:hAnsiTheme="minorHAnsi" w:cstheme="minorHAnsi"/>
          <w:b/>
          <w:color w:val="auto"/>
        </w:rPr>
        <w:fldChar w:fldCharType="begin" w:fldLock="1"/>
      </w:r>
      <w:r>
        <w:rPr>
          <w:rFonts w:asciiTheme="minorHAnsi" w:hAnsiTheme="minorHAnsi" w:cstheme="minorHAnsi"/>
          <w:b/>
          <w:color w:val="auto"/>
        </w:rPr>
        <w:instrText xml:space="preserve">ADDIN Mendeley Bibliography CSL_BIBLIOGRAPHY </w:instrText>
      </w:r>
      <w:r>
        <w:rPr>
          <w:rFonts w:asciiTheme="minorHAnsi" w:hAnsiTheme="minorHAnsi" w:cstheme="minorHAnsi"/>
          <w:b/>
          <w:color w:val="auto"/>
        </w:rPr>
        <w:fldChar w:fldCharType="separate"/>
      </w:r>
      <w:r w:rsidR="005326A3" w:rsidRPr="005326A3">
        <w:rPr>
          <w:rFonts w:cs="Times New Roman"/>
          <w:noProof/>
        </w:rPr>
        <w:t>1.</w:t>
      </w:r>
      <w:r w:rsidR="005326A3" w:rsidRPr="005326A3">
        <w:rPr>
          <w:rFonts w:cs="Times New Roman"/>
          <w:noProof/>
        </w:rPr>
        <w:tab/>
        <w:t xml:space="preserve">DeBerardinis, R. J., Lum, J. J., Hatzivassiliou, G. &amp; Thompson, C. B. The Biology of Cancer: Metabolic Reprogramming Fuels Cell Growth and Proliferation. </w:t>
      </w:r>
      <w:r w:rsidR="005326A3" w:rsidRPr="005326A3">
        <w:rPr>
          <w:rFonts w:cs="Times New Roman"/>
          <w:i/>
          <w:iCs/>
          <w:noProof/>
        </w:rPr>
        <w:t>Cell Metabolism</w:t>
      </w:r>
      <w:r w:rsidR="00546C3B">
        <w:rPr>
          <w:rFonts w:cs="Times New Roman"/>
          <w:i/>
          <w:iCs/>
          <w:noProof/>
        </w:rPr>
        <w:t>.</w:t>
      </w:r>
      <w:r w:rsidR="005326A3" w:rsidRPr="005326A3">
        <w:rPr>
          <w:rFonts w:cs="Times New Roman"/>
          <w:noProof/>
        </w:rPr>
        <w:t xml:space="preserve"> </w:t>
      </w:r>
      <w:r w:rsidR="005326A3" w:rsidRPr="005326A3">
        <w:rPr>
          <w:rFonts w:cs="Times New Roman"/>
          <w:b/>
          <w:bCs/>
          <w:noProof/>
        </w:rPr>
        <w:t>7,</w:t>
      </w:r>
      <w:r w:rsidR="005326A3" w:rsidRPr="005326A3">
        <w:rPr>
          <w:rFonts w:cs="Times New Roman"/>
          <w:noProof/>
        </w:rPr>
        <w:t xml:space="preserve"> 11–20 (2008).</w:t>
      </w:r>
    </w:p>
    <w:p w14:paraId="716FA230" w14:textId="407EA9E9" w:rsidR="005326A3" w:rsidRPr="005326A3" w:rsidRDefault="005326A3" w:rsidP="00371E99">
      <w:pPr>
        <w:rPr>
          <w:rFonts w:cs="Times New Roman"/>
          <w:noProof/>
        </w:rPr>
      </w:pPr>
      <w:r w:rsidRPr="005326A3">
        <w:rPr>
          <w:rFonts w:cs="Times New Roman"/>
          <w:noProof/>
        </w:rPr>
        <w:t>2.</w:t>
      </w:r>
      <w:r w:rsidRPr="005326A3">
        <w:rPr>
          <w:rFonts w:cs="Times New Roman"/>
          <w:noProof/>
        </w:rPr>
        <w:tab/>
        <w:t xml:space="preserve">Ward, P. S. &amp; Thompson, C. B. Metabolic Reprogramming: A Cancer Hallmark Even Warburg Did Not Anticipate. </w:t>
      </w:r>
      <w:r w:rsidRPr="005326A3">
        <w:rPr>
          <w:rFonts w:cs="Times New Roman"/>
          <w:i/>
          <w:iCs/>
          <w:noProof/>
        </w:rPr>
        <w:t>Cancer Cell</w:t>
      </w:r>
      <w:r w:rsidR="00546C3B">
        <w:rPr>
          <w:rFonts w:cs="Times New Roman"/>
          <w:i/>
          <w:iCs/>
          <w:noProof/>
        </w:rPr>
        <w:t>.</w:t>
      </w:r>
      <w:r w:rsidRPr="005326A3">
        <w:rPr>
          <w:rFonts w:cs="Times New Roman"/>
          <w:noProof/>
        </w:rPr>
        <w:t xml:space="preserve"> </w:t>
      </w:r>
      <w:r w:rsidRPr="005326A3">
        <w:rPr>
          <w:rFonts w:cs="Times New Roman"/>
          <w:b/>
          <w:bCs/>
          <w:noProof/>
        </w:rPr>
        <w:t>21,</w:t>
      </w:r>
      <w:r w:rsidRPr="005326A3">
        <w:rPr>
          <w:rFonts w:cs="Times New Roman"/>
          <w:noProof/>
        </w:rPr>
        <w:t xml:space="preserve"> 297–308 (2012).</w:t>
      </w:r>
    </w:p>
    <w:p w14:paraId="62AE118F" w14:textId="1964B1F0" w:rsidR="005326A3" w:rsidRPr="005326A3" w:rsidRDefault="005326A3" w:rsidP="00371E99">
      <w:pPr>
        <w:rPr>
          <w:rFonts w:cs="Times New Roman"/>
          <w:noProof/>
        </w:rPr>
      </w:pPr>
      <w:r w:rsidRPr="005326A3">
        <w:rPr>
          <w:rFonts w:cs="Times New Roman"/>
          <w:noProof/>
        </w:rPr>
        <w:t>3.</w:t>
      </w:r>
      <w:r w:rsidRPr="005326A3">
        <w:rPr>
          <w:rFonts w:cs="Times New Roman"/>
          <w:noProof/>
        </w:rPr>
        <w:tab/>
        <w:t xml:space="preserve">Pavlova, N. N. &amp; Thompson, C. B. The Emerging Hallmarks of Cancer Metabolism. </w:t>
      </w:r>
      <w:r w:rsidRPr="005326A3">
        <w:rPr>
          <w:rFonts w:cs="Times New Roman"/>
          <w:i/>
          <w:iCs/>
          <w:noProof/>
        </w:rPr>
        <w:t>Cell Metabolism</w:t>
      </w:r>
      <w:r w:rsidR="00546C3B">
        <w:rPr>
          <w:rFonts w:cs="Times New Roman"/>
          <w:i/>
          <w:iCs/>
          <w:noProof/>
        </w:rPr>
        <w:t>.</w:t>
      </w:r>
      <w:r w:rsidRPr="005326A3">
        <w:rPr>
          <w:rFonts w:cs="Times New Roman"/>
          <w:noProof/>
        </w:rPr>
        <w:t xml:space="preserve"> </w:t>
      </w:r>
      <w:r w:rsidRPr="005326A3">
        <w:rPr>
          <w:rFonts w:cs="Times New Roman"/>
          <w:b/>
          <w:bCs/>
          <w:noProof/>
        </w:rPr>
        <w:t>23,</w:t>
      </w:r>
      <w:r w:rsidRPr="005326A3">
        <w:rPr>
          <w:rFonts w:cs="Times New Roman"/>
          <w:noProof/>
        </w:rPr>
        <w:t xml:space="preserve"> 27–47 (2016).</w:t>
      </w:r>
    </w:p>
    <w:p w14:paraId="4AE47A2F" w14:textId="2FD822EE" w:rsidR="005326A3" w:rsidRPr="005326A3" w:rsidRDefault="005326A3" w:rsidP="00371E99">
      <w:pPr>
        <w:rPr>
          <w:rFonts w:cs="Times New Roman"/>
          <w:noProof/>
        </w:rPr>
      </w:pPr>
      <w:r w:rsidRPr="005326A3">
        <w:rPr>
          <w:rFonts w:cs="Times New Roman"/>
          <w:noProof/>
        </w:rPr>
        <w:t>4.</w:t>
      </w:r>
      <w:r w:rsidRPr="005326A3">
        <w:rPr>
          <w:rFonts w:cs="Times New Roman"/>
          <w:noProof/>
        </w:rPr>
        <w:tab/>
        <w:t xml:space="preserve">Wise, D. R. &amp; Thompson, C. B. Glutamine addiction: a new therapeutic target in cancer. </w:t>
      </w:r>
      <w:r w:rsidRPr="005326A3">
        <w:rPr>
          <w:rFonts w:cs="Times New Roman"/>
          <w:i/>
          <w:iCs/>
          <w:noProof/>
        </w:rPr>
        <w:t>Trends in Biochemical Sciences</w:t>
      </w:r>
      <w:r w:rsidR="00546C3B">
        <w:rPr>
          <w:rFonts w:cs="Times New Roman"/>
          <w:i/>
          <w:iCs/>
          <w:noProof/>
        </w:rPr>
        <w:t>.</w:t>
      </w:r>
      <w:r w:rsidRPr="005326A3">
        <w:rPr>
          <w:rFonts w:cs="Times New Roman"/>
          <w:noProof/>
        </w:rPr>
        <w:t xml:space="preserve"> </w:t>
      </w:r>
      <w:r w:rsidRPr="005326A3">
        <w:rPr>
          <w:rFonts w:cs="Times New Roman"/>
          <w:b/>
          <w:bCs/>
          <w:noProof/>
        </w:rPr>
        <w:t>35,</w:t>
      </w:r>
      <w:r w:rsidRPr="005326A3">
        <w:rPr>
          <w:rFonts w:cs="Times New Roman"/>
          <w:noProof/>
        </w:rPr>
        <w:t xml:space="preserve"> 427–433 (2010).</w:t>
      </w:r>
    </w:p>
    <w:p w14:paraId="3A3031BE" w14:textId="0B213095" w:rsidR="005326A3" w:rsidRPr="005326A3" w:rsidRDefault="005326A3" w:rsidP="00371E99">
      <w:pPr>
        <w:rPr>
          <w:rFonts w:cs="Times New Roman"/>
          <w:noProof/>
        </w:rPr>
      </w:pPr>
      <w:r w:rsidRPr="005326A3">
        <w:rPr>
          <w:rFonts w:cs="Times New Roman"/>
          <w:noProof/>
        </w:rPr>
        <w:t>5.</w:t>
      </w:r>
      <w:r w:rsidRPr="005326A3">
        <w:rPr>
          <w:rFonts w:cs="Times New Roman"/>
          <w:noProof/>
        </w:rPr>
        <w:tab/>
        <w:t xml:space="preserve">Kroemer, G. &amp; Pouyssegur, J. Tumor Cell Metabolism: Cancer’s Achilles’ Heel. </w:t>
      </w:r>
      <w:r w:rsidRPr="005326A3">
        <w:rPr>
          <w:rFonts w:cs="Times New Roman"/>
          <w:i/>
          <w:iCs/>
          <w:noProof/>
        </w:rPr>
        <w:t>Cancer Cell</w:t>
      </w:r>
      <w:r w:rsidR="00546C3B">
        <w:rPr>
          <w:rFonts w:cs="Times New Roman"/>
          <w:i/>
          <w:iCs/>
          <w:noProof/>
        </w:rPr>
        <w:t>.</w:t>
      </w:r>
      <w:r w:rsidRPr="005326A3">
        <w:rPr>
          <w:rFonts w:cs="Times New Roman"/>
          <w:noProof/>
        </w:rPr>
        <w:t xml:space="preserve"> </w:t>
      </w:r>
      <w:r w:rsidRPr="005326A3">
        <w:rPr>
          <w:rFonts w:cs="Times New Roman"/>
          <w:b/>
          <w:bCs/>
          <w:noProof/>
        </w:rPr>
        <w:t>13,</w:t>
      </w:r>
      <w:r w:rsidRPr="005326A3">
        <w:rPr>
          <w:rFonts w:cs="Times New Roman"/>
          <w:noProof/>
        </w:rPr>
        <w:t xml:space="preserve"> 472–482 (2008).</w:t>
      </w:r>
    </w:p>
    <w:p w14:paraId="65F1299A" w14:textId="398369A6" w:rsidR="005326A3" w:rsidRPr="005326A3" w:rsidRDefault="005326A3" w:rsidP="00371E99">
      <w:pPr>
        <w:rPr>
          <w:rFonts w:cs="Times New Roman"/>
          <w:noProof/>
        </w:rPr>
      </w:pPr>
      <w:r w:rsidRPr="005326A3">
        <w:rPr>
          <w:rFonts w:cs="Times New Roman"/>
          <w:noProof/>
        </w:rPr>
        <w:t>6.</w:t>
      </w:r>
      <w:r w:rsidRPr="005326A3">
        <w:rPr>
          <w:rFonts w:cs="Times New Roman"/>
          <w:noProof/>
        </w:rPr>
        <w:tab/>
        <w:t xml:space="preserve">Liberti, M. V. </w:t>
      </w:r>
      <w:r w:rsidRPr="005326A3">
        <w:rPr>
          <w:rFonts w:cs="Times New Roman"/>
          <w:i/>
          <w:iCs/>
          <w:noProof/>
        </w:rPr>
        <w:t>et al.</w:t>
      </w:r>
      <w:r w:rsidRPr="005326A3">
        <w:rPr>
          <w:rFonts w:cs="Times New Roman"/>
          <w:noProof/>
        </w:rPr>
        <w:t xml:space="preserve"> A Predictive Model for Selective Targeting of the Warburg Effect through GAPDH Inhibition with a Natural Product. </w:t>
      </w:r>
      <w:r w:rsidRPr="005326A3">
        <w:rPr>
          <w:rFonts w:cs="Times New Roman"/>
          <w:i/>
          <w:iCs/>
          <w:noProof/>
        </w:rPr>
        <w:t>Cell Metabolism</w:t>
      </w:r>
      <w:r w:rsidR="00546C3B">
        <w:rPr>
          <w:rFonts w:cs="Times New Roman"/>
          <w:i/>
          <w:iCs/>
          <w:noProof/>
        </w:rPr>
        <w:t>.</w:t>
      </w:r>
      <w:r w:rsidRPr="005326A3">
        <w:rPr>
          <w:rFonts w:cs="Times New Roman"/>
          <w:noProof/>
        </w:rPr>
        <w:t xml:space="preserve"> </w:t>
      </w:r>
      <w:r w:rsidRPr="005326A3">
        <w:rPr>
          <w:rFonts w:cs="Times New Roman"/>
          <w:b/>
          <w:bCs/>
          <w:noProof/>
        </w:rPr>
        <w:t>26,</w:t>
      </w:r>
      <w:r w:rsidRPr="005326A3">
        <w:rPr>
          <w:rFonts w:cs="Times New Roman"/>
          <w:noProof/>
        </w:rPr>
        <w:t xml:space="preserve"> 648–659.e8 (2017).</w:t>
      </w:r>
    </w:p>
    <w:p w14:paraId="6FD5E224" w14:textId="1AF715F3" w:rsidR="005326A3" w:rsidRPr="005326A3" w:rsidRDefault="005326A3" w:rsidP="00371E99">
      <w:pPr>
        <w:rPr>
          <w:rFonts w:cs="Times New Roman"/>
          <w:noProof/>
        </w:rPr>
      </w:pPr>
      <w:r w:rsidRPr="005326A3">
        <w:rPr>
          <w:rFonts w:cs="Times New Roman"/>
          <w:noProof/>
        </w:rPr>
        <w:t>7.</w:t>
      </w:r>
      <w:r w:rsidRPr="005326A3">
        <w:rPr>
          <w:rFonts w:cs="Times New Roman"/>
          <w:noProof/>
        </w:rPr>
        <w:tab/>
        <w:t xml:space="preserve">Lundgaard, I. </w:t>
      </w:r>
      <w:r w:rsidRPr="005326A3">
        <w:rPr>
          <w:rFonts w:cs="Times New Roman"/>
          <w:i/>
          <w:iCs/>
          <w:noProof/>
        </w:rPr>
        <w:t>et al.</w:t>
      </w:r>
      <w:r w:rsidRPr="005326A3">
        <w:rPr>
          <w:rFonts w:cs="Times New Roman"/>
          <w:noProof/>
        </w:rPr>
        <w:t xml:space="preserve"> Direct neuronal glucose uptake heralds activity-dependent increases in cerebral metabolism. </w:t>
      </w:r>
      <w:r w:rsidRPr="005326A3">
        <w:rPr>
          <w:rFonts w:cs="Times New Roman"/>
          <w:i/>
          <w:iCs/>
          <w:noProof/>
        </w:rPr>
        <w:t>Nature Communications</w:t>
      </w:r>
      <w:r w:rsidR="00546C3B">
        <w:rPr>
          <w:rFonts w:cs="Times New Roman"/>
          <w:i/>
          <w:iCs/>
          <w:noProof/>
        </w:rPr>
        <w:t>.</w:t>
      </w:r>
      <w:r w:rsidRPr="005326A3">
        <w:rPr>
          <w:rFonts w:cs="Times New Roman"/>
          <w:noProof/>
        </w:rPr>
        <w:t xml:space="preserve"> </w:t>
      </w:r>
      <w:r w:rsidRPr="005326A3">
        <w:rPr>
          <w:rFonts w:cs="Times New Roman"/>
          <w:b/>
          <w:bCs/>
          <w:noProof/>
        </w:rPr>
        <w:t>6,</w:t>
      </w:r>
      <w:r w:rsidRPr="005326A3">
        <w:rPr>
          <w:rFonts w:cs="Times New Roman"/>
          <w:noProof/>
        </w:rPr>
        <w:t xml:space="preserve"> 6807 (2015).</w:t>
      </w:r>
    </w:p>
    <w:p w14:paraId="7B51802D" w14:textId="2AFBD1AB" w:rsidR="005326A3" w:rsidRPr="005326A3" w:rsidRDefault="005326A3" w:rsidP="00371E99">
      <w:pPr>
        <w:rPr>
          <w:rFonts w:cs="Times New Roman"/>
          <w:noProof/>
        </w:rPr>
      </w:pPr>
      <w:r w:rsidRPr="005326A3">
        <w:rPr>
          <w:rFonts w:cs="Times New Roman"/>
          <w:noProof/>
        </w:rPr>
        <w:t>8.</w:t>
      </w:r>
      <w:r w:rsidRPr="005326A3">
        <w:rPr>
          <w:rFonts w:cs="Times New Roman"/>
          <w:noProof/>
        </w:rPr>
        <w:tab/>
        <w:t xml:space="preserve">Hermanova, I. </w:t>
      </w:r>
      <w:r w:rsidRPr="005326A3">
        <w:rPr>
          <w:rFonts w:cs="Times New Roman"/>
          <w:i/>
          <w:iCs/>
          <w:noProof/>
        </w:rPr>
        <w:t>et al.</w:t>
      </w:r>
      <w:r w:rsidRPr="005326A3">
        <w:rPr>
          <w:rFonts w:cs="Times New Roman"/>
          <w:noProof/>
        </w:rPr>
        <w:t xml:space="preserve"> Pharmacological inhibition of fatty-acid oxidation synergistically enhances the effect of l-asparaginase in childhood ALL cells. </w:t>
      </w:r>
      <w:r w:rsidRPr="005326A3">
        <w:rPr>
          <w:rFonts w:cs="Times New Roman"/>
          <w:i/>
          <w:iCs/>
          <w:noProof/>
        </w:rPr>
        <w:t>Leukemia</w:t>
      </w:r>
      <w:r w:rsidR="00546C3B">
        <w:rPr>
          <w:rFonts w:cs="Times New Roman"/>
          <w:i/>
          <w:iCs/>
          <w:noProof/>
        </w:rPr>
        <w:t>.</w:t>
      </w:r>
      <w:r w:rsidRPr="005326A3">
        <w:rPr>
          <w:rFonts w:cs="Times New Roman"/>
          <w:noProof/>
        </w:rPr>
        <w:t xml:space="preserve"> </w:t>
      </w:r>
      <w:r w:rsidRPr="005326A3">
        <w:rPr>
          <w:rFonts w:cs="Times New Roman"/>
          <w:b/>
          <w:bCs/>
          <w:noProof/>
        </w:rPr>
        <w:t>30,</w:t>
      </w:r>
      <w:r w:rsidRPr="005326A3">
        <w:rPr>
          <w:rFonts w:cs="Times New Roman"/>
          <w:noProof/>
        </w:rPr>
        <w:t xml:space="preserve"> 209–18 (2016).</w:t>
      </w:r>
    </w:p>
    <w:p w14:paraId="00AF3D5B" w14:textId="6CD12012" w:rsidR="005326A3" w:rsidRPr="005326A3" w:rsidRDefault="005326A3" w:rsidP="00371E99">
      <w:pPr>
        <w:rPr>
          <w:rFonts w:cs="Times New Roman"/>
          <w:noProof/>
        </w:rPr>
      </w:pPr>
      <w:r w:rsidRPr="005326A3">
        <w:rPr>
          <w:rFonts w:cs="Times New Roman"/>
          <w:noProof/>
        </w:rPr>
        <w:t>9.</w:t>
      </w:r>
      <w:r w:rsidRPr="005326A3">
        <w:rPr>
          <w:rFonts w:cs="Times New Roman"/>
          <w:noProof/>
        </w:rPr>
        <w:tab/>
        <w:t xml:space="preserve">Malandrino, M. I. </w:t>
      </w:r>
      <w:r w:rsidRPr="005326A3">
        <w:rPr>
          <w:rFonts w:cs="Times New Roman"/>
          <w:i/>
          <w:iCs/>
          <w:noProof/>
        </w:rPr>
        <w:t>et al.</w:t>
      </w:r>
      <w:r w:rsidRPr="005326A3">
        <w:rPr>
          <w:rFonts w:cs="Times New Roman"/>
          <w:noProof/>
        </w:rPr>
        <w:t xml:space="preserve"> Enhanced fatty acid oxidation in adipocytes and macrophages reduces lipid-induced triglyceride accumulation and inflammation. </w:t>
      </w:r>
      <w:r w:rsidRPr="005326A3">
        <w:rPr>
          <w:rFonts w:cs="Times New Roman"/>
          <w:i/>
          <w:iCs/>
          <w:noProof/>
        </w:rPr>
        <w:t>American Journal of Physiology-Endocrinology and Metabolism</w:t>
      </w:r>
      <w:r w:rsidR="00546C3B">
        <w:rPr>
          <w:rFonts w:cs="Times New Roman"/>
          <w:i/>
          <w:iCs/>
          <w:noProof/>
        </w:rPr>
        <w:t>.</w:t>
      </w:r>
      <w:r w:rsidRPr="005326A3">
        <w:rPr>
          <w:rFonts w:cs="Times New Roman"/>
          <w:noProof/>
        </w:rPr>
        <w:t xml:space="preserve"> </w:t>
      </w:r>
      <w:r w:rsidRPr="005326A3">
        <w:rPr>
          <w:rFonts w:cs="Times New Roman"/>
          <w:b/>
          <w:bCs/>
          <w:noProof/>
        </w:rPr>
        <w:t>308,</w:t>
      </w:r>
      <w:r w:rsidRPr="005326A3">
        <w:rPr>
          <w:rFonts w:cs="Times New Roman"/>
          <w:noProof/>
        </w:rPr>
        <w:t xml:space="preserve"> E756–E769 (2015).</w:t>
      </w:r>
    </w:p>
    <w:p w14:paraId="5DD17B0A" w14:textId="04CC8B22" w:rsidR="005326A3" w:rsidRPr="005326A3" w:rsidRDefault="005326A3" w:rsidP="00371E99">
      <w:pPr>
        <w:rPr>
          <w:rFonts w:cs="Times New Roman"/>
          <w:noProof/>
        </w:rPr>
      </w:pPr>
      <w:r w:rsidRPr="005326A3">
        <w:rPr>
          <w:rFonts w:cs="Times New Roman"/>
          <w:noProof/>
        </w:rPr>
        <w:t>10.</w:t>
      </w:r>
      <w:r w:rsidRPr="005326A3">
        <w:rPr>
          <w:rFonts w:cs="Times New Roman"/>
          <w:noProof/>
        </w:rPr>
        <w:tab/>
        <w:t xml:space="preserve">Patella, F. </w:t>
      </w:r>
      <w:r w:rsidRPr="005326A3">
        <w:rPr>
          <w:rFonts w:cs="Times New Roman"/>
          <w:i/>
          <w:iCs/>
          <w:noProof/>
        </w:rPr>
        <w:t>et al.</w:t>
      </w:r>
      <w:r w:rsidRPr="005326A3">
        <w:rPr>
          <w:rFonts w:cs="Times New Roman"/>
          <w:noProof/>
        </w:rPr>
        <w:t xml:space="preserve"> Proteomics-based metabolic modeling reveals that fatty acid oxidation (FAO) controls endothelial cell (EC) permeability. </w:t>
      </w:r>
      <w:r w:rsidRPr="005326A3">
        <w:rPr>
          <w:rFonts w:cs="Times New Roman"/>
          <w:i/>
          <w:iCs/>
          <w:noProof/>
        </w:rPr>
        <w:t xml:space="preserve">Molecular &amp; </w:t>
      </w:r>
      <w:r w:rsidR="00546C3B">
        <w:rPr>
          <w:rFonts w:cs="Times New Roman"/>
          <w:i/>
          <w:iCs/>
          <w:noProof/>
        </w:rPr>
        <w:t>C</w:t>
      </w:r>
      <w:r w:rsidRPr="005326A3">
        <w:rPr>
          <w:rFonts w:cs="Times New Roman"/>
          <w:i/>
          <w:iCs/>
          <w:noProof/>
        </w:rPr>
        <w:t xml:space="preserve">ellular </w:t>
      </w:r>
      <w:r w:rsidR="00546C3B">
        <w:rPr>
          <w:rFonts w:cs="Times New Roman"/>
          <w:i/>
          <w:iCs/>
          <w:noProof/>
        </w:rPr>
        <w:t>P</w:t>
      </w:r>
      <w:r w:rsidRPr="005326A3">
        <w:rPr>
          <w:rFonts w:cs="Times New Roman"/>
          <w:i/>
          <w:iCs/>
          <w:noProof/>
        </w:rPr>
        <w:t>roteomics : MCP</w:t>
      </w:r>
      <w:r w:rsidR="00546C3B">
        <w:rPr>
          <w:rFonts w:cs="Times New Roman"/>
          <w:i/>
          <w:iCs/>
          <w:noProof/>
        </w:rPr>
        <w:t>.</w:t>
      </w:r>
      <w:r w:rsidRPr="005326A3">
        <w:rPr>
          <w:rFonts w:cs="Times New Roman"/>
          <w:noProof/>
        </w:rPr>
        <w:t xml:space="preserve"> </w:t>
      </w:r>
      <w:r w:rsidRPr="005326A3">
        <w:rPr>
          <w:rFonts w:cs="Times New Roman"/>
          <w:b/>
          <w:bCs/>
          <w:noProof/>
        </w:rPr>
        <w:t>14,</w:t>
      </w:r>
      <w:r w:rsidRPr="005326A3">
        <w:rPr>
          <w:rFonts w:cs="Times New Roman"/>
          <w:noProof/>
        </w:rPr>
        <w:t xml:space="preserve"> 621–34 (2015).</w:t>
      </w:r>
    </w:p>
    <w:p w14:paraId="486A0434" w14:textId="51B47B24" w:rsidR="005326A3" w:rsidRPr="005326A3" w:rsidRDefault="005326A3" w:rsidP="00371E99">
      <w:pPr>
        <w:rPr>
          <w:rFonts w:cs="Times New Roman"/>
          <w:noProof/>
        </w:rPr>
      </w:pPr>
      <w:r w:rsidRPr="005326A3">
        <w:rPr>
          <w:rFonts w:cs="Times New Roman"/>
          <w:noProof/>
        </w:rPr>
        <w:t>11.</w:t>
      </w:r>
      <w:r w:rsidRPr="005326A3">
        <w:rPr>
          <w:rFonts w:cs="Times New Roman"/>
          <w:noProof/>
        </w:rPr>
        <w:tab/>
        <w:t xml:space="preserve">Chowdhury, S. R., Djordjevic, J., Albensi, B. C. &amp; Fernyhough, P. Simultaneous evaluation of substrate-dependent oxygen consumption rates and mitochondrial membrane potential by TMRM and safranin in cortical mitochondria. </w:t>
      </w:r>
      <w:r w:rsidRPr="005326A3">
        <w:rPr>
          <w:rFonts w:cs="Times New Roman"/>
          <w:i/>
          <w:iCs/>
          <w:noProof/>
        </w:rPr>
        <w:t xml:space="preserve">Bioscience </w:t>
      </w:r>
      <w:r w:rsidR="00546C3B">
        <w:rPr>
          <w:rFonts w:cs="Times New Roman"/>
          <w:i/>
          <w:iCs/>
          <w:noProof/>
        </w:rPr>
        <w:t>R</w:t>
      </w:r>
      <w:r w:rsidRPr="005326A3">
        <w:rPr>
          <w:rFonts w:cs="Times New Roman"/>
          <w:i/>
          <w:iCs/>
          <w:noProof/>
        </w:rPr>
        <w:t>eports</w:t>
      </w:r>
      <w:r w:rsidR="00546C3B">
        <w:rPr>
          <w:rFonts w:cs="Times New Roman"/>
          <w:i/>
          <w:iCs/>
          <w:noProof/>
        </w:rPr>
        <w:t>.</w:t>
      </w:r>
      <w:r w:rsidRPr="005326A3">
        <w:rPr>
          <w:rFonts w:cs="Times New Roman"/>
          <w:noProof/>
        </w:rPr>
        <w:t xml:space="preserve"> </w:t>
      </w:r>
      <w:r w:rsidRPr="005326A3">
        <w:rPr>
          <w:rFonts w:cs="Times New Roman"/>
          <w:b/>
          <w:bCs/>
          <w:noProof/>
        </w:rPr>
        <w:t>36,</w:t>
      </w:r>
      <w:r w:rsidRPr="005326A3">
        <w:rPr>
          <w:rFonts w:cs="Times New Roman"/>
          <w:noProof/>
        </w:rPr>
        <w:t xml:space="preserve"> e00286 (2015).</w:t>
      </w:r>
    </w:p>
    <w:p w14:paraId="26300E77" w14:textId="2CEA28FD" w:rsidR="005326A3" w:rsidRPr="005326A3" w:rsidRDefault="005326A3" w:rsidP="00371E99">
      <w:pPr>
        <w:rPr>
          <w:rFonts w:cs="Times New Roman"/>
          <w:noProof/>
        </w:rPr>
      </w:pPr>
      <w:r w:rsidRPr="005326A3">
        <w:rPr>
          <w:rFonts w:cs="Times New Roman"/>
          <w:noProof/>
        </w:rPr>
        <w:t>12.</w:t>
      </w:r>
      <w:r w:rsidRPr="005326A3">
        <w:rPr>
          <w:rFonts w:cs="Times New Roman"/>
          <w:noProof/>
        </w:rPr>
        <w:tab/>
        <w:t xml:space="preserve">Simonnet, H., Vigneron, A. &amp; Pouysségur, J. Conventional Techniques to Monitor Mitochondrial Oxygen Consumption. </w:t>
      </w:r>
      <w:r w:rsidRPr="005326A3">
        <w:rPr>
          <w:rFonts w:cs="Times New Roman"/>
          <w:i/>
          <w:iCs/>
          <w:noProof/>
        </w:rPr>
        <w:t>Methods in Enzymology</w:t>
      </w:r>
      <w:r w:rsidR="00546C3B">
        <w:rPr>
          <w:rFonts w:cs="Times New Roman"/>
          <w:i/>
          <w:iCs/>
          <w:noProof/>
        </w:rPr>
        <w:t>.</w:t>
      </w:r>
      <w:r w:rsidRPr="005326A3">
        <w:rPr>
          <w:rFonts w:cs="Times New Roman"/>
          <w:noProof/>
        </w:rPr>
        <w:t xml:space="preserve"> </w:t>
      </w:r>
      <w:r w:rsidRPr="005326A3">
        <w:rPr>
          <w:rFonts w:cs="Times New Roman"/>
          <w:b/>
          <w:bCs/>
          <w:noProof/>
        </w:rPr>
        <w:t>542,</w:t>
      </w:r>
      <w:r w:rsidRPr="005326A3">
        <w:rPr>
          <w:rFonts w:cs="Times New Roman"/>
          <w:noProof/>
        </w:rPr>
        <w:t xml:space="preserve"> 151–161 (2014).</w:t>
      </w:r>
    </w:p>
    <w:p w14:paraId="1CA7C153" w14:textId="6E9389C2" w:rsidR="005326A3" w:rsidRPr="005326A3" w:rsidRDefault="005326A3" w:rsidP="00371E99">
      <w:pPr>
        <w:rPr>
          <w:rFonts w:cs="Times New Roman"/>
          <w:noProof/>
        </w:rPr>
      </w:pPr>
      <w:r w:rsidRPr="005326A3">
        <w:rPr>
          <w:rFonts w:cs="Times New Roman"/>
          <w:noProof/>
        </w:rPr>
        <w:t>13.</w:t>
      </w:r>
      <w:r w:rsidRPr="005326A3">
        <w:rPr>
          <w:rFonts w:cs="Times New Roman"/>
          <w:noProof/>
        </w:rPr>
        <w:tab/>
        <w:t xml:space="preserve">Martínez-Reyes, I. </w:t>
      </w:r>
      <w:r w:rsidRPr="005326A3">
        <w:rPr>
          <w:rFonts w:cs="Times New Roman"/>
          <w:i/>
          <w:iCs/>
          <w:noProof/>
        </w:rPr>
        <w:t>et al.</w:t>
      </w:r>
      <w:r w:rsidRPr="005326A3">
        <w:rPr>
          <w:rFonts w:cs="Times New Roman"/>
          <w:noProof/>
        </w:rPr>
        <w:t xml:space="preserve"> TCA Cycle and Mitochondrial Membrane Potential Are Necessary for Diverse Biological Functions. </w:t>
      </w:r>
      <w:r w:rsidRPr="005326A3">
        <w:rPr>
          <w:rFonts w:cs="Times New Roman"/>
          <w:i/>
          <w:iCs/>
          <w:noProof/>
        </w:rPr>
        <w:t>Molecular Cell</w:t>
      </w:r>
      <w:r w:rsidR="00546C3B">
        <w:rPr>
          <w:rFonts w:cs="Times New Roman"/>
          <w:i/>
          <w:iCs/>
          <w:noProof/>
        </w:rPr>
        <w:t>.</w:t>
      </w:r>
      <w:r w:rsidRPr="005326A3">
        <w:rPr>
          <w:rFonts w:cs="Times New Roman"/>
          <w:noProof/>
        </w:rPr>
        <w:t xml:space="preserve"> </w:t>
      </w:r>
      <w:r w:rsidRPr="005326A3">
        <w:rPr>
          <w:rFonts w:cs="Times New Roman"/>
          <w:b/>
          <w:bCs/>
          <w:noProof/>
        </w:rPr>
        <w:t>61,</w:t>
      </w:r>
      <w:r w:rsidRPr="005326A3">
        <w:rPr>
          <w:rFonts w:cs="Times New Roman"/>
          <w:noProof/>
        </w:rPr>
        <w:t xml:space="preserve"> 199–209 (2016).</w:t>
      </w:r>
    </w:p>
    <w:p w14:paraId="6AB05BAD" w14:textId="6D9ACC52" w:rsidR="005326A3" w:rsidRPr="005326A3" w:rsidRDefault="005326A3" w:rsidP="00371E99">
      <w:pPr>
        <w:rPr>
          <w:rFonts w:cs="Times New Roman"/>
          <w:noProof/>
        </w:rPr>
      </w:pPr>
      <w:r w:rsidRPr="005326A3">
        <w:rPr>
          <w:rFonts w:cs="Times New Roman"/>
          <w:noProof/>
        </w:rPr>
        <w:t>14.</w:t>
      </w:r>
      <w:r w:rsidRPr="005326A3">
        <w:rPr>
          <w:rFonts w:cs="Times New Roman"/>
          <w:noProof/>
        </w:rPr>
        <w:tab/>
        <w:t xml:space="preserve">Sukumar, M. </w:t>
      </w:r>
      <w:r w:rsidRPr="005326A3">
        <w:rPr>
          <w:rFonts w:cs="Times New Roman"/>
          <w:i/>
          <w:iCs/>
          <w:noProof/>
        </w:rPr>
        <w:t>et al.</w:t>
      </w:r>
      <w:r w:rsidRPr="005326A3">
        <w:rPr>
          <w:rFonts w:cs="Times New Roman"/>
          <w:noProof/>
        </w:rPr>
        <w:t xml:space="preserve"> Mitochondrial Membrane Potential Identifies Cells with Enhanced Stemness for Cellular Therapy. </w:t>
      </w:r>
      <w:r w:rsidRPr="005326A3">
        <w:rPr>
          <w:rFonts w:cs="Times New Roman"/>
          <w:i/>
          <w:iCs/>
          <w:noProof/>
        </w:rPr>
        <w:t>Cell Metabolism</w:t>
      </w:r>
      <w:r w:rsidR="00546C3B">
        <w:rPr>
          <w:rFonts w:cs="Times New Roman"/>
          <w:i/>
          <w:iCs/>
          <w:noProof/>
        </w:rPr>
        <w:t>.</w:t>
      </w:r>
      <w:r w:rsidRPr="005326A3">
        <w:rPr>
          <w:rFonts w:cs="Times New Roman"/>
          <w:noProof/>
        </w:rPr>
        <w:t xml:space="preserve"> </w:t>
      </w:r>
      <w:r w:rsidRPr="005326A3">
        <w:rPr>
          <w:rFonts w:cs="Times New Roman"/>
          <w:b/>
          <w:bCs/>
          <w:noProof/>
        </w:rPr>
        <w:t>23,</w:t>
      </w:r>
      <w:r w:rsidRPr="005326A3">
        <w:rPr>
          <w:rFonts w:cs="Times New Roman"/>
          <w:noProof/>
        </w:rPr>
        <w:t xml:space="preserve"> 63–76 (2016).</w:t>
      </w:r>
    </w:p>
    <w:p w14:paraId="0AB9E37A" w14:textId="7D6F1AB1" w:rsidR="005326A3" w:rsidRPr="005326A3" w:rsidRDefault="005326A3" w:rsidP="00371E99">
      <w:pPr>
        <w:rPr>
          <w:rFonts w:cs="Times New Roman"/>
          <w:noProof/>
        </w:rPr>
      </w:pPr>
      <w:r w:rsidRPr="005326A3">
        <w:rPr>
          <w:rFonts w:cs="Times New Roman"/>
          <w:noProof/>
        </w:rPr>
        <w:t>15.</w:t>
      </w:r>
      <w:r w:rsidRPr="005326A3">
        <w:rPr>
          <w:rFonts w:cs="Times New Roman"/>
          <w:noProof/>
        </w:rPr>
        <w:tab/>
        <w:t xml:space="preserve">Wundenberg, T., Grabinski, N., Lin, H. &amp; Mayr, G. W. Discovery of InsP6-kinases as InsP6-dephosphorylating enzymes provides a new mechanism of cytosolic InsP6 degradation driven by the cellular ATP/ADP ratio. </w:t>
      </w:r>
      <w:r w:rsidRPr="005326A3">
        <w:rPr>
          <w:rFonts w:cs="Times New Roman"/>
          <w:i/>
          <w:iCs/>
          <w:noProof/>
        </w:rPr>
        <w:t xml:space="preserve">The Biochemical </w:t>
      </w:r>
      <w:r w:rsidR="00546C3B">
        <w:rPr>
          <w:rFonts w:cs="Times New Roman"/>
          <w:i/>
          <w:iCs/>
          <w:noProof/>
        </w:rPr>
        <w:t>J</w:t>
      </w:r>
      <w:r w:rsidRPr="005326A3">
        <w:rPr>
          <w:rFonts w:cs="Times New Roman"/>
          <w:i/>
          <w:iCs/>
          <w:noProof/>
        </w:rPr>
        <w:t>ournal</w:t>
      </w:r>
      <w:r w:rsidR="00546C3B">
        <w:rPr>
          <w:rFonts w:cs="Times New Roman"/>
          <w:i/>
          <w:iCs/>
          <w:noProof/>
        </w:rPr>
        <w:t>.</w:t>
      </w:r>
      <w:r w:rsidRPr="005326A3">
        <w:rPr>
          <w:rFonts w:cs="Times New Roman"/>
          <w:noProof/>
        </w:rPr>
        <w:t xml:space="preserve"> </w:t>
      </w:r>
      <w:r w:rsidRPr="005326A3">
        <w:rPr>
          <w:rFonts w:cs="Times New Roman"/>
          <w:b/>
          <w:bCs/>
          <w:noProof/>
        </w:rPr>
        <w:t>462,</w:t>
      </w:r>
      <w:r w:rsidRPr="005326A3">
        <w:rPr>
          <w:rFonts w:cs="Times New Roman"/>
          <w:noProof/>
        </w:rPr>
        <w:t xml:space="preserve"> 173–84 (2014).</w:t>
      </w:r>
    </w:p>
    <w:p w14:paraId="18587AD1" w14:textId="381E2760" w:rsidR="005326A3" w:rsidRPr="005326A3" w:rsidRDefault="005326A3" w:rsidP="00371E99">
      <w:pPr>
        <w:rPr>
          <w:rFonts w:cs="Times New Roman"/>
          <w:noProof/>
        </w:rPr>
      </w:pPr>
      <w:r w:rsidRPr="005326A3">
        <w:rPr>
          <w:rFonts w:cs="Times New Roman"/>
          <w:noProof/>
        </w:rPr>
        <w:t>16.</w:t>
      </w:r>
      <w:r w:rsidRPr="005326A3">
        <w:rPr>
          <w:rFonts w:cs="Times New Roman"/>
          <w:noProof/>
        </w:rPr>
        <w:tab/>
        <w:t xml:space="preserve">Morciano, G. </w:t>
      </w:r>
      <w:r w:rsidRPr="005326A3">
        <w:rPr>
          <w:rFonts w:cs="Times New Roman"/>
          <w:i/>
          <w:iCs/>
          <w:noProof/>
        </w:rPr>
        <w:t>et al.</w:t>
      </w:r>
      <w:r w:rsidRPr="005326A3">
        <w:rPr>
          <w:rFonts w:cs="Times New Roman"/>
          <w:noProof/>
        </w:rPr>
        <w:t xml:space="preserve"> Use of luciferase probes to measure ATP in living cells and animals. </w:t>
      </w:r>
      <w:r w:rsidRPr="005326A3">
        <w:rPr>
          <w:rFonts w:cs="Times New Roman"/>
          <w:i/>
          <w:iCs/>
          <w:noProof/>
        </w:rPr>
        <w:t>Nature Protocols</w:t>
      </w:r>
      <w:r w:rsidR="00546C3B">
        <w:rPr>
          <w:rFonts w:cs="Times New Roman"/>
          <w:i/>
          <w:iCs/>
          <w:noProof/>
        </w:rPr>
        <w:t>.</w:t>
      </w:r>
      <w:r w:rsidRPr="005326A3">
        <w:rPr>
          <w:rFonts w:cs="Times New Roman"/>
          <w:noProof/>
        </w:rPr>
        <w:t xml:space="preserve"> </w:t>
      </w:r>
      <w:r w:rsidRPr="005326A3">
        <w:rPr>
          <w:rFonts w:cs="Times New Roman"/>
          <w:b/>
          <w:bCs/>
          <w:noProof/>
        </w:rPr>
        <w:t>12,</w:t>
      </w:r>
      <w:r w:rsidRPr="005326A3">
        <w:rPr>
          <w:rFonts w:cs="Times New Roman"/>
          <w:noProof/>
        </w:rPr>
        <w:t xml:space="preserve"> 1542–1562 (2017).</w:t>
      </w:r>
    </w:p>
    <w:p w14:paraId="156C5FF2" w14:textId="3BD2FC2B" w:rsidR="005326A3" w:rsidRPr="005326A3" w:rsidRDefault="005326A3" w:rsidP="00371E99">
      <w:pPr>
        <w:rPr>
          <w:rFonts w:cs="Times New Roman"/>
          <w:noProof/>
        </w:rPr>
      </w:pPr>
      <w:r w:rsidRPr="005326A3">
        <w:rPr>
          <w:rFonts w:cs="Times New Roman"/>
          <w:noProof/>
        </w:rPr>
        <w:t>17.</w:t>
      </w:r>
      <w:r w:rsidRPr="005326A3">
        <w:rPr>
          <w:rFonts w:cs="Times New Roman"/>
          <w:noProof/>
        </w:rPr>
        <w:tab/>
        <w:t xml:space="preserve">Chau, M. D. L., Gao, J., Yang, Q., Wu, Z. &amp; Gromada, J. Fibroblast growth factor 21 regulates energy metabolism by activating the AMPK-SIRT1-PGC-1alpha pathway. </w:t>
      </w:r>
      <w:r w:rsidRPr="005326A3">
        <w:rPr>
          <w:rFonts w:cs="Times New Roman"/>
          <w:i/>
          <w:iCs/>
          <w:noProof/>
        </w:rPr>
        <w:t>Proceedings of the National Academy of Sciences of the United States of America</w:t>
      </w:r>
      <w:r w:rsidR="00546C3B">
        <w:rPr>
          <w:rFonts w:cs="Times New Roman"/>
          <w:i/>
          <w:iCs/>
          <w:noProof/>
        </w:rPr>
        <w:t>.</w:t>
      </w:r>
      <w:r w:rsidRPr="005326A3">
        <w:rPr>
          <w:rFonts w:cs="Times New Roman"/>
          <w:noProof/>
        </w:rPr>
        <w:t xml:space="preserve"> </w:t>
      </w:r>
      <w:r w:rsidRPr="005326A3">
        <w:rPr>
          <w:rFonts w:cs="Times New Roman"/>
          <w:b/>
          <w:bCs/>
          <w:noProof/>
        </w:rPr>
        <w:t>107,</w:t>
      </w:r>
      <w:r w:rsidRPr="005326A3">
        <w:rPr>
          <w:rFonts w:cs="Times New Roman"/>
          <w:noProof/>
        </w:rPr>
        <w:t xml:space="preserve"> 12553–8 (2010).</w:t>
      </w:r>
    </w:p>
    <w:p w14:paraId="79A98D58" w14:textId="3E82FFFD" w:rsidR="005326A3" w:rsidRPr="005326A3" w:rsidRDefault="005326A3" w:rsidP="00371E99">
      <w:pPr>
        <w:rPr>
          <w:rFonts w:cs="Times New Roman"/>
          <w:noProof/>
        </w:rPr>
      </w:pPr>
      <w:r w:rsidRPr="005326A3">
        <w:rPr>
          <w:rFonts w:cs="Times New Roman"/>
          <w:noProof/>
        </w:rPr>
        <w:t>18.</w:t>
      </w:r>
      <w:r w:rsidRPr="005326A3">
        <w:rPr>
          <w:rFonts w:cs="Times New Roman"/>
          <w:noProof/>
        </w:rPr>
        <w:tab/>
        <w:t xml:space="preserve">Lee, K.-H. </w:t>
      </w:r>
      <w:r w:rsidRPr="005326A3">
        <w:rPr>
          <w:rFonts w:cs="Times New Roman"/>
          <w:i/>
          <w:iCs/>
          <w:noProof/>
        </w:rPr>
        <w:t>et al.</w:t>
      </w:r>
      <w:r w:rsidRPr="005326A3">
        <w:rPr>
          <w:rFonts w:cs="Times New Roman"/>
          <w:noProof/>
        </w:rPr>
        <w:t xml:space="preserve"> Targeting energy metabolic and oncogenic signaling pathways in triple-negative breast cancer by a novel adenosine monophosphate-activated protein kinase (AMPK) activator. </w:t>
      </w:r>
      <w:r w:rsidRPr="005326A3">
        <w:rPr>
          <w:rFonts w:cs="Times New Roman"/>
          <w:i/>
          <w:iCs/>
          <w:noProof/>
        </w:rPr>
        <w:t xml:space="preserve">The Journal of </w:t>
      </w:r>
      <w:r w:rsidR="00546C3B">
        <w:rPr>
          <w:rFonts w:cs="Times New Roman"/>
          <w:i/>
          <w:iCs/>
          <w:noProof/>
        </w:rPr>
        <w:t>B</w:t>
      </w:r>
      <w:r w:rsidRPr="005326A3">
        <w:rPr>
          <w:rFonts w:cs="Times New Roman"/>
          <w:i/>
          <w:iCs/>
          <w:noProof/>
        </w:rPr>
        <w:t xml:space="preserve">iological </w:t>
      </w:r>
      <w:r w:rsidR="00546C3B">
        <w:rPr>
          <w:rFonts w:cs="Times New Roman"/>
          <w:i/>
          <w:iCs/>
          <w:noProof/>
        </w:rPr>
        <w:t>C</w:t>
      </w:r>
      <w:r w:rsidRPr="005326A3">
        <w:rPr>
          <w:rFonts w:cs="Times New Roman"/>
          <w:i/>
          <w:iCs/>
          <w:noProof/>
        </w:rPr>
        <w:t>hemistry</w:t>
      </w:r>
      <w:r w:rsidR="00546C3B">
        <w:rPr>
          <w:rFonts w:cs="Times New Roman"/>
          <w:noProof/>
        </w:rPr>
        <w:t xml:space="preserve">. </w:t>
      </w:r>
      <w:r w:rsidRPr="005326A3">
        <w:rPr>
          <w:rFonts w:cs="Times New Roman"/>
          <w:b/>
          <w:bCs/>
          <w:noProof/>
        </w:rPr>
        <w:t>286,</w:t>
      </w:r>
      <w:r w:rsidRPr="005326A3">
        <w:rPr>
          <w:rFonts w:cs="Times New Roman"/>
          <w:noProof/>
        </w:rPr>
        <w:t xml:space="preserve"> 39247–58 (2011).</w:t>
      </w:r>
    </w:p>
    <w:p w14:paraId="78A05F47" w14:textId="6C3F458C" w:rsidR="005326A3" w:rsidRPr="005326A3" w:rsidRDefault="005326A3" w:rsidP="00371E99">
      <w:pPr>
        <w:rPr>
          <w:rFonts w:cs="Times New Roman"/>
          <w:noProof/>
        </w:rPr>
      </w:pPr>
      <w:r w:rsidRPr="005326A3">
        <w:rPr>
          <w:rFonts w:cs="Times New Roman"/>
          <w:noProof/>
        </w:rPr>
        <w:t>19.</w:t>
      </w:r>
      <w:r w:rsidRPr="005326A3">
        <w:rPr>
          <w:rFonts w:cs="Times New Roman"/>
          <w:noProof/>
        </w:rPr>
        <w:tab/>
        <w:t xml:space="preserve">Godlewski, J. </w:t>
      </w:r>
      <w:r w:rsidRPr="005326A3">
        <w:rPr>
          <w:rFonts w:cs="Times New Roman"/>
          <w:i/>
          <w:iCs/>
          <w:noProof/>
        </w:rPr>
        <w:t>et al.</w:t>
      </w:r>
      <w:r w:rsidRPr="005326A3">
        <w:rPr>
          <w:rFonts w:cs="Times New Roman"/>
          <w:noProof/>
        </w:rPr>
        <w:t xml:space="preserve"> MicroRNA-451 Regulates LKB1/AMPK Signaling and Allows Adaptation to Metabolic Stress in Glioma Cells. </w:t>
      </w:r>
      <w:r w:rsidRPr="005326A3">
        <w:rPr>
          <w:rFonts w:cs="Times New Roman"/>
          <w:i/>
          <w:iCs/>
          <w:noProof/>
        </w:rPr>
        <w:t>Molecular Cell</w:t>
      </w:r>
      <w:r w:rsidR="00546C3B">
        <w:rPr>
          <w:rFonts w:cs="Times New Roman"/>
          <w:i/>
          <w:iCs/>
          <w:noProof/>
        </w:rPr>
        <w:t>.</w:t>
      </w:r>
      <w:r w:rsidRPr="005326A3">
        <w:rPr>
          <w:rFonts w:cs="Times New Roman"/>
          <w:noProof/>
        </w:rPr>
        <w:t xml:space="preserve"> </w:t>
      </w:r>
      <w:r w:rsidRPr="005326A3">
        <w:rPr>
          <w:rFonts w:cs="Times New Roman"/>
          <w:b/>
          <w:bCs/>
          <w:noProof/>
        </w:rPr>
        <w:t>37,</w:t>
      </w:r>
      <w:r w:rsidRPr="005326A3">
        <w:rPr>
          <w:rFonts w:cs="Times New Roman"/>
          <w:noProof/>
        </w:rPr>
        <w:t xml:space="preserve"> 620–632 (2010).</w:t>
      </w:r>
    </w:p>
    <w:p w14:paraId="3B741FCE" w14:textId="0F7BA1D8" w:rsidR="005326A3" w:rsidRPr="005326A3" w:rsidRDefault="005326A3" w:rsidP="00371E99">
      <w:pPr>
        <w:rPr>
          <w:rFonts w:cs="Times New Roman"/>
          <w:noProof/>
        </w:rPr>
      </w:pPr>
      <w:r w:rsidRPr="005326A3">
        <w:rPr>
          <w:rFonts w:cs="Times New Roman"/>
          <w:noProof/>
        </w:rPr>
        <w:t>20.</w:t>
      </w:r>
      <w:r w:rsidRPr="005326A3">
        <w:rPr>
          <w:rFonts w:cs="Times New Roman"/>
          <w:noProof/>
        </w:rPr>
        <w:tab/>
        <w:t xml:space="preserve">Zhang, J. </w:t>
      </w:r>
      <w:r w:rsidRPr="005326A3">
        <w:rPr>
          <w:rFonts w:cs="Times New Roman"/>
          <w:i/>
          <w:iCs/>
          <w:noProof/>
        </w:rPr>
        <w:t>et al.</w:t>
      </w:r>
      <w:r w:rsidRPr="005326A3">
        <w:rPr>
          <w:rFonts w:cs="Times New Roman"/>
          <w:noProof/>
        </w:rPr>
        <w:t xml:space="preserve"> Measuring energy metabolism in cultured cells, including human pluripotent stem cells and differentiated cells. </w:t>
      </w:r>
      <w:r w:rsidRPr="005326A3">
        <w:rPr>
          <w:rFonts w:cs="Times New Roman"/>
          <w:i/>
          <w:iCs/>
          <w:noProof/>
        </w:rPr>
        <w:t xml:space="preserve">Nature </w:t>
      </w:r>
      <w:r w:rsidR="00546C3B">
        <w:rPr>
          <w:rFonts w:cs="Times New Roman"/>
          <w:i/>
          <w:iCs/>
          <w:noProof/>
        </w:rPr>
        <w:t>P</w:t>
      </w:r>
      <w:r w:rsidRPr="005326A3">
        <w:rPr>
          <w:rFonts w:cs="Times New Roman"/>
          <w:i/>
          <w:iCs/>
          <w:noProof/>
        </w:rPr>
        <w:t>rotocols</w:t>
      </w:r>
      <w:r w:rsidR="00546C3B">
        <w:rPr>
          <w:rFonts w:cs="Times New Roman"/>
          <w:i/>
          <w:iCs/>
          <w:noProof/>
        </w:rPr>
        <w:t>.</w:t>
      </w:r>
      <w:r w:rsidRPr="005326A3">
        <w:rPr>
          <w:rFonts w:cs="Times New Roman"/>
          <w:noProof/>
        </w:rPr>
        <w:t xml:space="preserve"> </w:t>
      </w:r>
      <w:r w:rsidRPr="005326A3">
        <w:rPr>
          <w:rFonts w:cs="Times New Roman"/>
          <w:b/>
          <w:bCs/>
          <w:noProof/>
        </w:rPr>
        <w:t>7,</w:t>
      </w:r>
      <w:r w:rsidRPr="005326A3">
        <w:rPr>
          <w:rFonts w:cs="Times New Roman"/>
          <w:noProof/>
        </w:rPr>
        <w:t xml:space="preserve"> 1068–85 (2012).</w:t>
      </w:r>
    </w:p>
    <w:p w14:paraId="70F4E2CC" w14:textId="17DDF987" w:rsidR="005326A3" w:rsidRPr="005326A3" w:rsidRDefault="005326A3" w:rsidP="00371E99">
      <w:pPr>
        <w:rPr>
          <w:rFonts w:cs="Times New Roman"/>
          <w:noProof/>
        </w:rPr>
      </w:pPr>
      <w:r w:rsidRPr="005326A3">
        <w:rPr>
          <w:rFonts w:cs="Times New Roman"/>
          <w:noProof/>
        </w:rPr>
        <w:t>21.</w:t>
      </w:r>
      <w:r w:rsidRPr="005326A3">
        <w:rPr>
          <w:rFonts w:cs="Times New Roman"/>
          <w:noProof/>
        </w:rPr>
        <w:tab/>
        <w:t xml:space="preserve">Kaplon, J. </w:t>
      </w:r>
      <w:r w:rsidRPr="005326A3">
        <w:rPr>
          <w:rFonts w:cs="Times New Roman"/>
          <w:i/>
          <w:iCs/>
          <w:noProof/>
        </w:rPr>
        <w:t>et al.</w:t>
      </w:r>
      <w:r w:rsidRPr="005326A3">
        <w:rPr>
          <w:rFonts w:cs="Times New Roman"/>
          <w:noProof/>
        </w:rPr>
        <w:t xml:space="preserve"> A key role for mitochondrial gatekeeper pyruvate dehydrogenase in oncogene-induced senescence. </w:t>
      </w:r>
      <w:r w:rsidRPr="005326A3">
        <w:rPr>
          <w:rFonts w:cs="Times New Roman"/>
          <w:i/>
          <w:iCs/>
          <w:noProof/>
        </w:rPr>
        <w:t>Nature</w:t>
      </w:r>
      <w:r w:rsidR="00546C3B">
        <w:rPr>
          <w:rFonts w:cs="Times New Roman"/>
          <w:i/>
          <w:iCs/>
          <w:noProof/>
        </w:rPr>
        <w:t>.</w:t>
      </w:r>
      <w:r w:rsidRPr="005326A3">
        <w:rPr>
          <w:rFonts w:cs="Times New Roman"/>
          <w:noProof/>
        </w:rPr>
        <w:t xml:space="preserve"> </w:t>
      </w:r>
      <w:r w:rsidRPr="005326A3">
        <w:rPr>
          <w:rFonts w:cs="Times New Roman"/>
          <w:b/>
          <w:bCs/>
          <w:noProof/>
        </w:rPr>
        <w:t>498,</w:t>
      </w:r>
      <w:r w:rsidRPr="005326A3">
        <w:rPr>
          <w:rFonts w:cs="Times New Roman"/>
          <w:noProof/>
        </w:rPr>
        <w:t xml:space="preserve"> 109–112 (2013).</w:t>
      </w:r>
    </w:p>
    <w:p w14:paraId="7DAD9874" w14:textId="16C746D0" w:rsidR="005326A3" w:rsidRPr="005326A3" w:rsidRDefault="005326A3" w:rsidP="00371E99">
      <w:pPr>
        <w:rPr>
          <w:rFonts w:cs="Times New Roman"/>
          <w:noProof/>
        </w:rPr>
      </w:pPr>
      <w:r w:rsidRPr="005326A3">
        <w:rPr>
          <w:rFonts w:cs="Times New Roman"/>
          <w:noProof/>
        </w:rPr>
        <w:t>22.</w:t>
      </w:r>
      <w:r w:rsidRPr="005326A3">
        <w:rPr>
          <w:rFonts w:cs="Times New Roman"/>
          <w:noProof/>
        </w:rPr>
        <w:tab/>
        <w:t xml:space="preserve">Pardee, T. S. </w:t>
      </w:r>
      <w:r w:rsidRPr="005326A3">
        <w:rPr>
          <w:rFonts w:cs="Times New Roman"/>
          <w:i/>
          <w:iCs/>
          <w:noProof/>
        </w:rPr>
        <w:t>et al.</w:t>
      </w:r>
      <w:r w:rsidRPr="005326A3">
        <w:rPr>
          <w:rFonts w:cs="Times New Roman"/>
          <w:noProof/>
        </w:rPr>
        <w:t xml:space="preserve"> A phase I study of the first-in-class antimitochondrial metabolism agent, CPI-613, in patients with advanced hematologic malignancies. </w:t>
      </w:r>
      <w:r w:rsidRPr="005326A3">
        <w:rPr>
          <w:rFonts w:cs="Times New Roman"/>
          <w:i/>
          <w:iCs/>
          <w:noProof/>
        </w:rPr>
        <w:t xml:space="preserve">Clinical </w:t>
      </w:r>
      <w:r w:rsidR="00546C3B">
        <w:rPr>
          <w:rFonts w:cs="Times New Roman"/>
          <w:i/>
          <w:iCs/>
          <w:noProof/>
        </w:rPr>
        <w:t>C</w:t>
      </w:r>
      <w:r w:rsidRPr="005326A3">
        <w:rPr>
          <w:rFonts w:cs="Times New Roman"/>
          <w:i/>
          <w:iCs/>
          <w:noProof/>
        </w:rPr>
        <w:t xml:space="preserve">ancer </w:t>
      </w:r>
      <w:r w:rsidR="00546C3B">
        <w:rPr>
          <w:rFonts w:cs="Times New Roman"/>
          <w:i/>
          <w:iCs/>
          <w:noProof/>
        </w:rPr>
        <w:t>R</w:t>
      </w:r>
      <w:r w:rsidRPr="005326A3">
        <w:rPr>
          <w:rFonts w:cs="Times New Roman"/>
          <w:i/>
          <w:iCs/>
          <w:noProof/>
        </w:rPr>
        <w:t xml:space="preserve">esearch : </w:t>
      </w:r>
      <w:r w:rsidR="00546C3B">
        <w:rPr>
          <w:rFonts w:cs="Times New Roman"/>
          <w:i/>
          <w:iCs/>
          <w:noProof/>
        </w:rPr>
        <w:t>A</w:t>
      </w:r>
      <w:r w:rsidRPr="005326A3">
        <w:rPr>
          <w:rFonts w:cs="Times New Roman"/>
          <w:i/>
          <w:iCs/>
          <w:noProof/>
        </w:rPr>
        <w:t xml:space="preserve">n </w:t>
      </w:r>
      <w:r w:rsidR="00546C3B">
        <w:rPr>
          <w:rFonts w:cs="Times New Roman"/>
          <w:i/>
          <w:iCs/>
          <w:noProof/>
        </w:rPr>
        <w:t>O</w:t>
      </w:r>
      <w:r w:rsidRPr="005326A3">
        <w:rPr>
          <w:rFonts w:cs="Times New Roman"/>
          <w:i/>
          <w:iCs/>
          <w:noProof/>
        </w:rPr>
        <w:t xml:space="preserve">fficial </w:t>
      </w:r>
      <w:r w:rsidR="00546C3B">
        <w:rPr>
          <w:rFonts w:cs="Times New Roman"/>
          <w:i/>
          <w:iCs/>
          <w:noProof/>
        </w:rPr>
        <w:t>J</w:t>
      </w:r>
      <w:r w:rsidRPr="005326A3">
        <w:rPr>
          <w:rFonts w:cs="Times New Roman"/>
          <w:i/>
          <w:iCs/>
          <w:noProof/>
        </w:rPr>
        <w:t>ournal of the American Association for Cancer Research</w:t>
      </w:r>
      <w:r w:rsidR="00546C3B">
        <w:rPr>
          <w:rFonts w:cs="Times New Roman"/>
          <w:i/>
          <w:iCs/>
          <w:noProof/>
        </w:rPr>
        <w:t>.</w:t>
      </w:r>
      <w:r w:rsidRPr="005326A3">
        <w:rPr>
          <w:rFonts w:cs="Times New Roman"/>
          <w:noProof/>
        </w:rPr>
        <w:t xml:space="preserve"> </w:t>
      </w:r>
      <w:r w:rsidRPr="005326A3">
        <w:rPr>
          <w:rFonts w:cs="Times New Roman"/>
          <w:b/>
          <w:bCs/>
          <w:noProof/>
        </w:rPr>
        <w:t>20,</w:t>
      </w:r>
      <w:r w:rsidRPr="005326A3">
        <w:rPr>
          <w:rFonts w:cs="Times New Roman"/>
          <w:noProof/>
        </w:rPr>
        <w:t xml:space="preserve"> 5255–64 (2014).</w:t>
      </w:r>
    </w:p>
    <w:p w14:paraId="07BE8D29" w14:textId="170C95A7" w:rsidR="005326A3" w:rsidRPr="005326A3" w:rsidRDefault="005326A3" w:rsidP="00371E99">
      <w:pPr>
        <w:rPr>
          <w:rFonts w:cs="Times New Roman"/>
          <w:noProof/>
        </w:rPr>
      </w:pPr>
      <w:r w:rsidRPr="005326A3">
        <w:rPr>
          <w:rFonts w:cs="Times New Roman"/>
          <w:noProof/>
        </w:rPr>
        <w:t>23.</w:t>
      </w:r>
      <w:r w:rsidRPr="005326A3">
        <w:rPr>
          <w:rFonts w:cs="Times New Roman"/>
          <w:noProof/>
        </w:rPr>
        <w:tab/>
        <w:t xml:space="preserve">Stein, M. </w:t>
      </w:r>
      <w:r w:rsidRPr="005326A3">
        <w:rPr>
          <w:rFonts w:cs="Times New Roman"/>
          <w:i/>
          <w:iCs/>
          <w:noProof/>
        </w:rPr>
        <w:t>et al.</w:t>
      </w:r>
      <w:r w:rsidRPr="005326A3">
        <w:rPr>
          <w:rFonts w:cs="Times New Roman"/>
          <w:noProof/>
        </w:rPr>
        <w:t xml:space="preserve"> A defined metabolic state in pre B cells governs B-cell development and is counterbalanced by Swiprosin-2/EFhd1. </w:t>
      </w:r>
      <w:r w:rsidRPr="005326A3">
        <w:rPr>
          <w:rFonts w:cs="Times New Roman"/>
          <w:i/>
          <w:iCs/>
          <w:noProof/>
        </w:rPr>
        <w:t>Cell Death and Differentiation</w:t>
      </w:r>
      <w:r w:rsidR="00546C3B">
        <w:rPr>
          <w:rFonts w:cs="Times New Roman"/>
          <w:i/>
          <w:iCs/>
          <w:noProof/>
        </w:rPr>
        <w:t>.</w:t>
      </w:r>
      <w:r w:rsidRPr="005326A3">
        <w:rPr>
          <w:rFonts w:cs="Times New Roman"/>
          <w:noProof/>
        </w:rPr>
        <w:t xml:space="preserve"> </w:t>
      </w:r>
      <w:r w:rsidRPr="005326A3">
        <w:rPr>
          <w:rFonts w:cs="Times New Roman"/>
          <w:b/>
          <w:bCs/>
          <w:noProof/>
        </w:rPr>
        <w:t>24,</w:t>
      </w:r>
      <w:r w:rsidRPr="005326A3">
        <w:rPr>
          <w:rFonts w:cs="Times New Roman"/>
          <w:noProof/>
        </w:rPr>
        <w:t xml:space="preserve"> 1239–1252 (2017).</w:t>
      </w:r>
    </w:p>
    <w:p w14:paraId="343A0A7A" w14:textId="09793A13" w:rsidR="005326A3" w:rsidRPr="005326A3" w:rsidRDefault="005326A3" w:rsidP="00371E99">
      <w:pPr>
        <w:rPr>
          <w:rFonts w:cs="Times New Roman"/>
          <w:noProof/>
        </w:rPr>
      </w:pPr>
      <w:r w:rsidRPr="005326A3">
        <w:rPr>
          <w:rFonts w:cs="Times New Roman"/>
          <w:noProof/>
        </w:rPr>
        <w:t>24.</w:t>
      </w:r>
      <w:r w:rsidRPr="005326A3">
        <w:rPr>
          <w:rFonts w:cs="Times New Roman"/>
          <w:noProof/>
        </w:rPr>
        <w:tab/>
        <w:t xml:space="preserve">Hrušák, O. &amp; Porwit-MacDonald, A. Antigen expression patterns reflecting genotype of acute leukemias. </w:t>
      </w:r>
      <w:r w:rsidRPr="005326A3">
        <w:rPr>
          <w:rFonts w:cs="Times New Roman"/>
          <w:i/>
          <w:iCs/>
          <w:noProof/>
        </w:rPr>
        <w:t>Leukemia</w:t>
      </w:r>
      <w:r w:rsidR="00546C3B">
        <w:rPr>
          <w:rFonts w:cs="Times New Roman"/>
          <w:i/>
          <w:iCs/>
          <w:noProof/>
        </w:rPr>
        <w:t>.</w:t>
      </w:r>
      <w:r w:rsidRPr="005326A3">
        <w:rPr>
          <w:rFonts w:cs="Times New Roman"/>
          <w:noProof/>
        </w:rPr>
        <w:t xml:space="preserve"> </w:t>
      </w:r>
      <w:r w:rsidRPr="005326A3">
        <w:rPr>
          <w:rFonts w:cs="Times New Roman"/>
          <w:b/>
          <w:bCs/>
          <w:noProof/>
        </w:rPr>
        <w:t>16,</w:t>
      </w:r>
      <w:r w:rsidRPr="005326A3">
        <w:rPr>
          <w:rFonts w:cs="Times New Roman"/>
          <w:noProof/>
        </w:rPr>
        <w:t xml:space="preserve"> 1233–1258 (2002).</w:t>
      </w:r>
    </w:p>
    <w:p w14:paraId="31B0C715" w14:textId="1D1E84E6" w:rsidR="005326A3" w:rsidRPr="005326A3" w:rsidRDefault="005326A3" w:rsidP="00371E99">
      <w:pPr>
        <w:rPr>
          <w:noProof/>
        </w:rPr>
      </w:pPr>
      <w:r w:rsidRPr="005326A3">
        <w:rPr>
          <w:rFonts w:cs="Times New Roman"/>
          <w:noProof/>
        </w:rPr>
        <w:t>25.</w:t>
      </w:r>
      <w:r w:rsidRPr="005326A3">
        <w:rPr>
          <w:rFonts w:cs="Times New Roman"/>
          <w:noProof/>
        </w:rPr>
        <w:tab/>
        <w:t xml:space="preserve">Amin, H. M. </w:t>
      </w:r>
      <w:r w:rsidRPr="005326A3">
        <w:rPr>
          <w:rFonts w:cs="Times New Roman"/>
          <w:i/>
          <w:iCs/>
          <w:noProof/>
        </w:rPr>
        <w:t>et al.</w:t>
      </w:r>
      <w:r w:rsidRPr="005326A3">
        <w:rPr>
          <w:rFonts w:cs="Times New Roman"/>
          <w:noProof/>
        </w:rPr>
        <w:t xml:space="preserve"> Having a higher blast percentage in circulation than bone marrow: clinical implications in myelodysplastic syndrome and acute lymphoid and myeloid leukemias. </w:t>
      </w:r>
      <w:r w:rsidRPr="005326A3">
        <w:rPr>
          <w:rFonts w:cs="Times New Roman"/>
          <w:i/>
          <w:iCs/>
          <w:noProof/>
        </w:rPr>
        <w:t>Leukemia</w:t>
      </w:r>
      <w:r w:rsidR="00546C3B">
        <w:rPr>
          <w:rFonts w:cs="Times New Roman"/>
          <w:i/>
          <w:iCs/>
          <w:noProof/>
        </w:rPr>
        <w:t>.</w:t>
      </w:r>
      <w:r w:rsidRPr="005326A3">
        <w:rPr>
          <w:rFonts w:cs="Times New Roman"/>
          <w:noProof/>
        </w:rPr>
        <w:t xml:space="preserve"> </w:t>
      </w:r>
      <w:r w:rsidRPr="005326A3">
        <w:rPr>
          <w:rFonts w:cs="Times New Roman"/>
          <w:b/>
          <w:bCs/>
          <w:noProof/>
        </w:rPr>
        <w:t>19,</w:t>
      </w:r>
      <w:r w:rsidRPr="005326A3">
        <w:rPr>
          <w:rFonts w:cs="Times New Roman"/>
          <w:noProof/>
        </w:rPr>
        <w:t xml:space="preserve"> 1567–1572 (2005).</w:t>
      </w:r>
    </w:p>
    <w:p w14:paraId="11EB4D91" w14:textId="0DA4AEF7" w:rsidR="00D31D11" w:rsidRPr="00AD6123" w:rsidRDefault="00A24433" w:rsidP="00371E99">
      <w:pPr>
        <w:rPr>
          <w:rFonts w:asciiTheme="minorHAnsi" w:hAnsiTheme="minorHAnsi" w:cstheme="minorHAnsi"/>
          <w:b/>
          <w:color w:val="auto"/>
        </w:rPr>
      </w:pPr>
      <w:r>
        <w:rPr>
          <w:rFonts w:asciiTheme="minorHAnsi" w:hAnsiTheme="minorHAnsi" w:cstheme="minorHAnsi"/>
          <w:b/>
          <w:color w:val="auto"/>
        </w:rPr>
        <w:fldChar w:fldCharType="end"/>
      </w:r>
    </w:p>
    <w:sectPr w:rsidR="00D31D11" w:rsidRPr="00AD6123"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9B4F0" w14:textId="77777777" w:rsidR="00960806" w:rsidRDefault="00960806" w:rsidP="00621C4E">
      <w:r>
        <w:separator/>
      </w:r>
    </w:p>
  </w:endnote>
  <w:endnote w:type="continuationSeparator" w:id="0">
    <w:p w14:paraId="718FC61F" w14:textId="77777777" w:rsidR="00960806" w:rsidRDefault="0096080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D6F39" w:rsidRDefault="000D6F3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8519D" w14:textId="77777777" w:rsidR="00960806" w:rsidRDefault="00960806" w:rsidP="00621C4E">
      <w:r>
        <w:separator/>
      </w:r>
    </w:p>
  </w:footnote>
  <w:footnote w:type="continuationSeparator" w:id="0">
    <w:p w14:paraId="3712FC4A" w14:textId="77777777" w:rsidR="00960806" w:rsidRDefault="0096080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D6F39" w:rsidRPr="006F06E4" w:rsidRDefault="000D6F39"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04807"/>
    <w:multiLevelType w:val="multilevel"/>
    <w:tmpl w:val="18B88AD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6"/>
  </w:num>
  <w:num w:numId="26">
    <w:abstractNumId w:val="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7Q0NDM2MrAwMTA2MDRR0lEKTi0uzszPAykwrgUAl6fBbywAAAA="/>
  </w:docVars>
  <w:rsids>
    <w:rsidRoot w:val="00EE705F"/>
    <w:rsid w:val="00001169"/>
    <w:rsid w:val="00001806"/>
    <w:rsid w:val="00002C6E"/>
    <w:rsid w:val="00005815"/>
    <w:rsid w:val="00005FE4"/>
    <w:rsid w:val="00007DBC"/>
    <w:rsid w:val="00007EA1"/>
    <w:rsid w:val="000100F0"/>
    <w:rsid w:val="000106AD"/>
    <w:rsid w:val="000129B2"/>
    <w:rsid w:val="00012FF9"/>
    <w:rsid w:val="0001389C"/>
    <w:rsid w:val="00014314"/>
    <w:rsid w:val="00021434"/>
    <w:rsid w:val="00021774"/>
    <w:rsid w:val="00021DF3"/>
    <w:rsid w:val="00023869"/>
    <w:rsid w:val="00024598"/>
    <w:rsid w:val="00024F78"/>
    <w:rsid w:val="00025BFF"/>
    <w:rsid w:val="000279B0"/>
    <w:rsid w:val="00032769"/>
    <w:rsid w:val="0003311E"/>
    <w:rsid w:val="00037B58"/>
    <w:rsid w:val="00045578"/>
    <w:rsid w:val="00051B73"/>
    <w:rsid w:val="00054022"/>
    <w:rsid w:val="00060ABE"/>
    <w:rsid w:val="00061A50"/>
    <w:rsid w:val="0006361B"/>
    <w:rsid w:val="00064104"/>
    <w:rsid w:val="000652E3"/>
    <w:rsid w:val="00066025"/>
    <w:rsid w:val="00067A8F"/>
    <w:rsid w:val="000701D1"/>
    <w:rsid w:val="000766BD"/>
    <w:rsid w:val="00080A20"/>
    <w:rsid w:val="00082796"/>
    <w:rsid w:val="00082DF4"/>
    <w:rsid w:val="00082E6C"/>
    <w:rsid w:val="00086FF5"/>
    <w:rsid w:val="000872E3"/>
    <w:rsid w:val="00087C0A"/>
    <w:rsid w:val="00093BC4"/>
    <w:rsid w:val="000943E6"/>
    <w:rsid w:val="00097929"/>
    <w:rsid w:val="000A1E80"/>
    <w:rsid w:val="000A3B70"/>
    <w:rsid w:val="000A5153"/>
    <w:rsid w:val="000B10AE"/>
    <w:rsid w:val="000B30BF"/>
    <w:rsid w:val="000B426C"/>
    <w:rsid w:val="000B53A7"/>
    <w:rsid w:val="000B566B"/>
    <w:rsid w:val="000B662E"/>
    <w:rsid w:val="000B7294"/>
    <w:rsid w:val="000B75D0"/>
    <w:rsid w:val="000C1CF8"/>
    <w:rsid w:val="000C49CF"/>
    <w:rsid w:val="000C52E9"/>
    <w:rsid w:val="000C5CDC"/>
    <w:rsid w:val="000C65DC"/>
    <w:rsid w:val="000C66F3"/>
    <w:rsid w:val="000C6900"/>
    <w:rsid w:val="000D222A"/>
    <w:rsid w:val="000D31E8"/>
    <w:rsid w:val="000D6F39"/>
    <w:rsid w:val="000D76E4"/>
    <w:rsid w:val="000E3816"/>
    <w:rsid w:val="000E4F77"/>
    <w:rsid w:val="000F265C"/>
    <w:rsid w:val="000F3AFA"/>
    <w:rsid w:val="000F5712"/>
    <w:rsid w:val="000F5CBA"/>
    <w:rsid w:val="000F6611"/>
    <w:rsid w:val="000F7E22"/>
    <w:rsid w:val="00105F8E"/>
    <w:rsid w:val="001104F3"/>
    <w:rsid w:val="00112017"/>
    <w:rsid w:val="00112EEB"/>
    <w:rsid w:val="001173FF"/>
    <w:rsid w:val="0012563A"/>
    <w:rsid w:val="001264DE"/>
    <w:rsid w:val="001313A7"/>
    <w:rsid w:val="0013276F"/>
    <w:rsid w:val="0013621E"/>
    <w:rsid w:val="0013642E"/>
    <w:rsid w:val="001371A0"/>
    <w:rsid w:val="00140E42"/>
    <w:rsid w:val="00142EFE"/>
    <w:rsid w:val="00147E65"/>
    <w:rsid w:val="00152A23"/>
    <w:rsid w:val="001619CE"/>
    <w:rsid w:val="00162CB7"/>
    <w:rsid w:val="001665C9"/>
    <w:rsid w:val="00166F32"/>
    <w:rsid w:val="001670E7"/>
    <w:rsid w:val="00167B00"/>
    <w:rsid w:val="00171E5B"/>
    <w:rsid w:val="00171F94"/>
    <w:rsid w:val="00175D4E"/>
    <w:rsid w:val="0017668A"/>
    <w:rsid w:val="001766FE"/>
    <w:rsid w:val="001771E7"/>
    <w:rsid w:val="001911FF"/>
    <w:rsid w:val="00192006"/>
    <w:rsid w:val="00193180"/>
    <w:rsid w:val="00196792"/>
    <w:rsid w:val="001A4B44"/>
    <w:rsid w:val="001A7C01"/>
    <w:rsid w:val="001B1519"/>
    <w:rsid w:val="001B2E2D"/>
    <w:rsid w:val="001B49C8"/>
    <w:rsid w:val="001B5CD2"/>
    <w:rsid w:val="001C0BEE"/>
    <w:rsid w:val="001C10DE"/>
    <w:rsid w:val="001C1E49"/>
    <w:rsid w:val="001C27C1"/>
    <w:rsid w:val="001C2A98"/>
    <w:rsid w:val="001C4D95"/>
    <w:rsid w:val="001D148F"/>
    <w:rsid w:val="001D3D7D"/>
    <w:rsid w:val="001D3FFF"/>
    <w:rsid w:val="001D625F"/>
    <w:rsid w:val="001D68A4"/>
    <w:rsid w:val="001D7576"/>
    <w:rsid w:val="001E0E3F"/>
    <w:rsid w:val="001E14A0"/>
    <w:rsid w:val="001E7376"/>
    <w:rsid w:val="001F225C"/>
    <w:rsid w:val="001F39AD"/>
    <w:rsid w:val="00201CFA"/>
    <w:rsid w:val="0020220D"/>
    <w:rsid w:val="00202448"/>
    <w:rsid w:val="00202D15"/>
    <w:rsid w:val="00205B3F"/>
    <w:rsid w:val="00212EAE"/>
    <w:rsid w:val="00214BEE"/>
    <w:rsid w:val="002205B8"/>
    <w:rsid w:val="00225720"/>
    <w:rsid w:val="002259E5"/>
    <w:rsid w:val="00226140"/>
    <w:rsid w:val="002274F3"/>
    <w:rsid w:val="0023094C"/>
    <w:rsid w:val="00230D35"/>
    <w:rsid w:val="00230DA8"/>
    <w:rsid w:val="00232A88"/>
    <w:rsid w:val="00234BE3"/>
    <w:rsid w:val="00235A90"/>
    <w:rsid w:val="00241E48"/>
    <w:rsid w:val="0024214E"/>
    <w:rsid w:val="00242623"/>
    <w:rsid w:val="00250558"/>
    <w:rsid w:val="00255B92"/>
    <w:rsid w:val="002605D1"/>
    <w:rsid w:val="00260652"/>
    <w:rsid w:val="00261F25"/>
    <w:rsid w:val="00263496"/>
    <w:rsid w:val="002648A9"/>
    <w:rsid w:val="0026536F"/>
    <w:rsid w:val="0026553C"/>
    <w:rsid w:val="00267DD5"/>
    <w:rsid w:val="00274A0A"/>
    <w:rsid w:val="00277593"/>
    <w:rsid w:val="00280909"/>
    <w:rsid w:val="00280918"/>
    <w:rsid w:val="00282AF6"/>
    <w:rsid w:val="0028596A"/>
    <w:rsid w:val="00286C8A"/>
    <w:rsid w:val="00287085"/>
    <w:rsid w:val="00290AF9"/>
    <w:rsid w:val="002967CF"/>
    <w:rsid w:val="002972D8"/>
    <w:rsid w:val="00297788"/>
    <w:rsid w:val="002A0F25"/>
    <w:rsid w:val="002A3285"/>
    <w:rsid w:val="002A484B"/>
    <w:rsid w:val="002A64A6"/>
    <w:rsid w:val="002B3301"/>
    <w:rsid w:val="002C0C8E"/>
    <w:rsid w:val="002C47D4"/>
    <w:rsid w:val="002C784C"/>
    <w:rsid w:val="002D0F38"/>
    <w:rsid w:val="002D77E3"/>
    <w:rsid w:val="002E60D0"/>
    <w:rsid w:val="002F2859"/>
    <w:rsid w:val="002F6E3C"/>
    <w:rsid w:val="0030117D"/>
    <w:rsid w:val="00301F30"/>
    <w:rsid w:val="003038FD"/>
    <w:rsid w:val="00303C87"/>
    <w:rsid w:val="003108E5"/>
    <w:rsid w:val="003120CB"/>
    <w:rsid w:val="00320153"/>
    <w:rsid w:val="00320367"/>
    <w:rsid w:val="00322871"/>
    <w:rsid w:val="00325018"/>
    <w:rsid w:val="00326FB3"/>
    <w:rsid w:val="003316D4"/>
    <w:rsid w:val="00333822"/>
    <w:rsid w:val="00336715"/>
    <w:rsid w:val="003401EC"/>
    <w:rsid w:val="00340DFD"/>
    <w:rsid w:val="00343688"/>
    <w:rsid w:val="00343CA3"/>
    <w:rsid w:val="00344954"/>
    <w:rsid w:val="00344E1D"/>
    <w:rsid w:val="003461CC"/>
    <w:rsid w:val="00350CD7"/>
    <w:rsid w:val="00360C17"/>
    <w:rsid w:val="003621C6"/>
    <w:rsid w:val="003622B8"/>
    <w:rsid w:val="00366B76"/>
    <w:rsid w:val="00371E99"/>
    <w:rsid w:val="00373051"/>
    <w:rsid w:val="00373B8F"/>
    <w:rsid w:val="00376D95"/>
    <w:rsid w:val="00377FBB"/>
    <w:rsid w:val="003847B5"/>
    <w:rsid w:val="00385140"/>
    <w:rsid w:val="00393CC7"/>
    <w:rsid w:val="003971F7"/>
    <w:rsid w:val="003A16FC"/>
    <w:rsid w:val="003A4FCD"/>
    <w:rsid w:val="003B0944"/>
    <w:rsid w:val="003B1593"/>
    <w:rsid w:val="003B1E5F"/>
    <w:rsid w:val="003B4381"/>
    <w:rsid w:val="003C1043"/>
    <w:rsid w:val="003C1A30"/>
    <w:rsid w:val="003C6779"/>
    <w:rsid w:val="003D298B"/>
    <w:rsid w:val="003D2998"/>
    <w:rsid w:val="003D29FF"/>
    <w:rsid w:val="003D2F0A"/>
    <w:rsid w:val="003D3891"/>
    <w:rsid w:val="003D5D84"/>
    <w:rsid w:val="003E0380"/>
    <w:rsid w:val="003E0F4F"/>
    <w:rsid w:val="003E18AC"/>
    <w:rsid w:val="003E210B"/>
    <w:rsid w:val="003E2A12"/>
    <w:rsid w:val="003E3384"/>
    <w:rsid w:val="003E3C23"/>
    <w:rsid w:val="003E3CA4"/>
    <w:rsid w:val="003E548E"/>
    <w:rsid w:val="003F1E40"/>
    <w:rsid w:val="00407BFD"/>
    <w:rsid w:val="00407EC8"/>
    <w:rsid w:val="0041110A"/>
    <w:rsid w:val="00411624"/>
    <w:rsid w:val="004148E1"/>
    <w:rsid w:val="00414CFA"/>
    <w:rsid w:val="00415EC0"/>
    <w:rsid w:val="00417254"/>
    <w:rsid w:val="00420B59"/>
    <w:rsid w:val="00420BE9"/>
    <w:rsid w:val="00422438"/>
    <w:rsid w:val="00423AD8"/>
    <w:rsid w:val="00423FDD"/>
    <w:rsid w:val="00424C85"/>
    <w:rsid w:val="004260BD"/>
    <w:rsid w:val="00427688"/>
    <w:rsid w:val="0043012F"/>
    <w:rsid w:val="00430F1F"/>
    <w:rsid w:val="004326EA"/>
    <w:rsid w:val="00437342"/>
    <w:rsid w:val="0044434C"/>
    <w:rsid w:val="0044456B"/>
    <w:rsid w:val="00447BD1"/>
    <w:rsid w:val="004507F3"/>
    <w:rsid w:val="00450AF4"/>
    <w:rsid w:val="00456A57"/>
    <w:rsid w:val="00456E67"/>
    <w:rsid w:val="004607DE"/>
    <w:rsid w:val="004671C7"/>
    <w:rsid w:val="00472F4D"/>
    <w:rsid w:val="004730BF"/>
    <w:rsid w:val="00474DCB"/>
    <w:rsid w:val="0047535C"/>
    <w:rsid w:val="004758A2"/>
    <w:rsid w:val="00475ADF"/>
    <w:rsid w:val="004762F6"/>
    <w:rsid w:val="00485870"/>
    <w:rsid w:val="00485FE8"/>
    <w:rsid w:val="00486CDD"/>
    <w:rsid w:val="00492473"/>
    <w:rsid w:val="00492EB5"/>
    <w:rsid w:val="00494F77"/>
    <w:rsid w:val="004972E3"/>
    <w:rsid w:val="00497721"/>
    <w:rsid w:val="004A0229"/>
    <w:rsid w:val="004A35D2"/>
    <w:rsid w:val="004A71E4"/>
    <w:rsid w:val="004B2F00"/>
    <w:rsid w:val="004B6E31"/>
    <w:rsid w:val="004C096B"/>
    <w:rsid w:val="004C1D66"/>
    <w:rsid w:val="004C31D7"/>
    <w:rsid w:val="004C4A38"/>
    <w:rsid w:val="004C4AD2"/>
    <w:rsid w:val="004C6981"/>
    <w:rsid w:val="004C6AB6"/>
    <w:rsid w:val="004D1F21"/>
    <w:rsid w:val="004D268C"/>
    <w:rsid w:val="004D57F1"/>
    <w:rsid w:val="004D59D8"/>
    <w:rsid w:val="004D5DA1"/>
    <w:rsid w:val="004E0F88"/>
    <w:rsid w:val="004E150F"/>
    <w:rsid w:val="004E1DCA"/>
    <w:rsid w:val="004E23A1"/>
    <w:rsid w:val="004E3489"/>
    <w:rsid w:val="004E358A"/>
    <w:rsid w:val="004E3AFA"/>
    <w:rsid w:val="004E6588"/>
    <w:rsid w:val="004F2742"/>
    <w:rsid w:val="004F3195"/>
    <w:rsid w:val="00500EA0"/>
    <w:rsid w:val="00502A0A"/>
    <w:rsid w:val="00507C50"/>
    <w:rsid w:val="005115D3"/>
    <w:rsid w:val="00514D40"/>
    <w:rsid w:val="00516CF6"/>
    <w:rsid w:val="00517C3A"/>
    <w:rsid w:val="00517F8E"/>
    <w:rsid w:val="00527BF4"/>
    <w:rsid w:val="00531C56"/>
    <w:rsid w:val="005324BE"/>
    <w:rsid w:val="005326A3"/>
    <w:rsid w:val="00534F6C"/>
    <w:rsid w:val="00535994"/>
    <w:rsid w:val="0053646D"/>
    <w:rsid w:val="00540AAD"/>
    <w:rsid w:val="00543EC1"/>
    <w:rsid w:val="00546458"/>
    <w:rsid w:val="00546C3B"/>
    <w:rsid w:val="00547999"/>
    <w:rsid w:val="0055087C"/>
    <w:rsid w:val="00552E21"/>
    <w:rsid w:val="00553413"/>
    <w:rsid w:val="00555983"/>
    <w:rsid w:val="00560E31"/>
    <w:rsid w:val="00561BDA"/>
    <w:rsid w:val="00570408"/>
    <w:rsid w:val="00570939"/>
    <w:rsid w:val="00571125"/>
    <w:rsid w:val="00575E9F"/>
    <w:rsid w:val="00581B23"/>
    <w:rsid w:val="00581D0B"/>
    <w:rsid w:val="0058219C"/>
    <w:rsid w:val="00585D1A"/>
    <w:rsid w:val="0058707F"/>
    <w:rsid w:val="00591DBD"/>
    <w:rsid w:val="005931FE"/>
    <w:rsid w:val="005A0028"/>
    <w:rsid w:val="005A0ACC"/>
    <w:rsid w:val="005B0072"/>
    <w:rsid w:val="005B0732"/>
    <w:rsid w:val="005B38A0"/>
    <w:rsid w:val="005B491C"/>
    <w:rsid w:val="005B4DBF"/>
    <w:rsid w:val="005B5DE2"/>
    <w:rsid w:val="005B674C"/>
    <w:rsid w:val="005C24F2"/>
    <w:rsid w:val="005C7561"/>
    <w:rsid w:val="005D19F1"/>
    <w:rsid w:val="005D1E57"/>
    <w:rsid w:val="005D2F57"/>
    <w:rsid w:val="005D34F6"/>
    <w:rsid w:val="005D4F1A"/>
    <w:rsid w:val="005E1884"/>
    <w:rsid w:val="005F373A"/>
    <w:rsid w:val="005F4F87"/>
    <w:rsid w:val="005F50B3"/>
    <w:rsid w:val="005F6B0E"/>
    <w:rsid w:val="005F760E"/>
    <w:rsid w:val="005F7B1D"/>
    <w:rsid w:val="0060222A"/>
    <w:rsid w:val="006070C4"/>
    <w:rsid w:val="00610C21"/>
    <w:rsid w:val="00611907"/>
    <w:rsid w:val="00613116"/>
    <w:rsid w:val="006169F4"/>
    <w:rsid w:val="006202A6"/>
    <w:rsid w:val="0062054B"/>
    <w:rsid w:val="00621C4E"/>
    <w:rsid w:val="00624EAE"/>
    <w:rsid w:val="0063004F"/>
    <w:rsid w:val="006305D7"/>
    <w:rsid w:val="00632F63"/>
    <w:rsid w:val="00633A01"/>
    <w:rsid w:val="00633B97"/>
    <w:rsid w:val="006341F7"/>
    <w:rsid w:val="00634585"/>
    <w:rsid w:val="00635014"/>
    <w:rsid w:val="006369CE"/>
    <w:rsid w:val="006411CA"/>
    <w:rsid w:val="0064467B"/>
    <w:rsid w:val="0064605E"/>
    <w:rsid w:val="006619C8"/>
    <w:rsid w:val="00662311"/>
    <w:rsid w:val="00663974"/>
    <w:rsid w:val="00671710"/>
    <w:rsid w:val="00673414"/>
    <w:rsid w:val="00676079"/>
    <w:rsid w:val="00676ECD"/>
    <w:rsid w:val="00677D0A"/>
    <w:rsid w:val="0068185F"/>
    <w:rsid w:val="006906A6"/>
    <w:rsid w:val="00697C13"/>
    <w:rsid w:val="006A01CF"/>
    <w:rsid w:val="006A0CBF"/>
    <w:rsid w:val="006A60DD"/>
    <w:rsid w:val="006B0679"/>
    <w:rsid w:val="006B074C"/>
    <w:rsid w:val="006B1400"/>
    <w:rsid w:val="006B3B84"/>
    <w:rsid w:val="006B4E7C"/>
    <w:rsid w:val="006B5D8C"/>
    <w:rsid w:val="006B72D4"/>
    <w:rsid w:val="006B7C65"/>
    <w:rsid w:val="006C11CC"/>
    <w:rsid w:val="006C1AEB"/>
    <w:rsid w:val="006C57FE"/>
    <w:rsid w:val="006C668E"/>
    <w:rsid w:val="006E4B63"/>
    <w:rsid w:val="006E6A5C"/>
    <w:rsid w:val="006F06E4"/>
    <w:rsid w:val="006F4CA5"/>
    <w:rsid w:val="006F7B41"/>
    <w:rsid w:val="00702B5D"/>
    <w:rsid w:val="0070332A"/>
    <w:rsid w:val="00703ED2"/>
    <w:rsid w:val="00707B8D"/>
    <w:rsid w:val="00707E7A"/>
    <w:rsid w:val="00711D65"/>
    <w:rsid w:val="00713636"/>
    <w:rsid w:val="00714B8C"/>
    <w:rsid w:val="00714F3F"/>
    <w:rsid w:val="0071675D"/>
    <w:rsid w:val="00717736"/>
    <w:rsid w:val="007274E8"/>
    <w:rsid w:val="00727D0F"/>
    <w:rsid w:val="00732B47"/>
    <w:rsid w:val="0073579B"/>
    <w:rsid w:val="00735CF5"/>
    <w:rsid w:val="00736B5B"/>
    <w:rsid w:val="0074063A"/>
    <w:rsid w:val="00742801"/>
    <w:rsid w:val="00742AA4"/>
    <w:rsid w:val="00743BA1"/>
    <w:rsid w:val="00745F1E"/>
    <w:rsid w:val="007474F5"/>
    <w:rsid w:val="007515FE"/>
    <w:rsid w:val="007544C3"/>
    <w:rsid w:val="007601D0"/>
    <w:rsid w:val="007603BB"/>
    <w:rsid w:val="0076109D"/>
    <w:rsid w:val="00762C11"/>
    <w:rsid w:val="00767107"/>
    <w:rsid w:val="00773617"/>
    <w:rsid w:val="00773BFD"/>
    <w:rsid w:val="007743B3"/>
    <w:rsid w:val="00774490"/>
    <w:rsid w:val="007819FF"/>
    <w:rsid w:val="0078360C"/>
    <w:rsid w:val="00784A4C"/>
    <w:rsid w:val="00784BC6"/>
    <w:rsid w:val="0078523D"/>
    <w:rsid w:val="0078625E"/>
    <w:rsid w:val="0078708A"/>
    <w:rsid w:val="007931DF"/>
    <w:rsid w:val="007A0172"/>
    <w:rsid w:val="007A1241"/>
    <w:rsid w:val="007A1804"/>
    <w:rsid w:val="007A2511"/>
    <w:rsid w:val="007A260E"/>
    <w:rsid w:val="007A4D4C"/>
    <w:rsid w:val="007A4DD6"/>
    <w:rsid w:val="007A5CB9"/>
    <w:rsid w:val="007B0428"/>
    <w:rsid w:val="007B20AE"/>
    <w:rsid w:val="007B6B07"/>
    <w:rsid w:val="007B6D43"/>
    <w:rsid w:val="007B749A"/>
    <w:rsid w:val="007B7C6E"/>
    <w:rsid w:val="007C743B"/>
    <w:rsid w:val="007D44D7"/>
    <w:rsid w:val="007D57A6"/>
    <w:rsid w:val="007D621A"/>
    <w:rsid w:val="007E058A"/>
    <w:rsid w:val="007E2887"/>
    <w:rsid w:val="007E5278"/>
    <w:rsid w:val="007E749C"/>
    <w:rsid w:val="007F1B5C"/>
    <w:rsid w:val="007F78B6"/>
    <w:rsid w:val="00801257"/>
    <w:rsid w:val="00803B0A"/>
    <w:rsid w:val="00804DED"/>
    <w:rsid w:val="00805B96"/>
    <w:rsid w:val="008105BE"/>
    <w:rsid w:val="008115A5"/>
    <w:rsid w:val="00811D46"/>
    <w:rsid w:val="0081415D"/>
    <w:rsid w:val="00817BB4"/>
    <w:rsid w:val="00820229"/>
    <w:rsid w:val="00822448"/>
    <w:rsid w:val="00822ABE"/>
    <w:rsid w:val="00823360"/>
    <w:rsid w:val="0082444E"/>
    <w:rsid w:val="008244D1"/>
    <w:rsid w:val="00827F51"/>
    <w:rsid w:val="0083104E"/>
    <w:rsid w:val="00831EF3"/>
    <w:rsid w:val="008343BE"/>
    <w:rsid w:val="00836535"/>
    <w:rsid w:val="00840FB4"/>
    <w:rsid w:val="008410B2"/>
    <w:rsid w:val="008465B4"/>
    <w:rsid w:val="008500A0"/>
    <w:rsid w:val="008524E5"/>
    <w:rsid w:val="0085351C"/>
    <w:rsid w:val="0085435A"/>
    <w:rsid w:val="0085494F"/>
    <w:rsid w:val="008549CA"/>
    <w:rsid w:val="008556C3"/>
    <w:rsid w:val="0085687C"/>
    <w:rsid w:val="008706C5"/>
    <w:rsid w:val="00873707"/>
    <w:rsid w:val="00873A70"/>
    <w:rsid w:val="00874B20"/>
    <w:rsid w:val="008757C6"/>
    <w:rsid w:val="008763E1"/>
    <w:rsid w:val="0087775C"/>
    <w:rsid w:val="00877EC8"/>
    <w:rsid w:val="00880F36"/>
    <w:rsid w:val="00885530"/>
    <w:rsid w:val="008910D1"/>
    <w:rsid w:val="0089296C"/>
    <w:rsid w:val="00896ABD"/>
    <w:rsid w:val="00897AB6"/>
    <w:rsid w:val="008A07C1"/>
    <w:rsid w:val="008A3380"/>
    <w:rsid w:val="008A7A9C"/>
    <w:rsid w:val="008B0DD3"/>
    <w:rsid w:val="008B19E7"/>
    <w:rsid w:val="008B5218"/>
    <w:rsid w:val="008B5FF8"/>
    <w:rsid w:val="008B7102"/>
    <w:rsid w:val="008C374B"/>
    <w:rsid w:val="008C3B7D"/>
    <w:rsid w:val="008D0F90"/>
    <w:rsid w:val="008D3715"/>
    <w:rsid w:val="008D5465"/>
    <w:rsid w:val="008D5E61"/>
    <w:rsid w:val="008D7EB7"/>
    <w:rsid w:val="008D7EC5"/>
    <w:rsid w:val="008E00BA"/>
    <w:rsid w:val="008E3684"/>
    <w:rsid w:val="008E57F5"/>
    <w:rsid w:val="008E7606"/>
    <w:rsid w:val="008F1DAA"/>
    <w:rsid w:val="008F3EBD"/>
    <w:rsid w:val="008F60B2"/>
    <w:rsid w:val="008F792D"/>
    <w:rsid w:val="008F7C41"/>
    <w:rsid w:val="009031E2"/>
    <w:rsid w:val="009064E7"/>
    <w:rsid w:val="0091276C"/>
    <w:rsid w:val="009165AC"/>
    <w:rsid w:val="00916FFC"/>
    <w:rsid w:val="0092053F"/>
    <w:rsid w:val="0092340A"/>
    <w:rsid w:val="009313D9"/>
    <w:rsid w:val="00935B7F"/>
    <w:rsid w:val="0094033C"/>
    <w:rsid w:val="00941293"/>
    <w:rsid w:val="00946372"/>
    <w:rsid w:val="00950C17"/>
    <w:rsid w:val="00951FAF"/>
    <w:rsid w:val="0095410C"/>
    <w:rsid w:val="00954740"/>
    <w:rsid w:val="00955AE5"/>
    <w:rsid w:val="00960806"/>
    <w:rsid w:val="0096105B"/>
    <w:rsid w:val="00962E71"/>
    <w:rsid w:val="00963ABC"/>
    <w:rsid w:val="00965D21"/>
    <w:rsid w:val="00967764"/>
    <w:rsid w:val="00970B0E"/>
    <w:rsid w:val="00970BB9"/>
    <w:rsid w:val="00971DF5"/>
    <w:rsid w:val="009726EE"/>
    <w:rsid w:val="00972CDE"/>
    <w:rsid w:val="0097303D"/>
    <w:rsid w:val="009733DD"/>
    <w:rsid w:val="00975573"/>
    <w:rsid w:val="00976D03"/>
    <w:rsid w:val="00977B30"/>
    <w:rsid w:val="00982F41"/>
    <w:rsid w:val="00985090"/>
    <w:rsid w:val="00986F41"/>
    <w:rsid w:val="00987710"/>
    <w:rsid w:val="009904AB"/>
    <w:rsid w:val="00995688"/>
    <w:rsid w:val="009958A6"/>
    <w:rsid w:val="00996456"/>
    <w:rsid w:val="0099729D"/>
    <w:rsid w:val="009A04F5"/>
    <w:rsid w:val="009A15EF"/>
    <w:rsid w:val="009A38A5"/>
    <w:rsid w:val="009A5B73"/>
    <w:rsid w:val="009B118B"/>
    <w:rsid w:val="009B1737"/>
    <w:rsid w:val="009B208C"/>
    <w:rsid w:val="009B3D4B"/>
    <w:rsid w:val="009B5B99"/>
    <w:rsid w:val="009B6EFC"/>
    <w:rsid w:val="009C1FD0"/>
    <w:rsid w:val="009C2D21"/>
    <w:rsid w:val="009C2DF8"/>
    <w:rsid w:val="009C31BF"/>
    <w:rsid w:val="009C68B7"/>
    <w:rsid w:val="009D0834"/>
    <w:rsid w:val="009D0A1E"/>
    <w:rsid w:val="009D2AE3"/>
    <w:rsid w:val="009D52BC"/>
    <w:rsid w:val="009D7D0A"/>
    <w:rsid w:val="009E09D9"/>
    <w:rsid w:val="009E2A8F"/>
    <w:rsid w:val="009F01B1"/>
    <w:rsid w:val="009F0DBB"/>
    <w:rsid w:val="009F3887"/>
    <w:rsid w:val="009F5E49"/>
    <w:rsid w:val="009F659A"/>
    <w:rsid w:val="009F732B"/>
    <w:rsid w:val="00A01FE0"/>
    <w:rsid w:val="00A06945"/>
    <w:rsid w:val="00A0785E"/>
    <w:rsid w:val="00A10656"/>
    <w:rsid w:val="00A113C0"/>
    <w:rsid w:val="00A12FA6"/>
    <w:rsid w:val="00A1339B"/>
    <w:rsid w:val="00A14ABA"/>
    <w:rsid w:val="00A24433"/>
    <w:rsid w:val="00A24CB6"/>
    <w:rsid w:val="00A26CD2"/>
    <w:rsid w:val="00A27667"/>
    <w:rsid w:val="00A32979"/>
    <w:rsid w:val="00A34A67"/>
    <w:rsid w:val="00A37462"/>
    <w:rsid w:val="00A42D45"/>
    <w:rsid w:val="00A459E1"/>
    <w:rsid w:val="00A46AC4"/>
    <w:rsid w:val="00A5177E"/>
    <w:rsid w:val="00A52296"/>
    <w:rsid w:val="00A52382"/>
    <w:rsid w:val="00A55661"/>
    <w:rsid w:val="00A55804"/>
    <w:rsid w:val="00A61B70"/>
    <w:rsid w:val="00A61FA8"/>
    <w:rsid w:val="00A637F4"/>
    <w:rsid w:val="00A64DF2"/>
    <w:rsid w:val="00A65485"/>
    <w:rsid w:val="00A66E05"/>
    <w:rsid w:val="00A70753"/>
    <w:rsid w:val="00A712D2"/>
    <w:rsid w:val="00A7139F"/>
    <w:rsid w:val="00A71E76"/>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1109"/>
    <w:rsid w:val="00AD460A"/>
    <w:rsid w:val="00AD6123"/>
    <w:rsid w:val="00AD6A05"/>
    <w:rsid w:val="00AE0823"/>
    <w:rsid w:val="00AE118B"/>
    <w:rsid w:val="00AE272B"/>
    <w:rsid w:val="00AE3E3A"/>
    <w:rsid w:val="00AE77B4"/>
    <w:rsid w:val="00AE7C1A"/>
    <w:rsid w:val="00AE7DF8"/>
    <w:rsid w:val="00AF0D9C"/>
    <w:rsid w:val="00AF13AB"/>
    <w:rsid w:val="00AF1CA1"/>
    <w:rsid w:val="00AF1D36"/>
    <w:rsid w:val="00AF280B"/>
    <w:rsid w:val="00AF5F75"/>
    <w:rsid w:val="00AF6001"/>
    <w:rsid w:val="00AF7D20"/>
    <w:rsid w:val="00B01A16"/>
    <w:rsid w:val="00B07F45"/>
    <w:rsid w:val="00B1021A"/>
    <w:rsid w:val="00B107EC"/>
    <w:rsid w:val="00B1481A"/>
    <w:rsid w:val="00B15A1F"/>
    <w:rsid w:val="00B15FE9"/>
    <w:rsid w:val="00B17060"/>
    <w:rsid w:val="00B20848"/>
    <w:rsid w:val="00B2148A"/>
    <w:rsid w:val="00B220C2"/>
    <w:rsid w:val="00B25A75"/>
    <w:rsid w:val="00B25B32"/>
    <w:rsid w:val="00B26E43"/>
    <w:rsid w:val="00B32616"/>
    <w:rsid w:val="00B32C65"/>
    <w:rsid w:val="00B36C42"/>
    <w:rsid w:val="00B42EA7"/>
    <w:rsid w:val="00B43DAC"/>
    <w:rsid w:val="00B51845"/>
    <w:rsid w:val="00B51923"/>
    <w:rsid w:val="00B5337C"/>
    <w:rsid w:val="00B53FDE"/>
    <w:rsid w:val="00B56397"/>
    <w:rsid w:val="00B571DA"/>
    <w:rsid w:val="00B6027B"/>
    <w:rsid w:val="00B636C8"/>
    <w:rsid w:val="00B65EDB"/>
    <w:rsid w:val="00B67AFF"/>
    <w:rsid w:val="00B70B59"/>
    <w:rsid w:val="00B73657"/>
    <w:rsid w:val="00B739B3"/>
    <w:rsid w:val="00B81B15"/>
    <w:rsid w:val="00B82148"/>
    <w:rsid w:val="00B915AE"/>
    <w:rsid w:val="00BA1735"/>
    <w:rsid w:val="00BA19FA"/>
    <w:rsid w:val="00BA4288"/>
    <w:rsid w:val="00BB0902"/>
    <w:rsid w:val="00BB1F9C"/>
    <w:rsid w:val="00BB48E5"/>
    <w:rsid w:val="00BB5607"/>
    <w:rsid w:val="00BB5ACA"/>
    <w:rsid w:val="00BB627F"/>
    <w:rsid w:val="00BC0C17"/>
    <w:rsid w:val="00BC3132"/>
    <w:rsid w:val="00BC3823"/>
    <w:rsid w:val="00BC5841"/>
    <w:rsid w:val="00BD2EF0"/>
    <w:rsid w:val="00BD60B4"/>
    <w:rsid w:val="00BD796B"/>
    <w:rsid w:val="00BE40C0"/>
    <w:rsid w:val="00BE5F4A"/>
    <w:rsid w:val="00BE7AEF"/>
    <w:rsid w:val="00BF09B0"/>
    <w:rsid w:val="00BF1544"/>
    <w:rsid w:val="00BF1B53"/>
    <w:rsid w:val="00BF246D"/>
    <w:rsid w:val="00BF2682"/>
    <w:rsid w:val="00C06F06"/>
    <w:rsid w:val="00C07A4F"/>
    <w:rsid w:val="00C121CB"/>
    <w:rsid w:val="00C153FC"/>
    <w:rsid w:val="00C20FAD"/>
    <w:rsid w:val="00C2375F"/>
    <w:rsid w:val="00C247CB"/>
    <w:rsid w:val="00C32E66"/>
    <w:rsid w:val="00C3355F"/>
    <w:rsid w:val="00C33A04"/>
    <w:rsid w:val="00C3569A"/>
    <w:rsid w:val="00C43002"/>
    <w:rsid w:val="00C43F48"/>
    <w:rsid w:val="00C448FF"/>
    <w:rsid w:val="00C45E57"/>
    <w:rsid w:val="00C52F29"/>
    <w:rsid w:val="00C56CE6"/>
    <w:rsid w:val="00C5745F"/>
    <w:rsid w:val="00C60005"/>
    <w:rsid w:val="00C61A98"/>
    <w:rsid w:val="00C63201"/>
    <w:rsid w:val="00C64E62"/>
    <w:rsid w:val="00C651D5"/>
    <w:rsid w:val="00C65CCC"/>
    <w:rsid w:val="00C66C11"/>
    <w:rsid w:val="00C72802"/>
    <w:rsid w:val="00C7618F"/>
    <w:rsid w:val="00C765A9"/>
    <w:rsid w:val="00C81157"/>
    <w:rsid w:val="00C8162D"/>
    <w:rsid w:val="00C830BB"/>
    <w:rsid w:val="00C83A0B"/>
    <w:rsid w:val="00C842D0"/>
    <w:rsid w:val="00C84ED1"/>
    <w:rsid w:val="00C863CC"/>
    <w:rsid w:val="00C9038F"/>
    <w:rsid w:val="00C90ACF"/>
    <w:rsid w:val="00C92264"/>
    <w:rsid w:val="00C92AAB"/>
    <w:rsid w:val="00C95D4C"/>
    <w:rsid w:val="00C9637F"/>
    <w:rsid w:val="00C9708A"/>
    <w:rsid w:val="00C973B1"/>
    <w:rsid w:val="00CA1B0B"/>
    <w:rsid w:val="00CA2435"/>
    <w:rsid w:val="00CA4068"/>
    <w:rsid w:val="00CA67F4"/>
    <w:rsid w:val="00CB37F8"/>
    <w:rsid w:val="00CB7DC3"/>
    <w:rsid w:val="00CC14D4"/>
    <w:rsid w:val="00CC5BE1"/>
    <w:rsid w:val="00CC75A2"/>
    <w:rsid w:val="00CC7A18"/>
    <w:rsid w:val="00CD0E2F"/>
    <w:rsid w:val="00CD1D49"/>
    <w:rsid w:val="00CD2F20"/>
    <w:rsid w:val="00CD6B20"/>
    <w:rsid w:val="00CD7F12"/>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1D11"/>
    <w:rsid w:val="00D33393"/>
    <w:rsid w:val="00D33C4F"/>
    <w:rsid w:val="00D33D36"/>
    <w:rsid w:val="00D34D94"/>
    <w:rsid w:val="00D409E2"/>
    <w:rsid w:val="00D427D7"/>
    <w:rsid w:val="00D44E62"/>
    <w:rsid w:val="00D50196"/>
    <w:rsid w:val="00D51570"/>
    <w:rsid w:val="00D556AD"/>
    <w:rsid w:val="00D60381"/>
    <w:rsid w:val="00D616DE"/>
    <w:rsid w:val="00D62201"/>
    <w:rsid w:val="00D651D1"/>
    <w:rsid w:val="00D654F0"/>
    <w:rsid w:val="00D717BB"/>
    <w:rsid w:val="00D7226B"/>
    <w:rsid w:val="00D72707"/>
    <w:rsid w:val="00D75A9C"/>
    <w:rsid w:val="00D77C4A"/>
    <w:rsid w:val="00D829C8"/>
    <w:rsid w:val="00D8353F"/>
    <w:rsid w:val="00D85412"/>
    <w:rsid w:val="00D90871"/>
    <w:rsid w:val="00D9155F"/>
    <w:rsid w:val="00D9403F"/>
    <w:rsid w:val="00D959B4"/>
    <w:rsid w:val="00DA0996"/>
    <w:rsid w:val="00DA44DE"/>
    <w:rsid w:val="00DB1A49"/>
    <w:rsid w:val="00DB620A"/>
    <w:rsid w:val="00DC3832"/>
    <w:rsid w:val="00DC7A51"/>
    <w:rsid w:val="00DD3B1E"/>
    <w:rsid w:val="00DE5B5F"/>
    <w:rsid w:val="00DE68A0"/>
    <w:rsid w:val="00DF17CE"/>
    <w:rsid w:val="00DF5F4D"/>
    <w:rsid w:val="00DF614E"/>
    <w:rsid w:val="00E00696"/>
    <w:rsid w:val="00E03651"/>
    <w:rsid w:val="00E03808"/>
    <w:rsid w:val="00E060C2"/>
    <w:rsid w:val="00E06324"/>
    <w:rsid w:val="00E07B81"/>
    <w:rsid w:val="00E10AFD"/>
    <w:rsid w:val="00E12B11"/>
    <w:rsid w:val="00E12FB0"/>
    <w:rsid w:val="00E14814"/>
    <w:rsid w:val="00E1591B"/>
    <w:rsid w:val="00E16A50"/>
    <w:rsid w:val="00E2290E"/>
    <w:rsid w:val="00E249D5"/>
    <w:rsid w:val="00E24D28"/>
    <w:rsid w:val="00E25017"/>
    <w:rsid w:val="00E26F73"/>
    <w:rsid w:val="00E30A34"/>
    <w:rsid w:val="00E33C68"/>
    <w:rsid w:val="00E34EEB"/>
    <w:rsid w:val="00E3687C"/>
    <w:rsid w:val="00E44EB9"/>
    <w:rsid w:val="00E45BDC"/>
    <w:rsid w:val="00E46358"/>
    <w:rsid w:val="00E471DC"/>
    <w:rsid w:val="00E50EB4"/>
    <w:rsid w:val="00E515DF"/>
    <w:rsid w:val="00E532FC"/>
    <w:rsid w:val="00E5399B"/>
    <w:rsid w:val="00E559B4"/>
    <w:rsid w:val="00E55BB0"/>
    <w:rsid w:val="00E609E5"/>
    <w:rsid w:val="00E60F27"/>
    <w:rsid w:val="00E62AA2"/>
    <w:rsid w:val="00E64D93"/>
    <w:rsid w:val="00E65EDB"/>
    <w:rsid w:val="00E66927"/>
    <w:rsid w:val="00E677B8"/>
    <w:rsid w:val="00E67FA1"/>
    <w:rsid w:val="00E70A45"/>
    <w:rsid w:val="00E70E89"/>
    <w:rsid w:val="00E7387D"/>
    <w:rsid w:val="00E73D53"/>
    <w:rsid w:val="00E75111"/>
    <w:rsid w:val="00E77296"/>
    <w:rsid w:val="00E82E89"/>
    <w:rsid w:val="00E87527"/>
    <w:rsid w:val="00E87EF7"/>
    <w:rsid w:val="00E93074"/>
    <w:rsid w:val="00E93763"/>
    <w:rsid w:val="00E96649"/>
    <w:rsid w:val="00E96C4C"/>
    <w:rsid w:val="00EA2AAE"/>
    <w:rsid w:val="00EA2EC0"/>
    <w:rsid w:val="00EA427A"/>
    <w:rsid w:val="00EA723B"/>
    <w:rsid w:val="00EB6350"/>
    <w:rsid w:val="00EB687A"/>
    <w:rsid w:val="00EC2F62"/>
    <w:rsid w:val="00EC62EB"/>
    <w:rsid w:val="00EC6E9F"/>
    <w:rsid w:val="00ED1575"/>
    <w:rsid w:val="00ED3DE1"/>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EF7EC7"/>
    <w:rsid w:val="00F07F0D"/>
    <w:rsid w:val="00F10B07"/>
    <w:rsid w:val="00F13112"/>
    <w:rsid w:val="00F16FE6"/>
    <w:rsid w:val="00F238BD"/>
    <w:rsid w:val="00F24784"/>
    <w:rsid w:val="00F24992"/>
    <w:rsid w:val="00F32F2F"/>
    <w:rsid w:val="00F33F3F"/>
    <w:rsid w:val="00F3414F"/>
    <w:rsid w:val="00F35BDD"/>
    <w:rsid w:val="00F35C43"/>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9102B"/>
    <w:rsid w:val="00F92AA1"/>
    <w:rsid w:val="00F932DE"/>
    <w:rsid w:val="00F963DD"/>
    <w:rsid w:val="00F9641A"/>
    <w:rsid w:val="00F97004"/>
    <w:rsid w:val="00FA2045"/>
    <w:rsid w:val="00FA7A66"/>
    <w:rsid w:val="00FB17FF"/>
    <w:rsid w:val="00FB1AA9"/>
    <w:rsid w:val="00FB1E78"/>
    <w:rsid w:val="00FB4B5A"/>
    <w:rsid w:val="00FB5963"/>
    <w:rsid w:val="00FB5DAA"/>
    <w:rsid w:val="00FC04B9"/>
    <w:rsid w:val="00FC161A"/>
    <w:rsid w:val="00FC170C"/>
    <w:rsid w:val="00FC23D5"/>
    <w:rsid w:val="00FC4337"/>
    <w:rsid w:val="00FC4C1A"/>
    <w:rsid w:val="00FC5B9D"/>
    <w:rsid w:val="00FC628F"/>
    <w:rsid w:val="00FC6468"/>
    <w:rsid w:val="00FC6D49"/>
    <w:rsid w:val="00FD4922"/>
    <w:rsid w:val="00FD6461"/>
    <w:rsid w:val="00FE0281"/>
    <w:rsid w:val="00FE7083"/>
    <w:rsid w:val="00FF019F"/>
    <w:rsid w:val="00FF1B2A"/>
    <w:rsid w:val="00FF2160"/>
    <w:rsid w:val="00FF30DE"/>
    <w:rsid w:val="00FF3EC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0766BD"/>
    <w:pPr>
      <w:keepNext/>
      <w:numPr>
        <w:numId w:val="26"/>
      </w:numPr>
      <w:outlineLvl w:val="0"/>
    </w:pPr>
    <w:rPr>
      <w:rFonts w:cs="Times New Roman"/>
      <w:b/>
      <w:bCs/>
      <w:kern w:val="32"/>
      <w:szCs w:val="32"/>
    </w:rPr>
  </w:style>
  <w:style w:type="paragraph" w:styleId="Heading2">
    <w:name w:val="heading 2"/>
    <w:basedOn w:val="Normal"/>
    <w:next w:val="Normal"/>
    <w:link w:val="Heading2Char"/>
    <w:qFormat/>
    <w:rsid w:val="000766BD"/>
    <w:pPr>
      <w:keepNext/>
      <w:numPr>
        <w:ilvl w:val="1"/>
        <w:numId w:val="26"/>
      </w:numPr>
      <w:outlineLvl w:val="1"/>
    </w:pPr>
    <w:rPr>
      <w:rFonts w:cs="Times New Roman"/>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0766BD"/>
    <w:rPr>
      <w:rFonts w:ascii="Calibri" w:hAnsi="Calibri"/>
      <w:b/>
      <w:bCs/>
      <w:color w:val="000000"/>
      <w:kern w:val="32"/>
      <w:sz w:val="24"/>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0766BD"/>
    <w:rPr>
      <w:rFonts w:ascii="Calibri" w:hAnsi="Calibri"/>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4EA9E-275A-42B7-B8D6-6E458097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16111</Words>
  <Characters>91834</Characters>
  <Application>Microsoft Office Word</Application>
  <DocSecurity>0</DocSecurity>
  <Lines>765</Lines>
  <Paragraphs>215</Paragraphs>
  <ScaleCrop>false</ScaleCrop>
  <HeadingPairs>
    <vt:vector size="6" baseType="variant">
      <vt:variant>
        <vt:lpstr>Title</vt:lpstr>
      </vt:variant>
      <vt:variant>
        <vt:i4>1</vt:i4>
      </vt:variant>
      <vt:variant>
        <vt:lpstr>Headings</vt:lpstr>
      </vt:variant>
      <vt:variant>
        <vt:i4>66</vt:i4>
      </vt:variant>
      <vt:variant>
        <vt:lpstr>Název</vt:lpstr>
      </vt:variant>
      <vt:variant>
        <vt:i4>1</vt:i4>
      </vt:variant>
    </vt:vector>
  </HeadingPairs>
  <TitlesOfParts>
    <vt:vector size="68" baseType="lpstr">
      <vt:lpstr>Please suggest names of 5 peer reviewers with their institutional affiliation and email address</vt:lpstr>
      <vt:lpstr>Preparation of Reagents</vt:lpstr>
      <vt:lpstr>    Prepare 500 mL of PBS by dissolving 137 mM NaCl, 2.7 mM KCl, 4.3 mM Na2HPO4, 1.4</vt:lpstr>
      <vt:lpstr>    Prepare 100 mL of RPMI medium: RPMI-1640 medium with L-Alanyl-Glutamine suppleme</vt:lpstr>
      <vt:lpstr>    Prepare 50 mL of 0.1 M NaHCO3 in distilled water. Adjust the pH to 8.1, filter s</vt:lpstr>
      <vt:lpstr>    </vt:lpstr>
      <vt:lpstr>    Note: For two 8-well extracellular flux analyzer plates, prepare 250 μL of 0.1 M</vt:lpstr>
      <vt:lpstr>    Prepare 1 mL of 2 M D-glucose in distilled water. Filter sterilize (0.22 μm) and</vt:lpstr>
      <vt:lpstr>    Prepare 100 μL of 1 mM Oligomycin A in ethanol. Filter sterilize (0.22 μm) and s</vt:lpstr>
      <vt:lpstr>    Prepare 250 μL of 1 M 2-deoxy-D-glucose (2-DG) in Minimal DMEM (Dulbecco's Modif</vt:lpstr>
      <vt:lpstr>    Prepare 100 μL of 1 mM FCCP (carbonyl cyanide-p-trifluoromethoxyphenylhydrazone)</vt:lpstr>
      <vt:lpstr>    Prepare 100 μL of 1 mM Rotenone in ethanol. Filter sterilize (0.22 μm) and store</vt:lpstr>
      <vt:lpstr>    Prepare 100 μL of 1 mg/mL Antimycin A in ethanol. Filter sterilize (0.22 μm) and</vt:lpstr>
      <vt:lpstr>    Just before the use, prepare 10 mL of Glycolysis stress test medium. Warm Minima</vt:lpstr>
      <vt:lpstr>    Prior to the use, prepare 10 mL of Cell Mito stress test medium with BSA. Supple</vt:lpstr>
      <vt:lpstr>    Prior to the use, prepare 10 mL of Cell Mito stress test medium without BSA. Sup</vt:lpstr>
      <vt:lpstr>Isolation of Mononuclear Cells from Bone Marrow</vt:lpstr>
      <vt:lpstr>    Warm up PBS and the density gradient medium to room temperature. </vt:lpstr>
      <vt:lpstr>    </vt:lpstr>
      <vt:lpstr>    Dilute the bone marrow sample of leukemia patient with PBS, in a ratio of 1:1. M</vt:lpstr>
      <vt:lpstr>    Determine the percentage of blasts by flow cytometry using specific CD markers f</vt:lpstr>
      <vt:lpstr>    Then, determine leukemia cells using specific CD markers for each type of leuke</vt:lpstr>
      <vt:lpstr>    Carefully layer 6 mL of diluted bone marrow sample over 6 mL of the density grad</vt:lpstr>
      <vt:lpstr>    Using a Pasteur pipette, carefully transfer the interphase layer which consists </vt:lpstr>
      <vt:lpstr>    Aspirate the supernatant and resuspend the cell pellet in 2 mL of sterile PBS. C</vt:lpstr>
      <vt:lpstr>    </vt:lpstr>
      <vt:lpstr>    Note: The number of leukemia cells in one mL of aspirated bone marrow differs si</vt:lpstr>
      <vt:lpstr>Overnight Cultivation of Mononuclear Cells</vt:lpstr>
      <vt:lpstr>    Note: Perform all sub-steps in a sterile tissue culture hood.</vt:lpstr>
      <vt:lpstr>    Prepare two T75 flasks with 20 mL of RPMI. To each flask, add 30 x 106 isolated </vt:lpstr>
      <vt:lpstr>Preparation of Cell Adhesive-coated Plates</vt:lpstr>
      <vt:lpstr>    Coat two 8-well extracellular flux analyzer plates.</vt:lpstr>
      <vt:lpstr>    Note: Perform the coating in a sterile tissue culture hood.</vt:lpstr>
      <vt:lpstr>    Add 2.2 μL of cell adhesive (density: 2.54 mg/ml) to 250 μL of 0.1 M NaHCO3, pH </vt:lpstr>
      <vt:lpstr>    Let the plates sit in the hood for about 20 min, then aspirate the cell adhesive</vt:lpstr>
      <vt:lpstr>    Use the plates right away or save up to 1 week at 4  C with the rim wrapped in p</vt:lpstr>
      <vt:lpstr>Hydration of Sensor Cartridge</vt:lpstr>
      <vt:lpstr>    Separate the utility plate and the sensor cartridge. Place the sensor cartridge </vt:lpstr>
      <vt:lpstr>    Fill each well of the utility plate with 200 μL calibrant. Fill each moat around</vt:lpstr>
      <vt:lpstr>    Return the sensor cartridge to the utility plate that now contains the calibrant</vt:lpstr>
      <vt:lpstr>    Place the cartridge assembly in a humidified, non-CO2, 37  C incubator overnight</vt:lpstr>
      <vt:lpstr>    Turn on the extracellular flux analyzer and let it warm to 37  C overnight.</vt:lpstr>
      <vt:lpstr>Seeding Cells in Cell Adhesive-coated Plates</vt:lpstr>
      <vt:lpstr>    Seed cells for the Glycolysis stress test and the Cell Mito stress test in separ</vt:lpstr>
      <vt:lpstr>    Centrifuge cells at 200 × g for 5 min at room temperature. Resuspend cells in 1 </vt:lpstr>
      <vt:lpstr>    Add 4 x 106 of live cells to the final volume of 400 μL (use appropriate medium)</vt:lpstr>
      <vt:lpstr>    Plate 50 μL of the cell suspension into wells B-G. Ensure 500,000 cells are seed</vt:lpstr>
      <vt:lpstr>    Add 180 μL of the appropriate medium into wells A and H (these wells will serve </vt:lpstr>
      <vt:lpstr>    Centrifuge the plate at 400 × g for 5 min at room temperature with brake set to </vt:lpstr>
      <vt:lpstr>    Add 130 μL of appropriate medium to wells B-G in two 8-well extracellular flux a</vt:lpstr>
      <vt:lpstr>    Place the plate into a humidified, non-CO2, 37  C incubator for 30 min.</vt:lpstr>
      <vt:lpstr>Loading the Sensor Cartridge</vt:lpstr>
      <vt:lpstr>    For the Glycolysis stress test, prepare 250 μL each of 100 mM glucose, 20 μM Oli</vt:lpstr>
      <vt:lpstr>    For the Cell Mito stress test, prepare 250 μL each of 20 μM Oligomycin A, 15 μM </vt:lpstr>
      <vt:lpstr>    Load the compounds into the appropriate injector ports of the cartridge as follo</vt:lpstr>
      <vt:lpstr>Setting Up the Program</vt:lpstr>
      <vt:lpstr>    For the Glycolysis stress test, set up the program as described in Table 2.</vt:lpstr>
      <vt:lpstr>    For the Cell Mito stress test, set up the program as described in Table 3.</vt:lpstr>
      <vt:lpstr>    Start the program. Replace the calibrant plate with the assay plate (when prompt</vt:lpstr>
      <vt:lpstr>Evaluation and Interpretation of the Results</vt:lpstr>
      <vt:lpstr>    In the Glycolysis stress test results, subtract the lowest ECAR value after 2-DG</vt:lpstr>
      <vt:lpstr>    Calculate Basal acidification, Glycolysis, Maximal glycolysis and Glycolytic res</vt:lpstr>
      <vt:lpstr>    In the Cell Mito stress test results, subtract the lowest OCR value after Roteno</vt:lpstr>
      <vt:lpstr>    Calculate Basal respiration, ATP production, Maximal respiration and Spare capac</vt:lpstr>
      <vt:lpstr>    </vt:lpstr>
      <vt:lpstr>    Note: Maximal respiration is the highest OCR value after FCCP injection. </vt:lpstr>
      <vt:lpstr>    For ATP production calculation, subtract the mean of the three OCR measurement p</vt:lpstr>
      <vt:lpstr>Please suggest names of 5 peer reviewers with their institutional affiliation and email address</vt:lpstr>
    </vt:vector>
  </TitlesOfParts>
  <Manager/>
  <Company/>
  <LinksUpToDate>false</LinksUpToDate>
  <CharactersWithSpaces>107730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2018-07-04T03:00:00Z</dcterms:created>
  <dcterms:modified xsi:type="dcterms:W3CDTF">2018-07-05T14:57:00Z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http://www.zotero.org/styles/blood</vt:lpwstr>
  </property>
  <property fmtid="{D5CDD505-2E9C-101B-9397-08002B2CF9AE}" pid="17" name="Mendeley Recent Style Name 4_1">
    <vt:lpwstr>Blood</vt:lpwstr>
  </property>
  <property fmtid="{D5CDD505-2E9C-101B-9397-08002B2CF9AE}" pid="18" name="Mendeley Recent Style Id 5_1">
    <vt:lpwstr>http://www.zotero.org/styles/chicago-author-date</vt:lpwstr>
  </property>
  <property fmtid="{D5CDD505-2E9C-101B-9397-08002B2CF9AE}" pid="19" name="Mendeley Recent Style Name 5_1">
    <vt:lpwstr>Chicago Manual of Style 16th edition (author-date)</vt:lpwstr>
  </property>
  <property fmtid="{D5CDD505-2E9C-101B-9397-08002B2CF9AE}" pid="20" name="Mendeley Recent Style Id 6_1">
    <vt:lpwstr>http://www.zotero.org/styles/harvard-cite-them-right</vt:lpwstr>
  </property>
  <property fmtid="{D5CDD505-2E9C-101B-9397-08002B2CF9AE}" pid="21" name="Mendeley Recent Style Name 6_1">
    <vt:lpwstr>Harvard - Cite Them Right 9th edition</vt:lpwstr>
  </property>
  <property fmtid="{D5CDD505-2E9C-101B-9397-08002B2CF9AE}" pid="22" name="Mendeley Recent Style Id 7_1">
    <vt:lpwstr>http://www.zotero.org/styles/harvard1</vt:lpwstr>
  </property>
  <property fmtid="{D5CDD505-2E9C-101B-9397-08002B2CF9AE}" pid="23" name="Mendeley Recent Style Name 7_1">
    <vt:lpwstr>Harvard Reference format 1 (author-date)</vt:lpwstr>
  </property>
  <property fmtid="{D5CDD505-2E9C-101B-9397-08002B2CF9AE}" pid="24" name="Mendeley Recent Style Id 8_1">
    <vt:lpwstr>http://www.zotero.org/styles/ieee</vt:lpwstr>
  </property>
  <property fmtid="{D5CDD505-2E9C-101B-9397-08002B2CF9AE}" pid="25" name="Mendeley Recent Style Name 8_1">
    <vt:lpwstr>IEEE</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f64d0f08-31c1-3592-93c2-f9a400dc2fe4</vt:lpwstr>
  </property>
  <property fmtid="{D5CDD505-2E9C-101B-9397-08002B2CF9AE}" pid="30" name="Mendeley Citation Style_1">
    <vt:lpwstr>http://www.zotero.org/styles/nature</vt:lpwstr>
  </property>
</Properties>
</file>