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72C143" w14:textId="566873D7" w:rsidR="005804A0" w:rsidRPr="00587C73" w:rsidRDefault="00585541" w:rsidP="00585541">
      <w:pPr>
        <w:spacing w:after="0" w:line="480" w:lineRule="auto"/>
        <w:rPr>
          <w:sz w:val="24"/>
          <w:szCs w:val="24"/>
        </w:rPr>
      </w:pPr>
      <w:r w:rsidRPr="00587C73">
        <w:rPr>
          <w:b/>
          <w:sz w:val="24"/>
          <w:szCs w:val="24"/>
        </w:rPr>
        <w:t>TITLE</w:t>
      </w:r>
      <w:r w:rsidR="005804A0" w:rsidRPr="00796F0B">
        <w:rPr>
          <w:b/>
          <w:sz w:val="24"/>
          <w:szCs w:val="24"/>
        </w:rPr>
        <w:t>:</w:t>
      </w:r>
      <w:r w:rsidR="005804A0" w:rsidRPr="00587C73">
        <w:rPr>
          <w:sz w:val="24"/>
          <w:szCs w:val="24"/>
        </w:rPr>
        <w:t xml:space="preserve"> </w:t>
      </w:r>
      <w:r w:rsidR="00B159C3" w:rsidRPr="00587C73">
        <w:rPr>
          <w:sz w:val="24"/>
          <w:szCs w:val="24"/>
        </w:rPr>
        <w:t>Automated Multiplex Immunofluorescence Panel for Immuno-Oncology Studies on Formalin</w:t>
      </w:r>
      <w:r w:rsidR="00017FFD" w:rsidRPr="00587C73">
        <w:rPr>
          <w:sz w:val="24"/>
          <w:szCs w:val="24"/>
        </w:rPr>
        <w:t>-</w:t>
      </w:r>
      <w:r w:rsidR="00B159C3" w:rsidRPr="00587C73">
        <w:rPr>
          <w:sz w:val="24"/>
          <w:szCs w:val="24"/>
        </w:rPr>
        <w:t>Fixed Carcinoma Tissue Specimens.</w:t>
      </w:r>
    </w:p>
    <w:p w14:paraId="1A6CFFAF" w14:textId="7C63DA8E" w:rsidR="005804A0" w:rsidRPr="00587C73" w:rsidRDefault="00585541" w:rsidP="00585541">
      <w:pPr>
        <w:spacing w:after="0" w:line="480" w:lineRule="auto"/>
        <w:rPr>
          <w:sz w:val="24"/>
          <w:szCs w:val="24"/>
        </w:rPr>
      </w:pPr>
      <w:r w:rsidRPr="00587C73">
        <w:rPr>
          <w:b/>
          <w:sz w:val="24"/>
          <w:szCs w:val="24"/>
        </w:rPr>
        <w:t>AUTHORS</w:t>
      </w:r>
      <w:r w:rsidR="005804A0" w:rsidRPr="00796F0B">
        <w:rPr>
          <w:b/>
          <w:sz w:val="24"/>
          <w:szCs w:val="24"/>
        </w:rPr>
        <w:t>:</w:t>
      </w:r>
      <w:r w:rsidR="005804A0" w:rsidRPr="00587C73">
        <w:rPr>
          <w:sz w:val="24"/>
          <w:szCs w:val="24"/>
        </w:rPr>
        <w:t xml:space="preserve"> Michael Surace, Karma Dacosta, Anna Huntley, Weiguang Zhao, Christopher Bagnall, Charles Brown, Chichung Wang, Kristin Roman, Jennifer Cann, Arthur Lewis, Keith Steele, Marlon Rebelatto, </w:t>
      </w:r>
      <w:r w:rsidR="00796F0B">
        <w:rPr>
          <w:sz w:val="24"/>
          <w:szCs w:val="24"/>
        </w:rPr>
        <w:t xml:space="preserve">Edwin R. Parra, </w:t>
      </w:r>
      <w:r w:rsidR="005804A0" w:rsidRPr="00587C73">
        <w:rPr>
          <w:sz w:val="24"/>
          <w:szCs w:val="24"/>
        </w:rPr>
        <w:t xml:space="preserve">Clifford </w:t>
      </w:r>
      <w:r w:rsidR="00017FFD" w:rsidRPr="00587C73">
        <w:rPr>
          <w:sz w:val="24"/>
          <w:szCs w:val="24"/>
        </w:rPr>
        <w:t xml:space="preserve">C. </w:t>
      </w:r>
      <w:r w:rsidR="005804A0" w:rsidRPr="00587C73">
        <w:rPr>
          <w:sz w:val="24"/>
          <w:szCs w:val="24"/>
        </w:rPr>
        <w:t>Hoyt, Jaime Rodriguez-Canales</w:t>
      </w:r>
    </w:p>
    <w:p w14:paraId="629995F8" w14:textId="77777777" w:rsidR="005804A0" w:rsidRPr="00587C73" w:rsidRDefault="005804A0" w:rsidP="00585541">
      <w:pPr>
        <w:spacing w:after="0" w:line="480" w:lineRule="auto"/>
        <w:rPr>
          <w:sz w:val="24"/>
          <w:szCs w:val="24"/>
        </w:rPr>
      </w:pPr>
    </w:p>
    <w:p w14:paraId="622DED71" w14:textId="445C3302" w:rsidR="006D4AC1" w:rsidRPr="00587C73" w:rsidRDefault="00585541" w:rsidP="00585541">
      <w:pPr>
        <w:spacing w:after="0" w:line="480" w:lineRule="auto"/>
        <w:rPr>
          <w:b/>
          <w:sz w:val="24"/>
          <w:szCs w:val="24"/>
        </w:rPr>
      </w:pPr>
      <w:r w:rsidRPr="00587C73">
        <w:rPr>
          <w:b/>
          <w:sz w:val="24"/>
          <w:szCs w:val="24"/>
        </w:rPr>
        <w:t>SUPPLEMENTAL MATERIAL</w:t>
      </w:r>
      <w:r>
        <w:rPr>
          <w:b/>
          <w:sz w:val="24"/>
          <w:szCs w:val="24"/>
        </w:rPr>
        <w:t>:</w:t>
      </w:r>
    </w:p>
    <w:p w14:paraId="16FAF3E0" w14:textId="77777777" w:rsidR="00351B05" w:rsidRPr="00587C73" w:rsidRDefault="00351B05" w:rsidP="00585541">
      <w:pPr>
        <w:spacing w:after="0" w:line="480" w:lineRule="auto"/>
        <w:rPr>
          <w:b/>
          <w:sz w:val="24"/>
          <w:szCs w:val="24"/>
        </w:rPr>
      </w:pPr>
      <w:r w:rsidRPr="00587C73">
        <w:rPr>
          <w:b/>
          <w:sz w:val="24"/>
          <w:szCs w:val="24"/>
        </w:rPr>
        <w:t xml:space="preserve">Troubleshooting </w:t>
      </w:r>
      <w:r w:rsidR="000519E8" w:rsidRPr="00587C73">
        <w:rPr>
          <w:b/>
          <w:sz w:val="24"/>
          <w:szCs w:val="24"/>
        </w:rPr>
        <w:t>Common</w:t>
      </w:r>
      <w:r w:rsidRPr="00587C73">
        <w:rPr>
          <w:b/>
          <w:sz w:val="24"/>
          <w:szCs w:val="24"/>
        </w:rPr>
        <w:t xml:space="preserve"> Problems Observed with Opal</w:t>
      </w:r>
    </w:p>
    <w:p w14:paraId="346A9A76" w14:textId="2A7E1946" w:rsidR="00AD6742" w:rsidRPr="00587C73" w:rsidRDefault="00AD6742" w:rsidP="00585541">
      <w:pPr>
        <w:spacing w:after="0" w:line="480" w:lineRule="auto"/>
        <w:rPr>
          <w:sz w:val="24"/>
          <w:szCs w:val="24"/>
        </w:rPr>
      </w:pPr>
      <w:r w:rsidRPr="00587C73">
        <w:rPr>
          <w:sz w:val="24"/>
          <w:szCs w:val="24"/>
        </w:rPr>
        <w:t xml:space="preserve">The </w:t>
      </w:r>
      <w:r w:rsidR="000519E8" w:rsidRPr="00587C73">
        <w:rPr>
          <w:sz w:val="24"/>
          <w:szCs w:val="24"/>
        </w:rPr>
        <w:t>most common</w:t>
      </w:r>
      <w:r w:rsidRPr="00587C73">
        <w:rPr>
          <w:sz w:val="24"/>
          <w:szCs w:val="24"/>
        </w:rPr>
        <w:t xml:space="preserve"> Opal staining artifacts are spectral bleeding and signal attenuation or cancelation by </w:t>
      </w:r>
      <w:r w:rsidR="00CE5DA7" w:rsidRPr="00587C73">
        <w:rPr>
          <w:sz w:val="24"/>
          <w:szCs w:val="24"/>
        </w:rPr>
        <w:t xml:space="preserve">the </w:t>
      </w:r>
      <w:r w:rsidRPr="00587C73">
        <w:rPr>
          <w:sz w:val="24"/>
          <w:szCs w:val="24"/>
        </w:rPr>
        <w:t>umbrella effect</w:t>
      </w:r>
      <w:r w:rsidR="00017FFD" w:rsidRPr="00587C73">
        <w:rPr>
          <w:sz w:val="24"/>
          <w:szCs w:val="24"/>
        </w:rPr>
        <w:t xml:space="preserve"> of tyramide signal amplification (TSA)</w:t>
      </w:r>
      <w:r w:rsidRPr="00587C73">
        <w:rPr>
          <w:sz w:val="24"/>
          <w:szCs w:val="24"/>
        </w:rPr>
        <w:t xml:space="preserve">. </w:t>
      </w:r>
      <w:r w:rsidR="00CE5DA7" w:rsidRPr="00587C73">
        <w:rPr>
          <w:sz w:val="24"/>
          <w:szCs w:val="24"/>
        </w:rPr>
        <w:t>T</w:t>
      </w:r>
      <w:r w:rsidRPr="00587C73">
        <w:rPr>
          <w:sz w:val="24"/>
          <w:szCs w:val="24"/>
        </w:rPr>
        <w:t xml:space="preserve">hese artifacts can be </w:t>
      </w:r>
      <w:r w:rsidR="00CE5DA7" w:rsidRPr="00587C73">
        <w:rPr>
          <w:sz w:val="24"/>
          <w:szCs w:val="24"/>
        </w:rPr>
        <w:t>re</w:t>
      </w:r>
      <w:r w:rsidRPr="00587C73">
        <w:rPr>
          <w:sz w:val="24"/>
          <w:szCs w:val="24"/>
        </w:rPr>
        <w:t xml:space="preserve">solved </w:t>
      </w:r>
      <w:r w:rsidR="00CE5DA7" w:rsidRPr="00587C73">
        <w:rPr>
          <w:sz w:val="24"/>
          <w:szCs w:val="24"/>
        </w:rPr>
        <w:t xml:space="preserve">principally by </w:t>
      </w:r>
      <w:r w:rsidRPr="00587C73">
        <w:rPr>
          <w:sz w:val="24"/>
          <w:szCs w:val="24"/>
        </w:rPr>
        <w:t>adjusting the TSA dilution</w:t>
      </w:r>
      <w:r w:rsidR="00C002F7" w:rsidRPr="00587C73">
        <w:rPr>
          <w:sz w:val="24"/>
          <w:szCs w:val="24"/>
        </w:rPr>
        <w:t xml:space="preserve"> f</w:t>
      </w:r>
      <w:r w:rsidR="00CE5DA7" w:rsidRPr="00587C73">
        <w:rPr>
          <w:sz w:val="24"/>
          <w:szCs w:val="24"/>
        </w:rPr>
        <w:t>or</w:t>
      </w:r>
      <w:r w:rsidR="00C002F7" w:rsidRPr="00587C73">
        <w:rPr>
          <w:sz w:val="24"/>
          <w:szCs w:val="24"/>
        </w:rPr>
        <w:t xml:space="preserve"> the affected markers</w:t>
      </w:r>
      <w:r w:rsidR="00017FFD" w:rsidRPr="00587C73">
        <w:rPr>
          <w:sz w:val="24"/>
          <w:szCs w:val="24"/>
        </w:rPr>
        <w:t>;</w:t>
      </w:r>
      <w:r w:rsidR="00C002F7" w:rsidRPr="00587C73">
        <w:rPr>
          <w:sz w:val="24"/>
          <w:szCs w:val="24"/>
        </w:rPr>
        <w:t xml:space="preserve"> however</w:t>
      </w:r>
      <w:r w:rsidR="00017FFD" w:rsidRPr="00587C73">
        <w:rPr>
          <w:sz w:val="24"/>
          <w:szCs w:val="24"/>
        </w:rPr>
        <w:t>,</w:t>
      </w:r>
      <w:r w:rsidR="00C002F7" w:rsidRPr="00587C73">
        <w:rPr>
          <w:sz w:val="24"/>
          <w:szCs w:val="24"/>
        </w:rPr>
        <w:t xml:space="preserve"> it may </w:t>
      </w:r>
      <w:r w:rsidR="00CE5DA7" w:rsidRPr="00587C73">
        <w:rPr>
          <w:sz w:val="24"/>
          <w:szCs w:val="24"/>
        </w:rPr>
        <w:t xml:space="preserve">also </w:t>
      </w:r>
      <w:r w:rsidR="00C002F7" w:rsidRPr="00587C73">
        <w:rPr>
          <w:sz w:val="24"/>
          <w:szCs w:val="24"/>
        </w:rPr>
        <w:t>be</w:t>
      </w:r>
      <w:r w:rsidRPr="00587C73">
        <w:rPr>
          <w:sz w:val="24"/>
          <w:szCs w:val="24"/>
        </w:rPr>
        <w:t xml:space="preserve"> necessary </w:t>
      </w:r>
      <w:r w:rsidR="00CE5DA7" w:rsidRPr="00587C73">
        <w:rPr>
          <w:sz w:val="24"/>
          <w:szCs w:val="24"/>
        </w:rPr>
        <w:t>to</w:t>
      </w:r>
      <w:r w:rsidRPr="00587C73">
        <w:rPr>
          <w:sz w:val="24"/>
          <w:szCs w:val="24"/>
        </w:rPr>
        <w:t xml:space="preserve"> revisit earlier steps of the optimization. Multiple rounds of fine-tuning of TSA </w:t>
      </w:r>
      <w:r w:rsidR="00C002F7" w:rsidRPr="00587C73">
        <w:rPr>
          <w:sz w:val="24"/>
          <w:szCs w:val="24"/>
        </w:rPr>
        <w:t>are not uncommon during the optimization of a new Opal panel</w:t>
      </w:r>
      <w:r w:rsidRPr="00587C73">
        <w:rPr>
          <w:sz w:val="24"/>
          <w:szCs w:val="24"/>
        </w:rPr>
        <w:t>.</w:t>
      </w:r>
      <w:r w:rsidR="000519E8" w:rsidRPr="00587C73">
        <w:rPr>
          <w:sz w:val="24"/>
          <w:szCs w:val="24"/>
        </w:rPr>
        <w:t xml:space="preserve"> </w:t>
      </w:r>
      <w:r w:rsidR="00C002F7" w:rsidRPr="00587C73">
        <w:rPr>
          <w:sz w:val="24"/>
          <w:szCs w:val="24"/>
        </w:rPr>
        <w:t xml:space="preserve">Once the </w:t>
      </w:r>
      <w:r w:rsidRPr="00587C73">
        <w:rPr>
          <w:sz w:val="24"/>
          <w:szCs w:val="24"/>
        </w:rPr>
        <w:t xml:space="preserve">major issues are addressed and the multiplex is optimized, the unmixed multiplex channel </w:t>
      </w:r>
      <w:r w:rsidR="00017FFD" w:rsidRPr="00587C73">
        <w:rPr>
          <w:sz w:val="24"/>
          <w:szCs w:val="24"/>
        </w:rPr>
        <w:t xml:space="preserve">can be assessed </w:t>
      </w:r>
      <w:r w:rsidRPr="00587C73">
        <w:rPr>
          <w:sz w:val="24"/>
          <w:szCs w:val="24"/>
        </w:rPr>
        <w:t xml:space="preserve">by channel by comparing </w:t>
      </w:r>
      <w:r w:rsidR="00017FFD" w:rsidRPr="00587C73">
        <w:rPr>
          <w:sz w:val="24"/>
          <w:szCs w:val="24"/>
        </w:rPr>
        <w:t xml:space="preserve">the </w:t>
      </w:r>
      <w:r w:rsidRPr="00587C73">
        <w:rPr>
          <w:sz w:val="24"/>
          <w:szCs w:val="24"/>
        </w:rPr>
        <w:t xml:space="preserve">number of cells detected and </w:t>
      </w:r>
      <w:r w:rsidR="00017FFD" w:rsidRPr="00587C73">
        <w:rPr>
          <w:sz w:val="24"/>
          <w:szCs w:val="24"/>
        </w:rPr>
        <w:t xml:space="preserve">the </w:t>
      </w:r>
      <w:r w:rsidRPr="00587C73">
        <w:rPr>
          <w:sz w:val="24"/>
          <w:szCs w:val="24"/>
        </w:rPr>
        <w:t>staining pattern in seq</w:t>
      </w:r>
      <w:r w:rsidR="00C002F7" w:rsidRPr="00587C73">
        <w:rPr>
          <w:sz w:val="24"/>
          <w:szCs w:val="24"/>
        </w:rPr>
        <w:t>uential sections of multiplex with</w:t>
      </w:r>
      <w:r w:rsidRPr="00587C73">
        <w:rPr>
          <w:sz w:val="24"/>
          <w:szCs w:val="24"/>
        </w:rPr>
        <w:t xml:space="preserve"> chromogenic </w:t>
      </w:r>
      <w:r w:rsidR="00EA2F11" w:rsidRPr="00587C73">
        <w:rPr>
          <w:sz w:val="24"/>
          <w:szCs w:val="24"/>
        </w:rPr>
        <w:t>immunohistochemistry</w:t>
      </w:r>
      <w:r w:rsidR="00D22AB3">
        <w:rPr>
          <w:sz w:val="24"/>
          <w:szCs w:val="24"/>
        </w:rPr>
        <w:t xml:space="preserve"> </w:t>
      </w:r>
      <w:r w:rsidRPr="00587C73">
        <w:rPr>
          <w:sz w:val="24"/>
          <w:szCs w:val="24"/>
        </w:rPr>
        <w:t>single stains</w:t>
      </w:r>
      <w:r w:rsidR="00C002F7" w:rsidRPr="00587C73">
        <w:rPr>
          <w:sz w:val="24"/>
          <w:szCs w:val="24"/>
        </w:rPr>
        <w:t xml:space="preserve"> done in serial sectio</w:t>
      </w:r>
      <w:r w:rsidR="00796F0B">
        <w:rPr>
          <w:sz w:val="24"/>
          <w:szCs w:val="24"/>
        </w:rPr>
        <w:t>ns from the same tissue</w:t>
      </w:r>
      <w:r w:rsidRPr="00587C73">
        <w:rPr>
          <w:sz w:val="24"/>
          <w:szCs w:val="24"/>
        </w:rPr>
        <w:t xml:space="preserve">. This </w:t>
      </w:r>
      <w:r w:rsidR="00C002F7" w:rsidRPr="00587C73">
        <w:rPr>
          <w:sz w:val="24"/>
          <w:szCs w:val="24"/>
        </w:rPr>
        <w:t xml:space="preserve">comparison </w:t>
      </w:r>
      <w:r w:rsidRPr="00587C73">
        <w:rPr>
          <w:sz w:val="24"/>
          <w:szCs w:val="24"/>
        </w:rPr>
        <w:t xml:space="preserve">can be done in InForm by selecting </w:t>
      </w:r>
      <w:r w:rsidR="00AD583E" w:rsidRPr="00587C73">
        <w:rPr>
          <w:sz w:val="24"/>
          <w:szCs w:val="24"/>
        </w:rPr>
        <w:t xml:space="preserve">the multispectral imaging </w:t>
      </w:r>
      <w:r w:rsidRPr="00587C73">
        <w:rPr>
          <w:sz w:val="24"/>
          <w:szCs w:val="24"/>
        </w:rPr>
        <w:t xml:space="preserve">of the same tissue area in scans of </w:t>
      </w:r>
      <w:r w:rsidR="00AD583E" w:rsidRPr="00587C73">
        <w:rPr>
          <w:sz w:val="24"/>
          <w:szCs w:val="24"/>
        </w:rPr>
        <w:t xml:space="preserve">both </w:t>
      </w:r>
      <w:r w:rsidRPr="00587C73">
        <w:rPr>
          <w:sz w:val="24"/>
          <w:szCs w:val="24"/>
        </w:rPr>
        <w:t xml:space="preserve">the chromogenic single stains </w:t>
      </w:r>
      <w:r w:rsidR="00AD583E" w:rsidRPr="00587C73">
        <w:rPr>
          <w:sz w:val="24"/>
          <w:szCs w:val="24"/>
        </w:rPr>
        <w:t xml:space="preserve">and </w:t>
      </w:r>
      <w:r w:rsidRPr="00587C73">
        <w:rPr>
          <w:sz w:val="24"/>
          <w:szCs w:val="24"/>
        </w:rPr>
        <w:t>the multiplex</w:t>
      </w:r>
      <w:r w:rsidR="00AD583E" w:rsidRPr="00587C73">
        <w:rPr>
          <w:sz w:val="24"/>
          <w:szCs w:val="24"/>
        </w:rPr>
        <w:t xml:space="preserve"> and</w:t>
      </w:r>
      <w:r w:rsidRPr="00587C73">
        <w:rPr>
          <w:sz w:val="24"/>
          <w:szCs w:val="24"/>
        </w:rPr>
        <w:t xml:space="preserve"> then using tissue segmentation, cell segmentation, and cell phenotyping to identify and quantify cells for each marker. </w:t>
      </w:r>
      <w:r w:rsidR="00C002F7" w:rsidRPr="00587C73">
        <w:rPr>
          <w:sz w:val="24"/>
          <w:szCs w:val="24"/>
        </w:rPr>
        <w:t>I</w:t>
      </w:r>
      <w:r w:rsidRPr="00587C73">
        <w:rPr>
          <w:sz w:val="24"/>
          <w:szCs w:val="24"/>
        </w:rPr>
        <w:t xml:space="preserve">f substantial overcounting or undercounting of cells occurs in the </w:t>
      </w:r>
      <w:r w:rsidR="00C002F7" w:rsidRPr="00587C73">
        <w:rPr>
          <w:sz w:val="24"/>
          <w:szCs w:val="24"/>
        </w:rPr>
        <w:t xml:space="preserve">Opal </w:t>
      </w:r>
      <w:r w:rsidRPr="00587C73">
        <w:rPr>
          <w:sz w:val="24"/>
          <w:szCs w:val="24"/>
        </w:rPr>
        <w:t xml:space="preserve">multiplex </w:t>
      </w:r>
      <w:r w:rsidR="00C002F7" w:rsidRPr="00587C73">
        <w:rPr>
          <w:sz w:val="24"/>
          <w:szCs w:val="24"/>
        </w:rPr>
        <w:t>vs the chromogenic single</w:t>
      </w:r>
      <w:r w:rsidR="00AD583E" w:rsidRPr="00587C73">
        <w:rPr>
          <w:sz w:val="24"/>
          <w:szCs w:val="24"/>
        </w:rPr>
        <w:t>-</w:t>
      </w:r>
      <w:r w:rsidR="00C002F7" w:rsidRPr="00587C73">
        <w:rPr>
          <w:sz w:val="24"/>
          <w:szCs w:val="24"/>
        </w:rPr>
        <w:t>stain references</w:t>
      </w:r>
      <w:r w:rsidRPr="00587C73">
        <w:rPr>
          <w:sz w:val="24"/>
          <w:szCs w:val="24"/>
        </w:rPr>
        <w:t>, re</w:t>
      </w:r>
      <w:r w:rsidR="00796F0B">
        <w:rPr>
          <w:sz w:val="24"/>
          <w:szCs w:val="24"/>
        </w:rPr>
        <w:t>-</w:t>
      </w:r>
      <w:r w:rsidRPr="00587C73">
        <w:rPr>
          <w:sz w:val="24"/>
          <w:szCs w:val="24"/>
        </w:rPr>
        <w:t>optimiz</w:t>
      </w:r>
      <w:r w:rsidR="00AD583E" w:rsidRPr="00587C73">
        <w:rPr>
          <w:sz w:val="24"/>
          <w:szCs w:val="24"/>
        </w:rPr>
        <w:t xml:space="preserve">ation </w:t>
      </w:r>
      <w:r w:rsidR="00AD583E" w:rsidRPr="00587C73">
        <w:rPr>
          <w:sz w:val="24"/>
          <w:szCs w:val="24"/>
        </w:rPr>
        <w:lastRenderedPageBreak/>
        <w:t>should be performed,</w:t>
      </w:r>
      <w:r w:rsidRPr="00587C73">
        <w:rPr>
          <w:sz w:val="24"/>
          <w:szCs w:val="24"/>
        </w:rPr>
        <w:t xml:space="preserve"> first using TSA concentration and </w:t>
      </w:r>
      <w:r w:rsidR="00AD583E" w:rsidRPr="00587C73">
        <w:rPr>
          <w:sz w:val="24"/>
          <w:szCs w:val="24"/>
        </w:rPr>
        <w:t xml:space="preserve">then </w:t>
      </w:r>
      <w:r w:rsidRPr="00587C73">
        <w:rPr>
          <w:sz w:val="24"/>
          <w:szCs w:val="24"/>
        </w:rPr>
        <w:t xml:space="preserve">other conditions </w:t>
      </w:r>
      <w:r w:rsidR="00796F0B" w:rsidRPr="00587C73">
        <w:rPr>
          <w:sz w:val="24"/>
          <w:szCs w:val="24"/>
        </w:rPr>
        <w:t>as necessary</w:t>
      </w:r>
      <w:r w:rsidRPr="00587C73">
        <w:rPr>
          <w:sz w:val="24"/>
          <w:szCs w:val="24"/>
        </w:rPr>
        <w:t xml:space="preserve"> to match the chromogenic </w:t>
      </w:r>
      <w:r w:rsidR="00C002F7" w:rsidRPr="00587C73">
        <w:rPr>
          <w:sz w:val="24"/>
          <w:szCs w:val="24"/>
        </w:rPr>
        <w:t>staining pattern and quantitation</w:t>
      </w:r>
      <w:r w:rsidRPr="00587C73">
        <w:rPr>
          <w:sz w:val="24"/>
          <w:szCs w:val="24"/>
        </w:rPr>
        <w:t xml:space="preserve"> in the </w:t>
      </w:r>
      <w:r w:rsidR="00C002F7" w:rsidRPr="00587C73">
        <w:rPr>
          <w:sz w:val="24"/>
          <w:szCs w:val="24"/>
        </w:rPr>
        <w:t xml:space="preserve">Opal </w:t>
      </w:r>
      <w:r w:rsidRPr="00587C73">
        <w:rPr>
          <w:sz w:val="24"/>
          <w:szCs w:val="24"/>
        </w:rPr>
        <w:t>multiplex.</w:t>
      </w:r>
    </w:p>
    <w:p w14:paraId="78B482A5" w14:textId="000AF6C5" w:rsidR="008D6202" w:rsidRPr="00587C73" w:rsidRDefault="00DC460A" w:rsidP="00585541">
      <w:pPr>
        <w:pStyle w:val="ListParagraph"/>
        <w:numPr>
          <w:ilvl w:val="0"/>
          <w:numId w:val="20"/>
        </w:numPr>
        <w:spacing w:after="0" w:line="480" w:lineRule="auto"/>
        <w:ind w:left="0" w:firstLine="0"/>
        <w:rPr>
          <w:b/>
          <w:sz w:val="24"/>
          <w:szCs w:val="24"/>
        </w:rPr>
      </w:pPr>
      <w:r w:rsidRPr="00587C73">
        <w:rPr>
          <w:b/>
          <w:sz w:val="24"/>
          <w:szCs w:val="24"/>
        </w:rPr>
        <w:t>Spectral Bleed</w:t>
      </w:r>
      <w:r w:rsidR="000519E8" w:rsidRPr="00587C73">
        <w:rPr>
          <w:b/>
          <w:sz w:val="24"/>
          <w:szCs w:val="24"/>
        </w:rPr>
        <w:t>.</w:t>
      </w:r>
      <w:r w:rsidR="000519E8" w:rsidRPr="00587C73">
        <w:rPr>
          <w:sz w:val="24"/>
          <w:szCs w:val="24"/>
        </w:rPr>
        <w:t xml:space="preserve"> S</w:t>
      </w:r>
      <w:r w:rsidR="00C734D1" w:rsidRPr="00587C73">
        <w:rPr>
          <w:sz w:val="24"/>
          <w:szCs w:val="24"/>
        </w:rPr>
        <w:t>pectral ble</w:t>
      </w:r>
      <w:r w:rsidR="001837F3" w:rsidRPr="00587C73">
        <w:rPr>
          <w:sz w:val="24"/>
          <w:szCs w:val="24"/>
        </w:rPr>
        <w:t xml:space="preserve">ed </w:t>
      </w:r>
      <w:r w:rsidR="000519E8" w:rsidRPr="00587C73">
        <w:rPr>
          <w:sz w:val="24"/>
          <w:szCs w:val="24"/>
        </w:rPr>
        <w:t xml:space="preserve">is </w:t>
      </w:r>
      <w:r w:rsidR="001837F3" w:rsidRPr="00587C73">
        <w:rPr>
          <w:sz w:val="24"/>
          <w:szCs w:val="24"/>
        </w:rPr>
        <w:t>a common</w:t>
      </w:r>
      <w:r w:rsidR="00C734D1" w:rsidRPr="00587C73">
        <w:rPr>
          <w:sz w:val="24"/>
          <w:szCs w:val="24"/>
        </w:rPr>
        <w:t xml:space="preserve"> artifact </w:t>
      </w:r>
      <w:r w:rsidR="000519E8" w:rsidRPr="00587C73">
        <w:rPr>
          <w:sz w:val="24"/>
          <w:szCs w:val="24"/>
        </w:rPr>
        <w:t>in all multiplex immunofluorescence</w:t>
      </w:r>
      <w:r w:rsidR="00AD583E" w:rsidRPr="00587C73">
        <w:rPr>
          <w:sz w:val="24"/>
          <w:szCs w:val="24"/>
        </w:rPr>
        <w:t xml:space="preserve"> methods</w:t>
      </w:r>
      <w:r w:rsidR="000519E8" w:rsidRPr="00587C73">
        <w:rPr>
          <w:sz w:val="24"/>
          <w:szCs w:val="24"/>
        </w:rPr>
        <w:t xml:space="preserve">, but the risk is higher with </w:t>
      </w:r>
      <w:r w:rsidR="005502A6" w:rsidRPr="00587C73">
        <w:rPr>
          <w:sz w:val="24"/>
          <w:szCs w:val="24"/>
        </w:rPr>
        <w:t>Opal staining</w:t>
      </w:r>
      <w:r w:rsidR="00C734D1" w:rsidRPr="00587C73">
        <w:rPr>
          <w:sz w:val="24"/>
          <w:szCs w:val="24"/>
        </w:rPr>
        <w:t xml:space="preserve"> </w:t>
      </w:r>
      <w:r w:rsidR="000519E8" w:rsidRPr="00587C73">
        <w:rPr>
          <w:sz w:val="24"/>
          <w:szCs w:val="24"/>
        </w:rPr>
        <w:t>due to the high density of fluors in limited visual spectra</w:t>
      </w:r>
      <w:r w:rsidR="00B677A8" w:rsidRPr="00587C73">
        <w:rPr>
          <w:sz w:val="24"/>
          <w:szCs w:val="24"/>
        </w:rPr>
        <w:t xml:space="preserve"> (</w:t>
      </w:r>
      <w:r w:rsidR="00AD583E" w:rsidRPr="00587C73">
        <w:rPr>
          <w:sz w:val="24"/>
          <w:szCs w:val="24"/>
        </w:rPr>
        <w:t xml:space="preserve">see </w:t>
      </w:r>
      <w:r w:rsidR="00B677A8" w:rsidRPr="00587C73">
        <w:rPr>
          <w:sz w:val="24"/>
          <w:szCs w:val="24"/>
        </w:rPr>
        <w:t>Figure 4</w:t>
      </w:r>
      <w:r w:rsidR="00AD583E" w:rsidRPr="00587C73">
        <w:rPr>
          <w:sz w:val="24"/>
          <w:szCs w:val="24"/>
        </w:rPr>
        <w:t xml:space="preserve"> in the main text</w:t>
      </w:r>
      <w:r w:rsidR="00B677A8" w:rsidRPr="00587C73">
        <w:rPr>
          <w:sz w:val="24"/>
          <w:szCs w:val="24"/>
        </w:rPr>
        <w:t>)</w:t>
      </w:r>
      <w:r w:rsidR="000519E8" w:rsidRPr="00587C73">
        <w:rPr>
          <w:sz w:val="24"/>
          <w:szCs w:val="24"/>
        </w:rPr>
        <w:t xml:space="preserve">. In spectral bleeding, </w:t>
      </w:r>
      <w:r w:rsidR="00C734D1" w:rsidRPr="00587C73">
        <w:rPr>
          <w:sz w:val="24"/>
          <w:szCs w:val="24"/>
        </w:rPr>
        <w:t xml:space="preserve">the signal of </w:t>
      </w:r>
      <w:r w:rsidR="000519E8" w:rsidRPr="00587C73">
        <w:rPr>
          <w:sz w:val="24"/>
          <w:szCs w:val="24"/>
        </w:rPr>
        <w:t xml:space="preserve">a lower-wavelength </w:t>
      </w:r>
      <w:r w:rsidR="00C734D1" w:rsidRPr="00587C73">
        <w:rPr>
          <w:sz w:val="24"/>
          <w:szCs w:val="24"/>
        </w:rPr>
        <w:t xml:space="preserve">marker </w:t>
      </w:r>
      <w:r w:rsidR="000519E8" w:rsidRPr="00587C73">
        <w:rPr>
          <w:sz w:val="24"/>
          <w:szCs w:val="24"/>
        </w:rPr>
        <w:t>manifests in a higher-wavelength channel</w:t>
      </w:r>
      <w:r w:rsidR="00C734D1" w:rsidRPr="00587C73">
        <w:rPr>
          <w:sz w:val="24"/>
          <w:szCs w:val="24"/>
        </w:rPr>
        <w:t xml:space="preserve">. Spectral bleed can be detected </w:t>
      </w:r>
      <w:r w:rsidR="00AD583E" w:rsidRPr="00587C73">
        <w:rPr>
          <w:sz w:val="24"/>
          <w:szCs w:val="24"/>
        </w:rPr>
        <w:t xml:space="preserve">by </w:t>
      </w:r>
      <w:r w:rsidR="00C734D1" w:rsidRPr="00587C73">
        <w:rPr>
          <w:sz w:val="24"/>
          <w:szCs w:val="24"/>
        </w:rPr>
        <w:t xml:space="preserve">using the </w:t>
      </w:r>
      <w:r w:rsidR="00AD583E" w:rsidRPr="00587C73">
        <w:rPr>
          <w:sz w:val="24"/>
          <w:szCs w:val="24"/>
        </w:rPr>
        <w:t xml:space="preserve">Counts </w:t>
      </w:r>
      <w:r w:rsidR="00C734D1" w:rsidRPr="00587C73">
        <w:rPr>
          <w:sz w:val="24"/>
          <w:szCs w:val="24"/>
        </w:rPr>
        <w:t>tool in InForm.</w:t>
      </w:r>
      <w:r w:rsidR="00432726" w:rsidRPr="00587C73">
        <w:rPr>
          <w:sz w:val="24"/>
          <w:szCs w:val="24"/>
        </w:rPr>
        <w:t xml:space="preserve"> </w:t>
      </w:r>
      <w:r w:rsidR="00716301" w:rsidRPr="00587C73">
        <w:rPr>
          <w:sz w:val="24"/>
          <w:szCs w:val="24"/>
        </w:rPr>
        <w:t xml:space="preserve">Overall, we have found that with the Vectra Polaris scanner, spectral bleed is most often observed in the 540/570 and 650/690 spectral interfaces. The interface between </w:t>
      </w:r>
      <w:r w:rsidR="00AD583E" w:rsidRPr="00587C73">
        <w:rPr>
          <w:sz w:val="24"/>
          <w:szCs w:val="24"/>
        </w:rPr>
        <w:t>4′,6-diamidino-2-phenylindole dihydrochloride (</w:t>
      </w:r>
      <w:r w:rsidR="00716301" w:rsidRPr="00587C73">
        <w:rPr>
          <w:sz w:val="24"/>
          <w:szCs w:val="24"/>
        </w:rPr>
        <w:t>DAPI</w:t>
      </w:r>
      <w:r w:rsidR="00AD583E" w:rsidRPr="00587C73">
        <w:rPr>
          <w:sz w:val="24"/>
          <w:szCs w:val="24"/>
        </w:rPr>
        <w:t>)</w:t>
      </w:r>
      <w:r w:rsidR="00716301" w:rsidRPr="00587C73">
        <w:rPr>
          <w:sz w:val="24"/>
          <w:szCs w:val="24"/>
        </w:rPr>
        <w:t xml:space="preserve">/520, 520/540, 570/620, and 620/650 are, in practice, more robust and less subject to spectral bleed. Therefore, it may be advisable to avoid detecting exceptionally strong targets or targets with highly variable expression in </w:t>
      </w:r>
      <w:r w:rsidR="00587C73" w:rsidRPr="00587C73">
        <w:rPr>
          <w:sz w:val="24"/>
          <w:szCs w:val="24"/>
        </w:rPr>
        <w:t xml:space="preserve">Opal </w:t>
      </w:r>
      <w:r w:rsidR="00716301" w:rsidRPr="00587C73">
        <w:rPr>
          <w:sz w:val="24"/>
          <w:szCs w:val="24"/>
        </w:rPr>
        <w:t xml:space="preserve">540 and </w:t>
      </w:r>
      <w:r w:rsidR="00587C73" w:rsidRPr="00587C73">
        <w:rPr>
          <w:sz w:val="24"/>
          <w:szCs w:val="24"/>
        </w:rPr>
        <w:t xml:space="preserve">Opal </w:t>
      </w:r>
      <w:r w:rsidR="00716301" w:rsidRPr="00587C73">
        <w:rPr>
          <w:sz w:val="24"/>
          <w:szCs w:val="24"/>
        </w:rPr>
        <w:t xml:space="preserve">650, and inadvisable to detect exceptionally weak targets using </w:t>
      </w:r>
      <w:r w:rsidR="00587C73" w:rsidRPr="00587C73">
        <w:rPr>
          <w:sz w:val="24"/>
          <w:szCs w:val="24"/>
        </w:rPr>
        <w:t xml:space="preserve">Opal </w:t>
      </w:r>
      <w:r w:rsidR="00716301" w:rsidRPr="00587C73">
        <w:rPr>
          <w:sz w:val="24"/>
          <w:szCs w:val="24"/>
        </w:rPr>
        <w:t xml:space="preserve">570 and </w:t>
      </w:r>
      <w:r w:rsidR="00587C73" w:rsidRPr="00587C73">
        <w:rPr>
          <w:sz w:val="24"/>
          <w:szCs w:val="24"/>
        </w:rPr>
        <w:t xml:space="preserve">Opal </w:t>
      </w:r>
      <w:r w:rsidR="00716301" w:rsidRPr="00587C73">
        <w:rPr>
          <w:sz w:val="24"/>
          <w:szCs w:val="24"/>
        </w:rPr>
        <w:t xml:space="preserve">690. </w:t>
      </w:r>
      <w:r w:rsidR="001837F3" w:rsidRPr="00587C73">
        <w:rPr>
          <w:sz w:val="24"/>
          <w:szCs w:val="24"/>
        </w:rPr>
        <w:t xml:space="preserve">Using this protocol, we have also found occasional intensity-driven spectral bleed from </w:t>
      </w:r>
      <w:r w:rsidR="00587C73" w:rsidRPr="00587C73">
        <w:rPr>
          <w:sz w:val="24"/>
          <w:szCs w:val="24"/>
        </w:rPr>
        <w:t xml:space="preserve">Opal </w:t>
      </w:r>
      <w:r w:rsidR="001837F3" w:rsidRPr="00587C73">
        <w:rPr>
          <w:sz w:val="24"/>
          <w:szCs w:val="24"/>
        </w:rPr>
        <w:t xml:space="preserve">650 (AE1/AE3) to </w:t>
      </w:r>
      <w:r w:rsidR="00587C73" w:rsidRPr="00587C73">
        <w:rPr>
          <w:sz w:val="24"/>
          <w:szCs w:val="24"/>
        </w:rPr>
        <w:t xml:space="preserve">Opal </w:t>
      </w:r>
      <w:r w:rsidR="001837F3" w:rsidRPr="00587C73">
        <w:rPr>
          <w:sz w:val="24"/>
          <w:szCs w:val="24"/>
        </w:rPr>
        <w:t>690 (PD</w:t>
      </w:r>
      <w:r w:rsidR="00587C73" w:rsidRPr="00587C73">
        <w:rPr>
          <w:sz w:val="24"/>
          <w:szCs w:val="24"/>
        </w:rPr>
        <w:t>-</w:t>
      </w:r>
      <w:r w:rsidR="001837F3" w:rsidRPr="00587C73">
        <w:rPr>
          <w:sz w:val="24"/>
          <w:szCs w:val="24"/>
        </w:rPr>
        <w:t xml:space="preserve">1) channel. For instance, we have found that PD-1 expression is variable </w:t>
      </w:r>
      <w:r w:rsidR="001A25BA" w:rsidRPr="00587C73">
        <w:rPr>
          <w:sz w:val="24"/>
          <w:szCs w:val="24"/>
        </w:rPr>
        <w:t xml:space="preserve">in tumors, </w:t>
      </w:r>
      <w:r w:rsidR="001837F3" w:rsidRPr="00587C73">
        <w:rPr>
          <w:sz w:val="24"/>
          <w:szCs w:val="24"/>
        </w:rPr>
        <w:t xml:space="preserve">whereas </w:t>
      </w:r>
      <w:r w:rsidR="00716301" w:rsidRPr="00587C73">
        <w:rPr>
          <w:sz w:val="24"/>
          <w:szCs w:val="24"/>
        </w:rPr>
        <w:t>AE1/AE3</w:t>
      </w:r>
      <w:r w:rsidR="001837F3" w:rsidRPr="00587C73">
        <w:rPr>
          <w:sz w:val="24"/>
          <w:szCs w:val="24"/>
        </w:rPr>
        <w:t xml:space="preserve"> is </w:t>
      </w:r>
      <w:r w:rsidR="001A25BA" w:rsidRPr="00587C73">
        <w:rPr>
          <w:sz w:val="24"/>
          <w:szCs w:val="24"/>
        </w:rPr>
        <w:t xml:space="preserve">more </w:t>
      </w:r>
      <w:r w:rsidR="001837F3" w:rsidRPr="00587C73">
        <w:rPr>
          <w:sz w:val="24"/>
          <w:szCs w:val="24"/>
        </w:rPr>
        <w:t>consistent. Uniformly low PD-1 expres</w:t>
      </w:r>
      <w:r w:rsidR="00716301" w:rsidRPr="00587C73">
        <w:rPr>
          <w:sz w:val="24"/>
          <w:szCs w:val="24"/>
        </w:rPr>
        <w:t>sion in the context of robust AE1/AE3</w:t>
      </w:r>
      <w:r w:rsidR="001837F3" w:rsidRPr="00587C73">
        <w:rPr>
          <w:sz w:val="24"/>
          <w:szCs w:val="24"/>
        </w:rPr>
        <w:t xml:space="preserve"> expression will resu</w:t>
      </w:r>
      <w:r w:rsidR="00716301" w:rsidRPr="00587C73">
        <w:rPr>
          <w:sz w:val="24"/>
          <w:szCs w:val="24"/>
        </w:rPr>
        <w:t>lt in contamination of the PD-1 (</w:t>
      </w:r>
      <w:r w:rsidR="00587C73" w:rsidRPr="00587C73">
        <w:rPr>
          <w:sz w:val="24"/>
          <w:szCs w:val="24"/>
        </w:rPr>
        <w:t xml:space="preserve">Opal </w:t>
      </w:r>
      <w:r w:rsidR="001837F3" w:rsidRPr="00587C73">
        <w:rPr>
          <w:sz w:val="24"/>
          <w:szCs w:val="24"/>
        </w:rPr>
        <w:t>690</w:t>
      </w:r>
      <w:r w:rsidR="00716301" w:rsidRPr="00587C73">
        <w:rPr>
          <w:sz w:val="24"/>
          <w:szCs w:val="24"/>
        </w:rPr>
        <w:t>) channel with signal from the AE1/AE3 (</w:t>
      </w:r>
      <w:r w:rsidR="00587C73" w:rsidRPr="00587C73">
        <w:rPr>
          <w:sz w:val="24"/>
          <w:szCs w:val="24"/>
        </w:rPr>
        <w:t xml:space="preserve">Opal </w:t>
      </w:r>
      <w:r w:rsidR="001837F3" w:rsidRPr="00587C73">
        <w:rPr>
          <w:sz w:val="24"/>
          <w:szCs w:val="24"/>
        </w:rPr>
        <w:t>650</w:t>
      </w:r>
      <w:r w:rsidR="00716301" w:rsidRPr="00587C73">
        <w:rPr>
          <w:sz w:val="24"/>
          <w:szCs w:val="24"/>
        </w:rPr>
        <w:t>)</w:t>
      </w:r>
      <w:r w:rsidR="001837F3" w:rsidRPr="00587C73">
        <w:rPr>
          <w:sz w:val="24"/>
          <w:szCs w:val="24"/>
        </w:rPr>
        <w:t xml:space="preserve"> channel. </w:t>
      </w:r>
      <w:r w:rsidR="00587C73" w:rsidRPr="00587C73">
        <w:rPr>
          <w:sz w:val="24"/>
          <w:szCs w:val="24"/>
        </w:rPr>
        <w:t xml:space="preserve">When </w:t>
      </w:r>
      <w:r w:rsidR="001837F3" w:rsidRPr="00587C73">
        <w:rPr>
          <w:sz w:val="24"/>
          <w:szCs w:val="24"/>
        </w:rPr>
        <w:t xml:space="preserve">this occurs, </w:t>
      </w:r>
      <w:r w:rsidR="00716301" w:rsidRPr="00587C73">
        <w:rPr>
          <w:sz w:val="24"/>
          <w:szCs w:val="24"/>
        </w:rPr>
        <w:t>it manifest</w:t>
      </w:r>
      <w:r w:rsidR="00587C73" w:rsidRPr="00587C73">
        <w:rPr>
          <w:sz w:val="24"/>
          <w:szCs w:val="24"/>
        </w:rPr>
        <w:t>s</w:t>
      </w:r>
      <w:r w:rsidR="00716301" w:rsidRPr="00587C73">
        <w:rPr>
          <w:sz w:val="24"/>
          <w:szCs w:val="24"/>
        </w:rPr>
        <w:t xml:space="preserve"> as a light </w:t>
      </w:r>
      <w:r w:rsidR="00CE5DA7" w:rsidRPr="00587C73">
        <w:rPr>
          <w:sz w:val="24"/>
          <w:szCs w:val="24"/>
        </w:rPr>
        <w:t>cyto</w:t>
      </w:r>
      <w:r w:rsidR="00716301" w:rsidRPr="00587C73">
        <w:rPr>
          <w:sz w:val="24"/>
          <w:szCs w:val="24"/>
        </w:rPr>
        <w:t>keratin</w:t>
      </w:r>
      <w:r w:rsidR="001837F3" w:rsidRPr="00587C73">
        <w:rPr>
          <w:sz w:val="24"/>
          <w:szCs w:val="24"/>
        </w:rPr>
        <w:t xml:space="preserve"> pattern in th</w:t>
      </w:r>
      <w:r w:rsidR="001A25BA" w:rsidRPr="00587C73">
        <w:rPr>
          <w:sz w:val="24"/>
          <w:szCs w:val="24"/>
        </w:rPr>
        <w:t>e PD-1/</w:t>
      </w:r>
      <w:r w:rsidR="00587C73" w:rsidRPr="00587C73">
        <w:rPr>
          <w:sz w:val="24"/>
          <w:szCs w:val="24"/>
        </w:rPr>
        <w:t xml:space="preserve">Opal </w:t>
      </w:r>
      <w:r w:rsidR="001A25BA" w:rsidRPr="00587C73">
        <w:rPr>
          <w:sz w:val="24"/>
          <w:szCs w:val="24"/>
        </w:rPr>
        <w:t>690 channel. Th</w:t>
      </w:r>
      <w:r w:rsidR="00716301" w:rsidRPr="00587C73">
        <w:rPr>
          <w:sz w:val="24"/>
          <w:szCs w:val="24"/>
        </w:rPr>
        <w:t xml:space="preserve">is artifact can be confirmed </w:t>
      </w:r>
      <w:r w:rsidR="001A25BA" w:rsidRPr="00587C73">
        <w:rPr>
          <w:sz w:val="24"/>
          <w:szCs w:val="24"/>
        </w:rPr>
        <w:t xml:space="preserve">with the </w:t>
      </w:r>
      <w:r w:rsidR="00587C73" w:rsidRPr="00587C73">
        <w:rPr>
          <w:sz w:val="24"/>
          <w:szCs w:val="24"/>
        </w:rPr>
        <w:t xml:space="preserve">Counts </w:t>
      </w:r>
      <w:r w:rsidR="001A25BA" w:rsidRPr="00587C73">
        <w:rPr>
          <w:sz w:val="24"/>
          <w:szCs w:val="24"/>
        </w:rPr>
        <w:t>tool</w:t>
      </w:r>
      <w:r w:rsidR="00CE5DA7" w:rsidRPr="00587C73">
        <w:rPr>
          <w:sz w:val="24"/>
          <w:szCs w:val="24"/>
        </w:rPr>
        <w:t>, particularly</w:t>
      </w:r>
      <w:r w:rsidR="001A25BA" w:rsidRPr="00587C73">
        <w:rPr>
          <w:sz w:val="24"/>
          <w:szCs w:val="24"/>
        </w:rPr>
        <w:t xml:space="preserve"> </w:t>
      </w:r>
      <w:r w:rsidR="00716301" w:rsidRPr="00587C73">
        <w:rPr>
          <w:sz w:val="24"/>
          <w:szCs w:val="24"/>
        </w:rPr>
        <w:t xml:space="preserve">if </w:t>
      </w:r>
      <w:r w:rsidR="001A25BA" w:rsidRPr="00587C73">
        <w:rPr>
          <w:sz w:val="24"/>
          <w:szCs w:val="24"/>
        </w:rPr>
        <w:t>the</w:t>
      </w:r>
      <w:r w:rsidR="001837F3" w:rsidRPr="00587C73">
        <w:rPr>
          <w:sz w:val="24"/>
          <w:szCs w:val="24"/>
        </w:rPr>
        <w:t xml:space="preserve"> maximal </w:t>
      </w:r>
      <w:r w:rsidR="00587C73" w:rsidRPr="00587C73">
        <w:rPr>
          <w:sz w:val="24"/>
          <w:szCs w:val="24"/>
        </w:rPr>
        <w:t xml:space="preserve">Opal </w:t>
      </w:r>
      <w:r w:rsidR="001837F3" w:rsidRPr="00587C73">
        <w:rPr>
          <w:sz w:val="24"/>
          <w:szCs w:val="24"/>
        </w:rPr>
        <w:t>690 in signal is lower than 10</w:t>
      </w:r>
      <w:r w:rsidR="00CE5DA7" w:rsidRPr="00587C73">
        <w:rPr>
          <w:sz w:val="24"/>
          <w:szCs w:val="24"/>
        </w:rPr>
        <w:t xml:space="preserve"> </w:t>
      </w:r>
      <w:r w:rsidR="001A25BA" w:rsidRPr="00587C73">
        <w:rPr>
          <w:sz w:val="24"/>
          <w:szCs w:val="24"/>
        </w:rPr>
        <w:t>normalized counts. In this case, the</w:t>
      </w:r>
      <w:r w:rsidR="001837F3" w:rsidRPr="00587C73">
        <w:rPr>
          <w:sz w:val="24"/>
          <w:szCs w:val="24"/>
        </w:rPr>
        <w:t xml:space="preserve"> concentration of </w:t>
      </w:r>
      <w:r w:rsidR="00587C73" w:rsidRPr="00587C73">
        <w:rPr>
          <w:sz w:val="24"/>
          <w:szCs w:val="24"/>
        </w:rPr>
        <w:t xml:space="preserve">Opal </w:t>
      </w:r>
      <w:r w:rsidR="001837F3" w:rsidRPr="00587C73">
        <w:rPr>
          <w:sz w:val="24"/>
          <w:szCs w:val="24"/>
        </w:rPr>
        <w:t xml:space="preserve">690 </w:t>
      </w:r>
      <w:r w:rsidR="001A25BA" w:rsidRPr="00587C73">
        <w:rPr>
          <w:sz w:val="24"/>
          <w:szCs w:val="24"/>
        </w:rPr>
        <w:t xml:space="preserve">can be increased </w:t>
      </w:r>
      <w:r w:rsidR="001837F3" w:rsidRPr="00587C73">
        <w:rPr>
          <w:sz w:val="24"/>
          <w:szCs w:val="24"/>
        </w:rPr>
        <w:t>by 1.5</w:t>
      </w:r>
      <w:r w:rsidR="00587C73" w:rsidRPr="00587C73">
        <w:rPr>
          <w:rFonts w:cstheme="minorHAnsi"/>
          <w:sz w:val="24"/>
          <w:szCs w:val="24"/>
        </w:rPr>
        <w:t>×</w:t>
      </w:r>
      <w:r w:rsidR="001837F3" w:rsidRPr="00587C73">
        <w:rPr>
          <w:sz w:val="24"/>
          <w:szCs w:val="24"/>
        </w:rPr>
        <w:t xml:space="preserve"> or 2</w:t>
      </w:r>
      <w:r w:rsidR="00587C73" w:rsidRPr="00587C73">
        <w:rPr>
          <w:rFonts w:cstheme="minorHAnsi"/>
          <w:sz w:val="24"/>
          <w:szCs w:val="24"/>
        </w:rPr>
        <w:t>×</w:t>
      </w:r>
      <w:r w:rsidR="001837F3" w:rsidRPr="00587C73">
        <w:rPr>
          <w:sz w:val="24"/>
          <w:szCs w:val="24"/>
        </w:rPr>
        <w:t>.</w:t>
      </w:r>
      <w:r w:rsidR="000519E8" w:rsidRPr="00587C73">
        <w:rPr>
          <w:sz w:val="24"/>
          <w:szCs w:val="24"/>
        </w:rPr>
        <w:t xml:space="preserve"> </w:t>
      </w:r>
      <w:r w:rsidR="00716301" w:rsidRPr="00587C73">
        <w:rPr>
          <w:sz w:val="24"/>
          <w:szCs w:val="24"/>
        </w:rPr>
        <w:t xml:space="preserve">Another example of spectral bleeding in this Opal panel can be observed if the normalized counts are above 30 for CD8+ cells in the </w:t>
      </w:r>
      <w:r w:rsidR="00587C73" w:rsidRPr="00587C73">
        <w:rPr>
          <w:sz w:val="24"/>
          <w:szCs w:val="24"/>
        </w:rPr>
        <w:t xml:space="preserve">Opal </w:t>
      </w:r>
      <w:r w:rsidR="00716301" w:rsidRPr="00587C73">
        <w:rPr>
          <w:sz w:val="24"/>
          <w:szCs w:val="24"/>
        </w:rPr>
        <w:t xml:space="preserve">540 channel. </w:t>
      </w:r>
      <w:r w:rsidR="001A25BA" w:rsidRPr="00587C73">
        <w:rPr>
          <w:sz w:val="24"/>
          <w:szCs w:val="24"/>
        </w:rPr>
        <w:t xml:space="preserve">The </w:t>
      </w:r>
      <w:r w:rsidR="001A25BA" w:rsidRPr="00587C73">
        <w:rPr>
          <w:sz w:val="24"/>
          <w:szCs w:val="24"/>
        </w:rPr>
        <w:lastRenderedPageBreak/>
        <w:t xml:space="preserve">following protocol describes the steps to detect spectral bleeding in the Opal 540 and Opal 570 channels </w:t>
      </w:r>
      <w:r w:rsidR="00587C73">
        <w:rPr>
          <w:sz w:val="24"/>
          <w:szCs w:val="24"/>
        </w:rPr>
        <w:t xml:space="preserve">as an </w:t>
      </w:r>
      <w:r w:rsidR="001A25BA" w:rsidRPr="00587C73">
        <w:rPr>
          <w:sz w:val="24"/>
          <w:szCs w:val="24"/>
        </w:rPr>
        <w:t xml:space="preserve">example. </w:t>
      </w:r>
    </w:p>
    <w:p w14:paraId="4004F5B8" w14:textId="77777777" w:rsidR="002000FA" w:rsidRPr="00587C73" w:rsidRDefault="004D062F" w:rsidP="00585541">
      <w:pPr>
        <w:pStyle w:val="ListParagraph"/>
        <w:numPr>
          <w:ilvl w:val="1"/>
          <w:numId w:val="23"/>
        </w:numPr>
        <w:spacing w:after="0" w:line="480" w:lineRule="auto"/>
        <w:ind w:left="0" w:firstLine="0"/>
        <w:rPr>
          <w:b/>
          <w:sz w:val="24"/>
          <w:szCs w:val="24"/>
        </w:rPr>
      </w:pPr>
      <w:r w:rsidRPr="00587C73">
        <w:rPr>
          <w:sz w:val="24"/>
          <w:szCs w:val="24"/>
        </w:rPr>
        <w:t xml:space="preserve">Using the channel selector, turn off all channels other than OPAL 540 and OPAL 570. A well-designed panel will </w:t>
      </w:r>
      <w:r w:rsidR="00432726" w:rsidRPr="00587C73">
        <w:rPr>
          <w:sz w:val="24"/>
          <w:szCs w:val="24"/>
        </w:rPr>
        <w:t>detect a target</w:t>
      </w:r>
      <w:r w:rsidRPr="00587C73">
        <w:rPr>
          <w:sz w:val="24"/>
          <w:szCs w:val="24"/>
        </w:rPr>
        <w:t xml:space="preserve"> with a different cellular and subcellular distribution (such as ki67) in the OPAL 570 channel.</w:t>
      </w:r>
    </w:p>
    <w:p w14:paraId="19535E66" w14:textId="77777777" w:rsidR="002000FA" w:rsidRPr="00587C73" w:rsidRDefault="00432726" w:rsidP="00585541">
      <w:pPr>
        <w:pStyle w:val="ListParagraph"/>
        <w:numPr>
          <w:ilvl w:val="1"/>
          <w:numId w:val="23"/>
        </w:numPr>
        <w:spacing w:after="0" w:line="480" w:lineRule="auto"/>
        <w:ind w:left="0" w:firstLine="0"/>
        <w:rPr>
          <w:b/>
          <w:sz w:val="24"/>
          <w:szCs w:val="24"/>
        </w:rPr>
      </w:pPr>
      <w:r w:rsidRPr="00587C73">
        <w:rPr>
          <w:sz w:val="24"/>
          <w:szCs w:val="24"/>
        </w:rPr>
        <w:t>T</w:t>
      </w:r>
      <w:r w:rsidR="004D062F" w:rsidRPr="00587C73">
        <w:rPr>
          <w:sz w:val="24"/>
          <w:szCs w:val="24"/>
        </w:rPr>
        <w:t>oggle the CD8/ OPAL 540 signal</w:t>
      </w:r>
      <w:r w:rsidRPr="00587C73">
        <w:rPr>
          <w:sz w:val="24"/>
          <w:szCs w:val="24"/>
        </w:rPr>
        <w:t xml:space="preserve"> on and off while leaving the</w:t>
      </w:r>
      <w:r w:rsidR="004D062F" w:rsidRPr="00587C73">
        <w:rPr>
          <w:sz w:val="24"/>
          <w:szCs w:val="24"/>
        </w:rPr>
        <w:t xml:space="preserve"> ki67/OPAL 570 signal</w:t>
      </w:r>
      <w:r w:rsidRPr="00587C73">
        <w:rPr>
          <w:sz w:val="24"/>
          <w:szCs w:val="24"/>
        </w:rPr>
        <w:t xml:space="preserve"> on</w:t>
      </w:r>
      <w:r w:rsidR="004D062F" w:rsidRPr="00587C73">
        <w:rPr>
          <w:sz w:val="24"/>
          <w:szCs w:val="24"/>
        </w:rPr>
        <w:t>. If there is spectral bleed, t</w:t>
      </w:r>
      <w:r w:rsidR="00067B76" w:rsidRPr="00587C73">
        <w:rPr>
          <w:sz w:val="24"/>
          <w:szCs w:val="24"/>
        </w:rPr>
        <w:t xml:space="preserve">hen there will be a </w:t>
      </w:r>
      <w:r w:rsidR="004D062F" w:rsidRPr="00587C73">
        <w:rPr>
          <w:sz w:val="24"/>
          <w:szCs w:val="24"/>
        </w:rPr>
        <w:t>“phantom” of the CD8/ OPAL 540 staining pattern in the ki67/ OPAL 570 channel.</w:t>
      </w:r>
    </w:p>
    <w:p w14:paraId="2E593EA1" w14:textId="77777777" w:rsidR="002000FA" w:rsidRPr="00587C73" w:rsidRDefault="004D062F" w:rsidP="00585541">
      <w:pPr>
        <w:pStyle w:val="ListParagraph"/>
        <w:numPr>
          <w:ilvl w:val="1"/>
          <w:numId w:val="23"/>
        </w:numPr>
        <w:spacing w:after="0" w:line="480" w:lineRule="auto"/>
        <w:ind w:left="0" w:firstLine="0"/>
        <w:rPr>
          <w:b/>
          <w:sz w:val="24"/>
          <w:szCs w:val="24"/>
        </w:rPr>
      </w:pPr>
      <w:r w:rsidRPr="00587C73">
        <w:rPr>
          <w:sz w:val="24"/>
          <w:szCs w:val="24"/>
        </w:rPr>
        <w:t>The phantom signal will be low in the ki67/ OPAL 570 channel, will have a membranous expression pattern, and will correlate in intensit</w:t>
      </w:r>
      <w:r w:rsidR="00067B76" w:rsidRPr="00587C73">
        <w:rPr>
          <w:sz w:val="24"/>
          <w:szCs w:val="24"/>
        </w:rPr>
        <w:t>y with the CD8/ OPAL 540 signal.</w:t>
      </w:r>
      <w:r w:rsidR="008D6202" w:rsidRPr="00587C73">
        <w:rPr>
          <w:sz w:val="24"/>
          <w:szCs w:val="24"/>
        </w:rPr>
        <w:t xml:space="preserve"> </w:t>
      </w:r>
      <w:r w:rsidRPr="00587C73">
        <w:rPr>
          <w:sz w:val="24"/>
          <w:szCs w:val="24"/>
        </w:rPr>
        <w:t>The solution to this problem is to equalize the CD8/ OPAL 540 signal and the ki67/ OPAL 570 signal by changing the TSA concentration of one or both fluors.</w:t>
      </w:r>
    </w:p>
    <w:p w14:paraId="30C47C95" w14:textId="77777777" w:rsidR="00854F18" w:rsidRPr="00587C73" w:rsidRDefault="002000FA" w:rsidP="00585541">
      <w:pPr>
        <w:pStyle w:val="ListParagraph"/>
        <w:numPr>
          <w:ilvl w:val="0"/>
          <w:numId w:val="16"/>
        </w:numPr>
        <w:spacing w:after="0" w:line="480" w:lineRule="auto"/>
        <w:ind w:left="0" w:firstLine="0"/>
        <w:rPr>
          <w:b/>
          <w:sz w:val="24"/>
          <w:szCs w:val="24"/>
        </w:rPr>
      </w:pPr>
      <w:r w:rsidRPr="00587C73">
        <w:rPr>
          <w:b/>
          <w:sz w:val="24"/>
          <w:szCs w:val="24"/>
        </w:rPr>
        <w:t>Signal Attenuation or Cance</w:t>
      </w:r>
      <w:r w:rsidR="00CE5DA7" w:rsidRPr="00587C73">
        <w:rPr>
          <w:b/>
          <w:sz w:val="24"/>
          <w:szCs w:val="24"/>
        </w:rPr>
        <w:t>l</w:t>
      </w:r>
      <w:r w:rsidRPr="00587C73">
        <w:rPr>
          <w:b/>
          <w:sz w:val="24"/>
          <w:szCs w:val="24"/>
        </w:rPr>
        <w:t xml:space="preserve">lation due to </w:t>
      </w:r>
      <w:r w:rsidR="00AE6E4A" w:rsidRPr="00587C73">
        <w:rPr>
          <w:b/>
          <w:sz w:val="24"/>
          <w:szCs w:val="24"/>
        </w:rPr>
        <w:t xml:space="preserve">TSA Blocking/ </w:t>
      </w:r>
      <w:r w:rsidR="00DC460A" w:rsidRPr="00587C73">
        <w:rPr>
          <w:b/>
          <w:sz w:val="24"/>
          <w:szCs w:val="24"/>
        </w:rPr>
        <w:t>Umbrella Effect</w:t>
      </w:r>
      <w:r w:rsidR="00854F18" w:rsidRPr="00587C73">
        <w:rPr>
          <w:b/>
          <w:sz w:val="24"/>
          <w:szCs w:val="24"/>
        </w:rPr>
        <w:t>.</w:t>
      </w:r>
      <w:r w:rsidR="000519E8" w:rsidRPr="00587C73">
        <w:rPr>
          <w:b/>
          <w:sz w:val="24"/>
          <w:szCs w:val="24"/>
        </w:rPr>
        <w:t xml:space="preserve"> </w:t>
      </w:r>
      <w:r w:rsidR="00854F18" w:rsidRPr="00587C73">
        <w:rPr>
          <w:sz w:val="24"/>
          <w:szCs w:val="24"/>
        </w:rPr>
        <w:t>This artifact can be observed when</w:t>
      </w:r>
      <w:r w:rsidR="004D062F" w:rsidRPr="00587C73">
        <w:rPr>
          <w:sz w:val="24"/>
          <w:szCs w:val="24"/>
        </w:rPr>
        <w:t xml:space="preserve"> two targets colocalize</w:t>
      </w:r>
      <w:r w:rsidR="00854F18" w:rsidRPr="00587C73">
        <w:rPr>
          <w:sz w:val="24"/>
          <w:szCs w:val="24"/>
        </w:rPr>
        <w:t xml:space="preserve"> in the same cell compartment from the same cell</w:t>
      </w:r>
      <w:r w:rsidR="00B677A8" w:rsidRPr="00587C73">
        <w:rPr>
          <w:sz w:val="24"/>
          <w:szCs w:val="24"/>
        </w:rPr>
        <w:t xml:space="preserve"> (Figure 3)</w:t>
      </w:r>
      <w:r w:rsidR="0026184F" w:rsidRPr="00587C73">
        <w:rPr>
          <w:sz w:val="24"/>
          <w:szCs w:val="24"/>
        </w:rPr>
        <w:t xml:space="preserve">. </w:t>
      </w:r>
      <w:r w:rsidR="00854F18" w:rsidRPr="00587C73">
        <w:rPr>
          <w:sz w:val="24"/>
          <w:szCs w:val="24"/>
        </w:rPr>
        <w:t>The</w:t>
      </w:r>
      <w:r w:rsidR="004D062F" w:rsidRPr="00587C73">
        <w:rPr>
          <w:sz w:val="24"/>
          <w:szCs w:val="24"/>
        </w:rPr>
        <w:t xml:space="preserve"> TSA deposition fr</w:t>
      </w:r>
      <w:r w:rsidR="00854F18" w:rsidRPr="00587C73">
        <w:rPr>
          <w:sz w:val="24"/>
          <w:szCs w:val="24"/>
        </w:rPr>
        <w:t>om the target detected first may</w:t>
      </w:r>
      <w:r w:rsidR="004D062F" w:rsidRPr="00587C73">
        <w:rPr>
          <w:sz w:val="24"/>
          <w:szCs w:val="24"/>
        </w:rPr>
        <w:t xml:space="preserve"> block </w:t>
      </w:r>
      <w:r w:rsidR="00854F18" w:rsidRPr="00587C73">
        <w:rPr>
          <w:sz w:val="24"/>
          <w:szCs w:val="24"/>
        </w:rPr>
        <w:t xml:space="preserve">the </w:t>
      </w:r>
      <w:r w:rsidR="004D062F" w:rsidRPr="00587C73">
        <w:rPr>
          <w:sz w:val="24"/>
          <w:szCs w:val="24"/>
        </w:rPr>
        <w:t xml:space="preserve">access to the second epitope, reducing or </w:t>
      </w:r>
      <w:r w:rsidR="00854F18" w:rsidRPr="00587C73">
        <w:rPr>
          <w:sz w:val="24"/>
          <w:szCs w:val="24"/>
        </w:rPr>
        <w:t xml:space="preserve">even </w:t>
      </w:r>
      <w:r w:rsidR="004D062F" w:rsidRPr="00587C73">
        <w:rPr>
          <w:sz w:val="24"/>
          <w:szCs w:val="24"/>
        </w:rPr>
        <w:t>ablating the second signal.</w:t>
      </w:r>
      <w:r w:rsidR="00854F18" w:rsidRPr="00587C73">
        <w:rPr>
          <w:sz w:val="24"/>
          <w:szCs w:val="24"/>
        </w:rPr>
        <w:t xml:space="preserve"> </w:t>
      </w:r>
      <w:r w:rsidR="00277216" w:rsidRPr="00587C73">
        <w:rPr>
          <w:sz w:val="24"/>
          <w:szCs w:val="24"/>
        </w:rPr>
        <w:t>To detect this problem</w:t>
      </w:r>
      <w:r w:rsidR="00854F18" w:rsidRPr="00587C73">
        <w:rPr>
          <w:sz w:val="24"/>
          <w:szCs w:val="24"/>
        </w:rPr>
        <w:t xml:space="preserve">, evaluate </w:t>
      </w:r>
      <w:r w:rsidR="00277216" w:rsidRPr="00587C73">
        <w:rPr>
          <w:sz w:val="24"/>
          <w:szCs w:val="24"/>
        </w:rPr>
        <w:t>one target at a time.</w:t>
      </w:r>
    </w:p>
    <w:p w14:paraId="7CEC2EA6" w14:textId="77777777" w:rsidR="00277216" w:rsidRPr="00587C73" w:rsidRDefault="00277216" w:rsidP="00585541">
      <w:pPr>
        <w:pStyle w:val="ListParagraph"/>
        <w:numPr>
          <w:ilvl w:val="1"/>
          <w:numId w:val="24"/>
        </w:numPr>
        <w:spacing w:after="0" w:line="480" w:lineRule="auto"/>
        <w:ind w:left="0" w:firstLine="0"/>
        <w:rPr>
          <w:b/>
          <w:sz w:val="24"/>
          <w:szCs w:val="24"/>
        </w:rPr>
      </w:pPr>
      <w:r w:rsidRPr="00587C73">
        <w:rPr>
          <w:sz w:val="24"/>
          <w:szCs w:val="24"/>
        </w:rPr>
        <w:t>First, stain two sequential lung adenocarcinoma slides. The first will be stained with the full multiplex and the second will be stained with only the fluorescent monoplex for the target in question (maintain all antigen retrieval conditions)</w:t>
      </w:r>
      <w:r w:rsidR="004D062F" w:rsidRPr="00587C73">
        <w:rPr>
          <w:sz w:val="24"/>
          <w:szCs w:val="24"/>
        </w:rPr>
        <w:t>.</w:t>
      </w:r>
    </w:p>
    <w:p w14:paraId="0BC6A44C" w14:textId="77777777" w:rsidR="002000FA" w:rsidRPr="00587C73" w:rsidRDefault="00277216" w:rsidP="00585541">
      <w:pPr>
        <w:pStyle w:val="ListParagraph"/>
        <w:numPr>
          <w:ilvl w:val="1"/>
          <w:numId w:val="24"/>
        </w:numPr>
        <w:spacing w:after="0" w:line="480" w:lineRule="auto"/>
        <w:ind w:left="0" w:firstLine="0"/>
        <w:rPr>
          <w:sz w:val="24"/>
          <w:szCs w:val="24"/>
        </w:rPr>
      </w:pPr>
      <w:r w:rsidRPr="00587C73">
        <w:rPr>
          <w:sz w:val="24"/>
          <w:szCs w:val="24"/>
        </w:rPr>
        <w:t>Unmix images from the same region of each slide</w:t>
      </w:r>
      <w:r w:rsidR="00AE6E4A" w:rsidRPr="00587C73">
        <w:rPr>
          <w:sz w:val="24"/>
          <w:szCs w:val="24"/>
        </w:rPr>
        <w:t xml:space="preserve"> in a single InForm project</w:t>
      </w:r>
      <w:r w:rsidRPr="00587C73">
        <w:rPr>
          <w:sz w:val="24"/>
          <w:szCs w:val="24"/>
        </w:rPr>
        <w:t>.</w:t>
      </w:r>
      <w:r w:rsidR="00AE6E4A" w:rsidRPr="00587C73">
        <w:rPr>
          <w:sz w:val="24"/>
          <w:szCs w:val="24"/>
        </w:rPr>
        <w:t xml:space="preserve"> Observe the staining pattern visually</w:t>
      </w:r>
      <w:r w:rsidRPr="00587C73">
        <w:rPr>
          <w:sz w:val="24"/>
          <w:szCs w:val="24"/>
        </w:rPr>
        <w:t xml:space="preserve"> and count cells </w:t>
      </w:r>
      <w:r w:rsidR="00AE6E4A" w:rsidRPr="00587C73">
        <w:rPr>
          <w:sz w:val="24"/>
          <w:szCs w:val="24"/>
        </w:rPr>
        <w:t xml:space="preserve">using InForm. If a change in expression pattern </w:t>
      </w:r>
      <w:r w:rsidR="00AE6E4A" w:rsidRPr="00587C73">
        <w:rPr>
          <w:sz w:val="24"/>
          <w:szCs w:val="24"/>
        </w:rPr>
        <w:lastRenderedPageBreak/>
        <w:t>(subjective) or a significant reduction in cell counts is observed in the optimized multiplex as compared to the monoplex</w:t>
      </w:r>
      <w:r w:rsidR="00190338" w:rsidRPr="00587C73">
        <w:rPr>
          <w:sz w:val="24"/>
          <w:szCs w:val="24"/>
        </w:rPr>
        <w:t xml:space="preserve"> </w:t>
      </w:r>
      <w:r w:rsidR="00B677A8" w:rsidRPr="00587C73">
        <w:rPr>
          <w:sz w:val="24"/>
          <w:szCs w:val="24"/>
        </w:rPr>
        <w:t>(</w:t>
      </w:r>
      <w:r w:rsidR="00190338" w:rsidRPr="00587C73">
        <w:rPr>
          <w:sz w:val="24"/>
          <w:szCs w:val="24"/>
        </w:rPr>
        <w:t>Figure S2</w:t>
      </w:r>
      <w:r w:rsidR="00B677A8" w:rsidRPr="00587C73">
        <w:rPr>
          <w:sz w:val="24"/>
          <w:szCs w:val="24"/>
        </w:rPr>
        <w:t>)</w:t>
      </w:r>
      <w:r w:rsidR="00AE6E4A" w:rsidRPr="00587C73">
        <w:rPr>
          <w:sz w:val="24"/>
          <w:szCs w:val="24"/>
        </w:rPr>
        <w:t xml:space="preserve">, then TSA blocking may be occurring. </w:t>
      </w:r>
      <w:r w:rsidR="004D062F" w:rsidRPr="00587C73">
        <w:rPr>
          <w:sz w:val="24"/>
          <w:szCs w:val="24"/>
        </w:rPr>
        <w:t xml:space="preserve">If </w:t>
      </w:r>
      <w:r w:rsidR="00AE6E4A" w:rsidRPr="00587C73">
        <w:rPr>
          <w:sz w:val="24"/>
          <w:szCs w:val="24"/>
        </w:rPr>
        <w:t xml:space="preserve">TSA blocking </w:t>
      </w:r>
      <w:r w:rsidR="004D062F" w:rsidRPr="00587C73">
        <w:rPr>
          <w:sz w:val="24"/>
          <w:szCs w:val="24"/>
        </w:rPr>
        <w:t xml:space="preserve">effect is </w:t>
      </w:r>
      <w:r w:rsidR="00AE6E4A" w:rsidRPr="00587C73">
        <w:rPr>
          <w:sz w:val="24"/>
          <w:szCs w:val="24"/>
        </w:rPr>
        <w:t>suspected</w:t>
      </w:r>
      <w:r w:rsidR="004D062F" w:rsidRPr="00587C73">
        <w:rPr>
          <w:sz w:val="24"/>
          <w:szCs w:val="24"/>
        </w:rPr>
        <w:t>, then the solution to this problem is to:</w:t>
      </w:r>
    </w:p>
    <w:p w14:paraId="5E99B32D" w14:textId="77777777" w:rsidR="002000FA" w:rsidRPr="00587C73" w:rsidRDefault="002000FA" w:rsidP="00585541">
      <w:pPr>
        <w:pStyle w:val="ListParagraph"/>
        <w:numPr>
          <w:ilvl w:val="1"/>
          <w:numId w:val="24"/>
        </w:numPr>
        <w:spacing w:after="0" w:line="480" w:lineRule="auto"/>
        <w:ind w:left="0" w:firstLine="0"/>
        <w:rPr>
          <w:sz w:val="24"/>
          <w:szCs w:val="24"/>
        </w:rPr>
      </w:pPr>
      <w:r w:rsidRPr="00587C73">
        <w:rPr>
          <w:sz w:val="24"/>
          <w:szCs w:val="24"/>
        </w:rPr>
        <w:t>A</w:t>
      </w:r>
      <w:r w:rsidR="004D062F" w:rsidRPr="00587C73">
        <w:rPr>
          <w:sz w:val="24"/>
          <w:szCs w:val="24"/>
        </w:rPr>
        <w:t xml:space="preserve">lternate the order of staining </w:t>
      </w:r>
      <w:r w:rsidR="00AE6E4A" w:rsidRPr="00587C73">
        <w:rPr>
          <w:sz w:val="24"/>
          <w:szCs w:val="24"/>
        </w:rPr>
        <w:t>to stain the blocked target before the blocking target.</w:t>
      </w:r>
      <w:r w:rsidR="00A474BA" w:rsidRPr="00587C73">
        <w:rPr>
          <w:sz w:val="24"/>
          <w:szCs w:val="24"/>
        </w:rPr>
        <w:t xml:space="preserve"> Test for blocking again.</w:t>
      </w:r>
    </w:p>
    <w:p w14:paraId="497BAEB2" w14:textId="77777777" w:rsidR="002000FA" w:rsidRPr="00587C73" w:rsidRDefault="002000FA" w:rsidP="00585541">
      <w:pPr>
        <w:pStyle w:val="ListParagraph"/>
        <w:numPr>
          <w:ilvl w:val="1"/>
          <w:numId w:val="24"/>
        </w:numPr>
        <w:spacing w:after="0" w:line="480" w:lineRule="auto"/>
        <w:ind w:left="0" w:firstLine="0"/>
        <w:rPr>
          <w:sz w:val="24"/>
          <w:szCs w:val="24"/>
        </w:rPr>
      </w:pPr>
      <w:r w:rsidRPr="00587C73">
        <w:rPr>
          <w:sz w:val="24"/>
          <w:szCs w:val="24"/>
        </w:rPr>
        <w:t>R</w:t>
      </w:r>
      <w:r w:rsidR="004D062F" w:rsidRPr="00587C73">
        <w:rPr>
          <w:sz w:val="24"/>
          <w:szCs w:val="24"/>
        </w:rPr>
        <w:t>educe the TSA concentration of the offending fluor</w:t>
      </w:r>
      <w:r w:rsidR="00A474BA" w:rsidRPr="00587C73">
        <w:rPr>
          <w:sz w:val="24"/>
          <w:szCs w:val="24"/>
        </w:rPr>
        <w:t xml:space="preserve"> as low as possible keeping the </w:t>
      </w:r>
      <w:r w:rsidR="004D062F" w:rsidRPr="00587C73">
        <w:rPr>
          <w:sz w:val="24"/>
          <w:szCs w:val="24"/>
        </w:rPr>
        <w:t>normalized values in the range of 10-20.</w:t>
      </w:r>
    </w:p>
    <w:p w14:paraId="28E9CB57" w14:textId="77777777" w:rsidR="002000FA" w:rsidRPr="00587C73" w:rsidRDefault="004D062F" w:rsidP="00585541">
      <w:pPr>
        <w:pStyle w:val="ListParagraph"/>
        <w:numPr>
          <w:ilvl w:val="1"/>
          <w:numId w:val="24"/>
        </w:numPr>
        <w:spacing w:after="0" w:line="480" w:lineRule="auto"/>
        <w:ind w:left="0" w:firstLine="0"/>
        <w:rPr>
          <w:rFonts w:cstheme="minorHAnsi"/>
          <w:sz w:val="24"/>
          <w:szCs w:val="24"/>
        </w:rPr>
      </w:pPr>
      <w:r w:rsidRPr="00587C73">
        <w:rPr>
          <w:sz w:val="24"/>
          <w:szCs w:val="24"/>
        </w:rPr>
        <w:t xml:space="preserve">If neither of these approaches solves the problem, then primary antibody clone and conditions, target/fluor combinations, and/or staining order </w:t>
      </w:r>
      <w:r w:rsidR="00A474BA" w:rsidRPr="00587C73">
        <w:rPr>
          <w:sz w:val="24"/>
          <w:szCs w:val="24"/>
        </w:rPr>
        <w:t>may have to</w:t>
      </w:r>
      <w:r w:rsidRPr="00587C73">
        <w:rPr>
          <w:sz w:val="24"/>
          <w:szCs w:val="24"/>
        </w:rPr>
        <w:t xml:space="preserve"> be revisited.</w:t>
      </w:r>
    </w:p>
    <w:p w14:paraId="2C2A98EE" w14:textId="3FA9A2CE" w:rsidR="0035390D" w:rsidRPr="00587C73" w:rsidRDefault="005502A6" w:rsidP="00585541">
      <w:pPr>
        <w:spacing w:after="0" w:line="480" w:lineRule="auto"/>
        <w:rPr>
          <w:rFonts w:cstheme="minorHAnsi"/>
          <w:b/>
          <w:sz w:val="24"/>
          <w:szCs w:val="24"/>
        </w:rPr>
      </w:pPr>
      <w:r w:rsidRPr="00587C73">
        <w:rPr>
          <w:rFonts w:cstheme="minorHAnsi"/>
          <w:b/>
          <w:sz w:val="24"/>
          <w:szCs w:val="24"/>
        </w:rPr>
        <w:t>Evaluation of a New Opal Panel using Drop</w:t>
      </w:r>
      <w:r w:rsidR="00E06FDE">
        <w:rPr>
          <w:rFonts w:cstheme="minorHAnsi"/>
          <w:b/>
          <w:sz w:val="24"/>
          <w:szCs w:val="24"/>
        </w:rPr>
        <w:t xml:space="preserve"> </w:t>
      </w:r>
      <w:r w:rsidRPr="00587C73">
        <w:rPr>
          <w:rFonts w:cstheme="minorHAnsi"/>
          <w:b/>
          <w:sz w:val="24"/>
          <w:szCs w:val="24"/>
        </w:rPr>
        <w:t>Controls</w:t>
      </w:r>
    </w:p>
    <w:p w14:paraId="7939B182" w14:textId="58B094B6" w:rsidR="00D61B78" w:rsidRPr="00587C73" w:rsidRDefault="005502A6" w:rsidP="00585541">
      <w:pPr>
        <w:spacing w:after="0" w:line="480" w:lineRule="auto"/>
        <w:rPr>
          <w:rFonts w:cstheme="minorHAnsi"/>
          <w:sz w:val="24"/>
          <w:szCs w:val="24"/>
        </w:rPr>
      </w:pPr>
      <w:r w:rsidRPr="00587C73">
        <w:rPr>
          <w:rFonts w:cstheme="minorHAnsi"/>
          <w:sz w:val="24"/>
          <w:szCs w:val="24"/>
        </w:rPr>
        <w:t>The drop</w:t>
      </w:r>
      <w:r w:rsidR="00E06FDE">
        <w:rPr>
          <w:rFonts w:cstheme="minorHAnsi"/>
          <w:sz w:val="24"/>
          <w:szCs w:val="24"/>
        </w:rPr>
        <w:t xml:space="preserve"> </w:t>
      </w:r>
      <w:r w:rsidRPr="00587C73">
        <w:rPr>
          <w:rFonts w:cstheme="minorHAnsi"/>
          <w:sz w:val="24"/>
          <w:szCs w:val="24"/>
        </w:rPr>
        <w:t>controls are identical to the full multiplex except for the absence of one primary antibody in each control slide</w:t>
      </w:r>
      <w:r w:rsidR="00D61B78" w:rsidRPr="00587C73">
        <w:rPr>
          <w:rFonts w:cstheme="minorHAnsi"/>
          <w:sz w:val="24"/>
          <w:szCs w:val="24"/>
        </w:rPr>
        <w:t>. We recommend processing the images from drop</w:t>
      </w:r>
      <w:r w:rsidR="002C3752">
        <w:rPr>
          <w:rFonts w:cstheme="minorHAnsi"/>
          <w:sz w:val="24"/>
          <w:szCs w:val="24"/>
        </w:rPr>
        <w:t xml:space="preserve"> </w:t>
      </w:r>
      <w:r w:rsidR="00D61B78" w:rsidRPr="00587C73">
        <w:rPr>
          <w:rFonts w:cstheme="minorHAnsi"/>
          <w:sz w:val="24"/>
          <w:szCs w:val="24"/>
        </w:rPr>
        <w:t>controls in a single project with a full multiplex</w:t>
      </w:r>
      <w:r w:rsidR="002C3752">
        <w:rPr>
          <w:rFonts w:cstheme="minorHAnsi"/>
          <w:sz w:val="24"/>
          <w:szCs w:val="24"/>
        </w:rPr>
        <w:t xml:space="preserve"> panel</w:t>
      </w:r>
      <w:bookmarkStart w:id="0" w:name="_GoBack"/>
      <w:bookmarkEnd w:id="0"/>
      <w:r w:rsidR="00D61B78" w:rsidRPr="00587C73">
        <w:rPr>
          <w:rFonts w:cstheme="minorHAnsi"/>
          <w:sz w:val="24"/>
          <w:szCs w:val="24"/>
        </w:rPr>
        <w:t>. The purpose of the drop</w:t>
      </w:r>
      <w:r w:rsidR="002C3752">
        <w:rPr>
          <w:rFonts w:cstheme="minorHAnsi"/>
          <w:sz w:val="24"/>
          <w:szCs w:val="24"/>
        </w:rPr>
        <w:t xml:space="preserve"> </w:t>
      </w:r>
      <w:r w:rsidR="00D61B78" w:rsidRPr="00587C73">
        <w:rPr>
          <w:rFonts w:cstheme="minorHAnsi"/>
          <w:sz w:val="24"/>
          <w:szCs w:val="24"/>
        </w:rPr>
        <w:t xml:space="preserve">controls </w:t>
      </w:r>
      <w:r w:rsidR="00E42184" w:rsidRPr="00587C73">
        <w:rPr>
          <w:rFonts w:cstheme="minorHAnsi"/>
          <w:sz w:val="24"/>
          <w:szCs w:val="24"/>
        </w:rPr>
        <w:t xml:space="preserve">is to confirm that </w:t>
      </w:r>
      <w:r w:rsidR="002C3752">
        <w:rPr>
          <w:rFonts w:cstheme="minorHAnsi"/>
          <w:sz w:val="24"/>
          <w:szCs w:val="24"/>
        </w:rPr>
        <w:t xml:space="preserve">the entirety </w:t>
      </w:r>
      <w:r w:rsidR="00CD4CA2" w:rsidRPr="00587C73">
        <w:rPr>
          <w:rFonts w:cstheme="minorHAnsi"/>
          <w:sz w:val="24"/>
          <w:szCs w:val="24"/>
        </w:rPr>
        <w:t xml:space="preserve">of a </w:t>
      </w:r>
      <w:r w:rsidR="00A474BA" w:rsidRPr="00587C73">
        <w:rPr>
          <w:rFonts w:cstheme="minorHAnsi"/>
          <w:sz w:val="24"/>
          <w:szCs w:val="24"/>
        </w:rPr>
        <w:t>particular</w:t>
      </w:r>
      <w:r w:rsidR="0035390D" w:rsidRPr="00587C73">
        <w:rPr>
          <w:rFonts w:cstheme="minorHAnsi"/>
          <w:sz w:val="24"/>
          <w:szCs w:val="24"/>
        </w:rPr>
        <w:t xml:space="preserve"> signal </w:t>
      </w:r>
      <w:r w:rsidR="00CD4CA2" w:rsidRPr="00587C73">
        <w:rPr>
          <w:rFonts w:cstheme="minorHAnsi"/>
          <w:sz w:val="24"/>
          <w:szCs w:val="24"/>
        </w:rPr>
        <w:t>after</w:t>
      </w:r>
      <w:r w:rsidR="0035390D" w:rsidRPr="00587C73">
        <w:rPr>
          <w:rFonts w:cstheme="minorHAnsi"/>
          <w:sz w:val="24"/>
          <w:szCs w:val="24"/>
        </w:rPr>
        <w:t xml:space="preserve"> spectral unmixing is in fact derived from the epitope targeted by the primary antibody associated with that channel.</w:t>
      </w:r>
      <w:r w:rsidRPr="00587C73">
        <w:rPr>
          <w:rFonts w:cstheme="minorHAnsi"/>
          <w:sz w:val="24"/>
          <w:szCs w:val="24"/>
        </w:rPr>
        <w:t xml:space="preserve"> </w:t>
      </w:r>
      <w:r w:rsidR="00D61B78" w:rsidRPr="00587C73">
        <w:rPr>
          <w:rFonts w:cstheme="minorHAnsi"/>
          <w:sz w:val="24"/>
          <w:szCs w:val="24"/>
        </w:rPr>
        <w:t xml:space="preserve">This </w:t>
      </w:r>
      <w:r w:rsidR="002C3752">
        <w:rPr>
          <w:rFonts w:cstheme="minorHAnsi"/>
          <w:sz w:val="24"/>
          <w:szCs w:val="24"/>
        </w:rPr>
        <w:t>en</w:t>
      </w:r>
      <w:r w:rsidR="00D61B78" w:rsidRPr="00587C73">
        <w:rPr>
          <w:rFonts w:cstheme="minorHAnsi"/>
          <w:sz w:val="24"/>
          <w:szCs w:val="24"/>
        </w:rPr>
        <w:t xml:space="preserve">sures that co-staining and spectral unmixing are robust and free of interference. </w:t>
      </w:r>
      <w:r w:rsidR="0035390D" w:rsidRPr="00587C73">
        <w:rPr>
          <w:rFonts w:cstheme="minorHAnsi"/>
          <w:sz w:val="24"/>
          <w:szCs w:val="24"/>
        </w:rPr>
        <w:t>Each drop control should generate no signal in the dropped channel. If a signal is present, this may be due to spectral bleed or to high aut</w:t>
      </w:r>
      <w:r w:rsidR="007E2FDF" w:rsidRPr="00587C73">
        <w:rPr>
          <w:rFonts w:cstheme="minorHAnsi"/>
          <w:sz w:val="24"/>
          <w:szCs w:val="24"/>
        </w:rPr>
        <w:t>ofluorescence in that channel</w:t>
      </w:r>
      <w:r w:rsidR="00CD4CA2" w:rsidRPr="00587C73">
        <w:rPr>
          <w:rFonts w:cstheme="minorHAnsi"/>
          <w:sz w:val="24"/>
          <w:szCs w:val="24"/>
        </w:rPr>
        <w:t xml:space="preserve">. If this is observed, </w:t>
      </w:r>
      <w:r w:rsidR="007E2FDF" w:rsidRPr="00587C73">
        <w:rPr>
          <w:rFonts w:cstheme="minorHAnsi"/>
          <w:sz w:val="24"/>
          <w:szCs w:val="24"/>
        </w:rPr>
        <w:t>r</w:t>
      </w:r>
      <w:r w:rsidR="0035390D" w:rsidRPr="00587C73">
        <w:rPr>
          <w:rFonts w:cstheme="minorHAnsi"/>
          <w:sz w:val="24"/>
          <w:szCs w:val="24"/>
        </w:rPr>
        <w:t>e</w:t>
      </w:r>
      <w:r w:rsidR="007E2FDF" w:rsidRPr="00587C73">
        <w:rPr>
          <w:rFonts w:cstheme="minorHAnsi"/>
          <w:sz w:val="24"/>
          <w:szCs w:val="24"/>
        </w:rPr>
        <w:t>-</w:t>
      </w:r>
      <w:r w:rsidR="0035390D" w:rsidRPr="00587C73">
        <w:rPr>
          <w:rFonts w:cstheme="minorHAnsi"/>
          <w:sz w:val="24"/>
          <w:szCs w:val="24"/>
        </w:rPr>
        <w:t xml:space="preserve">optimization </w:t>
      </w:r>
      <w:r w:rsidR="00CD4CA2" w:rsidRPr="00587C73">
        <w:rPr>
          <w:rFonts w:cstheme="minorHAnsi"/>
          <w:sz w:val="24"/>
          <w:szCs w:val="24"/>
        </w:rPr>
        <w:t xml:space="preserve">is </w:t>
      </w:r>
      <w:r w:rsidR="007E2FDF" w:rsidRPr="00587C73">
        <w:rPr>
          <w:rFonts w:cstheme="minorHAnsi"/>
          <w:sz w:val="24"/>
          <w:szCs w:val="24"/>
        </w:rPr>
        <w:t>required.</w:t>
      </w:r>
    </w:p>
    <w:p w14:paraId="355BBA45" w14:textId="77777777" w:rsidR="00D61B78" w:rsidRPr="00587C73" w:rsidRDefault="0035390D" w:rsidP="00585541">
      <w:pPr>
        <w:spacing w:after="0" w:line="480" w:lineRule="auto"/>
        <w:rPr>
          <w:rFonts w:cstheme="minorHAnsi"/>
          <w:sz w:val="24"/>
          <w:szCs w:val="24"/>
        </w:rPr>
      </w:pPr>
      <w:r w:rsidRPr="00587C73">
        <w:rPr>
          <w:rFonts w:cstheme="minorHAnsi"/>
          <w:sz w:val="24"/>
          <w:szCs w:val="24"/>
        </w:rPr>
        <w:t xml:space="preserve">Drop controls can also identify the umbrella effect. </w:t>
      </w:r>
      <w:r w:rsidR="00EC7BE4" w:rsidRPr="00587C73">
        <w:rPr>
          <w:rFonts w:cstheme="minorHAnsi"/>
          <w:sz w:val="24"/>
          <w:szCs w:val="24"/>
        </w:rPr>
        <w:t>If any target increases in intensity or cell counts when a colocalized and earlier-stained target is dropped, then this may indicate that the TSA deposited to detect the earlier-stained target may be blocking binding of the later-stained primary antibody.</w:t>
      </w:r>
      <w:r w:rsidR="007E2FDF" w:rsidRPr="00587C73">
        <w:rPr>
          <w:rFonts w:cstheme="minorHAnsi"/>
          <w:sz w:val="24"/>
          <w:szCs w:val="24"/>
        </w:rPr>
        <w:t xml:space="preserve"> </w:t>
      </w:r>
    </w:p>
    <w:p w14:paraId="1B05AE3A" w14:textId="4FE0CD2C" w:rsidR="004E5D31" w:rsidRPr="00587C73" w:rsidRDefault="0035390D" w:rsidP="00585541">
      <w:pPr>
        <w:spacing w:after="0" w:line="480" w:lineRule="auto"/>
        <w:rPr>
          <w:b/>
          <w:sz w:val="24"/>
          <w:szCs w:val="24"/>
        </w:rPr>
      </w:pPr>
      <w:r w:rsidRPr="00587C73">
        <w:rPr>
          <w:rFonts w:cstheme="minorHAnsi"/>
          <w:sz w:val="24"/>
          <w:szCs w:val="24"/>
        </w:rPr>
        <w:lastRenderedPageBreak/>
        <w:t>Successful drop controls will provide assurance that each signal is derived faithfully from binding of the appropriate primary antibody and that spectral unmixing for the multiplex at large is not affected by the presence or absence of a particular signal.</w:t>
      </w:r>
      <w:r w:rsidR="00BA0E99" w:rsidRPr="00587C73">
        <w:rPr>
          <w:rFonts w:cstheme="minorHAnsi"/>
          <w:sz w:val="24"/>
          <w:szCs w:val="24"/>
        </w:rPr>
        <w:t xml:space="preserve"> See</w:t>
      </w:r>
      <w:r w:rsidR="0026184F" w:rsidRPr="00587C73">
        <w:rPr>
          <w:rFonts w:cstheme="minorHAnsi"/>
          <w:sz w:val="24"/>
          <w:szCs w:val="24"/>
        </w:rPr>
        <w:t xml:space="preserve"> </w:t>
      </w:r>
      <w:r w:rsidR="00B677A8" w:rsidRPr="00587C73">
        <w:rPr>
          <w:rFonts w:cstheme="minorHAnsi"/>
          <w:sz w:val="24"/>
          <w:szCs w:val="24"/>
        </w:rPr>
        <w:t xml:space="preserve">Figure 5, </w:t>
      </w:r>
      <w:r w:rsidR="00623852">
        <w:rPr>
          <w:rFonts w:cstheme="minorHAnsi"/>
          <w:sz w:val="24"/>
          <w:szCs w:val="24"/>
        </w:rPr>
        <w:t xml:space="preserve">Supplemental Figures </w:t>
      </w:r>
      <w:r w:rsidR="00B677A8" w:rsidRPr="00587C73">
        <w:rPr>
          <w:rFonts w:cstheme="minorHAnsi"/>
          <w:sz w:val="24"/>
          <w:szCs w:val="24"/>
        </w:rPr>
        <w:t>S</w:t>
      </w:r>
      <w:r w:rsidR="00623852">
        <w:rPr>
          <w:rFonts w:cstheme="minorHAnsi"/>
          <w:sz w:val="24"/>
          <w:szCs w:val="24"/>
        </w:rPr>
        <w:t>2</w:t>
      </w:r>
      <w:r w:rsidR="00B677A8" w:rsidRPr="00587C73">
        <w:rPr>
          <w:rFonts w:cstheme="minorHAnsi"/>
          <w:sz w:val="24"/>
          <w:szCs w:val="24"/>
        </w:rPr>
        <w:t xml:space="preserve"> and S</w:t>
      </w:r>
      <w:r w:rsidR="00623852">
        <w:rPr>
          <w:rFonts w:cstheme="minorHAnsi"/>
          <w:sz w:val="24"/>
          <w:szCs w:val="24"/>
        </w:rPr>
        <w:t>3, and</w:t>
      </w:r>
      <w:r w:rsidR="00E42184" w:rsidRPr="00587C73">
        <w:rPr>
          <w:rFonts w:cstheme="minorHAnsi"/>
          <w:sz w:val="24"/>
          <w:szCs w:val="24"/>
        </w:rPr>
        <w:t xml:space="preserve"> </w:t>
      </w:r>
      <w:r w:rsidR="00D61B78" w:rsidRPr="00587C73">
        <w:rPr>
          <w:rFonts w:cstheme="minorHAnsi"/>
          <w:sz w:val="24"/>
          <w:szCs w:val="24"/>
        </w:rPr>
        <w:t xml:space="preserve">Supplemental </w:t>
      </w:r>
      <w:r w:rsidR="00BA0E99" w:rsidRPr="00587C73">
        <w:rPr>
          <w:rFonts w:cstheme="minorHAnsi"/>
          <w:sz w:val="24"/>
          <w:szCs w:val="24"/>
        </w:rPr>
        <w:t xml:space="preserve">Table </w:t>
      </w:r>
      <w:r w:rsidR="00623852">
        <w:rPr>
          <w:rFonts w:cstheme="minorHAnsi"/>
          <w:sz w:val="24"/>
          <w:szCs w:val="24"/>
        </w:rPr>
        <w:t>S</w:t>
      </w:r>
      <w:r w:rsidR="00BA0E99" w:rsidRPr="00587C73">
        <w:rPr>
          <w:rFonts w:cstheme="minorHAnsi"/>
          <w:sz w:val="24"/>
          <w:szCs w:val="24"/>
        </w:rPr>
        <w:t>2</w:t>
      </w:r>
      <w:r w:rsidR="007E2FDF" w:rsidRPr="00587C73">
        <w:rPr>
          <w:rFonts w:cstheme="minorHAnsi"/>
          <w:sz w:val="24"/>
          <w:szCs w:val="24"/>
        </w:rPr>
        <w:t xml:space="preserve"> for a s</w:t>
      </w:r>
      <w:r w:rsidR="00EC7BE4" w:rsidRPr="00587C73">
        <w:rPr>
          <w:rFonts w:cstheme="minorHAnsi"/>
          <w:sz w:val="24"/>
          <w:szCs w:val="24"/>
        </w:rPr>
        <w:t xml:space="preserve">ummary and comparison of </w:t>
      </w:r>
      <w:r w:rsidR="00B677A8" w:rsidRPr="00587C73">
        <w:rPr>
          <w:rFonts w:cstheme="minorHAnsi"/>
          <w:sz w:val="24"/>
          <w:szCs w:val="24"/>
        </w:rPr>
        <w:t xml:space="preserve">fluorescent monoplex, </w:t>
      </w:r>
      <w:r w:rsidR="00EC7BE4" w:rsidRPr="00587C73">
        <w:rPr>
          <w:rFonts w:cstheme="minorHAnsi"/>
          <w:sz w:val="24"/>
          <w:szCs w:val="24"/>
        </w:rPr>
        <w:t>full multiplex, drop controls, and full isotype controls</w:t>
      </w:r>
      <w:r w:rsidR="00C23A5A" w:rsidRPr="00587C73">
        <w:rPr>
          <w:rFonts w:cstheme="minorHAnsi"/>
          <w:sz w:val="24"/>
          <w:szCs w:val="24"/>
        </w:rPr>
        <w:t>.</w:t>
      </w:r>
    </w:p>
    <w:p w14:paraId="43F9B3A6" w14:textId="77777777" w:rsidR="004F4E5F" w:rsidRPr="00587C73" w:rsidRDefault="004F4E5F" w:rsidP="00585541">
      <w:pPr>
        <w:spacing w:after="0" w:line="480" w:lineRule="auto"/>
        <w:rPr>
          <w:b/>
          <w:sz w:val="24"/>
          <w:szCs w:val="24"/>
        </w:rPr>
      </w:pPr>
    </w:p>
    <w:sectPr w:rsidR="004F4E5F" w:rsidRPr="00587C7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68D235" w14:textId="77777777" w:rsidR="002D1917" w:rsidRDefault="002D1917" w:rsidP="00587C73">
      <w:pPr>
        <w:spacing w:after="0" w:line="240" w:lineRule="auto"/>
      </w:pPr>
      <w:r>
        <w:separator/>
      </w:r>
    </w:p>
  </w:endnote>
  <w:endnote w:type="continuationSeparator" w:id="0">
    <w:p w14:paraId="00A69991" w14:textId="77777777" w:rsidR="002D1917" w:rsidRDefault="002D1917" w:rsidP="00587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5569191"/>
      <w:docPartObj>
        <w:docPartGallery w:val="Page Numbers (Bottom of Page)"/>
        <w:docPartUnique/>
      </w:docPartObj>
    </w:sdtPr>
    <w:sdtEndPr>
      <w:rPr>
        <w:noProof/>
      </w:rPr>
    </w:sdtEndPr>
    <w:sdtContent>
      <w:p w14:paraId="12DA859E" w14:textId="5FD15DED" w:rsidR="00587C73" w:rsidRDefault="00587C73">
        <w:pPr>
          <w:pStyle w:val="Footer"/>
          <w:jc w:val="center"/>
        </w:pPr>
        <w:r>
          <w:fldChar w:fldCharType="begin"/>
        </w:r>
        <w:r>
          <w:instrText xml:space="preserve"> PAGE   \* MERGEFORMAT </w:instrText>
        </w:r>
        <w:r>
          <w:fldChar w:fldCharType="separate"/>
        </w:r>
        <w:r w:rsidR="00796F0B">
          <w:rPr>
            <w:noProof/>
          </w:rPr>
          <w:t>5</w:t>
        </w:r>
        <w:r>
          <w:rPr>
            <w:noProof/>
          </w:rPr>
          <w:fldChar w:fldCharType="end"/>
        </w:r>
      </w:p>
    </w:sdtContent>
  </w:sdt>
  <w:p w14:paraId="6444C341" w14:textId="77777777" w:rsidR="00587C73" w:rsidRDefault="00587C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A55EC3" w14:textId="77777777" w:rsidR="002D1917" w:rsidRDefault="002D1917" w:rsidP="00587C73">
      <w:pPr>
        <w:spacing w:after="0" w:line="240" w:lineRule="auto"/>
      </w:pPr>
      <w:r>
        <w:separator/>
      </w:r>
    </w:p>
  </w:footnote>
  <w:footnote w:type="continuationSeparator" w:id="0">
    <w:p w14:paraId="7DA1B517" w14:textId="77777777" w:rsidR="002D1917" w:rsidRDefault="002D1917" w:rsidP="00587C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45877"/>
    <w:multiLevelType w:val="multilevel"/>
    <w:tmpl w:val="70E8F52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127F4B46"/>
    <w:multiLevelType w:val="multilevel"/>
    <w:tmpl w:val="2A684FDC"/>
    <w:lvl w:ilvl="0">
      <w:start w:val="2"/>
      <w:numFmt w:val="decimal"/>
      <w:lvlText w:val="%1."/>
      <w:lvlJc w:val="left"/>
      <w:pPr>
        <w:ind w:left="360" w:hanging="360"/>
      </w:pPr>
      <w:rPr>
        <w:rFonts w:hint="default"/>
        <w:b/>
        <w:i w:val="0"/>
      </w:rPr>
    </w:lvl>
    <w:lvl w:ilvl="1">
      <w:start w:val="1"/>
      <w:numFmt w:val="decimal"/>
      <w:lvlText w:val="%2."/>
      <w:lvlJc w:val="left"/>
      <w:pPr>
        <w:ind w:left="360" w:hanging="360"/>
      </w:pPr>
      <w:rPr>
        <w:rFonts w:asciiTheme="minorHAnsi" w:eastAsiaTheme="minorHAnsi" w:hAnsiTheme="minorHAnsi" w:cstheme="minorBidi" w:hint="default"/>
        <w:b w:val="0"/>
      </w:rPr>
    </w:lvl>
    <w:lvl w:ilvl="2">
      <w:start w:val="1"/>
      <w:numFmt w:val="decimal"/>
      <w:lvlText w:val="%1.%2)%3."/>
      <w:lvlJc w:val="left"/>
      <w:pPr>
        <w:ind w:left="360" w:hanging="360"/>
      </w:pPr>
      <w:rPr>
        <w:rFonts w:hint="default"/>
        <w:b w:val="0"/>
      </w:rPr>
    </w:lvl>
    <w:lvl w:ilvl="3">
      <w:start w:val="1"/>
      <w:numFmt w:val="decimal"/>
      <w:lvlText w:val="%1.%2)%3.%4."/>
      <w:lvlJc w:val="left"/>
      <w:pPr>
        <w:ind w:left="360" w:hanging="360"/>
      </w:pPr>
      <w:rPr>
        <w:rFonts w:hint="default"/>
        <w:b w:val="0"/>
      </w:rPr>
    </w:lvl>
    <w:lvl w:ilvl="4">
      <w:start w:val="1"/>
      <w:numFmt w:val="decimal"/>
      <w:lvlText w:val="%1.%2)%3.%4.%5."/>
      <w:lvlJc w:val="left"/>
      <w:pPr>
        <w:ind w:left="360" w:hanging="360"/>
      </w:pPr>
      <w:rPr>
        <w:rFonts w:hint="default"/>
        <w:b w:val="0"/>
      </w:rPr>
    </w:lvl>
    <w:lvl w:ilvl="5">
      <w:start w:val="1"/>
      <w:numFmt w:val="decimal"/>
      <w:lvlText w:val="%1.%2)%3.%4.%5.%6."/>
      <w:lvlJc w:val="left"/>
      <w:pPr>
        <w:ind w:left="360" w:hanging="360"/>
      </w:pPr>
      <w:rPr>
        <w:rFonts w:hint="default"/>
        <w:b w:val="0"/>
      </w:rPr>
    </w:lvl>
    <w:lvl w:ilvl="6">
      <w:start w:val="1"/>
      <w:numFmt w:val="decimal"/>
      <w:lvlText w:val="%1.%2)%3.%4.%5.%6.%7."/>
      <w:lvlJc w:val="left"/>
      <w:pPr>
        <w:ind w:left="360" w:hanging="360"/>
      </w:pPr>
      <w:rPr>
        <w:rFonts w:hint="default"/>
        <w:b w:val="0"/>
      </w:rPr>
    </w:lvl>
    <w:lvl w:ilvl="7">
      <w:start w:val="1"/>
      <w:numFmt w:val="decimal"/>
      <w:lvlText w:val="%1.%2)%3.%4.%5.%6.%7.%8."/>
      <w:lvlJc w:val="left"/>
      <w:pPr>
        <w:ind w:left="360" w:hanging="360"/>
      </w:pPr>
      <w:rPr>
        <w:rFonts w:hint="default"/>
        <w:b w:val="0"/>
      </w:rPr>
    </w:lvl>
    <w:lvl w:ilvl="8">
      <w:start w:val="1"/>
      <w:numFmt w:val="decimal"/>
      <w:lvlText w:val="%1.%2)%3.%4.%5.%6.%7.%8.%9."/>
      <w:lvlJc w:val="left"/>
      <w:pPr>
        <w:ind w:left="360" w:hanging="360"/>
      </w:pPr>
      <w:rPr>
        <w:rFonts w:hint="default"/>
        <w:b w:val="0"/>
      </w:rPr>
    </w:lvl>
  </w:abstractNum>
  <w:abstractNum w:abstractNumId="2" w15:restartNumberingAfterBreak="0">
    <w:nsid w:val="141344C7"/>
    <w:multiLevelType w:val="multilevel"/>
    <w:tmpl w:val="16DE9812"/>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14AC39D4"/>
    <w:multiLevelType w:val="multilevel"/>
    <w:tmpl w:val="84DA44DA"/>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i w:val="0"/>
      </w:rPr>
    </w:lvl>
    <w:lvl w:ilvl="2">
      <w:start w:val="1"/>
      <w:numFmt w:val="decimal"/>
      <w:lvlText w:val="%1.%2.%3."/>
      <w:lvlJc w:val="left"/>
      <w:pPr>
        <w:ind w:left="360" w:hanging="360"/>
      </w:pPr>
      <w:rPr>
        <w:rFonts w:hint="default"/>
        <w:b w:val="0"/>
      </w:rPr>
    </w:lvl>
    <w:lvl w:ilvl="3">
      <w:start w:val="1"/>
      <w:numFmt w:val="decimal"/>
      <w:lvlText w:val="%1.%2.%3.%4."/>
      <w:lvlJc w:val="left"/>
      <w:pPr>
        <w:ind w:left="360" w:hanging="360"/>
      </w:pPr>
      <w:rPr>
        <w:rFonts w:hint="default"/>
        <w:b w:val="0"/>
      </w:rPr>
    </w:lvl>
    <w:lvl w:ilvl="4">
      <w:start w:val="1"/>
      <w:numFmt w:val="decimal"/>
      <w:lvlText w:val="%1.%2.%3.%4.%5."/>
      <w:lvlJc w:val="left"/>
      <w:pPr>
        <w:ind w:left="360" w:hanging="360"/>
      </w:pPr>
      <w:rPr>
        <w:rFonts w:hint="default"/>
        <w:b w:val="0"/>
      </w:rPr>
    </w:lvl>
    <w:lvl w:ilvl="5">
      <w:start w:val="1"/>
      <w:numFmt w:val="decimal"/>
      <w:lvlText w:val="%1.%2.%3.%4.%5.%6."/>
      <w:lvlJc w:val="left"/>
      <w:pPr>
        <w:ind w:left="360" w:hanging="360"/>
      </w:pPr>
      <w:rPr>
        <w:rFonts w:hint="default"/>
        <w:b w:val="0"/>
      </w:rPr>
    </w:lvl>
    <w:lvl w:ilvl="6">
      <w:start w:val="1"/>
      <w:numFmt w:val="decimal"/>
      <w:lvlText w:val="%1.%2.%3.%4.%5.%6.%7."/>
      <w:lvlJc w:val="left"/>
      <w:pPr>
        <w:ind w:left="360" w:hanging="360"/>
      </w:pPr>
      <w:rPr>
        <w:rFonts w:hint="default"/>
        <w:b w:val="0"/>
      </w:rPr>
    </w:lvl>
    <w:lvl w:ilvl="7">
      <w:start w:val="1"/>
      <w:numFmt w:val="decimal"/>
      <w:lvlText w:val="%1.%2.%3.%4.%5.%6.%7.%8."/>
      <w:lvlJc w:val="left"/>
      <w:pPr>
        <w:ind w:left="360" w:hanging="360"/>
      </w:pPr>
      <w:rPr>
        <w:rFonts w:hint="default"/>
        <w:b w:val="0"/>
      </w:rPr>
    </w:lvl>
    <w:lvl w:ilvl="8">
      <w:start w:val="1"/>
      <w:numFmt w:val="decimal"/>
      <w:lvlText w:val="%1.%2.%3.%4.%5.%6.%7.%8.%9."/>
      <w:lvlJc w:val="left"/>
      <w:pPr>
        <w:ind w:left="360" w:hanging="360"/>
      </w:pPr>
      <w:rPr>
        <w:rFonts w:hint="default"/>
        <w:b w:val="0"/>
      </w:rPr>
    </w:lvl>
  </w:abstractNum>
  <w:abstractNum w:abstractNumId="4" w15:restartNumberingAfterBreak="0">
    <w:nsid w:val="15227605"/>
    <w:multiLevelType w:val="hybridMultilevel"/>
    <w:tmpl w:val="0D9A372E"/>
    <w:lvl w:ilvl="0" w:tplc="36A83874">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8977F7"/>
    <w:multiLevelType w:val="hybridMultilevel"/>
    <w:tmpl w:val="C8C83114"/>
    <w:lvl w:ilvl="0" w:tplc="9AC28910">
      <w:start w:val="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BA83944"/>
    <w:multiLevelType w:val="multilevel"/>
    <w:tmpl w:val="CFE87C00"/>
    <w:lvl w:ilvl="0">
      <w:start w:val="2"/>
      <w:numFmt w:val="decimal"/>
      <w:lvlText w:val="%1."/>
      <w:lvlJc w:val="left"/>
      <w:pPr>
        <w:ind w:left="360" w:hanging="360"/>
      </w:pPr>
      <w:rPr>
        <w:rFonts w:hint="default"/>
        <w:b w:val="0"/>
      </w:rPr>
    </w:lvl>
    <w:lvl w:ilvl="1">
      <w:start w:val="1"/>
      <w:numFmt w:val="decimal"/>
      <w:lvlText w:val="%2."/>
      <w:lvlJc w:val="left"/>
      <w:pPr>
        <w:ind w:left="720" w:hanging="360"/>
      </w:pPr>
      <w:rPr>
        <w:rFonts w:asciiTheme="minorHAnsi" w:eastAsiaTheme="minorHAnsi" w:hAnsiTheme="minorHAnsi" w:cstheme="minorBidi"/>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7" w15:restartNumberingAfterBreak="0">
    <w:nsid w:val="1C1210BA"/>
    <w:multiLevelType w:val="multilevel"/>
    <w:tmpl w:val="C20E0EF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E140E10"/>
    <w:multiLevelType w:val="multilevel"/>
    <w:tmpl w:val="77A6982A"/>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9" w15:restartNumberingAfterBreak="0">
    <w:nsid w:val="2449493A"/>
    <w:multiLevelType w:val="multilevel"/>
    <w:tmpl w:val="0409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10" w15:restartNumberingAfterBreak="0">
    <w:nsid w:val="26943DFA"/>
    <w:multiLevelType w:val="hybridMultilevel"/>
    <w:tmpl w:val="0F48AC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C85465"/>
    <w:multiLevelType w:val="multilevel"/>
    <w:tmpl w:val="FC8296A6"/>
    <w:lvl w:ilvl="0">
      <w:start w:val="2"/>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2C7700B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10A035F"/>
    <w:multiLevelType w:val="hybridMultilevel"/>
    <w:tmpl w:val="306869F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4ED25BB"/>
    <w:multiLevelType w:val="multilevel"/>
    <w:tmpl w:val="02B2B8A0"/>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5" w15:restartNumberingAfterBreak="0">
    <w:nsid w:val="37157103"/>
    <w:multiLevelType w:val="multilevel"/>
    <w:tmpl w:val="90D83F98"/>
    <w:lvl w:ilvl="0">
      <w:start w:val="2"/>
      <w:numFmt w:val="decimal"/>
      <w:lvlText w:val="%1."/>
      <w:lvlJc w:val="left"/>
      <w:pPr>
        <w:ind w:left="504" w:hanging="504"/>
      </w:pPr>
      <w:rPr>
        <w:rFonts w:hint="default"/>
      </w:rPr>
    </w:lvl>
    <w:lvl w:ilvl="1">
      <w:start w:val="1"/>
      <w:numFmt w:val="decimal"/>
      <w:lvlText w:val="%1.%2."/>
      <w:lvlJc w:val="left"/>
      <w:pPr>
        <w:ind w:left="684" w:hanging="504"/>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38747468"/>
    <w:multiLevelType w:val="hybridMultilevel"/>
    <w:tmpl w:val="68FAD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066929"/>
    <w:multiLevelType w:val="multilevel"/>
    <w:tmpl w:val="1FE8528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AEB7F7D"/>
    <w:multiLevelType w:val="multilevel"/>
    <w:tmpl w:val="533A6FF8"/>
    <w:lvl w:ilvl="0">
      <w:start w:val="2"/>
      <w:numFmt w:val="decimal"/>
      <w:lvlText w:val="%1."/>
      <w:lvlJc w:val="left"/>
      <w:pPr>
        <w:ind w:left="360" w:hanging="360"/>
      </w:pPr>
      <w:rPr>
        <w:rFonts w:hint="default"/>
        <w:b w:val="0"/>
      </w:rPr>
    </w:lvl>
    <w:lvl w:ilvl="1">
      <w:start w:val="3"/>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9" w15:restartNumberingAfterBreak="0">
    <w:nsid w:val="3DFB162E"/>
    <w:multiLevelType w:val="hybridMultilevel"/>
    <w:tmpl w:val="3516D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AC0815"/>
    <w:multiLevelType w:val="multilevel"/>
    <w:tmpl w:val="31B2D646"/>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4B5843DE"/>
    <w:multiLevelType w:val="multilevel"/>
    <w:tmpl w:val="AE849E2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D2C5116"/>
    <w:multiLevelType w:val="multilevel"/>
    <w:tmpl w:val="D8D04D72"/>
    <w:lvl w:ilvl="0">
      <w:start w:val="1"/>
      <w:numFmt w:val="decimal"/>
      <w:lvlText w:val="%1."/>
      <w:lvlJc w:val="left"/>
      <w:pPr>
        <w:ind w:left="360" w:hanging="360"/>
      </w:pPr>
      <w:rPr>
        <w:rFonts w:hint="default"/>
        <w:b/>
        <w:i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69C9031D"/>
    <w:multiLevelType w:val="multilevel"/>
    <w:tmpl w:val="EF6C9478"/>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24" w15:restartNumberingAfterBreak="0">
    <w:nsid w:val="6B44649C"/>
    <w:multiLevelType w:val="hybridMultilevel"/>
    <w:tmpl w:val="3B884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BF330B"/>
    <w:multiLevelType w:val="multilevel"/>
    <w:tmpl w:val="BC8E2D14"/>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25A3E97"/>
    <w:multiLevelType w:val="hybridMultilevel"/>
    <w:tmpl w:val="5C7C76F4"/>
    <w:lvl w:ilvl="0" w:tplc="48DA680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D77C07"/>
    <w:multiLevelType w:val="multilevel"/>
    <w:tmpl w:val="A44A20FE"/>
    <w:lvl w:ilvl="0">
      <w:start w:val="1"/>
      <w:numFmt w:val="decimal"/>
      <w:lvlText w:val="%1."/>
      <w:lvlJc w:val="left"/>
      <w:pPr>
        <w:ind w:left="360" w:hanging="360"/>
      </w:pPr>
      <w:rPr>
        <w:rFonts w:asciiTheme="minorHAnsi" w:eastAsiaTheme="minorHAnsi" w:hAnsiTheme="minorHAnsi" w:cstheme="minorBidi"/>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45128ED"/>
    <w:multiLevelType w:val="multilevel"/>
    <w:tmpl w:val="7AA6CB5A"/>
    <w:lvl w:ilvl="0">
      <w:start w:val="2"/>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5940E2D"/>
    <w:multiLevelType w:val="multilevel"/>
    <w:tmpl w:val="84DA44DA"/>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i w:val="0"/>
      </w:rPr>
    </w:lvl>
    <w:lvl w:ilvl="2">
      <w:start w:val="1"/>
      <w:numFmt w:val="decimal"/>
      <w:lvlText w:val="%1.%2.%3."/>
      <w:lvlJc w:val="left"/>
      <w:pPr>
        <w:ind w:left="360" w:hanging="360"/>
      </w:pPr>
      <w:rPr>
        <w:rFonts w:hint="default"/>
        <w:b w:val="0"/>
      </w:rPr>
    </w:lvl>
    <w:lvl w:ilvl="3">
      <w:start w:val="1"/>
      <w:numFmt w:val="decimal"/>
      <w:lvlText w:val="%1.%2.%3.%4."/>
      <w:lvlJc w:val="left"/>
      <w:pPr>
        <w:ind w:left="360" w:hanging="360"/>
      </w:pPr>
      <w:rPr>
        <w:rFonts w:hint="default"/>
        <w:b w:val="0"/>
      </w:rPr>
    </w:lvl>
    <w:lvl w:ilvl="4">
      <w:start w:val="1"/>
      <w:numFmt w:val="decimal"/>
      <w:lvlText w:val="%1.%2.%3.%4.%5."/>
      <w:lvlJc w:val="left"/>
      <w:pPr>
        <w:ind w:left="360" w:hanging="360"/>
      </w:pPr>
      <w:rPr>
        <w:rFonts w:hint="default"/>
        <w:b w:val="0"/>
      </w:rPr>
    </w:lvl>
    <w:lvl w:ilvl="5">
      <w:start w:val="1"/>
      <w:numFmt w:val="decimal"/>
      <w:lvlText w:val="%1.%2.%3.%4.%5.%6."/>
      <w:lvlJc w:val="left"/>
      <w:pPr>
        <w:ind w:left="360" w:hanging="360"/>
      </w:pPr>
      <w:rPr>
        <w:rFonts w:hint="default"/>
        <w:b w:val="0"/>
      </w:rPr>
    </w:lvl>
    <w:lvl w:ilvl="6">
      <w:start w:val="1"/>
      <w:numFmt w:val="decimal"/>
      <w:lvlText w:val="%1.%2.%3.%4.%5.%6.%7."/>
      <w:lvlJc w:val="left"/>
      <w:pPr>
        <w:ind w:left="360" w:hanging="360"/>
      </w:pPr>
      <w:rPr>
        <w:rFonts w:hint="default"/>
        <w:b w:val="0"/>
      </w:rPr>
    </w:lvl>
    <w:lvl w:ilvl="7">
      <w:start w:val="1"/>
      <w:numFmt w:val="decimal"/>
      <w:lvlText w:val="%1.%2.%3.%4.%5.%6.%7.%8."/>
      <w:lvlJc w:val="left"/>
      <w:pPr>
        <w:ind w:left="360" w:hanging="360"/>
      </w:pPr>
      <w:rPr>
        <w:rFonts w:hint="default"/>
        <w:b w:val="0"/>
      </w:rPr>
    </w:lvl>
    <w:lvl w:ilvl="8">
      <w:start w:val="1"/>
      <w:numFmt w:val="decimal"/>
      <w:lvlText w:val="%1.%2.%3.%4.%5.%6.%7.%8.%9."/>
      <w:lvlJc w:val="left"/>
      <w:pPr>
        <w:ind w:left="360" w:hanging="360"/>
      </w:pPr>
      <w:rPr>
        <w:rFonts w:hint="default"/>
        <w:b w:val="0"/>
      </w:rPr>
    </w:lvl>
  </w:abstractNum>
  <w:abstractNum w:abstractNumId="30" w15:restartNumberingAfterBreak="0">
    <w:nsid w:val="7F1477AA"/>
    <w:multiLevelType w:val="multilevel"/>
    <w:tmpl w:val="8070A6F2"/>
    <w:lvl w:ilvl="0">
      <w:start w:val="1"/>
      <w:numFmt w:val="decimal"/>
      <w:lvlText w:val="%1."/>
      <w:lvlJc w:val="left"/>
      <w:pPr>
        <w:ind w:left="648" w:hanging="648"/>
      </w:pPr>
      <w:rPr>
        <w:rFonts w:hint="default"/>
        <w:b w:val="0"/>
      </w:rPr>
    </w:lvl>
    <w:lvl w:ilvl="1">
      <w:start w:val="1"/>
      <w:numFmt w:val="decimal"/>
      <w:lvlText w:val="%1.%2."/>
      <w:lvlJc w:val="left"/>
      <w:pPr>
        <w:ind w:left="648" w:hanging="648"/>
      </w:pPr>
      <w:rPr>
        <w:rFonts w:hint="default"/>
        <w:b/>
        <w:i w:val="0"/>
      </w:rPr>
    </w:lvl>
    <w:lvl w:ilvl="2">
      <w:start w:val="1"/>
      <w:numFmt w:val="decimal"/>
      <w:lvlText w:val="%1.%2.%3."/>
      <w:lvlJc w:val="left"/>
      <w:pPr>
        <w:ind w:left="648" w:hanging="648"/>
      </w:pPr>
      <w:rPr>
        <w:rFonts w:hint="default"/>
        <w:b w:val="0"/>
      </w:rPr>
    </w:lvl>
    <w:lvl w:ilvl="3">
      <w:start w:val="1"/>
      <w:numFmt w:val="decimal"/>
      <w:lvlText w:val="%1.%2.%3.%4."/>
      <w:lvlJc w:val="left"/>
      <w:pPr>
        <w:ind w:left="648" w:hanging="648"/>
      </w:pPr>
      <w:rPr>
        <w:rFonts w:hint="default"/>
        <w:b w:val="0"/>
      </w:rPr>
    </w:lvl>
    <w:lvl w:ilvl="4">
      <w:start w:val="1"/>
      <w:numFmt w:val="decimal"/>
      <w:lvlText w:val="%1.%2.%3.%4.%5."/>
      <w:lvlJc w:val="left"/>
      <w:pPr>
        <w:ind w:left="648" w:hanging="648"/>
      </w:pPr>
      <w:rPr>
        <w:rFonts w:hint="default"/>
        <w:b w:val="0"/>
      </w:rPr>
    </w:lvl>
    <w:lvl w:ilvl="5">
      <w:start w:val="1"/>
      <w:numFmt w:val="decimal"/>
      <w:lvlText w:val="%1.%2.%3.%4.%5.%6."/>
      <w:lvlJc w:val="left"/>
      <w:pPr>
        <w:ind w:left="648" w:hanging="648"/>
      </w:pPr>
      <w:rPr>
        <w:rFonts w:hint="default"/>
        <w:b w:val="0"/>
      </w:rPr>
    </w:lvl>
    <w:lvl w:ilvl="6">
      <w:start w:val="1"/>
      <w:numFmt w:val="decimal"/>
      <w:lvlText w:val="%1.%2.%3.%4.%5.%6.%7."/>
      <w:lvlJc w:val="left"/>
      <w:pPr>
        <w:ind w:left="648" w:hanging="648"/>
      </w:pPr>
      <w:rPr>
        <w:rFonts w:hint="default"/>
        <w:b w:val="0"/>
      </w:rPr>
    </w:lvl>
    <w:lvl w:ilvl="7">
      <w:start w:val="1"/>
      <w:numFmt w:val="decimal"/>
      <w:lvlText w:val="%1.%2.%3.%4.%5.%6.%7.%8."/>
      <w:lvlJc w:val="left"/>
      <w:pPr>
        <w:ind w:left="648" w:hanging="648"/>
      </w:pPr>
      <w:rPr>
        <w:rFonts w:hint="default"/>
        <w:b w:val="0"/>
      </w:rPr>
    </w:lvl>
    <w:lvl w:ilvl="8">
      <w:start w:val="1"/>
      <w:numFmt w:val="decimal"/>
      <w:lvlText w:val="%1.%2.%3.%4.%5.%6.%7.%8.%9."/>
      <w:lvlJc w:val="left"/>
      <w:pPr>
        <w:ind w:left="648" w:hanging="648"/>
      </w:pPr>
      <w:rPr>
        <w:rFonts w:hint="default"/>
        <w:b w:val="0"/>
      </w:rPr>
    </w:lvl>
  </w:abstractNum>
  <w:num w:numId="1">
    <w:abstractNumId w:val="16"/>
  </w:num>
  <w:num w:numId="2">
    <w:abstractNumId w:val="26"/>
  </w:num>
  <w:num w:numId="3">
    <w:abstractNumId w:val="4"/>
  </w:num>
  <w:num w:numId="4">
    <w:abstractNumId w:val="13"/>
  </w:num>
  <w:num w:numId="5">
    <w:abstractNumId w:val="24"/>
  </w:num>
  <w:num w:numId="6">
    <w:abstractNumId w:val="19"/>
  </w:num>
  <w:num w:numId="7">
    <w:abstractNumId w:val="5"/>
  </w:num>
  <w:num w:numId="8">
    <w:abstractNumId w:val="10"/>
  </w:num>
  <w:num w:numId="9">
    <w:abstractNumId w:val="12"/>
  </w:num>
  <w:num w:numId="10">
    <w:abstractNumId w:val="25"/>
  </w:num>
  <w:num w:numId="11">
    <w:abstractNumId w:val="7"/>
  </w:num>
  <w:num w:numId="12">
    <w:abstractNumId w:val="21"/>
  </w:num>
  <w:num w:numId="13">
    <w:abstractNumId w:val="17"/>
  </w:num>
  <w:num w:numId="14">
    <w:abstractNumId w:val="28"/>
  </w:num>
  <w:num w:numId="15">
    <w:abstractNumId w:val="15"/>
  </w:num>
  <w:num w:numId="16">
    <w:abstractNumId w:val="1"/>
  </w:num>
  <w:num w:numId="17">
    <w:abstractNumId w:val="27"/>
  </w:num>
  <w:num w:numId="18">
    <w:abstractNumId w:val="18"/>
  </w:num>
  <w:num w:numId="19">
    <w:abstractNumId w:val="11"/>
  </w:num>
  <w:num w:numId="20">
    <w:abstractNumId w:val="22"/>
  </w:num>
  <w:num w:numId="21">
    <w:abstractNumId w:val="8"/>
  </w:num>
  <w:num w:numId="22">
    <w:abstractNumId w:val="14"/>
  </w:num>
  <w:num w:numId="23">
    <w:abstractNumId w:val="3"/>
  </w:num>
  <w:num w:numId="24">
    <w:abstractNumId w:val="30"/>
  </w:num>
  <w:num w:numId="25">
    <w:abstractNumId w:val="0"/>
  </w:num>
  <w:num w:numId="26">
    <w:abstractNumId w:val="20"/>
  </w:num>
  <w:num w:numId="27">
    <w:abstractNumId w:val="9"/>
  </w:num>
  <w:num w:numId="28">
    <w:abstractNumId w:val="6"/>
  </w:num>
  <w:num w:numId="29">
    <w:abstractNumId w:val="23"/>
  </w:num>
  <w:num w:numId="30">
    <w:abstractNumId w:val="29"/>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D5C"/>
    <w:rsid w:val="00017FFD"/>
    <w:rsid w:val="00032446"/>
    <w:rsid w:val="00037EAA"/>
    <w:rsid w:val="000461B9"/>
    <w:rsid w:val="000519E8"/>
    <w:rsid w:val="00067B76"/>
    <w:rsid w:val="000A3818"/>
    <w:rsid w:val="000A3892"/>
    <w:rsid w:val="000B2D3D"/>
    <w:rsid w:val="000D10B5"/>
    <w:rsid w:val="000F31EF"/>
    <w:rsid w:val="00102CDB"/>
    <w:rsid w:val="0010387E"/>
    <w:rsid w:val="00134354"/>
    <w:rsid w:val="001363C1"/>
    <w:rsid w:val="0016710F"/>
    <w:rsid w:val="00167B73"/>
    <w:rsid w:val="001837F3"/>
    <w:rsid w:val="00190338"/>
    <w:rsid w:val="001922F7"/>
    <w:rsid w:val="00197C3A"/>
    <w:rsid w:val="001A25BA"/>
    <w:rsid w:val="001B2C10"/>
    <w:rsid w:val="001D4A57"/>
    <w:rsid w:val="001D7D92"/>
    <w:rsid w:val="002000FA"/>
    <w:rsid w:val="00221769"/>
    <w:rsid w:val="00235EB8"/>
    <w:rsid w:val="00241DE7"/>
    <w:rsid w:val="0025644C"/>
    <w:rsid w:val="00261173"/>
    <w:rsid w:val="0026184F"/>
    <w:rsid w:val="00265098"/>
    <w:rsid w:val="002758A5"/>
    <w:rsid w:val="00277216"/>
    <w:rsid w:val="00281361"/>
    <w:rsid w:val="002A7657"/>
    <w:rsid w:val="002A77EC"/>
    <w:rsid w:val="002C20A9"/>
    <w:rsid w:val="002C3752"/>
    <w:rsid w:val="002D1917"/>
    <w:rsid w:val="0031138B"/>
    <w:rsid w:val="00313D35"/>
    <w:rsid w:val="00335D5C"/>
    <w:rsid w:val="00342C97"/>
    <w:rsid w:val="00351B05"/>
    <w:rsid w:val="0035390D"/>
    <w:rsid w:val="003724B9"/>
    <w:rsid w:val="003A734C"/>
    <w:rsid w:val="003B622B"/>
    <w:rsid w:val="003C7CB7"/>
    <w:rsid w:val="003D13B8"/>
    <w:rsid w:val="003D59C5"/>
    <w:rsid w:val="0041132A"/>
    <w:rsid w:val="00413815"/>
    <w:rsid w:val="00432726"/>
    <w:rsid w:val="004400F4"/>
    <w:rsid w:val="00460D13"/>
    <w:rsid w:val="00482860"/>
    <w:rsid w:val="00491721"/>
    <w:rsid w:val="004D062F"/>
    <w:rsid w:val="004E5D31"/>
    <w:rsid w:val="004F4E5F"/>
    <w:rsid w:val="00504A2D"/>
    <w:rsid w:val="00512F43"/>
    <w:rsid w:val="00521745"/>
    <w:rsid w:val="005312F9"/>
    <w:rsid w:val="00542DC9"/>
    <w:rsid w:val="005502A6"/>
    <w:rsid w:val="00550A7F"/>
    <w:rsid w:val="005804A0"/>
    <w:rsid w:val="00585541"/>
    <w:rsid w:val="00587C73"/>
    <w:rsid w:val="00590A5E"/>
    <w:rsid w:val="00597E22"/>
    <w:rsid w:val="005B1345"/>
    <w:rsid w:val="005C4950"/>
    <w:rsid w:val="005D7922"/>
    <w:rsid w:val="005E24FF"/>
    <w:rsid w:val="005F1DD3"/>
    <w:rsid w:val="00623852"/>
    <w:rsid w:val="00644AAB"/>
    <w:rsid w:val="006641B8"/>
    <w:rsid w:val="00683E99"/>
    <w:rsid w:val="006A4E45"/>
    <w:rsid w:val="006B5A31"/>
    <w:rsid w:val="006D4AC1"/>
    <w:rsid w:val="00704199"/>
    <w:rsid w:val="00716301"/>
    <w:rsid w:val="00726A7D"/>
    <w:rsid w:val="0073203B"/>
    <w:rsid w:val="007406D6"/>
    <w:rsid w:val="007657EB"/>
    <w:rsid w:val="00792DFB"/>
    <w:rsid w:val="00796F0B"/>
    <w:rsid w:val="007B0A67"/>
    <w:rsid w:val="007B6A85"/>
    <w:rsid w:val="007E2FDF"/>
    <w:rsid w:val="007F6972"/>
    <w:rsid w:val="0080104D"/>
    <w:rsid w:val="00806C6B"/>
    <w:rsid w:val="008130B0"/>
    <w:rsid w:val="00817D65"/>
    <w:rsid w:val="00831671"/>
    <w:rsid w:val="0083247D"/>
    <w:rsid w:val="00854F18"/>
    <w:rsid w:val="008B13B5"/>
    <w:rsid w:val="008B155C"/>
    <w:rsid w:val="008C1507"/>
    <w:rsid w:val="008C6C2F"/>
    <w:rsid w:val="008D5090"/>
    <w:rsid w:val="008D6202"/>
    <w:rsid w:val="00910E3C"/>
    <w:rsid w:val="009262F4"/>
    <w:rsid w:val="00940A50"/>
    <w:rsid w:val="00945ADF"/>
    <w:rsid w:val="00946BA4"/>
    <w:rsid w:val="00953092"/>
    <w:rsid w:val="009554FC"/>
    <w:rsid w:val="00955AF8"/>
    <w:rsid w:val="00955F77"/>
    <w:rsid w:val="009748C8"/>
    <w:rsid w:val="00975134"/>
    <w:rsid w:val="009858DE"/>
    <w:rsid w:val="00985AD6"/>
    <w:rsid w:val="009A42C3"/>
    <w:rsid w:val="009A69D7"/>
    <w:rsid w:val="009C0578"/>
    <w:rsid w:val="00A11756"/>
    <w:rsid w:val="00A12EB2"/>
    <w:rsid w:val="00A21C1E"/>
    <w:rsid w:val="00A474BA"/>
    <w:rsid w:val="00A525A3"/>
    <w:rsid w:val="00A70D3C"/>
    <w:rsid w:val="00AA600C"/>
    <w:rsid w:val="00AB0CFE"/>
    <w:rsid w:val="00AC1778"/>
    <w:rsid w:val="00AC5632"/>
    <w:rsid w:val="00AD583E"/>
    <w:rsid w:val="00AD6742"/>
    <w:rsid w:val="00AD7187"/>
    <w:rsid w:val="00AE23B8"/>
    <w:rsid w:val="00AE3B06"/>
    <w:rsid w:val="00AE55DA"/>
    <w:rsid w:val="00AE6E4A"/>
    <w:rsid w:val="00B159C3"/>
    <w:rsid w:val="00B163E1"/>
    <w:rsid w:val="00B224C4"/>
    <w:rsid w:val="00B2689B"/>
    <w:rsid w:val="00B27C1E"/>
    <w:rsid w:val="00B45B76"/>
    <w:rsid w:val="00B56CE1"/>
    <w:rsid w:val="00B677A8"/>
    <w:rsid w:val="00B73491"/>
    <w:rsid w:val="00B7587A"/>
    <w:rsid w:val="00B76EF5"/>
    <w:rsid w:val="00B934E4"/>
    <w:rsid w:val="00BA0E99"/>
    <w:rsid w:val="00BA324D"/>
    <w:rsid w:val="00BA3653"/>
    <w:rsid w:val="00BB1DE2"/>
    <w:rsid w:val="00BC5620"/>
    <w:rsid w:val="00BE0727"/>
    <w:rsid w:val="00C002F7"/>
    <w:rsid w:val="00C0046C"/>
    <w:rsid w:val="00C07F2F"/>
    <w:rsid w:val="00C23A5A"/>
    <w:rsid w:val="00C342FD"/>
    <w:rsid w:val="00C45ACD"/>
    <w:rsid w:val="00C60573"/>
    <w:rsid w:val="00C734D1"/>
    <w:rsid w:val="00C74339"/>
    <w:rsid w:val="00C91172"/>
    <w:rsid w:val="00CB4E4F"/>
    <w:rsid w:val="00CB64CC"/>
    <w:rsid w:val="00CC27EC"/>
    <w:rsid w:val="00CD4CA2"/>
    <w:rsid w:val="00CE5DA7"/>
    <w:rsid w:val="00CF75B9"/>
    <w:rsid w:val="00D019A5"/>
    <w:rsid w:val="00D068BE"/>
    <w:rsid w:val="00D149D4"/>
    <w:rsid w:val="00D22AB3"/>
    <w:rsid w:val="00D30282"/>
    <w:rsid w:val="00D37FF3"/>
    <w:rsid w:val="00D61B78"/>
    <w:rsid w:val="00D674D6"/>
    <w:rsid w:val="00D81727"/>
    <w:rsid w:val="00D83567"/>
    <w:rsid w:val="00D87392"/>
    <w:rsid w:val="00D971C0"/>
    <w:rsid w:val="00D97A03"/>
    <w:rsid w:val="00DA7E82"/>
    <w:rsid w:val="00DB0F0C"/>
    <w:rsid w:val="00DB2681"/>
    <w:rsid w:val="00DC460A"/>
    <w:rsid w:val="00DD2648"/>
    <w:rsid w:val="00DD7C68"/>
    <w:rsid w:val="00DF0194"/>
    <w:rsid w:val="00E04AA5"/>
    <w:rsid w:val="00E06FDE"/>
    <w:rsid w:val="00E131F7"/>
    <w:rsid w:val="00E14272"/>
    <w:rsid w:val="00E42184"/>
    <w:rsid w:val="00E77C69"/>
    <w:rsid w:val="00E819A1"/>
    <w:rsid w:val="00E85C2B"/>
    <w:rsid w:val="00EA16D7"/>
    <w:rsid w:val="00EA2F11"/>
    <w:rsid w:val="00EC7BE4"/>
    <w:rsid w:val="00F66C05"/>
    <w:rsid w:val="00F71A9A"/>
    <w:rsid w:val="00F747B0"/>
    <w:rsid w:val="00F95E71"/>
    <w:rsid w:val="00FD44EE"/>
    <w:rsid w:val="00FE0A63"/>
    <w:rsid w:val="00FF1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77D58"/>
  <w15:chartTrackingRefBased/>
  <w15:docId w15:val="{DD72F57A-42E6-48CF-BAA4-D2F8F2A8E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5D5C"/>
    <w:pPr>
      <w:ind w:left="720"/>
      <w:contextualSpacing/>
    </w:pPr>
  </w:style>
  <w:style w:type="table" w:styleId="TableGrid">
    <w:name w:val="Table Grid"/>
    <w:basedOn w:val="TableNormal"/>
    <w:uiPriority w:val="39"/>
    <w:rsid w:val="000324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903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0338"/>
    <w:rPr>
      <w:rFonts w:ascii="Segoe UI" w:hAnsi="Segoe UI" w:cs="Segoe UI"/>
      <w:sz w:val="18"/>
      <w:szCs w:val="18"/>
    </w:rPr>
  </w:style>
  <w:style w:type="character" w:styleId="CommentReference">
    <w:name w:val="annotation reference"/>
    <w:basedOn w:val="DefaultParagraphFont"/>
    <w:uiPriority w:val="99"/>
    <w:semiHidden/>
    <w:unhideWhenUsed/>
    <w:rsid w:val="00AD583E"/>
    <w:rPr>
      <w:sz w:val="16"/>
      <w:szCs w:val="16"/>
    </w:rPr>
  </w:style>
  <w:style w:type="paragraph" w:styleId="CommentText">
    <w:name w:val="annotation text"/>
    <w:basedOn w:val="Normal"/>
    <w:link w:val="CommentTextChar"/>
    <w:uiPriority w:val="99"/>
    <w:semiHidden/>
    <w:unhideWhenUsed/>
    <w:rsid w:val="00AD583E"/>
    <w:pPr>
      <w:spacing w:line="240" w:lineRule="auto"/>
    </w:pPr>
    <w:rPr>
      <w:sz w:val="20"/>
      <w:szCs w:val="20"/>
    </w:rPr>
  </w:style>
  <w:style w:type="character" w:customStyle="1" w:styleId="CommentTextChar">
    <w:name w:val="Comment Text Char"/>
    <w:basedOn w:val="DefaultParagraphFont"/>
    <w:link w:val="CommentText"/>
    <w:uiPriority w:val="99"/>
    <w:semiHidden/>
    <w:rsid w:val="00AD583E"/>
    <w:rPr>
      <w:sz w:val="20"/>
      <w:szCs w:val="20"/>
    </w:rPr>
  </w:style>
  <w:style w:type="paragraph" w:styleId="CommentSubject">
    <w:name w:val="annotation subject"/>
    <w:basedOn w:val="CommentText"/>
    <w:next w:val="CommentText"/>
    <w:link w:val="CommentSubjectChar"/>
    <w:uiPriority w:val="99"/>
    <w:semiHidden/>
    <w:unhideWhenUsed/>
    <w:rsid w:val="00AD583E"/>
    <w:rPr>
      <w:b/>
      <w:bCs/>
    </w:rPr>
  </w:style>
  <w:style w:type="character" w:customStyle="1" w:styleId="CommentSubjectChar">
    <w:name w:val="Comment Subject Char"/>
    <w:basedOn w:val="CommentTextChar"/>
    <w:link w:val="CommentSubject"/>
    <w:uiPriority w:val="99"/>
    <w:semiHidden/>
    <w:rsid w:val="00AD583E"/>
    <w:rPr>
      <w:b/>
      <w:bCs/>
      <w:sz w:val="20"/>
      <w:szCs w:val="20"/>
    </w:rPr>
  </w:style>
  <w:style w:type="paragraph" w:styleId="Header">
    <w:name w:val="header"/>
    <w:basedOn w:val="Normal"/>
    <w:link w:val="HeaderChar"/>
    <w:uiPriority w:val="99"/>
    <w:unhideWhenUsed/>
    <w:rsid w:val="00587C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7C73"/>
  </w:style>
  <w:style w:type="paragraph" w:styleId="Footer">
    <w:name w:val="footer"/>
    <w:basedOn w:val="Normal"/>
    <w:link w:val="FooterChar"/>
    <w:uiPriority w:val="99"/>
    <w:unhideWhenUsed/>
    <w:rsid w:val="00587C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7C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4434821">
      <w:bodyDiv w:val="1"/>
      <w:marLeft w:val="0"/>
      <w:marRight w:val="0"/>
      <w:marTop w:val="0"/>
      <w:marBottom w:val="0"/>
      <w:divBdr>
        <w:top w:val="none" w:sz="0" w:space="0" w:color="auto"/>
        <w:left w:val="none" w:sz="0" w:space="0" w:color="auto"/>
        <w:bottom w:val="none" w:sz="0" w:space="0" w:color="auto"/>
        <w:right w:val="none" w:sz="0" w:space="0" w:color="auto"/>
      </w:divBdr>
    </w:div>
    <w:div w:id="414984878">
      <w:bodyDiv w:val="1"/>
      <w:marLeft w:val="0"/>
      <w:marRight w:val="0"/>
      <w:marTop w:val="0"/>
      <w:marBottom w:val="0"/>
      <w:divBdr>
        <w:top w:val="none" w:sz="0" w:space="0" w:color="auto"/>
        <w:left w:val="none" w:sz="0" w:space="0" w:color="auto"/>
        <w:bottom w:val="none" w:sz="0" w:space="0" w:color="auto"/>
        <w:right w:val="none" w:sz="0" w:space="0" w:color="auto"/>
      </w:divBdr>
    </w:div>
    <w:div w:id="421344110">
      <w:bodyDiv w:val="1"/>
      <w:marLeft w:val="0"/>
      <w:marRight w:val="0"/>
      <w:marTop w:val="0"/>
      <w:marBottom w:val="0"/>
      <w:divBdr>
        <w:top w:val="none" w:sz="0" w:space="0" w:color="auto"/>
        <w:left w:val="none" w:sz="0" w:space="0" w:color="auto"/>
        <w:bottom w:val="none" w:sz="0" w:space="0" w:color="auto"/>
        <w:right w:val="none" w:sz="0" w:space="0" w:color="auto"/>
      </w:divBdr>
    </w:div>
    <w:div w:id="588930335">
      <w:bodyDiv w:val="1"/>
      <w:marLeft w:val="0"/>
      <w:marRight w:val="0"/>
      <w:marTop w:val="0"/>
      <w:marBottom w:val="0"/>
      <w:divBdr>
        <w:top w:val="none" w:sz="0" w:space="0" w:color="auto"/>
        <w:left w:val="none" w:sz="0" w:space="0" w:color="auto"/>
        <w:bottom w:val="none" w:sz="0" w:space="0" w:color="auto"/>
        <w:right w:val="none" w:sz="0" w:space="0" w:color="auto"/>
      </w:divBdr>
    </w:div>
    <w:div w:id="602424763">
      <w:bodyDiv w:val="1"/>
      <w:marLeft w:val="0"/>
      <w:marRight w:val="0"/>
      <w:marTop w:val="0"/>
      <w:marBottom w:val="0"/>
      <w:divBdr>
        <w:top w:val="none" w:sz="0" w:space="0" w:color="auto"/>
        <w:left w:val="none" w:sz="0" w:space="0" w:color="auto"/>
        <w:bottom w:val="none" w:sz="0" w:space="0" w:color="auto"/>
        <w:right w:val="none" w:sz="0" w:space="0" w:color="auto"/>
      </w:divBdr>
    </w:div>
    <w:div w:id="914361250">
      <w:bodyDiv w:val="1"/>
      <w:marLeft w:val="0"/>
      <w:marRight w:val="0"/>
      <w:marTop w:val="0"/>
      <w:marBottom w:val="0"/>
      <w:divBdr>
        <w:top w:val="none" w:sz="0" w:space="0" w:color="auto"/>
        <w:left w:val="none" w:sz="0" w:space="0" w:color="auto"/>
        <w:bottom w:val="none" w:sz="0" w:space="0" w:color="auto"/>
        <w:right w:val="none" w:sz="0" w:space="0" w:color="auto"/>
      </w:divBdr>
    </w:div>
    <w:div w:id="1078480997">
      <w:bodyDiv w:val="1"/>
      <w:marLeft w:val="0"/>
      <w:marRight w:val="0"/>
      <w:marTop w:val="0"/>
      <w:marBottom w:val="0"/>
      <w:divBdr>
        <w:top w:val="none" w:sz="0" w:space="0" w:color="auto"/>
        <w:left w:val="none" w:sz="0" w:space="0" w:color="auto"/>
        <w:bottom w:val="none" w:sz="0" w:space="0" w:color="auto"/>
        <w:right w:val="none" w:sz="0" w:space="0" w:color="auto"/>
      </w:divBdr>
    </w:div>
    <w:div w:id="1098525757">
      <w:bodyDiv w:val="1"/>
      <w:marLeft w:val="0"/>
      <w:marRight w:val="0"/>
      <w:marTop w:val="0"/>
      <w:marBottom w:val="0"/>
      <w:divBdr>
        <w:top w:val="none" w:sz="0" w:space="0" w:color="auto"/>
        <w:left w:val="none" w:sz="0" w:space="0" w:color="auto"/>
        <w:bottom w:val="none" w:sz="0" w:space="0" w:color="auto"/>
        <w:right w:val="none" w:sz="0" w:space="0" w:color="auto"/>
      </w:divBdr>
    </w:div>
    <w:div w:id="1311862130">
      <w:bodyDiv w:val="1"/>
      <w:marLeft w:val="0"/>
      <w:marRight w:val="0"/>
      <w:marTop w:val="0"/>
      <w:marBottom w:val="0"/>
      <w:divBdr>
        <w:top w:val="none" w:sz="0" w:space="0" w:color="auto"/>
        <w:left w:val="none" w:sz="0" w:space="0" w:color="auto"/>
        <w:bottom w:val="none" w:sz="0" w:space="0" w:color="auto"/>
        <w:right w:val="none" w:sz="0" w:space="0" w:color="auto"/>
      </w:divBdr>
    </w:div>
    <w:div w:id="1508014584">
      <w:bodyDiv w:val="1"/>
      <w:marLeft w:val="0"/>
      <w:marRight w:val="0"/>
      <w:marTop w:val="0"/>
      <w:marBottom w:val="0"/>
      <w:divBdr>
        <w:top w:val="none" w:sz="0" w:space="0" w:color="auto"/>
        <w:left w:val="none" w:sz="0" w:space="0" w:color="auto"/>
        <w:bottom w:val="none" w:sz="0" w:space="0" w:color="auto"/>
        <w:right w:val="none" w:sz="0" w:space="0" w:color="auto"/>
      </w:divBdr>
    </w:div>
    <w:div w:id="1635212957">
      <w:bodyDiv w:val="1"/>
      <w:marLeft w:val="0"/>
      <w:marRight w:val="0"/>
      <w:marTop w:val="0"/>
      <w:marBottom w:val="0"/>
      <w:divBdr>
        <w:top w:val="none" w:sz="0" w:space="0" w:color="auto"/>
        <w:left w:val="none" w:sz="0" w:space="0" w:color="auto"/>
        <w:bottom w:val="none" w:sz="0" w:space="0" w:color="auto"/>
        <w:right w:val="none" w:sz="0" w:space="0" w:color="auto"/>
      </w:divBdr>
    </w:div>
    <w:div w:id="1873810687">
      <w:bodyDiv w:val="1"/>
      <w:marLeft w:val="0"/>
      <w:marRight w:val="0"/>
      <w:marTop w:val="0"/>
      <w:marBottom w:val="0"/>
      <w:divBdr>
        <w:top w:val="none" w:sz="0" w:space="0" w:color="auto"/>
        <w:left w:val="none" w:sz="0" w:space="0" w:color="auto"/>
        <w:bottom w:val="none" w:sz="0" w:space="0" w:color="auto"/>
        <w:right w:val="none" w:sz="0" w:space="0" w:color="auto"/>
      </w:divBdr>
    </w:div>
    <w:div w:id="1916276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1128</Words>
  <Characters>6436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Surace, Michael</dc:creator>
  <cp:keywords/>
  <dc:description/>
  <cp:lastModifiedBy>Rodriguez Canales, Jaime</cp:lastModifiedBy>
  <cp:revision>9</cp:revision>
  <dcterms:created xsi:type="dcterms:W3CDTF">2018-09-10T20:08:00Z</dcterms:created>
  <dcterms:modified xsi:type="dcterms:W3CDTF">2018-09-11T19:10:00Z</dcterms:modified>
</cp:coreProperties>
</file>