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960" w:rsidRPr="00924EED" w:rsidRDefault="004F3126" w:rsidP="004F3126">
      <w:pPr>
        <w:jc w:val="center"/>
        <w:rPr>
          <w:lang w:val="en-GB"/>
        </w:rPr>
      </w:pPr>
      <w:r w:rsidRPr="00924EED">
        <w:rPr>
          <w:lang w:val="en-GB"/>
        </w:rPr>
        <w:t>Authors’ responses to Editoria</w:t>
      </w:r>
      <w:r w:rsidR="00924EED" w:rsidRPr="00924EED">
        <w:rPr>
          <w:lang w:val="en-GB"/>
        </w:rPr>
        <w:t xml:space="preserve">l </w:t>
      </w:r>
      <w:r w:rsidRPr="00924EED">
        <w:rPr>
          <w:lang w:val="en-GB"/>
        </w:rPr>
        <w:t>Comments</w:t>
      </w:r>
      <w:r w:rsidR="00924EED" w:rsidRPr="00924EED">
        <w:rPr>
          <w:lang w:val="en-GB"/>
        </w:rPr>
        <w:t>, 2</w:t>
      </w:r>
      <w:r w:rsidR="00924EED" w:rsidRPr="00924EED">
        <w:rPr>
          <w:vertAlign w:val="superscript"/>
          <w:lang w:val="en-GB"/>
        </w:rPr>
        <w:t>nd</w:t>
      </w:r>
      <w:r w:rsidR="00924EED" w:rsidRPr="00924EED">
        <w:rPr>
          <w:lang w:val="en-GB"/>
        </w:rPr>
        <w:t xml:space="preserve"> round</w:t>
      </w:r>
      <w:r w:rsidRPr="00924EED">
        <w:rPr>
          <w:lang w:val="en-GB"/>
        </w:rPr>
        <w:br/>
        <w:t>Manuscript, JoVE58290</w:t>
      </w:r>
      <w:r w:rsidRPr="00924EED">
        <w:rPr>
          <w:lang w:val="en-GB"/>
        </w:rPr>
        <w:br/>
        <w:t>Contractions of human iPSC-derived cardiomyocyte syncytia measured with a Ca-sensitive fluorescent dye in temperature-controlled 384-well plates by Sube, R &amp; Ertel, E. A.</w:t>
      </w:r>
    </w:p>
    <w:p w:rsidR="00F716D3" w:rsidRPr="00924EED" w:rsidRDefault="00F716D3" w:rsidP="003803E3">
      <w:pPr>
        <w:spacing w:after="0"/>
        <w:rPr>
          <w:lang w:val="en-GB"/>
        </w:rPr>
      </w:pPr>
    </w:p>
    <w:tbl>
      <w:tblPr>
        <w:tblStyle w:val="TableGrid"/>
        <w:tblW w:w="0" w:type="auto"/>
        <w:tblLook w:val="04A0" w:firstRow="1" w:lastRow="0" w:firstColumn="1" w:lastColumn="0" w:noHBand="0" w:noVBand="1"/>
      </w:tblPr>
      <w:tblGrid>
        <w:gridCol w:w="6374"/>
        <w:gridCol w:w="4154"/>
      </w:tblGrid>
      <w:tr w:rsidR="00F716D3" w:rsidRPr="00924EED" w:rsidTr="00924EED">
        <w:tc>
          <w:tcPr>
            <w:tcW w:w="6374" w:type="dxa"/>
          </w:tcPr>
          <w:p w:rsidR="00F716D3" w:rsidRPr="00924EED" w:rsidRDefault="007529C5" w:rsidP="00924EED">
            <w:pPr>
              <w:ind w:left="164" w:hanging="164"/>
              <w:rPr>
                <w:lang w:val="en-GB"/>
              </w:rPr>
            </w:pPr>
            <w:r w:rsidRPr="007529C5">
              <w:rPr>
                <w:lang w:val="en-GB"/>
              </w:rPr>
              <w:t>Editorial comments</w:t>
            </w:r>
          </w:p>
        </w:tc>
        <w:tc>
          <w:tcPr>
            <w:tcW w:w="4154" w:type="dxa"/>
          </w:tcPr>
          <w:p w:rsidR="00F716D3" w:rsidRPr="00924EED" w:rsidRDefault="007529C5" w:rsidP="003D6462">
            <w:pPr>
              <w:rPr>
                <w:lang w:val="en-GB"/>
              </w:rPr>
            </w:pPr>
            <w:r>
              <w:rPr>
                <w:lang w:val="en-GB"/>
              </w:rPr>
              <w:t>Authors' answers</w:t>
            </w:r>
          </w:p>
        </w:tc>
      </w:tr>
      <w:tr w:rsidR="007529C5" w:rsidRPr="00924EED" w:rsidTr="00924EED">
        <w:tc>
          <w:tcPr>
            <w:tcW w:w="6374" w:type="dxa"/>
          </w:tcPr>
          <w:p w:rsidR="007529C5" w:rsidRPr="00924EED" w:rsidRDefault="007529C5" w:rsidP="007529C5">
            <w:pPr>
              <w:ind w:left="164" w:hanging="164"/>
              <w:rPr>
                <w:lang w:val="en-GB"/>
              </w:rPr>
            </w:pPr>
            <w:r w:rsidRPr="00924EED">
              <w:rPr>
                <w:lang w:val="en-GB"/>
              </w:rPr>
              <w:t>1. The editor has formatted the manuscript to match the journal's style. Please retain the same.</w:t>
            </w:r>
          </w:p>
        </w:tc>
        <w:tc>
          <w:tcPr>
            <w:tcW w:w="4154" w:type="dxa"/>
          </w:tcPr>
          <w:p w:rsidR="007529C5" w:rsidRPr="00924EED" w:rsidRDefault="007529C5" w:rsidP="007529C5">
            <w:pPr>
              <w:rPr>
                <w:lang w:val="en-GB"/>
              </w:rPr>
            </w:pPr>
            <w:r w:rsidRPr="00924EED">
              <w:rPr>
                <w:lang w:val="en-GB"/>
              </w:rPr>
              <w:t>ok</w:t>
            </w:r>
          </w:p>
        </w:tc>
      </w:tr>
      <w:tr w:rsidR="00F716D3" w:rsidRPr="00924EED" w:rsidTr="00924EED">
        <w:tc>
          <w:tcPr>
            <w:tcW w:w="6374" w:type="dxa"/>
          </w:tcPr>
          <w:p w:rsidR="00F716D3" w:rsidRPr="00924EED" w:rsidRDefault="00924EED" w:rsidP="00924EED">
            <w:pPr>
              <w:ind w:left="164" w:hanging="164"/>
              <w:rPr>
                <w:lang w:val="en-GB"/>
              </w:rPr>
            </w:pPr>
            <w:r w:rsidRPr="00924EED">
              <w:rPr>
                <w:lang w:val="en-GB"/>
              </w:rPr>
              <w:t>2. Please address all specific com</w:t>
            </w:r>
            <w:r w:rsidRPr="00924EED">
              <w:rPr>
                <w:lang w:val="en-GB"/>
              </w:rPr>
              <w:t>ments marked in the manuscript.</w:t>
            </w:r>
          </w:p>
        </w:tc>
        <w:tc>
          <w:tcPr>
            <w:tcW w:w="4154" w:type="dxa"/>
          </w:tcPr>
          <w:p w:rsidR="00F716D3" w:rsidRDefault="007529C5" w:rsidP="003D6462">
            <w:pPr>
              <w:rPr>
                <w:lang w:val="en-GB"/>
              </w:rPr>
            </w:pPr>
            <w:r w:rsidRPr="00924EED">
              <w:rPr>
                <w:lang w:val="en-GB"/>
              </w:rPr>
              <w:t>D</w:t>
            </w:r>
            <w:r w:rsidR="00F716D3" w:rsidRPr="00924EED">
              <w:rPr>
                <w:lang w:val="en-GB"/>
              </w:rPr>
              <w:t>one</w:t>
            </w:r>
            <w:r>
              <w:rPr>
                <w:lang w:val="en-GB"/>
              </w:rPr>
              <w:t xml:space="preserve"> but:</w:t>
            </w:r>
          </w:p>
          <w:p w:rsidR="007529C5" w:rsidRPr="00924EED" w:rsidRDefault="007529C5" w:rsidP="003D6462">
            <w:pPr>
              <w:rPr>
                <w:lang w:val="en-GB"/>
              </w:rPr>
            </w:pPr>
            <w:r w:rsidRPr="007529C5">
              <w:rPr>
                <w:color w:val="FF0000"/>
                <w:lang w:val="en-GB"/>
              </w:rPr>
              <w:t>I could not rewrite the note after step 1.1.1 because I do not understand what you are looking for.</w:t>
            </w:r>
          </w:p>
        </w:tc>
      </w:tr>
      <w:tr w:rsidR="003803E3" w:rsidRPr="00924EED" w:rsidTr="00924EED">
        <w:tc>
          <w:tcPr>
            <w:tcW w:w="6374" w:type="dxa"/>
            <w:shd w:val="clear" w:color="auto" w:fill="auto"/>
          </w:tcPr>
          <w:p w:rsidR="003803E3" w:rsidRPr="00924EED" w:rsidRDefault="00924EED" w:rsidP="00924EED">
            <w:pPr>
              <w:ind w:left="164" w:hanging="164"/>
              <w:rPr>
                <w:lang w:val="en-GB"/>
              </w:rPr>
            </w:pPr>
            <w:r w:rsidRPr="00924EED">
              <w:rPr>
                <w:lang w:val="en-GB"/>
              </w:rPr>
              <w:t>3. Please do not make a separate section on materials and equipment. Few parts can be added to the table of materials and few sentences can be added as a note under the relevant step. Some of it can be moved to the discussion. Please see step 1.1. for exam</w:t>
            </w:r>
            <w:r w:rsidRPr="00924EED">
              <w:rPr>
                <w:lang w:val="en-GB"/>
              </w:rPr>
              <w:t>ple.</w:t>
            </w:r>
          </w:p>
        </w:tc>
        <w:tc>
          <w:tcPr>
            <w:tcW w:w="4154" w:type="dxa"/>
          </w:tcPr>
          <w:p w:rsidR="00A461F9" w:rsidRPr="00924EED" w:rsidRDefault="00924EED" w:rsidP="003D6462">
            <w:pPr>
              <w:rPr>
                <w:lang w:val="en-GB"/>
              </w:rPr>
            </w:pPr>
            <w:r w:rsidRPr="00924EED">
              <w:rPr>
                <w:lang w:val="en-GB"/>
              </w:rPr>
              <w:t>removed</w:t>
            </w:r>
          </w:p>
        </w:tc>
      </w:tr>
      <w:tr w:rsidR="00F716D3" w:rsidRPr="00924EED" w:rsidTr="00924EED">
        <w:tc>
          <w:tcPr>
            <w:tcW w:w="6374" w:type="dxa"/>
          </w:tcPr>
          <w:p w:rsidR="00F716D3" w:rsidRPr="00924EED" w:rsidRDefault="00924EED" w:rsidP="00924EED">
            <w:pPr>
              <w:ind w:left="164" w:hanging="164"/>
              <w:rPr>
                <w:lang w:val="en-GB"/>
              </w:rPr>
            </w:pPr>
            <w:r w:rsidRPr="00924EED">
              <w:rPr>
                <w:lang w:val="en-GB"/>
              </w:rPr>
              <w:t>4. Please do not use commerc</w:t>
            </w:r>
            <w:r w:rsidRPr="00924EED">
              <w:rPr>
                <w:lang w:val="en-GB"/>
              </w:rPr>
              <w:t>ial language in the manuscript.</w:t>
            </w:r>
          </w:p>
        </w:tc>
        <w:tc>
          <w:tcPr>
            <w:tcW w:w="4154" w:type="dxa"/>
          </w:tcPr>
          <w:p w:rsidR="00F716D3" w:rsidRPr="00924EED" w:rsidRDefault="005420DE" w:rsidP="003D6462">
            <w:pPr>
              <w:rPr>
                <w:lang w:val="en-GB"/>
              </w:rPr>
            </w:pPr>
            <w:r w:rsidRPr="00924EED">
              <w:rPr>
                <w:lang w:val="en-GB"/>
              </w:rPr>
              <w:t>done</w:t>
            </w:r>
          </w:p>
        </w:tc>
      </w:tr>
      <w:tr w:rsidR="003803E3" w:rsidRPr="00924EED" w:rsidTr="00924EED">
        <w:tc>
          <w:tcPr>
            <w:tcW w:w="6374" w:type="dxa"/>
          </w:tcPr>
          <w:p w:rsidR="003803E3" w:rsidRPr="00924EED" w:rsidRDefault="00924EED" w:rsidP="00924EED">
            <w:pPr>
              <w:ind w:left="164" w:hanging="164"/>
              <w:rPr>
                <w:lang w:val="en-GB"/>
              </w:rPr>
            </w:pPr>
            <w:r w:rsidRPr="00924EED">
              <w:rPr>
                <w:lang w:val="en-GB"/>
              </w:rPr>
              <w:t>5. Please ensure you answer the “how” question, i.e., how is the step performed? This means we need hard experimental steps, button clic</w:t>
            </w:r>
            <w:r w:rsidRPr="00924EED">
              <w:rPr>
                <w:lang w:val="en-GB"/>
              </w:rPr>
              <w:t>ks or Graphical user interface.</w:t>
            </w:r>
          </w:p>
        </w:tc>
        <w:tc>
          <w:tcPr>
            <w:tcW w:w="4154" w:type="dxa"/>
          </w:tcPr>
          <w:p w:rsidR="007529C5" w:rsidRDefault="007529C5" w:rsidP="007529C5">
            <w:pPr>
              <w:rPr>
                <w:lang w:val="en-GB"/>
              </w:rPr>
            </w:pPr>
            <w:r>
              <w:rPr>
                <w:lang w:val="en-GB"/>
              </w:rPr>
              <w:t>Tried to</w:t>
            </w:r>
            <w:r>
              <w:rPr>
                <w:lang w:val="en-GB"/>
              </w:rPr>
              <w:t xml:space="preserve"> but:</w:t>
            </w:r>
          </w:p>
          <w:p w:rsidR="003803E3" w:rsidRPr="00924EED" w:rsidRDefault="007529C5" w:rsidP="003D6462">
            <w:pPr>
              <w:rPr>
                <w:lang w:val="en-GB"/>
              </w:rPr>
            </w:pPr>
            <w:r>
              <w:rPr>
                <w:color w:val="FF0000"/>
                <w:lang w:val="en-GB"/>
              </w:rPr>
              <w:t>We re</w:t>
            </w:r>
            <w:r w:rsidR="00924EED" w:rsidRPr="007529C5">
              <w:rPr>
                <w:color w:val="FF0000"/>
                <w:lang w:val="en-GB"/>
              </w:rPr>
              <w:t xml:space="preserve"> not clear to which level of knowledge (or ignorance) of different techniques we are addressing ourselves. If we do not need to explain how to use a centrifuge, do we really need to explain how to use a device software. I would assume that any person capable of running a multi-well plate reader does not need to be told how to start data acquisition. In this case as well, by being too specific, one limits oneself to a specific piece of software.</w:t>
            </w:r>
          </w:p>
        </w:tc>
      </w:tr>
      <w:tr w:rsidR="00F716D3" w:rsidRPr="00924EED" w:rsidTr="00924EED">
        <w:tc>
          <w:tcPr>
            <w:tcW w:w="6374" w:type="dxa"/>
          </w:tcPr>
          <w:p w:rsidR="00924EED" w:rsidRPr="00924EED" w:rsidRDefault="00924EED" w:rsidP="00924EED">
            <w:pPr>
              <w:ind w:left="164" w:hanging="164"/>
              <w:rPr>
                <w:lang w:val="en-GB"/>
              </w:rPr>
            </w:pPr>
            <w:r w:rsidRPr="00924EED">
              <w:rPr>
                <w:lang w:val="en-GB"/>
              </w:rPr>
              <w:t>6. Once formatted, please highlight 2.75 pages or less of the Protocol (including headings and spacing) that identifies the essential steps of the protocol for the video, i.e., the steps that should be visualized to tell the most cohesive story of the Protocol. The highlighted steps should form a cohesive narrative with a logical flow from one highlighted step to the next. Remember that non-highlighted Protocol steps will remain in the manuscript, and therefore will still be available to the reader.</w:t>
            </w:r>
          </w:p>
          <w:p w:rsidR="00F716D3" w:rsidRPr="00924EED" w:rsidRDefault="00F716D3" w:rsidP="00924EED">
            <w:pPr>
              <w:ind w:left="164" w:hanging="142"/>
              <w:rPr>
                <w:lang w:val="en-GB"/>
              </w:rPr>
            </w:pPr>
          </w:p>
        </w:tc>
        <w:tc>
          <w:tcPr>
            <w:tcW w:w="4154" w:type="dxa"/>
          </w:tcPr>
          <w:p w:rsidR="006D4068" w:rsidRDefault="006D4068" w:rsidP="003D6462">
            <w:pPr>
              <w:rPr>
                <w:lang w:val="en-GB"/>
              </w:rPr>
            </w:pPr>
            <w:r>
              <w:rPr>
                <w:lang w:val="en-GB"/>
              </w:rPr>
              <w:t>Done but:</w:t>
            </w:r>
          </w:p>
          <w:p w:rsidR="00F716D3" w:rsidRPr="00924EED" w:rsidRDefault="00924EED" w:rsidP="003D6462">
            <w:pPr>
              <w:rPr>
                <w:lang w:val="en-GB"/>
              </w:rPr>
            </w:pPr>
            <w:r w:rsidRPr="007529C5">
              <w:rPr>
                <w:color w:val="FF0000"/>
                <w:lang w:val="en-GB"/>
              </w:rPr>
              <w:t>How do you handle the "</w:t>
            </w:r>
            <w:r w:rsidRPr="007529C5">
              <w:rPr>
                <w:color w:val="FF0000"/>
                <w:lang w:val="en-GB"/>
              </w:rPr>
              <w:t>do not use commercial language</w:t>
            </w:r>
            <w:r w:rsidRPr="007529C5">
              <w:rPr>
                <w:color w:val="FF0000"/>
                <w:lang w:val="en-GB"/>
              </w:rPr>
              <w:t xml:space="preserve">" for the video. </w:t>
            </w:r>
            <w:r w:rsidR="006D4068" w:rsidRPr="007529C5">
              <w:rPr>
                <w:color w:val="FF0000"/>
                <w:lang w:val="en-GB"/>
              </w:rPr>
              <w:t>Are you planning to hide manufacturer's names as in commercial movies or TV shows? It may be hard to not show the plate reader device in the video?</w:t>
            </w:r>
          </w:p>
        </w:tc>
      </w:tr>
      <w:tr w:rsidR="00F716D3" w:rsidRPr="00924EED" w:rsidTr="00924EED">
        <w:tc>
          <w:tcPr>
            <w:tcW w:w="6374" w:type="dxa"/>
          </w:tcPr>
          <w:p w:rsidR="00924EED" w:rsidRPr="00924EED" w:rsidRDefault="00924EED" w:rsidP="00924EED">
            <w:pPr>
              <w:ind w:left="164" w:hanging="164"/>
              <w:rPr>
                <w:lang w:val="en-GB"/>
              </w:rPr>
            </w:pPr>
            <w:r w:rsidRPr="00924EED">
              <w:rPr>
                <w:lang w:val="en-GB"/>
              </w:rPr>
              <w:t>7. Please remember that calculation steps cannot be filmed.</w:t>
            </w:r>
          </w:p>
          <w:p w:rsidR="00F716D3" w:rsidRPr="00924EED" w:rsidRDefault="00F716D3" w:rsidP="00924EED">
            <w:pPr>
              <w:ind w:left="164" w:hanging="142"/>
              <w:rPr>
                <w:lang w:val="en-GB"/>
              </w:rPr>
            </w:pPr>
          </w:p>
        </w:tc>
        <w:tc>
          <w:tcPr>
            <w:tcW w:w="4154" w:type="dxa"/>
          </w:tcPr>
          <w:p w:rsidR="00F716D3" w:rsidRDefault="00684901" w:rsidP="003D6462">
            <w:pPr>
              <w:rPr>
                <w:lang w:val="en-GB"/>
              </w:rPr>
            </w:pPr>
            <w:r>
              <w:rPr>
                <w:lang w:val="en-GB"/>
              </w:rPr>
              <w:t>O</w:t>
            </w:r>
            <w:r w:rsidR="006D4068">
              <w:rPr>
                <w:lang w:val="en-GB"/>
              </w:rPr>
              <w:t>k</w:t>
            </w:r>
            <w:r>
              <w:rPr>
                <w:lang w:val="en-GB"/>
              </w:rPr>
              <w:t xml:space="preserve"> but:</w:t>
            </w:r>
          </w:p>
          <w:p w:rsidR="00684901" w:rsidRPr="00924EED" w:rsidRDefault="00684901" w:rsidP="003D6462">
            <w:pPr>
              <w:rPr>
                <w:lang w:val="en-GB"/>
              </w:rPr>
            </w:pPr>
            <w:r>
              <w:rPr>
                <w:lang w:val="en-GB"/>
              </w:rPr>
              <w:t xml:space="preserve">To which </w:t>
            </w:r>
            <w:r w:rsidR="00E86FE9">
              <w:rPr>
                <w:lang w:val="en-GB"/>
              </w:rPr>
              <w:t>level? Will you show a screen capture of a calculation in the spreadsheet software? Not even that?</w:t>
            </w:r>
            <w:bookmarkStart w:id="0" w:name="_GoBack"/>
            <w:bookmarkEnd w:id="0"/>
          </w:p>
        </w:tc>
      </w:tr>
      <w:tr w:rsidR="00F716D3" w:rsidRPr="00924EED" w:rsidTr="00924EED">
        <w:tc>
          <w:tcPr>
            <w:tcW w:w="6374" w:type="dxa"/>
          </w:tcPr>
          <w:p w:rsidR="00924EED" w:rsidRPr="00924EED" w:rsidRDefault="00924EED" w:rsidP="00924EED">
            <w:pPr>
              <w:ind w:left="164" w:hanging="164"/>
              <w:rPr>
                <w:lang w:val="en-GB"/>
              </w:rPr>
            </w:pPr>
            <w:r w:rsidRPr="00924EED">
              <w:rPr>
                <w:lang w:val="en-GB"/>
              </w:rPr>
              <w:t>8. Please use paragraph style for the discussion section.</w:t>
            </w:r>
          </w:p>
          <w:p w:rsidR="00F716D3" w:rsidRPr="00924EED" w:rsidRDefault="00F716D3" w:rsidP="00924EED">
            <w:pPr>
              <w:ind w:left="164" w:hanging="142"/>
              <w:rPr>
                <w:lang w:val="en-GB"/>
              </w:rPr>
            </w:pPr>
          </w:p>
        </w:tc>
        <w:tc>
          <w:tcPr>
            <w:tcW w:w="4154" w:type="dxa"/>
          </w:tcPr>
          <w:p w:rsidR="00F716D3" w:rsidRPr="00924EED" w:rsidRDefault="000B60C2" w:rsidP="003D6462">
            <w:pPr>
              <w:rPr>
                <w:lang w:val="en-GB"/>
              </w:rPr>
            </w:pPr>
            <w:r w:rsidRPr="00924EED">
              <w:rPr>
                <w:lang w:val="en-GB"/>
              </w:rPr>
              <w:t>done</w:t>
            </w:r>
          </w:p>
        </w:tc>
      </w:tr>
      <w:tr w:rsidR="00F716D3" w:rsidRPr="00924EED" w:rsidTr="00924EED">
        <w:tc>
          <w:tcPr>
            <w:tcW w:w="6374" w:type="dxa"/>
          </w:tcPr>
          <w:p w:rsidR="00F716D3" w:rsidRPr="00924EED" w:rsidRDefault="00924EED" w:rsidP="005420DE">
            <w:pPr>
              <w:ind w:left="164" w:hanging="142"/>
              <w:rPr>
                <w:lang w:val="en-GB"/>
              </w:rPr>
            </w:pPr>
            <w:r w:rsidRPr="00924EED">
              <w:rPr>
                <w:lang w:val="en-GB"/>
              </w:rPr>
              <w:t>9. After all the changes are done, please proofread the manuscript carefully.</w:t>
            </w:r>
          </w:p>
        </w:tc>
        <w:tc>
          <w:tcPr>
            <w:tcW w:w="4154" w:type="dxa"/>
          </w:tcPr>
          <w:p w:rsidR="00F716D3" w:rsidRPr="00924EED" w:rsidRDefault="000B60C2" w:rsidP="003D6462">
            <w:pPr>
              <w:rPr>
                <w:lang w:val="en-GB"/>
              </w:rPr>
            </w:pPr>
            <w:r w:rsidRPr="00924EED">
              <w:rPr>
                <w:lang w:val="en-GB"/>
              </w:rPr>
              <w:t>done</w:t>
            </w:r>
          </w:p>
        </w:tc>
      </w:tr>
      <w:tr w:rsidR="007529C5" w:rsidRPr="00924EED" w:rsidTr="00924EED">
        <w:tc>
          <w:tcPr>
            <w:tcW w:w="6374" w:type="dxa"/>
          </w:tcPr>
          <w:p w:rsidR="007529C5" w:rsidRPr="00924EED" w:rsidRDefault="007529C5" w:rsidP="005420DE">
            <w:pPr>
              <w:ind w:left="164" w:hanging="142"/>
              <w:rPr>
                <w:lang w:val="en-GB"/>
              </w:rPr>
            </w:pPr>
          </w:p>
        </w:tc>
        <w:tc>
          <w:tcPr>
            <w:tcW w:w="4154" w:type="dxa"/>
          </w:tcPr>
          <w:p w:rsidR="007529C5" w:rsidRPr="00924EED" w:rsidRDefault="007529C5" w:rsidP="003D6462">
            <w:pPr>
              <w:rPr>
                <w:lang w:val="en-GB"/>
              </w:rPr>
            </w:pPr>
          </w:p>
        </w:tc>
      </w:tr>
    </w:tbl>
    <w:p w:rsidR="003803E3" w:rsidRPr="00924EED" w:rsidRDefault="003803E3">
      <w:pPr>
        <w:rPr>
          <w:lang w:val="en-GB"/>
        </w:rPr>
      </w:pPr>
    </w:p>
    <w:sectPr w:rsidR="003803E3" w:rsidRPr="00924EED" w:rsidSect="003803E3">
      <w:pgSz w:w="12240" w:h="15840"/>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08F" w:rsidRDefault="0043308F" w:rsidP="00883BFD">
      <w:pPr>
        <w:spacing w:after="0" w:line="240" w:lineRule="auto"/>
      </w:pPr>
      <w:r>
        <w:separator/>
      </w:r>
    </w:p>
  </w:endnote>
  <w:endnote w:type="continuationSeparator" w:id="0">
    <w:p w:rsidR="0043308F" w:rsidRDefault="0043308F" w:rsidP="0088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08F" w:rsidRDefault="0043308F" w:rsidP="00883BFD">
      <w:pPr>
        <w:spacing w:after="0" w:line="240" w:lineRule="auto"/>
      </w:pPr>
      <w:r>
        <w:separator/>
      </w:r>
    </w:p>
  </w:footnote>
  <w:footnote w:type="continuationSeparator" w:id="0">
    <w:p w:rsidR="0043308F" w:rsidRDefault="0043308F" w:rsidP="00883B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6D3"/>
    <w:rsid w:val="00000EA4"/>
    <w:rsid w:val="000B60C2"/>
    <w:rsid w:val="00144469"/>
    <w:rsid w:val="001C6111"/>
    <w:rsid w:val="002D0929"/>
    <w:rsid w:val="00312274"/>
    <w:rsid w:val="003803E3"/>
    <w:rsid w:val="0043308F"/>
    <w:rsid w:val="004F3126"/>
    <w:rsid w:val="005420DE"/>
    <w:rsid w:val="00565073"/>
    <w:rsid w:val="00613E63"/>
    <w:rsid w:val="00683CB8"/>
    <w:rsid w:val="00684901"/>
    <w:rsid w:val="006D3118"/>
    <w:rsid w:val="006D4068"/>
    <w:rsid w:val="007529C5"/>
    <w:rsid w:val="00883BFD"/>
    <w:rsid w:val="00924EED"/>
    <w:rsid w:val="009468BF"/>
    <w:rsid w:val="009A19B5"/>
    <w:rsid w:val="009F2A9F"/>
    <w:rsid w:val="00A461F9"/>
    <w:rsid w:val="00A87173"/>
    <w:rsid w:val="00A9619E"/>
    <w:rsid w:val="00AB5C20"/>
    <w:rsid w:val="00AF6C20"/>
    <w:rsid w:val="00B3390A"/>
    <w:rsid w:val="00B368DC"/>
    <w:rsid w:val="00BD37B6"/>
    <w:rsid w:val="00CE1497"/>
    <w:rsid w:val="00D5439D"/>
    <w:rsid w:val="00E86FE9"/>
    <w:rsid w:val="00F10960"/>
    <w:rsid w:val="00F23CF1"/>
    <w:rsid w:val="00F71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EA385"/>
  <w15:chartTrackingRefBased/>
  <w15:docId w15:val="{4D8AA4B9-7756-48E7-8FD4-2E56D27D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1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0960"/>
    <w:pPr>
      <w:ind w:left="720"/>
      <w:contextualSpacing/>
    </w:pPr>
  </w:style>
  <w:style w:type="paragraph" w:styleId="Header">
    <w:name w:val="header"/>
    <w:basedOn w:val="Normal"/>
    <w:link w:val="HeaderChar"/>
    <w:uiPriority w:val="99"/>
    <w:unhideWhenUsed/>
    <w:rsid w:val="00883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BFD"/>
  </w:style>
  <w:style w:type="paragraph" w:styleId="Footer">
    <w:name w:val="footer"/>
    <w:basedOn w:val="Normal"/>
    <w:link w:val="FooterChar"/>
    <w:uiPriority w:val="99"/>
    <w:unhideWhenUsed/>
    <w:rsid w:val="00883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Ertel</dc:creator>
  <cp:keywords/>
  <dc:description/>
  <cp:lastModifiedBy>Eric Ertel</cp:lastModifiedBy>
  <cp:revision>4</cp:revision>
  <dcterms:created xsi:type="dcterms:W3CDTF">2018-06-14T15:12:00Z</dcterms:created>
  <dcterms:modified xsi:type="dcterms:W3CDTF">2018-06-14T15:56:00Z</dcterms:modified>
</cp:coreProperties>
</file>