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8D3F55" w:rsidTr="008D3F55">
        <w:tc>
          <w:tcPr>
            <w:tcW w:w="9350" w:type="dxa"/>
            <w:gridSpan w:val="2"/>
            <w:tcBorders>
              <w:top w:val="nil"/>
              <w:left w:val="nil"/>
              <w:bottom w:val="single" w:sz="4" w:space="0" w:color="auto"/>
              <w:right w:val="nil"/>
            </w:tcBorders>
            <w:hideMark/>
          </w:tcPr>
          <w:p w:rsidR="008D3F55" w:rsidRDefault="008D3F55">
            <w:pPr>
              <w:spacing w:line="240" w:lineRule="auto"/>
              <w:rPr>
                <w:rFonts w:cstheme="minorHAnsi"/>
                <w:sz w:val="24"/>
                <w:szCs w:val="24"/>
              </w:rPr>
            </w:pPr>
            <w:r>
              <w:rPr>
                <w:rFonts w:cstheme="minorHAnsi"/>
                <w:sz w:val="24"/>
                <w:szCs w:val="24"/>
              </w:rPr>
              <w:t>Table 1. Macro variables that may be changed prior to data analysis</w:t>
            </w:r>
          </w:p>
        </w:tc>
      </w:tr>
      <w:tr w:rsidR="008D3F55" w:rsidTr="008D3F55">
        <w:tc>
          <w:tcPr>
            <w:tcW w:w="2605" w:type="dxa"/>
            <w:tcBorders>
              <w:top w:val="single" w:sz="4" w:space="0" w:color="auto"/>
              <w:left w:val="nil"/>
              <w:bottom w:val="nil"/>
              <w:right w:val="nil"/>
            </w:tcBorders>
            <w:hideMark/>
          </w:tcPr>
          <w:p w:rsidR="008D3F55" w:rsidRDefault="008D3F55">
            <w:pPr>
              <w:spacing w:line="240" w:lineRule="auto"/>
              <w:rPr>
                <w:rFonts w:cstheme="minorHAnsi"/>
                <w:sz w:val="24"/>
                <w:szCs w:val="24"/>
              </w:rPr>
            </w:pPr>
            <w:proofErr w:type="spellStart"/>
            <w:r>
              <w:rPr>
                <w:rFonts w:cstheme="minorHAnsi"/>
                <w:sz w:val="24"/>
                <w:szCs w:val="24"/>
              </w:rPr>
              <w:t>Const</w:t>
            </w:r>
            <w:proofErr w:type="spellEnd"/>
            <w:r>
              <w:rPr>
                <w:rFonts w:cstheme="minorHAnsi"/>
                <w:sz w:val="24"/>
                <w:szCs w:val="24"/>
              </w:rPr>
              <w:t xml:space="preserve"> </w:t>
            </w:r>
            <w:proofErr w:type="spellStart"/>
            <w:r>
              <w:rPr>
                <w:rFonts w:cstheme="minorHAnsi"/>
                <w:sz w:val="24"/>
                <w:szCs w:val="24"/>
              </w:rPr>
              <w:t>targetFlow</w:t>
            </w:r>
            <w:proofErr w:type="spellEnd"/>
          </w:p>
        </w:tc>
        <w:tc>
          <w:tcPr>
            <w:tcW w:w="6745" w:type="dxa"/>
            <w:tcBorders>
              <w:top w:val="single" w:sz="4" w:space="0" w:color="auto"/>
              <w:left w:val="nil"/>
              <w:bottom w:val="nil"/>
              <w:right w:val="nil"/>
            </w:tcBorders>
            <w:hideMark/>
          </w:tcPr>
          <w:p w:rsidR="008D3F55" w:rsidRDefault="008D3F55">
            <w:pPr>
              <w:spacing w:line="240" w:lineRule="auto"/>
              <w:rPr>
                <w:rFonts w:cstheme="minorHAnsi"/>
                <w:sz w:val="24"/>
                <w:szCs w:val="24"/>
              </w:rPr>
            </w:pPr>
            <w:r>
              <w:rPr>
                <w:rFonts w:cstheme="minorHAnsi"/>
                <w:sz w:val="24"/>
                <w:szCs w:val="24"/>
              </w:rPr>
              <w:t xml:space="preserve">This is the target flow rate at which the participant is coached to exhale in mL/s. In previous studies, we have coached participants to breath at 400 mL/s. In more recent studies of patients with expiratory flow limitation, we have found it necessary to reduce this to 250 mL/s. </w:t>
            </w:r>
          </w:p>
        </w:tc>
      </w:tr>
      <w:tr w:rsidR="008D3F55" w:rsidTr="008D3F55">
        <w:tc>
          <w:tcPr>
            <w:tcW w:w="2605" w:type="dxa"/>
            <w:hideMark/>
          </w:tcPr>
          <w:p w:rsidR="008D3F55" w:rsidRDefault="008D3F55">
            <w:pPr>
              <w:spacing w:line="240" w:lineRule="auto"/>
              <w:rPr>
                <w:rFonts w:cstheme="minorHAnsi"/>
                <w:sz w:val="24"/>
                <w:szCs w:val="24"/>
              </w:rPr>
            </w:pPr>
            <w:proofErr w:type="spellStart"/>
            <w:r>
              <w:rPr>
                <w:rFonts w:cstheme="minorHAnsi"/>
                <w:sz w:val="24"/>
                <w:szCs w:val="24"/>
              </w:rPr>
              <w:t>Const</w:t>
            </w:r>
            <w:proofErr w:type="spellEnd"/>
            <w:r>
              <w:rPr>
                <w:rFonts w:cstheme="minorHAnsi"/>
                <w:sz w:val="24"/>
                <w:szCs w:val="24"/>
              </w:rPr>
              <w:t xml:space="preserve"> Delay</w:t>
            </w:r>
          </w:p>
        </w:tc>
        <w:tc>
          <w:tcPr>
            <w:tcW w:w="6745" w:type="dxa"/>
            <w:hideMark/>
          </w:tcPr>
          <w:p w:rsidR="008D3F55" w:rsidRDefault="008D3F55">
            <w:pPr>
              <w:spacing w:line="240" w:lineRule="auto"/>
              <w:rPr>
                <w:rFonts w:cstheme="minorHAnsi"/>
                <w:sz w:val="24"/>
                <w:szCs w:val="24"/>
              </w:rPr>
            </w:pPr>
            <w:r>
              <w:rPr>
                <w:rFonts w:cstheme="minorHAnsi"/>
                <w:sz w:val="24"/>
                <w:szCs w:val="24"/>
              </w:rPr>
              <w:t>This is the time delay between the gas analyzer and the pneumotach. Measuring this is critically important as this value will depend on the gas sampling rate and length of the sampling tube.</w:t>
            </w:r>
          </w:p>
        </w:tc>
      </w:tr>
      <w:tr w:rsidR="008D3F55" w:rsidTr="008D3F55">
        <w:tc>
          <w:tcPr>
            <w:tcW w:w="2605" w:type="dxa"/>
            <w:hideMark/>
          </w:tcPr>
          <w:p w:rsidR="008D3F55" w:rsidRDefault="008D3F55">
            <w:pPr>
              <w:spacing w:line="240" w:lineRule="auto"/>
              <w:rPr>
                <w:rFonts w:cstheme="minorHAnsi"/>
                <w:sz w:val="24"/>
                <w:szCs w:val="24"/>
              </w:rPr>
            </w:pPr>
            <w:proofErr w:type="spellStart"/>
            <w:r>
              <w:rPr>
                <w:rFonts w:cstheme="minorHAnsi"/>
                <w:sz w:val="24"/>
                <w:szCs w:val="24"/>
              </w:rPr>
              <w:t>Const</w:t>
            </w:r>
            <w:proofErr w:type="spellEnd"/>
            <w:r>
              <w:rPr>
                <w:rFonts w:cstheme="minorHAnsi"/>
                <w:sz w:val="24"/>
                <w:szCs w:val="24"/>
              </w:rPr>
              <w:t xml:space="preserve"> </w:t>
            </w:r>
            <w:proofErr w:type="spellStart"/>
            <w:r>
              <w:rPr>
                <w:rFonts w:cstheme="minorHAnsi"/>
                <w:sz w:val="24"/>
                <w:szCs w:val="24"/>
              </w:rPr>
              <w:t>Calconst</w:t>
            </w:r>
            <w:proofErr w:type="spellEnd"/>
          </w:p>
        </w:tc>
        <w:tc>
          <w:tcPr>
            <w:tcW w:w="6745" w:type="dxa"/>
            <w:hideMark/>
          </w:tcPr>
          <w:p w:rsidR="008D3F55" w:rsidRDefault="008D3F55">
            <w:pPr>
              <w:spacing w:line="240" w:lineRule="auto"/>
              <w:rPr>
                <w:rFonts w:cstheme="minorHAnsi"/>
                <w:sz w:val="24"/>
                <w:szCs w:val="24"/>
              </w:rPr>
            </w:pPr>
            <w:r>
              <w:rPr>
                <w:rFonts w:cstheme="minorHAnsi"/>
                <w:sz w:val="24"/>
                <w:szCs w:val="24"/>
              </w:rPr>
              <w:t xml:space="preserve">This parameter provides a correction for pneumotach </w:t>
            </w:r>
            <w:r>
              <w:rPr>
                <w:rFonts w:cstheme="minorHAnsi"/>
                <w:sz w:val="24"/>
                <w:szCs w:val="24"/>
              </w:rPr>
              <w:t>calibration</w:t>
            </w:r>
            <w:bookmarkStart w:id="0" w:name="_GoBack"/>
            <w:bookmarkEnd w:id="0"/>
            <w:r>
              <w:rPr>
                <w:rFonts w:cstheme="minorHAnsi"/>
                <w:sz w:val="24"/>
                <w:szCs w:val="24"/>
              </w:rPr>
              <w:t xml:space="preserve">. We previously collected data from the pneumotach in volts and used a calibration factor to convert to L/min. We now calibrate our pneumotach in L/min in </w:t>
            </w:r>
            <w:proofErr w:type="spellStart"/>
            <w:r>
              <w:rPr>
                <w:rFonts w:cstheme="minorHAnsi"/>
                <w:sz w:val="24"/>
                <w:szCs w:val="24"/>
              </w:rPr>
              <w:t>Powerlab</w:t>
            </w:r>
            <w:proofErr w:type="spellEnd"/>
            <w:r>
              <w:rPr>
                <w:rFonts w:cstheme="minorHAnsi"/>
                <w:sz w:val="24"/>
                <w:szCs w:val="24"/>
              </w:rPr>
              <w:t xml:space="preserve">, so the calibration constant is set to 1. </w:t>
            </w:r>
          </w:p>
        </w:tc>
      </w:tr>
      <w:tr w:rsidR="008D3F55" w:rsidTr="008D3F55">
        <w:tc>
          <w:tcPr>
            <w:tcW w:w="2605" w:type="dxa"/>
            <w:hideMark/>
          </w:tcPr>
          <w:p w:rsidR="008D3F55" w:rsidRDefault="008D3F55">
            <w:pPr>
              <w:spacing w:line="240" w:lineRule="auto"/>
              <w:rPr>
                <w:rFonts w:cstheme="minorHAnsi"/>
                <w:sz w:val="24"/>
                <w:szCs w:val="24"/>
              </w:rPr>
            </w:pPr>
            <w:proofErr w:type="spellStart"/>
            <w:r>
              <w:rPr>
                <w:rFonts w:cstheme="minorHAnsi"/>
                <w:sz w:val="24"/>
                <w:szCs w:val="24"/>
              </w:rPr>
              <w:t>Const</w:t>
            </w:r>
            <w:proofErr w:type="spellEnd"/>
            <w:r>
              <w:rPr>
                <w:rFonts w:cstheme="minorHAnsi"/>
                <w:sz w:val="24"/>
                <w:szCs w:val="24"/>
              </w:rPr>
              <w:t xml:space="preserve"> </w:t>
            </w:r>
            <w:proofErr w:type="spellStart"/>
            <w:r>
              <w:rPr>
                <w:rFonts w:cstheme="minorHAnsi"/>
                <w:sz w:val="24"/>
                <w:szCs w:val="24"/>
              </w:rPr>
              <w:t>samprate</w:t>
            </w:r>
            <w:proofErr w:type="spellEnd"/>
          </w:p>
        </w:tc>
        <w:tc>
          <w:tcPr>
            <w:tcW w:w="6745" w:type="dxa"/>
            <w:hideMark/>
          </w:tcPr>
          <w:p w:rsidR="008D3F55" w:rsidRDefault="008D3F55">
            <w:pPr>
              <w:spacing w:line="240" w:lineRule="auto"/>
              <w:rPr>
                <w:rFonts w:cstheme="minorHAnsi"/>
                <w:sz w:val="24"/>
                <w:szCs w:val="24"/>
              </w:rPr>
            </w:pPr>
            <w:r>
              <w:rPr>
                <w:rFonts w:cstheme="minorHAnsi"/>
                <w:sz w:val="24"/>
                <w:szCs w:val="24"/>
              </w:rPr>
              <w:t>The default value of this is 100 Hz. Data is collected in our lab at 1000 Hz, but down sampled by a factor of 10 during data export in order to minimize file size and processing time.</w:t>
            </w:r>
          </w:p>
        </w:tc>
      </w:tr>
      <w:tr w:rsidR="008D3F55" w:rsidTr="008D3F55">
        <w:tc>
          <w:tcPr>
            <w:tcW w:w="2605" w:type="dxa"/>
            <w:tcBorders>
              <w:top w:val="nil"/>
              <w:left w:val="nil"/>
              <w:bottom w:val="single" w:sz="4" w:space="0" w:color="auto"/>
              <w:right w:val="nil"/>
            </w:tcBorders>
            <w:hideMark/>
          </w:tcPr>
          <w:p w:rsidR="008D3F55" w:rsidRDefault="008D3F55">
            <w:pPr>
              <w:spacing w:line="240" w:lineRule="auto"/>
              <w:rPr>
                <w:rFonts w:cstheme="minorHAnsi"/>
                <w:sz w:val="24"/>
                <w:szCs w:val="24"/>
              </w:rPr>
            </w:pPr>
            <w:proofErr w:type="spellStart"/>
            <w:r>
              <w:rPr>
                <w:rFonts w:cstheme="minorHAnsi"/>
                <w:sz w:val="24"/>
                <w:szCs w:val="24"/>
              </w:rPr>
              <w:t>Const</w:t>
            </w:r>
            <w:proofErr w:type="spellEnd"/>
            <w:r>
              <w:rPr>
                <w:rFonts w:cstheme="minorHAnsi"/>
                <w:sz w:val="24"/>
                <w:szCs w:val="24"/>
              </w:rPr>
              <w:t xml:space="preserve"> </w:t>
            </w:r>
            <w:proofErr w:type="spellStart"/>
            <w:r>
              <w:rPr>
                <w:rFonts w:cstheme="minorHAnsi"/>
                <w:sz w:val="24"/>
                <w:szCs w:val="24"/>
              </w:rPr>
              <w:t>volumeCap</w:t>
            </w:r>
            <w:proofErr w:type="spellEnd"/>
          </w:p>
        </w:tc>
        <w:tc>
          <w:tcPr>
            <w:tcW w:w="6745" w:type="dxa"/>
            <w:tcBorders>
              <w:top w:val="nil"/>
              <w:left w:val="nil"/>
              <w:bottom w:val="single" w:sz="4" w:space="0" w:color="auto"/>
              <w:right w:val="nil"/>
            </w:tcBorders>
            <w:hideMark/>
          </w:tcPr>
          <w:p w:rsidR="008D3F55" w:rsidRDefault="008D3F55">
            <w:pPr>
              <w:spacing w:line="240" w:lineRule="auto"/>
              <w:rPr>
                <w:rFonts w:cstheme="minorHAnsi"/>
                <w:sz w:val="24"/>
                <w:szCs w:val="24"/>
              </w:rPr>
            </w:pPr>
            <w:r>
              <w:rPr>
                <w:rFonts w:cstheme="minorHAnsi"/>
                <w:sz w:val="24"/>
                <w:szCs w:val="24"/>
              </w:rPr>
              <w:t>This is the volume at which the second breath is truncated for analysis. We set the default value to 1250 mL to ensure that we are sampling alveolar gas and collect at least two times the dead space, but do not reach closing volume. This may need to be adjusted for patients with smaller lung or closing volumes.</w:t>
            </w:r>
          </w:p>
        </w:tc>
      </w:tr>
      <w:tr w:rsidR="008D3F55" w:rsidTr="008D3F55">
        <w:tc>
          <w:tcPr>
            <w:tcW w:w="9350" w:type="dxa"/>
            <w:gridSpan w:val="2"/>
            <w:tcBorders>
              <w:top w:val="single" w:sz="4" w:space="0" w:color="auto"/>
              <w:left w:val="nil"/>
              <w:bottom w:val="nil"/>
              <w:right w:val="nil"/>
            </w:tcBorders>
            <w:hideMark/>
          </w:tcPr>
          <w:p w:rsidR="008D3F55" w:rsidRDefault="008D3F55">
            <w:pPr>
              <w:spacing w:line="240" w:lineRule="auto"/>
              <w:rPr>
                <w:rFonts w:cstheme="minorHAnsi"/>
                <w:sz w:val="24"/>
                <w:szCs w:val="24"/>
              </w:rPr>
            </w:pPr>
            <w:r>
              <w:rPr>
                <w:rFonts w:cstheme="minorHAnsi"/>
                <w:sz w:val="24"/>
                <w:szCs w:val="24"/>
              </w:rPr>
              <w:t>Note: These terms are also highlighted in the macro, provided in the supplemental materials</w:t>
            </w:r>
          </w:p>
        </w:tc>
      </w:tr>
    </w:tbl>
    <w:p w:rsidR="00017B4D" w:rsidRDefault="00017B4D"/>
    <w:sectPr w:rsidR="00017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31"/>
    <w:rsid w:val="00017B4D"/>
    <w:rsid w:val="00177DEF"/>
    <w:rsid w:val="008D3F55"/>
    <w:rsid w:val="00984C31"/>
    <w:rsid w:val="00B8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62BAA-1B69-46A3-BF74-76353B33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F5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F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Melissa</dc:creator>
  <cp:keywords/>
  <dc:description/>
  <cp:lastModifiedBy>Bates, Melissa</cp:lastModifiedBy>
  <cp:revision>2</cp:revision>
  <dcterms:created xsi:type="dcterms:W3CDTF">2018-03-30T22:27:00Z</dcterms:created>
  <dcterms:modified xsi:type="dcterms:W3CDTF">2018-03-30T22:56:00Z</dcterms:modified>
</cp:coreProperties>
</file>