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Vessel-Sparing Excision and Primary Anastomosis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Wesley Verla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Willem Oosterlinck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Marjan Waterloos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Nicolaas Lumen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Urology, Ghent University Hospital, C. Heymanslaan 10, 9000 Ghent,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Willem Oosterlinck </w:t>
        <w:tab/>
        <w:t xml:space="preserve">(</w:t>
      </w:r>
      <w:r>
        <w:rPr>
          <w:rFonts w:ascii="Calibri" w:hAnsi="Calibri" w:cs="Calibri" w:eastAsia="Calibri"/>
          <w:color w:val="000000"/>
          <w:spacing w:val="0"/>
          <w:position w:val="0"/>
          <w:sz w:val="24"/>
          <w:shd w:fill="auto" w:val="clear"/>
        </w:rPr>
        <w:t xml:space="preserve">willem.oosterlinck@ugent.be)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Marjan Waterloos </w:t>
        <w:tab/>
        <w:t xml:space="preserve">(</w:t>
      </w:r>
      <w:r>
        <w:rPr>
          <w:rFonts w:ascii="Calibri" w:hAnsi="Calibri" w:cs="Calibri" w:eastAsia="Calibri"/>
          <w:color w:val="000000"/>
          <w:spacing w:val="0"/>
          <w:position w:val="0"/>
          <w:sz w:val="24"/>
          <w:shd w:fill="auto" w:val="clear"/>
        </w:rPr>
        <w:t xml:space="preserve">marjan.waterloos@hotmail.com)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Nicolaas Lumen </w:t>
        <w:tab/>
        <w:t xml:space="preserve">(</w:t>
      </w:r>
      <w:r>
        <w:rPr>
          <w:rFonts w:ascii="Calibri" w:hAnsi="Calibri" w:cs="Calibri" w:eastAsia="Calibri"/>
          <w:color w:val="000000"/>
          <w:spacing w:val="0"/>
          <w:position w:val="0"/>
          <w:sz w:val="24"/>
          <w:shd w:fill="auto" w:val="clear"/>
        </w:rPr>
        <w:t xml:space="preserve">nicolaas.lumen@uzgent.be)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Wesley Verla </w:t>
        <w:tab/>
        <w:tab/>
        <w:t xml:space="preserve">(</w:t>
      </w:r>
      <w:r>
        <w:rPr>
          <w:rFonts w:ascii="Calibri" w:hAnsi="Calibri" w:cs="Calibri" w:eastAsia="Calibri"/>
          <w:color w:val="000000"/>
          <w:spacing w:val="0"/>
          <w:position w:val="0"/>
          <w:sz w:val="24"/>
          <w:shd w:fill="auto" w:val="clear"/>
        </w:rPr>
        <w:t xml:space="preserve">Wesley.Verla@UGent.be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+32498083423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Urethroplasty, urethral reconstruction, urethral stricture, bulbar urethral stricture, posterior urethral stricture, urethra, urethrography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elaborate and efficient protocol to treat isolated short bulbar or posterior urethral strictures with vessel-sparing excision and primary anastomosis.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Urethroplasty is considered to be the standard treatment for urethral strictures since it provides excellent long-term success rates. For isolated short bulbar or posterior urethral strictures, urethroplasty by excision and primary anastomosis (EPA) is recommended. As EPA only requires the excision of the narrowed segment and the surrounding spongiofibrosis, a full-thickness transection of the corpus spongiosum, as performed in the traditional transecting EPA (tEPA), is usually unnecessary. Jordan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introduced the idea of a vessel-sparing approach in 2007, aiming to reduce surgical trauma, especially to the dual arterial blood supply of the urethra, and, thus, potentially reducing the risk of postoperative erectile dysfunction or glans ischemia. This approach could also be beneficial for subsequent urethral interventions such as redo urethroplasty using a free graft, in which a well-vascularized graft bed is imperative. Nevertheless, these potential benefits are only assumptions as prospective studies comparing the functional outcome of both techniques with validated questionnaires are currently lacking. Moreover, vessel-sparing EPA (vsEPA) should at least be able to provide similar surgical outcomes as tEPA. The aim of this paper is to give an elaborate, step-by-step overview of how to manage patients with isolated short bulbar or posterior urethral strictures with vsEPA. The main objective of this manuscript is to outline the surgical technique and to report the representative surgical outcome. A total of 117 patients were managed according to the described protocol. The analysis was performed on the entire patient cohort and on the bulbar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91) and posterior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26) vsEPA group separately. Success rates were 93.4% and 88.5% for the bulbar and posterior vsEPA, respectively. To conclude, vsEPA, as outlined in the protocol, provides excellent success rates with low complication rates for isolated short bulbar and posterior urethral strictures.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Urethroplasty is considered the standard treatment for urethral strictures as it provides excellent long-term success rates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numerous amount of surgical techniques has been described, challenging the reconstructive urologist to choose the best approach, considering various stricture modalities such as the number of strictures, the stricture length, the stricture location, the etiology, comorbidities, and previous urethral interventions. For isolated short bulbar urethral strictures, the International Consultation on Urologic Diseases (ICUD) recommends urethroplasty by excision and primary anastomosis (EPA) associated with a composite success rate of 93.8%</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Urethroplasty by EPA embodies an approach in which the entire diseased segment of the urethra is removed and replaced by healthy adjacent urethra without the need for grafts or flaps to bridge the gap. Traditionally, this approach included the full thickness transection of the corpus spongiosum at the level of the stricture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as EPA only requires the excision of the narrowed segment and the surrounding spongiofibrosis, a full thickness transection of the corpus spongiosum, and the dual urethral blood supply within it, is usually unnecessary. Given this background, Jordan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introduced the idea of a vessel-sparing approach in 2007, offering a non-transecting alternative to the classic transecting EPA (tEPA)</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This vessel-sparing EPA (vsEPA) has been uprising ever since and several centers have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though slightly modified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implemented this technique in their surgical repertoire</w:t>
      </w:r>
      <w:r>
        <w:rPr>
          <w:rFonts w:ascii="Calibri" w:hAnsi="Calibri" w:cs="Calibri" w:eastAsia="Calibri"/>
          <w:color w:val="auto"/>
          <w:spacing w:val="0"/>
          <w:position w:val="0"/>
          <w:sz w:val="24"/>
          <w:shd w:fill="auto" w:val="clear"/>
          <w:vertAlign w:val="superscript"/>
        </w:rPr>
        <w:t xml:space="preserve">8,9,10,11,12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vessel-sparing technique aims to reduce surgical trauma, especially to the dual arterial blood supply of the urethra embedded in the corpus spongiosum. The preservation of the bulbar arteries potentially reduces the risk of postoperative erectile dysfunction or glans ischemia. Furthermore, it could be beneficial for subsequent urethral interventions such as redo urethroplasty using a free graft, in which a well-vascularized graft bed is imperative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Nevertheless, these potential benefits are only assumptions as prospective studies comparing the functional outcome of both techniques with validated questionnaires are currently lacking.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important as the functional outcome is, vsEPA should at least be able to provide similar surgical outcomes as tEPA. Promising short-term results have been published and are in line with the success rates reported by the ICUD, but a direct comparison between both techniques has, so far, not been performed</w:t>
      </w:r>
      <w:r>
        <w:rPr>
          <w:rFonts w:ascii="Calibri" w:hAnsi="Calibri" w:cs="Calibri" w:eastAsia="Calibri"/>
          <w:color w:val="auto"/>
          <w:spacing w:val="0"/>
          <w:position w:val="0"/>
          <w:sz w:val="24"/>
          <w:shd w:fill="auto" w:val="clear"/>
          <w:vertAlign w:val="superscript"/>
        </w:rPr>
        <w:t xml:space="preserve">3,4,8,9,10,11,12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Pelvic fracture-related urethral injuries are associated with scar tissue formation and a subsequent urethral stricture or complete obliteration of the membranous urethra. Posterior strictures might also develop after surgery or irradiation to the prostate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these strictures, urethroplasty with the excision of the scar tissue and bulbo-prostatic anastomosis is recommended as well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Traditionally, the bulbar arteries were ligated during this procedure if not already obliterated due to the pelvic fracture. To avoid this, a vessel-sparing variant has been introduced and reported as well</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paper is to give an elaborate, step-by-step overview of how to manage patients with isolated short bulbar or posterior urethral strictures with vsEPA. The main scope is to outline and visualize the surgical technique and to report the representative surgical outcome. An evaluation of the functional outcome parameters is beyond the scope of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patients provided a signed written informed consent and the approval of the local Ethics Committee (EC/2014/0438) was obtained.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inclusion criteria for the presented protocol were: male; age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18 years; signed written informed consent; fit for operation; isolated urethral stricture; urethral stricture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cm; urethral stricture only at the bulbar or membranous site. The exclusion criteria were: female; transgender; age &amp;lt; 18 years; absence of signed written informed consent; unfit for operation; &amp;gt; 1 concomitant urethral strictures; urethral stricture &amp;gt; 3 cm; urethral stricture outside of the bulbar or membranous site.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Preoperative Work-up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Evaluate the patient through history taking, physical examination, and uroflowmetry followed by an ultrasonic residual volume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Confirm the presence of a stricture by urethrography (retrograde and/ or antegrade).</w:t>
      </w:r>
      <w:r>
        <w:rPr>
          <w:rFonts w:ascii="Calibri" w:hAnsi="Calibri" w:cs="Calibri" w:eastAsia="Calibri"/>
          <w:color w:val="auto"/>
          <w:spacing w:val="0"/>
          <w:position w:val="0"/>
          <w:sz w:val="24"/>
          <w:shd w:fill="auto" w:val="clear"/>
        </w:rPr>
        <w:t xml:space="preserve"> If there is any doubt, additionally perform urethroscopy.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After the appropriate diagnosis, schedule patients with isolated short bulbar urethral strictures or with strictures at the membranous urethra for urethroplasty by vessel-sparing excision and primary anastomosis (vsEPA). Plan the surgery at least 3 months after any urethral manipulation including catheter use, dilation, or direct vision internal urethrotomy (DVIU). In the case of urinary retention, place a suprapubic catheter to ensure urinary derivation. In the case of pelvic fracture-related urethral injuries, perform urethroplasty at least 3 months after the initial trauma.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Perform preoperative investigations to evaluate the patient’s fitness for operation as prescribed by local guidelines. If necessary, conduct therapeutic interventions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One week before surgery, perform a urine culture with an antibiogram and, in the case of a urinary infection, start the appropriate antibiotics 24 h before surgery. If there is no urinary infection, administer a single shot of 1 g of cefazoline (dissolved in 10 cc of NaCl, 0.9%) intravenously (through the peripheral venous catheter using a 20-cc syringe and an 18 G needle) at the start of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Obtain routine venous thrombo-embolism prophylaxis by the administration of compression stockings.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Keep the patients sober at least 6 h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Initiation of Surgical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take place after the surgical safety checklist and the administration of general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Patient’s positioning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the patient on the operating table in a supine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the patient in a modified lithotomy position in which the knees and the hips are flexed 60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90&amp;#176; with 45&amp;#176; of abduction and the feet and calves are supported in supportive boots. </w:t>
      </w:r>
      <w:r>
        <w:rPr>
          <w:rFonts w:ascii="Calibri" w:hAnsi="Calibri" w:cs="Calibri" w:eastAsia="Calibri"/>
          <w:color w:val="auto"/>
          <w:spacing w:val="0"/>
          <w:position w:val="0"/>
          <w:sz w:val="24"/>
          <w:shd w:fill="auto" w:val="clear"/>
        </w:rPr>
        <w:t xml:space="preserve">Make sure the patient’s buttocks slightly pass the caudal border of the operating table to provide sufficient accessibility. Check extensively for areas with excessive compression to prevent neurovascular compression syndromes.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If necessary, obtain a 10 - 15&amp;#176; Trendelenburg position to fully visualize the diseased urethra.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Start-up of the surgical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Shave and disinfect the exposed perineum and external genitals using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 iodine-based scrub as antiseptic.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 the case of the presence of a suprapubic catheter, instill the bladder with 100 mL of diluted (10%) iodine-based scrub.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00" w:val="clear"/>
        </w:rPr>
        <w:t xml:space="preserve">Create a sterile operating field by the administration of sterile drapes. Keep the operating field as small as possible and include the penis and scrotum without the anus.</w:t>
      </w:r>
      <w:r>
        <w:rPr>
          <w:rFonts w:ascii="Calibri" w:hAnsi="Calibri" w:cs="Calibri" w:eastAsia="Calibri"/>
          <w:color w:val="auto"/>
          <w:spacing w:val="0"/>
          <w:position w:val="0"/>
          <w:sz w:val="24"/>
          <w:shd w:fill="auto" w:val="clear"/>
        </w:rPr>
        <w:t xml:space="preserve"> In the case of the presence of a suprapubic catheter, include this in the operating field to ensure suprapubic access to the urethra,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As the surgeon is seated between the legs of the patient, position an assistant next to him/ her and place the instrumentalist on the left side of the patient, handing over the instruments from above the operating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Surgical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Accessing the bulbar urethra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Make a midline perineal skin incision using a scalpel (blade number 24) and dissect the subcutaneous fat tissue through Colles’ fascia with a monopolar electrocauter (coagulation and cutting mode on 25 Watt and pure) until the bulbospongious muscle is encountered. Coagulate any bleeding vessels with the monopolar electrocauter.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Incise the bulbospongious muscle at the midline using a surgical blade number 24 and dissect it away from the underlying corpus spongiosum with Jones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Fix the bulbospongious muscle at the perineal skin using 4 silk 2-0 stay sutures and ensure further surgical exposure by a self-retaining retractor: attach the hooks of the elastic stays to the bulbospongious muscle, create sufficient traction, and secure the elastics to one of the slots of the retractor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Identify the bulbar urethra.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Mobilization of the bulbar urethra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Dissect the bulbar urethra circumferentially in a sharp fashion with Jones scissors starting at the mid-bulbar region. Incise Buck’s fascia on each side of the bulbar urethra with Jones scissors allowing a further dorsal dissection of the urethra and a detachment of the dorsal Buck’s fascia from the tunica albuginea of the corpora cavernosa.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Encircle the bulbar urethra with a vessel loop and secure it with a Kocher clamp to facilitate manipulation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First, continue the dorsal dissection and detachment in the distal direction, towards the penoscrotal angle. Use sharp scissors dissection, closely follow Buck’s fascia in this dorsal detachment as it provides a rather avascular surgical plane. Coagulate the communicating vessels between the corpus spongiosum and the corpora cavernosa with a monopolar electrocauter.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Continue the dorsal dissection proximally, towards the urogenital diaphragm. Do not dissect the bulb of the corpus spongiosum at the anal side and leave the perineal body intact.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Opening of the stricture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Introduce a 20Fr silicone urethral catheter in the meatus urethrae and pass it up toward the distal extent of the urethral stricture.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At this level, open the urethra dorsally in a longitudinal fashion (dorsal stricturotomy) using a scalpel (blade number 15).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Place 2 silk 3-0 stay sutures (1 on each side of the opened urethra) to facilitate the exposure of the urethral lumen.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Insert a 3Fr ureteral catheter through the dorsally-opened urethra and pass it up proximally through the strictured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Further open the stricture on this 3Fr ureteral catheter using Jones scissors or a surgical blade number 15 until healthy urethral tissue is encountered.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Evaluate the patency and caliber of the proximal urethra by introducing a 20Fr metal sound and move it up toward the bladder.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Place 2 silk 3-0 stay sutures (1 on each side) on the opened proximal urethra.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 For bulbar strictures, resect the stricture as well as the surrounding spongiofibrosis using Jones scissors until healthy spongious tissue is encountered ventrally. Leave this healthy spongious tissue intact.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 For strictures at the membranous urethra, fully resect the scar tissue using Jones scissors or a surgical blade number 15 until the apex of the prostate is reached. After the removal of the suprapubic catheter, introduce a cystoscope through the suprapubic tract to facilitate the identification of the prostatic apex.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Urethral anastomosis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If necessary, split the corpora cavernosa to shorten the distance towards the proximal urethra. Use a surgical blade number 15 on the midline between the corpora cavernosa and once the avascular plane between both corpora is encountered, continue with a blunt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Grasp the urethral mucosa with a DeBakey forceps with a large grip.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3.4.3. In the case of a bulbar stricture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3.4.3.1. Create the ventral urethral plate by suturing the ventral ends of the proximal and distal urethra from the inside of the urethral lumen using interrupted 4-0 sutures (polyglactin 910).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3.4.3.2. </w:t>
      </w:r>
      <w:r>
        <w:rPr>
          <w:rFonts w:ascii="Calibri" w:hAnsi="Calibri" w:cs="Calibri" w:eastAsia="Calibri"/>
          <w:color w:val="auto"/>
          <w:spacing w:val="0"/>
          <w:position w:val="0"/>
          <w:sz w:val="24"/>
          <w:shd w:fill="FFFF00" w:val="clear"/>
        </w:rPr>
        <w:t xml:space="preserve">Dorsally, spatulate the healthy urethral edges for about 1 cm using Jones scissors and remove the stay sutures.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3.4.3.3. Close the dorsal edges of the urethral ends transversely over a 20Fr silicone urethral catheter with interrupted 4-0 sutures (polyglactin 910).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3.4.3.4. Close the corpus spongiosum over the urethra (spongioplasty) using 4-0 sutures (polyglactin 910).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3.4.4. In the case of a stricture or obliteration at the membranous urethra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3.4.4.1. Spatulate the distal urethral end dorsally and the proximal urethral end ventrally over 1 cm using Jones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3.4.4.2. Place eight 4-0 sutures (polyglactin 910) and pass a 20Fr silicone urethral catheter into the bladder.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3.5. Catheter drain and wound closure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Leave a 20Fr silicone urethral catheter in place.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Leave a 10Fr suction drain behind between the corpus spongiosum and the bulbospongious muscle. Perforate the skin of the right inguinal region with the 10Fr drain needle. Cut the needle off.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Cut the stay sutures with Mayo-Stille scissors, remove the retractor, and close the bulbospongious muscle over the underlying urethra, corpus spongiosum, and suction drain using a 3-0 running suture (polyglactin 910).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 Suture Colles’ fascia in a running fashion, also using a 3-0 suture (polyglactin 910). Suture the skin with interrupted Donati stitches using 3-0 sutures (polyglactin 910).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 Fix the suction drain at the groin using a silk 2-0 suture and attach the suction drain to the vacuum flask. Apply a perineal compressive dressing.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Flip the penis and transurethral catheter toward the lower abdomen and keep them in place by supporting and compressive underwear.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 If a suprapubic catheter was present, remove this, except in the case of previous 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Postoperative Care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After recovery, bring the patient to his room and provide standard postoperative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Remove the suction drain after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 the case of a preoperatively established urinary infection, continue the antibiotic treatment regimen as prescribed.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Disinfect the perineal wound repeatedly and use a hair dryer 3 - 5x a day to keep the wound dry and neat.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In the case of no major complications, discharge the patient from the hospital on postoperative day 2 with the indwelling transurethral catheter in place. </w:t>
      </w:r>
      <w:r>
        <w:rPr>
          <w:rFonts w:ascii="Calibri" w:hAnsi="Calibri" w:cs="Calibri" w:eastAsia="Calibri"/>
          <w:color w:val="auto"/>
          <w:spacing w:val="0"/>
          <w:position w:val="0"/>
          <w:sz w:val="24"/>
          <w:shd w:fill="auto" w:val="clear"/>
        </w:rPr>
        <w:t xml:space="preserve">Give further instructions, especially regarding wound care, and foresee an appointment to remove the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Follow-up Visits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After 7 (simple repair) to 14 days (irradiated cases), perform a voiding cystourethrography (VCUG) and, if there is no or insignificant contrast leakage, remove the transurethral catheter. In the case of significant extravasation, replace the transurethral catheter and perform the VCUG again 1 week later.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Schedule follow-up visits 3 months postoperatively, 12 months postoperatively, and annually thereafter. During these visits, evaluate the patient through history taking, a physical examination, uroflowmetry, and an ultrasonic residual volume measurement. Perform further technical investigations such as retrograde urethrography (RUG), VCUG, or urethroscopy only in the case of arguments for stricture recurrence such as symptoms, an obstructive voiding curve, or high residual urinary volumes.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Define surgical failure as stricture recurrence requiring additional urethral manipulation, including dilation.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Between 2011 and 2017, a total of 117 patients with isolated short bulbar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91) or posterior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26) urethral strictures were treated with vsEPA at Ghent University Hospital. The baseline characteristics are displayed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median follow-up was 35 and 45 months for bulbar and posterior strictures, respectively. The strictures were longer in the patients who underwent posterior vsEPA and, accordingly, the number of patients with a calculated U-score of 5 was higher in this group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contrast to the bulbar vsEPA group, posterior strictures were predominantly traumatic (57.7%), whereas the bulbar vsEPA group mainly consisted of idiopathic urethral strictures (45.3%). Iatrogenic strictures at the bulbar site were largely caused by prior catheter use (6.6%) or a transurethral resection of the prostate (TURP) (18.7%), whereas posterior strictures occurred after irradiation, radical prostatectomy, or TURP in respectively 5 (19.2%), 3 (11.5%), and 4 (15.4%) patients. Traumatic posterior strictures were documented as ‘complete obliteration’ and ‘incomplete obliteration’ in, respectively, 5 (19.2%) and 10 (38.5%) patients. Seven of these patients were treated with a prior realignment procedure (2 open and 5 endoscopically) after the initial urethral disruption injury. A vast majority of the total patient cohort (82.1%) underwent prior urethral interventions, either open or endoscopically. The posterior vsEPA group, however, contained more patients without any former urethral intervention. Furthermore, the presence of a suprapubic catheter and a urinary infection was higher in the patients with posterior urethral strictures.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 and postoperative characteristics are displayed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median hospital stay and the catheter dwell time were 2 and 10 days, respectively. The operation time and the catheter stay were longer in the posterior vsEPA group. A total of 7 patients (6.6%) showed significant extravasation at the first VCUG and needed a catheter reinsertion for at least 1 week. The complication rate (23.9%) was comparable between the groups and mainly consisted of low-grade complications (Clavien-Dindo grade 1 - 2: 23.0%) such as wound dehiscence, wound infection, urinary infection, bladders spasms, and hematoma. One of the encountered hematomas required surgical drainage under general anesthesia and was categorized as a 3b complication according to the Clavien-Dindo classification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Nine patients (7.7%), consisting of 6 patients (6.6%) from the bulbar vsEPA group and 3 patients (11.5%) from the posterior vsEPA group, were considered a surgical failure. Two failures were observed between the second and the fifth postoperative year. The estimated failure-free survival was 95.3%, 95.3%, and 87.0% at, respectively, 1, 2, and 5 years for the bulbar vsEPA group, and 88.3% at 1, 2, and 5 years for the posterior vsEPA group. A Kaplan-Meier curve was constructed and illustrates the failure-free survival rate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salvage treatment of recurrent urethral strictures consisted of redo urethroplasty, DVIU, dilation, and a combination of urethroplasty and DVIU in, respectively, 5, 2, 1, and 1 patients.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Exposure of the bulbar urethra with a self-retaining retractor.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Mobilization of the bulbar urethra with a vessel loop.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Kaplan-Meier curve for the failure-free survival. </w:t>
      </w:r>
      <w:r>
        <w:rPr>
          <w:rFonts w:ascii="Calibri" w:hAnsi="Calibri" w:cs="Calibri" w:eastAsia="Calibri"/>
          <w:color w:val="auto"/>
          <w:spacing w:val="0"/>
          <w:position w:val="0"/>
          <w:sz w:val="24"/>
          <w:shd w:fill="auto" w:val="clear"/>
        </w:rPr>
        <w:t xml:space="preserve">vsEPA = vessel-sparing excision and primary anastomosis.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Baseline characteristics. </w:t>
      </w:r>
      <w:r>
        <w:rPr>
          <w:rFonts w:ascii="Calibri" w:hAnsi="Calibri" w:cs="Calibri" w:eastAsia="Calibri"/>
          <w:color w:val="auto"/>
          <w:spacing w:val="0"/>
          <w:position w:val="0"/>
          <w:sz w:val="24"/>
          <w:shd w:fill="auto" w:val="clear"/>
        </w:rPr>
        <w:t xml:space="preserve">vsEPA = vessel-sparing excision and primary anastomosis; IQR = interquartile range; cm = centimeters; TURP = transurethral resection of the prostate; DVIU = direct vision internal urethrotomy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Per- and postoperative characteristics. </w:t>
      </w:r>
      <w:r>
        <w:rPr>
          <w:rFonts w:ascii="Calibri" w:hAnsi="Calibri" w:cs="Calibri" w:eastAsia="Calibri"/>
          <w:color w:val="auto"/>
          <w:spacing w:val="0"/>
          <w:position w:val="0"/>
          <w:sz w:val="24"/>
          <w:shd w:fill="auto" w:val="clear"/>
        </w:rPr>
        <w:t xml:space="preserve">vsEPA = vessel-sparing excision and primary anastomosis; min = minutes; IQR = interquartile range; VCUG = voiding cystourethrography; SD = standard deviation; FFS = failure-free survival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Urethral stricture repair by vessel-sparing excision and primary anastomosis was initially performed at Ghent University Hospital in 2010. Thereafter, it became a standard of practice in the hospital’s management of patients with isolated short bulbar or posterior urethral strictures. As the bulb remains attached to the perineal body, access to the posterior urethra and the resection of the fibrotic tissue at that site can be compromised. A distortion of the pubic rami due to a pelvic fracture might further impede accessibility. If this is the case and a full resection cannot be accomplished because of poor access, a peroperative decision is made to perform a transecting procedure with the ligation of the bulbar arteries and the detachment of the bulb away from the perineal body. The described protocol gives an elaborate, step-by-step overview of the experience at Ghent University Hospital, a tertiary referral center for urethral stricture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protocol offers an extensive description, some crucial steps call for extra attention. A successful procedure starts with a correct indication. Patients with isolated short bulbar or posterior urethral strictures are ideal candidates for this approach</w:t>
      </w:r>
      <w:r>
        <w:rPr>
          <w:rFonts w:ascii="Calibri" w:hAnsi="Calibri" w:cs="Calibri" w:eastAsia="Calibri"/>
          <w:color w:val="auto"/>
          <w:spacing w:val="0"/>
          <w:position w:val="0"/>
          <w:sz w:val="24"/>
          <w:shd w:fill="auto" w:val="clear"/>
          <w:vertAlign w:val="superscript"/>
        </w:rPr>
        <w:t xml:space="preserve">3,4,14,15,16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successfully perform an anastomotic repair urethroplasty, both urethral ends need to be well-vascularized and the anastomosis must be completed in a tension-free way. Therefore, as the bulbar urethra has a limited elasticity, traditionally, only strictures up to 3 cm were treated with EPA. In 2006, however, Morey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reported equivalent success rates in strictures of up to 5 cm treated with anastomotic repair urethroplasty</w:t>
      </w:r>
      <w:r>
        <w:rPr>
          <w:rFonts w:ascii="Calibri" w:hAnsi="Calibri" w:cs="Calibri" w:eastAsia="Calibri"/>
          <w:color w:val="auto"/>
          <w:spacing w:val="0"/>
          <w:position w:val="0"/>
          <w:sz w:val="24"/>
          <w:shd w:fill="auto" w:val="clear"/>
          <w:vertAlign w:val="superscript"/>
        </w:rPr>
        <w:t xml:space="preserve">3,4,19</w:t>
      </w:r>
      <w:r>
        <w:rPr>
          <w:rFonts w:ascii="Calibri" w:hAnsi="Calibri" w:cs="Calibri" w:eastAsia="Calibri"/>
          <w:color w:val="auto"/>
          <w:spacing w:val="0"/>
          <w:position w:val="0"/>
          <w:sz w:val="24"/>
          <w:shd w:fill="auto" w:val="clear"/>
        </w:rPr>
        <w:t xml:space="preserve">. By splitting the corpora cavernosa, strictures up to 5 cm might indeed be treated successfully with EPA.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patient series investigated by Morey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consisted of 11 patients in each group and the mean follow-up was only 22 months. Furthermore, the estimation of the stricture length based upon preoperative investigations should be interpreted carefully, as conventional urethrography might underestimate the actual stricture length at the bulbar site. Nash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reported a correlation of only 0.69 between conventional urethrography and peroperative length measurements of bulbar urethral strictures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telescopic effect in a two-dimensional urethrogram and the different stricture appearances according to the patient’s positioning and penile traction might explain this result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underestimation of the stricture length might lead to a peroperative conversion from an anastomotic repair to an augmented repair using a free graft or a pedicled flap. Since the procedure involves a dorsal stricturotomy, a conversion towards a dorsal onlay graft urethroplasty (‘Barbagli procedure’) is most likely</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For this reason, it is of the greatest importance that the surgeon performing the operation masters a variety of urethroplasty techniques in order to address this 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point of attention is timing, as the introduction of even a small caliber instrument in the urethra may rupture the stricture, causing a significant problem in determining the distal extent of the urethral stricture as discussed in step 3.3.1. This, in turn, could lead to an insufficient urethroplasty procedure leaving fibrotic tissue, and, thus, stricture disease, behind. Therefore, any urethral manipulation must be avoided at least 3 months before surgery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surgical technique, the described procedure differs from the original vessel-sparing variant of Jordan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which the bulbar arteries are dissected free at the bulb of the corpus spongiosum in order to retract them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fact, this is unnecessary, time-consuming, and causes more surgical trauma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the duration of the catheter stay forms another important issue but is still a matter of debate. However, Poelaert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concluded that in uncomplicated cases, the catheter can be removed safely after 8 - 10 d postoperatively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reported results, the bulbar and posterior vsEPA were also considered separately. Comparing these groups is not the focus of this paper, as it is clinically irrelevant, given the fundamentally different nature of the stricture etiology, pathogenesis, and management. Nevertheless, some noteworthy differences were encountered and are worth putting in perspective. The differences in follow-up are most likely coincidental, but the longer strictures in the posterior vsEPA group can be explained by the fact that the posterior strictures were predominantly caused by pelvic trauma resulting in urethral disruption injuries and the subsequent obliteration or extensive stricture formation at the membranous urethra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can also explain the higher U-score of the posterior vsEPA group, as this score is partly based on the stricture length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Posterior urethral strictures caused by external trauma are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acute setting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managed with the placement of a suprapubic catheter to ensure urinary derivation and to reduce the risk of urinary extravasation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in turn, explains the differences in the presence of suprapubic catheters and, as suprapubic catheters involve a substantial risk of infection, the differences in preoperatively established urinary infections. Due to the more complex character of the strictures in the posterior vsEPA group, their operation time and catheter stay were longer. Posterior strictures require further proximal dissection and a cystoscope can be introduced in the suprapubic tract to facilitate the identification of the prostatic apex which further contributes to a longer operation time in these patients. The complication rate was low and mainly consisted of low-grade complications, which is in line with the experience at other centers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Nine patients, consisting of 6 patients from the bulbar vsEPA group and 3 patients from the posterior vsEPA group, were considered a surgical failure. This corresponds to a success rate of 93.4% and 88.5% for the bulbar and the posterior vsEPA group, respectively. These results are in line with the success rates reported by the ICUD and other centers</w:t>
      </w:r>
      <w:r>
        <w:rPr>
          <w:rFonts w:ascii="Calibri" w:hAnsi="Calibri" w:cs="Calibri" w:eastAsia="Calibri"/>
          <w:color w:val="auto"/>
          <w:spacing w:val="0"/>
          <w:position w:val="0"/>
          <w:sz w:val="24"/>
          <w:shd w:fill="auto" w:val="clear"/>
          <w:vertAlign w:val="superscript"/>
        </w:rPr>
        <w:t xml:space="preserve">3,4,8,9,10,11,12,14,15,16</w:t>
      </w:r>
      <w:r>
        <w:rPr>
          <w:rFonts w:ascii="Calibri" w:hAnsi="Calibri" w:cs="Calibri" w:eastAsia="Calibri"/>
          <w:color w:val="auto"/>
          <w:spacing w:val="0"/>
          <w:position w:val="0"/>
          <w:sz w:val="24"/>
          <w:shd w:fill="auto" w:val="clear"/>
        </w:rPr>
        <w:t xml:space="preserve">. Although Andrich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reported failures to occur within the first year after surgery, 2 failures were observed between the second and the fifth postoperative year, underlining the need for a prolonged follow-up in these patients, which is in line with suggestions from Han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It is plausible that a rigid follow-up scheme with cystoscopy would lead to earlier diagnoses of recurrence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every transurethral procedure, even flexible cystoscopy, is potentially harmful to the urethra. Both this and the prevention of overusing technical investigations are the rationale behind the follow-up scheme at Ghent University Hospital, administering further technical investigations only in the case of a suspicion of stricture recurrence.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vsEPA is the anastomosis: it is of the utmost importance to complete the anastomosis without any tension and with 2 well-vascularized urethral ends. Even by splitting the corpora cavernosa, this technique is limited to strictures up to 5 cm. Furthermore, in posterior urethral strictures, the bulbar arteries, as well as the cavernous vasculo-nervous bundles, may already be obliterated due to the pelvic fracture, abolishing the potential benefits of a vessel-sparing approach. Moreover, the anatomical proximity of the membranous urethra to the cavernous vasculo-nervous bundles and the urinary sphincter should be taken into account and, if possible, a sphincter-sparing variant of posterior vsEPA might be superior in terms of continence preservation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addition, Blakely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reported dorsal onlay graft urethroplasty to be beneficial for continence preservation as well, though in a limited number of patients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16)</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Future studies directly comparing the surgical outcome of the vessel-sparing and transecting technique are required, as are studies comparing the functional outcome of both techniques with validated questionnaires. So far, Le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performed a randomized controlled trial (RCT) in 23 patients with traumatic posterior urethral strictures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the near future, an RCT will be set up for bulbar urethral strictures in which vsEPA and tEPA will be compared for both their surgical and functional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vsEPA, as outlined in the protocol, provides excellent success rates with low complication rates for isolated short bulbar and posterior urethral strictures.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Hampson, L.A., McAninch, J.W., Breyer, B.N. Male urethral strictures and their management. </w:t>
      </w:r>
      <w:r>
        <w:rPr>
          <w:rFonts w:ascii="Calibri" w:hAnsi="Calibri" w:cs="Calibri" w:eastAsia="Calibri"/>
          <w:i/>
          <w:color w:val="000000"/>
          <w:spacing w:val="0"/>
          <w:position w:val="0"/>
          <w:sz w:val="24"/>
          <w:shd w:fill="auto" w:val="clear"/>
        </w:rPr>
        <w:t xml:space="preserve">Nature Reviews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43-50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Andrich, D.E., Mundy, A.R. What is the Best Technique for Urethroplasty? </w:t>
      </w:r>
      <w:r>
        <w:rPr>
          <w:rFonts w:ascii="Calibri" w:hAnsi="Calibri" w:cs="Calibri" w:eastAsia="Calibri"/>
          <w:i/>
          <w:color w:val="000000"/>
          <w:spacing w:val="0"/>
          <w:position w:val="0"/>
          <w:sz w:val="24"/>
          <w:shd w:fill="auto" w:val="clear"/>
        </w:rPr>
        <w:t xml:space="preserve">European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(5), 1031-1041 (2008).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Chapple,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SIU/ICUD Consultation on Urethral Strictures: The Management of Anterior Urethral Stricture Disease Using Substitution Urethroplasty.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 S31-S47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Morey, A.F., Watkin, N., Shenfeld, O., Eltahawy, E., Giudice, C. SIU/ICUD Consultation on Urethral Strictures: Anterior Urethra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Primary Anastomosis.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 S23-S26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Mundy, A.R. Anastomotic urethroplasty. </w:t>
      </w:r>
      <w:r>
        <w:rPr>
          <w:rFonts w:ascii="Calibri" w:hAnsi="Calibri" w:cs="Calibri" w:eastAsia="Calibri"/>
          <w:i/>
          <w:color w:val="000000"/>
          <w:spacing w:val="0"/>
          <w:position w:val="0"/>
          <w:sz w:val="24"/>
          <w:shd w:fill="auto" w:val="clear"/>
        </w:rPr>
        <w:t xml:space="preserve">BJU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(6), 921-944 (2005).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Jordan, G.H., Eltahawy, E.A., Virasoro, R. The Technique of Vessel Sparing Excision and Primary Anastomosis for Proximal Bulbous Urethral Reconstruction.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(5), 1799-1802 (2007).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Gur, U., Jordan, G.H. Vessel-sparing excision and primary anastomosis (for proximal bulbar urethral strictures). </w:t>
      </w:r>
      <w:r>
        <w:rPr>
          <w:rFonts w:ascii="Calibri" w:hAnsi="Calibri" w:cs="Calibri" w:eastAsia="Calibri"/>
          <w:i/>
          <w:color w:val="000000"/>
          <w:spacing w:val="0"/>
          <w:position w:val="0"/>
          <w:sz w:val="24"/>
          <w:shd w:fill="auto" w:val="clear"/>
        </w:rPr>
        <w:t xml:space="preserve">BJU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(9), 1183-1195 (2008).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Andrich, D.E., Mundy, A.R. Non-transecting anastomotic bulbar urethroplasty: a preliminary report. </w:t>
      </w:r>
      <w:r>
        <w:rPr>
          <w:rFonts w:ascii="Calibri" w:hAnsi="Calibri" w:cs="Calibri" w:eastAsia="Calibri"/>
          <w:i/>
          <w:color w:val="000000"/>
          <w:spacing w:val="0"/>
          <w:position w:val="0"/>
          <w:sz w:val="24"/>
          <w:shd w:fill="auto" w:val="clear"/>
        </w:rPr>
        <w:t xml:space="preserve">BJU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(7), 1090-1094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Lumen,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Nontransecting Anastomotic Repair in Urethral Reconstruction: Surgical and Functional Outcomes.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 </w:t>
      </w:r>
      <w:r>
        <w:rPr>
          <w:rFonts w:ascii="Calibri" w:hAnsi="Calibri" w:cs="Calibri" w:eastAsia="Calibri"/>
          <w:color w:val="000000"/>
          <w:spacing w:val="0"/>
          <w:position w:val="0"/>
          <w:sz w:val="24"/>
          <w:shd w:fill="auto" w:val="clear"/>
        </w:rPr>
        <w:t xml:space="preserve">(6), 1679-1684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Virasoro,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International multi-institutional experience with the vessel-sparing technique to reconstruct the proximal bulbar urethra: mid-term results. </w:t>
      </w:r>
      <w:r>
        <w:rPr>
          <w:rFonts w:ascii="Calibri" w:hAnsi="Calibri" w:cs="Calibri" w:eastAsia="Calibri"/>
          <w:i/>
          <w:color w:val="000000"/>
          <w:spacing w:val="0"/>
          <w:position w:val="0"/>
          <w:sz w:val="24"/>
          <w:shd w:fill="auto" w:val="clear"/>
        </w:rPr>
        <w:t xml:space="preserve">World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(12), 2153-2157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Bugeja, S., Andrich, D.E., Mundy, A.R. Non-transecting bulbar urethroplasty. </w:t>
      </w:r>
      <w:r>
        <w:rPr>
          <w:rFonts w:ascii="Calibri" w:hAnsi="Calibri" w:cs="Calibri" w:eastAsia="Calibri"/>
          <w:i/>
          <w:color w:val="000000"/>
          <w:spacing w:val="0"/>
          <w:position w:val="0"/>
          <w:sz w:val="24"/>
          <w:shd w:fill="auto" w:val="clear"/>
        </w:rPr>
        <w:t xml:space="preserve">Translational Andrology and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41-50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Anderson, K.M., Blakely, S.A., O’Donnell, C.I., Nikolavsky, D., Flynn, B.J. Primary non-transecting bulbar urethroplasty long-term success rates are similar to transecting urethroplasty. </w:t>
      </w:r>
      <w:r>
        <w:rPr>
          <w:rFonts w:ascii="Calibri" w:hAnsi="Calibri" w:cs="Calibri" w:eastAsia="Calibri"/>
          <w:i/>
          <w:color w:val="000000"/>
          <w:spacing w:val="0"/>
          <w:position w:val="0"/>
          <w:sz w:val="24"/>
          <w:shd w:fill="auto" w:val="clear"/>
        </w:rPr>
        <w:t xml:space="preserve">International Urology and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83-88 (2017).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Summerton, D.J., Kitrey, N.D., Lumen, N., Serafetinidis, E., Djakovic, N., European Association of Urology. EAU guidelines on iatrogenic trauma. </w:t>
      </w:r>
      <w:r>
        <w:rPr>
          <w:rFonts w:ascii="Calibri" w:hAnsi="Calibri" w:cs="Calibri" w:eastAsia="Calibri"/>
          <w:i/>
          <w:color w:val="000000"/>
          <w:spacing w:val="0"/>
          <w:position w:val="0"/>
          <w:sz w:val="24"/>
          <w:shd w:fill="auto" w:val="clear"/>
        </w:rPr>
        <w:t xml:space="preserve">European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(4), 628-639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G&amp;#243;mez, R.G.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SIU/ICUD Consultation on Urethral Strictures: Pelvic Fracture Urethral Injuries.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 S48-S58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Le, W., Li, C., Zhang, J., Wu, D., Liu, B. Preliminary clinical study on non-transecting anastomotic bulbomembranous urethroplasty. </w:t>
      </w:r>
      <w:r>
        <w:rPr>
          <w:rFonts w:ascii="Calibri" w:hAnsi="Calibri" w:cs="Calibri" w:eastAsia="Calibri"/>
          <w:i/>
          <w:color w:val="000000"/>
          <w:spacing w:val="0"/>
          <w:position w:val="0"/>
          <w:sz w:val="24"/>
          <w:shd w:fill="auto" w:val="clear"/>
        </w:rPr>
        <w:t xml:space="preserve">Frontiers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277-283 (2017).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Gomez, R.G., Campos, R.A., Velarde, L.G. Reconstruction of Pelvic Fracture Urethral Injuries With Sparing of the Bulbar Arteries.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207-212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Eswara, J.R.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Refinement and validation of the urethral stricture score in categorizing anterior urethral stricture complexity.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474-477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Dindo, D., Demartines, N., Clavien, P.-A. Classification of surgical complications: a new proposal with evaluation in a cohort of 6336 patients and results of a survey.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(2), 205-213 (2004).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Morey, A.F., Kizer, W.S. Proximal Bulbar Urethroplasty Via Extended Anastomotic Approach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What Are the Limits?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(6), 2145-2149 (2006).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Nash, P.A., McAninch, J.W., Bruce, J.E., Hanks, D.K. Sono-Urethrography in the Evaluation of Anterior Urethral Strictures.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(1), 72-76 (1995).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Wang, K., Miao, X., Wang, L., Li, H. Dorsal onlay versus ventral onlay urethroplasty for anterior urethral stricture: a meta-analysis. </w:t>
      </w:r>
      <w:r>
        <w:rPr>
          <w:rFonts w:ascii="Calibri" w:hAnsi="Calibri" w:cs="Calibri" w:eastAsia="Calibri"/>
          <w:i/>
          <w:color w:val="000000"/>
          <w:spacing w:val="0"/>
          <w:position w:val="0"/>
          <w:sz w:val="24"/>
          <w:shd w:fill="auto" w:val="clear"/>
        </w:rPr>
        <w:t xml:space="preserve">Urologia Internationalis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 342-348 (2009).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Barbagli, G., Selli, C., Tosto, A., Palminteri, E. Dorsal Free Graft Urethroplasty.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123-126 (1996).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Oosterlinck, W., Lumen, N., Van Cauwenberghe, G. Surgical treatment of urethral stenoses: technical aspects. </w:t>
      </w:r>
      <w:r>
        <w:rPr>
          <w:rFonts w:ascii="Calibri" w:hAnsi="Calibri" w:cs="Calibri" w:eastAsia="Calibri"/>
          <w:i/>
          <w:color w:val="000000"/>
          <w:spacing w:val="0"/>
          <w:position w:val="0"/>
          <w:sz w:val="24"/>
          <w:shd w:fill="auto" w:val="clear"/>
        </w:rPr>
        <w:t xml:space="preserve">Annales d’Urologie</w:t>
      </w:r>
      <w:r>
        <w:rPr>
          <w:rFonts w:ascii="Calibri" w:hAnsi="Calibri" w:cs="Calibri" w:eastAsia="Calibri"/>
          <w:color w:val="000000"/>
          <w:spacing w:val="0"/>
          <w:position w:val="0"/>
          <w:sz w:val="24"/>
          <w:shd w:fill="auto" w:val="clear"/>
        </w:rPr>
        <w:t xml:space="preserve"> (Paris).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173-207 (2007).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Poelaert, F., Oosterlinck, W., Spinoit, A.-F., Lumen, N. Duration of urethral catheterization after urethroplasty: how long is enough? </w:t>
      </w:r>
      <w:r>
        <w:rPr>
          <w:rFonts w:ascii="Calibri" w:hAnsi="Calibri" w:cs="Calibri" w:eastAsia="Calibri"/>
          <w:i/>
          <w:color w:val="000000"/>
          <w:spacing w:val="0"/>
          <w:position w:val="0"/>
          <w:sz w:val="24"/>
          <w:shd w:fill="auto" w:val="clear"/>
        </w:rPr>
        <w:t xml:space="preserve">Minerva Urologica e Nefrologica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 372-376 (2017).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Barbagli, G., Sansalone, S., Romano, G., Lazzeri, M. Bulbar urethroplasty: transecting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nontransecting techniques. </w:t>
      </w:r>
      <w:r>
        <w:rPr>
          <w:rFonts w:ascii="Calibri" w:hAnsi="Calibri" w:cs="Calibri" w:eastAsia="Calibri"/>
          <w:i/>
          <w:color w:val="000000"/>
          <w:spacing w:val="0"/>
          <w:position w:val="0"/>
          <w:sz w:val="24"/>
          <w:shd w:fill="auto" w:val="clear"/>
        </w:rPr>
        <w:t xml:space="preserve">Current Opinion in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474-477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Andrich, D.E., Dunglison, N., Greenwell, T.J., Mundy, A.R. The Long-Term Results of Urethroplasty.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 </w:t>
      </w:r>
      <w:r>
        <w:rPr>
          <w:rFonts w:ascii="Calibri" w:hAnsi="Calibri" w:cs="Calibri" w:eastAsia="Calibri"/>
          <w:color w:val="000000"/>
          <w:spacing w:val="0"/>
          <w:position w:val="0"/>
          <w:sz w:val="24"/>
          <w:shd w:fill="auto" w:val="clear"/>
        </w:rPr>
        <w:t xml:space="preserve">(1), 90-92 (2003).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Han, J.S.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Risk of urethral stricture recurrence increases over time after urethroplasty. </w:t>
      </w:r>
      <w:r>
        <w:rPr>
          <w:rFonts w:ascii="Calibri" w:hAnsi="Calibri" w:cs="Calibri" w:eastAsia="Calibri"/>
          <w:i/>
          <w:color w:val="000000"/>
          <w:spacing w:val="0"/>
          <w:position w:val="0"/>
          <w:sz w:val="24"/>
          <w:shd w:fill="auto" w:val="clear"/>
        </w:rPr>
        <w:t xml:space="preserve">International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695-699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Erickson, B.A.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Multi-institutional 1-year bulbar urethroplasty outcomes using a standardized prospective cystoscopic follow-up protocol.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 213-216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Angulo, J.C., G&amp;#243;mez, R.G., Nikolavsky, D. Reconstruction of Membranous Urethral Strictures. </w:t>
      </w:r>
      <w:r>
        <w:rPr>
          <w:rFonts w:ascii="Calibri" w:hAnsi="Calibri" w:cs="Calibri" w:eastAsia="Calibri"/>
          <w:i/>
          <w:color w:val="000000"/>
          <w:spacing w:val="0"/>
          <w:position w:val="0"/>
          <w:sz w:val="24"/>
          <w:shd w:fill="auto" w:val="clear"/>
        </w:rPr>
        <w:t xml:space="preserve">Current Urology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37 (2018).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Blakely, S., Caza, T., Landas, S., Nikolavsky, D. Dorsal Onlay Urethroplasty for Membranous Urethral Strictures: Urinary and Erectile Functional Outcomes.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(5), 1501-1507 (2016). </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