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08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tab/>
      </w: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Analyzing the Size, Shape, and Directionality of Networks of Coupled Astrocytes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Steven Condamine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Dorly Verdier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Arlette Kolta</w:t>
      </w:r>
      <w:r>
        <w:rPr>
          <w:rFonts w:ascii="Calibri" w:hAnsi="Calibri" w:cs="Calibri" w:eastAsia="Calibri"/>
          <w:color w:val="auto"/>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Groupe de Recherche sur le Système Nerveux Central, and Département de Neurosciences Université de Montréal,</w:t>
      </w:r>
      <w:r>
        <w:rPr>
          <w:rFonts w:ascii="Calibri" w:hAnsi="Calibri" w:cs="Calibri" w:eastAsia="Calibri"/>
          <w:color w:val="222222"/>
          <w:spacing w:val="0"/>
          <w:position w:val="0"/>
          <w:sz w:val="24"/>
          <w:shd w:fill="auto" w:val="clear"/>
        </w:rPr>
        <w:t xml:space="preserve"> C.P. 6128, succursale Centre-ville</w:t>
      </w:r>
      <w:r>
        <w:rPr>
          <w:rFonts w:ascii="Calibri" w:hAnsi="Calibri" w:cs="Calibri" w:eastAsia="Calibri"/>
          <w:color w:val="000000"/>
          <w:spacing w:val="0"/>
          <w:position w:val="0"/>
          <w:sz w:val="24"/>
          <w:shd w:fill="auto" w:val="clear"/>
        </w:rPr>
        <w:t xml:space="preserve">, Montréal, Québec, Canada, H3C 3J7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Faculté de Médecine Dentaire, Université de Montréal, </w:t>
      </w:r>
      <w:r>
        <w:rPr>
          <w:rFonts w:ascii="Calibri" w:hAnsi="Calibri" w:cs="Calibri" w:eastAsia="Calibri"/>
          <w:color w:val="222222"/>
          <w:spacing w:val="0"/>
          <w:position w:val="0"/>
          <w:sz w:val="24"/>
          <w:shd w:fill="auto" w:val="clear"/>
        </w:rPr>
        <w:t xml:space="preserve">C.P. 6128, succursale Centre-ville</w:t>
      </w:r>
      <w:r>
        <w:rPr>
          <w:rFonts w:ascii="Calibri" w:hAnsi="Calibri" w:cs="Calibri" w:eastAsia="Calibri"/>
          <w:color w:val="000000"/>
          <w:spacing w:val="0"/>
          <w:position w:val="0"/>
          <w:sz w:val="24"/>
          <w:shd w:fill="auto" w:val="clear"/>
        </w:rPr>
        <w:t xml:space="preserve">, Montréal, Québec, Canada, H3C 3J7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Arlette Kolta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ab/>
        <w:t xml:space="preserve">(arlette.kolta@umontreal.ca)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Condamine</w:t>
        <w:tab/>
        <w:tab/>
        <w:t xml:space="preserve">(steven.condamine@umontreal.ca)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Dorly Verdier</w:t>
        <w:tab/>
        <w:tab/>
        <w:tab/>
        <w:t xml:space="preserve">(dorly.verdier@umontreal.ca)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coupling, networks, vectorial analysis, biocytin, preferential orientation, anatomical organization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assess the organization of astrocytic networks. The described method minimizes bias to provide descriptive measures of these networks such as cell count, size, area, and position within a nucleus. Anisotropy is assessed with a vectorial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has become increasingly clear that astrocytes modulate neuronal function not only at the synaptic and single-cell levels, but also at the network level. Astrocytes are strongly connected to each other through gap junctions and coupling through these junctions is dynamic and highly regulated. An emerging concept is that astrocytic functions are specialized and adapted to the functions of the neuronal circuit with which they are associated. Therefore, methods to measure various parameters of astrocytic networks are needed to better describe the rules governing their communication and coupling and to further understand their functions.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using the image analysis software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ImageJFIJI), we describe a method to analyze confocal images of astrocytic networks revealed by dye-coupling.  These methods allow for 1) an automated and unbiased detection of labeled cells, 2) calculation of the size of the network, 3) computation of the preferential orientation of dye spread within the network, and 4) repositioning of the network within the area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analysis can be used to characterize astrocytic networks of a particular area, compare networks of different areas associated to different functions, or compare networks obtained under different conditions that have different effects on coupling. These observations may lead to important functional considerations. For instance, we analyze the astrocytic networks of a trigeminal nucleus, where we have previously shown that astrocytic coupling is essential for the ability of neurons to switch their firing patterns from tonic to rhythmic bursting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By measuring the size, confinement, and preferential orientation of astrocytic networks in this nucleus, we can build hypotheses about functional domains that they circumscribe. Several studies suggest that several other brain areas, including the barrel cortex, lateral superior olive, olfactory glomeruli, and sensory nuclei in the thalamus and visual cortex, to name a few, may benefit from a similar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808080"/>
          <w:spacing w:val="0"/>
          <w:position w:val="0"/>
          <w:sz w:val="24"/>
          <w:shd w:fill="auto" w:val="clear"/>
        </w:rPr>
      </w:pPr>
      <w:r>
        <w:rPr>
          <w:rFonts w:ascii="Calibri" w:hAnsi="Calibri" w:cs="Calibri" w:eastAsia="Calibri"/>
          <w:b/>
          <w:caps w:val="true"/>
          <w:color w:val="000000"/>
          <w:spacing w:val="0"/>
          <w:position w:val="0"/>
          <w:sz w:val="24"/>
          <w:shd w:fill="auto" w:val="clear"/>
        </w:rPr>
        <w:t xml:space="preserve">INTRODUCTION: </w:t>
      </w:r>
      <w:r>
        <w:rPr>
          <w:rFonts w:ascii="Calibri" w:hAnsi="Calibri" w:cs="Calibri" w:eastAsia="Calibri"/>
          <w:b/>
          <w:caps w:val="true"/>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studies have described how the neuron-astrocyte dialogue at a sub-cellular or synaptic level can have implications in neuronal functions and synaptic transmission. It is well established that astrocytes are sensitive to surrounding neuronal activity; in fact, they have receptors for many neurotransmitters including glutamate, GABA, acetylcholine, and ATP (see previously published reviews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In return, astrocytic processes ensheath synaptic elements and influence neuronal activity both there and at extrasynaptic sites by regulating extracellular ionic homeostasis and releasing several factors or transmitters such as glutamate, D-serine, and ATP</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idea that astrocytes can also modulate neuronal function at the network level has emerged, with evidence that astrocytic coupling is spatially regulated and corresponds to neuronal segmentation in areas characterized by a clear anatomical compartmentalization (like areas with sensory representations), indicating that astrocytes will couple to other astrocytes serving the same function rather than just those that are close by. In the lateral superior olive, for instance, most astrocytic networks are oriented orthogonally to the tonotopic axis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whereas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the barrel cortex or olfactoty glomeruli, communication between astrocytes is much stronger within barrels or glomeruli and weaker between adjacent ones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both cases, the astrocytic networks are oriented towards the center of the glomerule or barrel</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recently showed that astrocytic activity modulates neuronal firing by decreasing the concentration of extracellular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presumably through the release of S100</w:t>
      </w:r>
      <w:r>
        <w:rPr>
          <w:rFonts w:ascii="Times New Roman" w:hAnsi="Times New Roman" w:cs="Times New Roman" w:eastAsia="Times New Roman"/>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-binding protein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effect, which was demonstrated in a population of trigeminal rhythmogenic neurons in the dorsal part of the trigeminal main sensory nucleus (NVsnpr, thought to play an important role in the generation of masticatory movements), results from the fact that rhythmic firing in these neurons depends on a persistent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 that is promoted by decreases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Rhythmic firing in these neurons can be elicited “physiologically” by stimulation of their inputs or artificial decrease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We further showed that astrocytic coupling was required for neuronal rhythmic firing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raised the possibility that astrocytic networks may form circumscribed functional domains where neuronal activity can be synchronized and coordinated. To assess this hypothesis, we first needed to develop a method to rigorously document the organization of these networks within NVsnpr.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astrocytic networks have mostly described the extent of coupling in terms of cell number and the density and area covered. Attempts to evaluate the shape of astrocytic networks and the direction of dye-coupling were mostly performed by comparing the size of networks along two axes (x and y) in the barrel cortex</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hippocampus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barreloid fields of the thalamus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lateral superior olive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olfactory glomeruli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cortex</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methods described here enable unbiased counts of labeled cells in a network and an estimation of the area they cover. We also developed tools to define the preferred orientation of coupling within a network and to assess whether the preferred orientation is towards the center of the nucleus or in a different direction. In comparison to previously used methods, this protocol provides a means to describe the organization and orientation of astrocytic networks in structures like the dorsal trigeminal main sensory nucleus that do not have a known anatomical compartmentalization. In the above studies, the network orientation is described as a relationship to the shape of the structure itself which is already documented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barreloid in the thalamus, barrels in the cortex, layers in the hippocampus and cortex, glomeruli in the olfactory bulb, etc.). In addition, vectorial analysis allows for comparisons of coupling orientations revealed under different conditions.  To analyze whether these parameters changed according to the position of the network within the nucleus, we also developed a method to replace each network in reference to the boundaries of the nucleus.  These tools can be easily adapted to other areas for investigating networks of coupled cells.</w:t>
      </w:r>
      <w:r>
        <w:rPr>
          <w:rFonts w:ascii="Calibri" w:hAnsi="Calibri" w:cs="Calibri" w:eastAsia="Calibri"/>
          <w:b/>
          <w:color w:val="000000"/>
          <w:spacing w:val="0"/>
          <w:position w:val="0"/>
          <w:sz w:val="24"/>
          <w:shd w:fill="auto" w:val="clear"/>
        </w:rPr>
        <w:t xml:space="preserve"> </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808080"/>
          <w:spacing w:val="0"/>
          <w:position w:val="0"/>
          <w:sz w:val="24"/>
          <w:shd w:fill="auto" w:val="clear"/>
        </w:rPr>
      </w:pPr>
      <w:r>
        <w:rPr>
          <w:rFonts w:ascii="Calibri" w:hAnsi="Calibri" w:cs="Calibri" w:eastAsia="Calibri"/>
          <w:b/>
          <w:caps w:val="true"/>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abide by the Canadian Institutes of Health Research rules and were approved by the University of Montreal Animal Care and Use Committee.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Rat Brain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 L of a sucrose-based solution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1 L of standard artificial cerebral-spinal fluid (aCSF)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Bubble the sucrose-based solution with a mix of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(carbogen) for 30 min before placing it in -80 °C for about 30 min, until the solution is cold but not entirely frozen. Use this ice-cold sucrose as the cutting buffer for the slicing of the brain. Keep it on ice once it is removed from the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Bubble the aCSF with carbogen through the entire experiment. Use this solution for slice storage and as the perfusing buffer in which the patch-clamping and biocytin-filling of astrocytes will be performed. Prepare a slice recovery holding chamber to deposit the brain slices as soon as they are cut.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slice recovery holding chamber could be custom-made and consists essentially of one small well with a mesh at the bottom suspended in a larger well that is filled with aCSF, in which a tube is inserted to bring carbogen from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15- to 21-day-old Sprague-Dawley rats without any sex- or strain-specific bias. Anesthetize the animal with isoflurane (1 mL of isoflurane in an anesthesia induction chamber). Check the depth of anesthesia by gently pinching the hind paw or tail of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Decapitate the rat using a guillotine, cut its skull with scissors, and quickly remove the brain from the cranium with a flat spatula.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 the brain in the ice-cold sucrose-based solution for about 30 s and transfer it (with the solution) to a petri dish. With a razor blade, remove the portions that are anterior and posterior to the area to be sectioned, if cutting slices in the transverse plane.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Glue the remaining block of brain tissue on its rostral side and proceed to cut brain slices (350 µm thick) in the sucrose-based medium using a vibratome. Then, transfer the collected slices in a recovery holding chamber filled with carbogenated aCSF at room temperature (RT) until they are ready to be used (allow at least 1 hour for recovery).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Recent developments in the field allow prolonged incubation up to 24 h of brain slices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conditions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numPr>
          <w:ilvl w:val="0"/>
          <w:numId w:val="24"/>
        </w:numPr>
        <w:spacing w:before="0" w:after="0" w:line="240"/>
        <w:ind w:right="0" w:left="720" w:hanging="360"/>
        <w:jc w:val="both"/>
        <w:rPr>
          <w:rFonts w:ascii="Calibri" w:hAnsi="Calibri" w:cs="Calibri" w:eastAsia="Calibri"/>
          <w:color w:val="auto"/>
          <w:spacing w:val="0"/>
          <w:position w:val="0"/>
          <w:sz w:val="24"/>
          <w:shd w:fill="auto" w:val="clear"/>
        </w:rPr>
      </w:pPr>
    </w:p>
    <w:p>
      <w:pPr>
        <w:keepNext w:val="true"/>
        <w:numPr>
          <w:ilvl w:val="0"/>
          <w:numId w:val="2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Sulforhodamine 101 (SR-101) Labeling of Astrocytes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Pre-heat a water bath to 34 °C and place two slice incubation chambers in it. Fill one of the slice incubation chambers with a solution of aCSF containing 1 </w:t>
      </w:r>
      <w:r>
        <w:rPr>
          <w:rFonts w:ascii="Calibri" w:hAnsi="Calibri" w:cs="Calibri" w:eastAsia="Calibri"/>
          <w:color w:val="000000"/>
          <w:spacing w:val="0"/>
          <w:position w:val="0"/>
          <w:sz w:val="24"/>
          <w:shd w:fill="auto" w:val="clear"/>
        </w:rPr>
        <w:t xml:space="preserve">μM SR-101, and fill the other only with aCSF.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slices in the incubation chamber containing the 1 µM SR-101 for 20 min and then transfer them into the second incubation chamber to rinse out excess SR-101 from the tissue. Let it incubate for 20 min or more at 34 °C, then keep the incubation chamber containing the slices at RT until they are needed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numPr>
          <w:ilvl w:val="0"/>
          <w:numId w:val="29"/>
        </w:numPr>
        <w:spacing w:before="0" w:after="0" w:line="240"/>
        <w:ind w:right="0" w:left="720" w:hanging="360"/>
        <w:jc w:val="both"/>
        <w:rPr>
          <w:rFonts w:ascii="Calibri" w:hAnsi="Calibri" w:cs="Calibri" w:eastAsia="Calibri"/>
          <w:color w:val="auto"/>
          <w:spacing w:val="0"/>
          <w:position w:val="0"/>
          <w:sz w:val="24"/>
          <w:shd w:fill="auto" w:val="clear"/>
        </w:rPr>
      </w:pPr>
    </w:p>
    <w:p>
      <w:pPr>
        <w:keepNext w:val="true"/>
        <w:numPr>
          <w:ilvl w:val="0"/>
          <w:numId w:val="2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Astrocyte Patching and Biocytin Filling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a slice and place it in the recording chamber of the microscope.  To patch astrocytes, use electrodes with a resistance of 4-6M</w:t>
      </w:r>
      <w:r>
        <w:rPr>
          <w:rFonts w:ascii="Calibri" w:hAnsi="Calibri" w:cs="Calibri" w:eastAsia="Calibri"/>
          <w:color w:val="000000"/>
          <w:spacing w:val="0"/>
          <w:position w:val="0"/>
          <w:sz w:val="24"/>
          <w:shd w:fill="auto" w:val="clear"/>
        </w:rPr>
        <w:t xml:space="preserve">Ω when filled with a potassium-gluconate-based solution (see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visual guidance and using a micromanipulator, direct the recording electrode towards an SR-101-labeled astrocyte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Avoid cells located at the surface of the slice since they are more likely to be damaged or have lost connections to neighboring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prevent leakage of biocytin in the tissue, minimize the positive pressure added to the patch pipette and apply it only when it is close to the astrocyte that will be patched (0.1-0.4 mL in a syringe of 1 mL).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patching, adjust the offset of the pipette and its capacitance. Correct for liquid junction potentials, as accurate and precise voltage commands are critical to the experiments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Move the pipette close enough to the astrocyte to observe depression caused by the positive pressure. Then, remove the positive pressure and slowly apply some negative pressure. Clamp the astrocyte to -70 mV when the seal reaches 100 M</w:t>
      </w:r>
      <w:r>
        <w:rPr>
          <w:rFonts w:ascii="Times New Roman" w:hAnsi="Times New Roman" w:cs="Times New Roman" w:eastAsia="Times New Roman"/>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Wait until the seal reaches 1-3 G</w:t>
      </w:r>
      <w:r>
        <w:rPr>
          <w:rFonts w:ascii="Times New Roman" w:hAnsi="Times New Roman" w:cs="Times New Roman" w:eastAsia="Times New Roman"/>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Continue to apply negative pressure until breaking into the cell. Be careful while applying negative pressure, since astrocytes are very fragile.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 the electrophysiological properties of the patched cell. In voltage-clamp mode, perform a whole-cell current-voltage protocol with a ramp voltage command of 600 ms duration ranging from -120 to +110 mV. In current-clamp mode, perform a step IV protocol in which the injection of 1000 ms current steps of 100 pA from -1 to 1 nA, the sampling rate of the whole-cell recordings is 10 kHz.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Astrocytes show a linear current-voltage profile without any kind of rectification (as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no action potential firing upon membrane depolarization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resting membrane potential (RMP) should be stable and not positive to -60mV. In some brain areas, the RMP of astrocytes is more hyperpolarized than in the NVsnpr.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Allow the biocytin to diffuse within the astrocyte for 30 min while performing a step IV protocol every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Retract and detach the patch pipette carefully without damaging the patched astrocyte and immediately take note of the offset of the pipette before taking it out of the recording chamber. Subtract that value from the membrane potential recordings.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Leave the brain slice to rest in the recording chamber for a minimum of 15 min (in addition to the 30 min for injection) to allow spreading of the tracer from the patched astrocyte to the entire network of coupled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reveal a network of coupled cells, only a single cell should be patched in the nucleus of interest. If multiple attempts are required in order to achieve a successful patch, discard the case and try to patch on the contralateral side or in another brain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a mark or incision in the tissue to identify which side of the slice is facing upwards, and transfer the slice first to a petri dish containing normal aCSF, then into a solution of 4% paraformaldehyde (PFA). Incubate the slice at 4 °C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extremely harmful. Use protective equipment in a ventilated hood. Ensure that all materials (brushes, tubes, etc.) that have been in contact with PFA do not contact the recovery holding chamber, incubation chamber, or other materials used for recording the fresh tissue.</w:t>
      </w:r>
    </w:p>
    <w:p>
      <w:pPr>
        <w:numPr>
          <w:ilvl w:val="0"/>
          <w:numId w:val="53"/>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numPr>
          <w:ilvl w:val="0"/>
          <w:numId w:val="5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Biocytin Revelation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Revelation with fluorescent streptavidine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brain slices 2 x 10 min in 0.1 M phosphate buffer saline (PBS) at RT.  Then, reveal the biocytin by incubating the brain slices with streptavidine conjugated to a fluorophore at 1/200 dilution in PBS with 4% non-ionic detergent for 4 h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brain slices 3 x 10 min in 0.1 M PBS at RT and mount the sections on glass slides using an aqueous mounting medium. Face the sides that were injected upwards, coverslip the slides, and seal them with nail-varnish. </w:t>
      </w:r>
    </w:p>
    <w:p>
      <w:pPr>
        <w:numPr>
          <w:ilvl w:val="0"/>
          <w:numId w:val="59"/>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numPr>
          <w:ilvl w:val="0"/>
          <w:numId w:val="60"/>
        </w:num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tab/>
        <w:t xml:space="preserve">Revelation with DAB</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DAB (3,3-diaminobenzidine) revelation can be used when fluorescence cannot be used. In this case, only one revelation method should be employed for making comparisons.</w:t>
      </w:r>
    </w:p>
    <w:p>
      <w:pPr>
        <w:numPr>
          <w:ilvl w:val="0"/>
          <w:numId w:val="62"/>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brain slices 3 x 10 min in PBS at RT. Incubate the slices in PBS +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0.5% for 1 hour at RT.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the slices 3 x 10 min in PBS at RT. Then, incubate the slices in an avidin-biotin complex staining solution composed of PBS and 1% non-ionic detergent + avidin-biotin complex peroxidase standard staining kit reagents at 1/100 for 24 hours at RT.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the slices 3 x 10 min in PBS at RT, incubate them in a solution of PBS + DAB 0.05% for 20 min at RT, and transfer them into a solution of PBS + DAB 0.05% +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DAB is extremely harmful. Use protective equipment in a ventilated hood. The color reaction is stopped when the slices are transferred to the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the slices 5 x 10 min in PBS at RT, mount the sections on glass slides (face the sides that were injected upwards) and let them dry on a slide drying bench overnight at 34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Submerge the glass slides for 1 min in several alcohol baths at 70%, 95%, and 100%, and end with a bath of xylene for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Mount the glass slides using a toluene-based synthetic resin mounting medium. Place coverslips on the slides and seal them with nail varnish.</w:t>
      </w:r>
    </w:p>
    <w:p>
      <w:pPr>
        <w:numPr>
          <w:ilvl w:val="0"/>
          <w:numId w:val="74"/>
        </w:numPr>
        <w:spacing w:before="0" w:after="0" w:line="240"/>
        <w:ind w:right="0" w:left="360" w:hanging="360"/>
        <w:jc w:val="both"/>
        <w:rPr>
          <w:rFonts w:ascii="Calibri" w:hAnsi="Calibri" w:cs="Calibri" w:eastAsia="Calibri"/>
          <w:b/>
          <w:color w:val="auto"/>
          <w:spacing w:val="0"/>
          <w:position w:val="0"/>
          <w:sz w:val="24"/>
          <w:shd w:fill="auto" w:val="clear"/>
        </w:rPr>
      </w:pPr>
    </w:p>
    <w:p>
      <w:pPr>
        <w:keepNext w:val="true"/>
        <w:numPr>
          <w:ilvl w:val="0"/>
          <w:numId w:val="7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Network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 the astrocytic networks using a scanning confocal microscope equipped with 20X and 4X objectives (or an appropriate objective to visualize the entire nucleus where the network is located) and a laser to detect the fluorophore (in this case, Alexa-594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20X magnification to make a z-stack of the network of labeled cells. Use a resolution of 800 x 800 pixels and scan speed of 12.5 </w:t>
      </w:r>
      <w:r>
        <w:rPr>
          <w:rFonts w:ascii="Calibri" w:hAnsi="Calibri" w:cs="Calibri" w:eastAsia="Calibri"/>
          <w:color w:val="000000"/>
          <w:spacing w:val="0"/>
          <w:position w:val="0"/>
          <w:sz w:val="24"/>
          <w:shd w:fill="auto" w:val="clear"/>
        </w:rPr>
        <w:t xml:space="preserve">μs/pixel.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image the whole network, multiple stacks are usually required, and the number of stacks needs to be adjusted for each network. The resolution and scan speed can be changed, but make sure to use the same settings to image all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4X magnification to take images of the network and region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4X imaging is used to determine the network position within the nucleus of interest.  Always image the same field in transmitted light. This image will be useful if you cannot determine the border of the nucleus in the confocal fluorescent image.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software ImageJFIJIFIJI (download it at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https://fiji.sc/</w:t>
        </w:r>
      </w:hyperlink>
      <w:r>
        <w:rPr>
          <w:rFonts w:ascii="Calibri" w:hAnsi="Calibri" w:cs="Calibri" w:eastAsia="Calibri"/>
          <w:color w:val="000000"/>
          <w:spacing w:val="0"/>
          <w:position w:val="0"/>
          <w:sz w:val="24"/>
          <w:shd w:fill="auto" w:val="clear"/>
        </w:rPr>
        <w:t xml:space="preserve">&gt;). Open the file and click OK in the “Bio-Formats Import Options”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redefine a z-stack that will contain only the optical slices needed for the final z-stack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click on the “Stack” knob in the toolbar (to find, first select stk | Z Project). Select “Max Intensity” in the projection type setting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Save the file and name it “stack file”.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imaging file contains several channels, split it to conserve only the channel with the astrocytic network imaging (Image | Color | Split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the pixel settings of the image [Image | Properties | Pixel (with "1" for pixel dimension)].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subtract background tool (Process | Subtract Background) to remove the background of biocytin labelling. Use the preview function to set the rolling ball radius, which is generally set at 50 pixels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remove outliers tool (Process | Noise | Remove Outliers) if it is required following the subtract background step. Select “Bright” in the “Which Outliers” setting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Use the preview function to set the radius and threshold. Be careful with this tool, since it may blur the data, as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tool removes the small spots caused by unspecific deposits of streptavidine (as shown by the white arrows in </w:t>
      </w:r>
      <w:r>
        <w:rPr>
          <w:rFonts w:ascii="Calibri" w:hAnsi="Calibri" w:cs="Calibri" w:eastAsia="Calibri"/>
          <w:b/>
          <w:color w:val="auto"/>
          <w:spacing w:val="0"/>
          <w:position w:val="0"/>
          <w:sz w:val="24"/>
          <w:shd w:fill="auto" w:val="clear"/>
        </w:rPr>
        <w:t xml:space="preserve">Figures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before and after treatment,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threshold (Image | Adjust | Threshold). Select “Default” and “B&amp;W” mode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Click on “Apply”.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Auto-adjusting can be used, but manual adjusting with the two slider bars is preferred. The aim of this step is to reduce noise to the maximum without losing any labeled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Convert the image into a binary image with the binary process tool (Process | Binary | Make  Binary) as shown in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Save the file as a TIFF file and name it “binary file”.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counting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the setting of the measure function (Analyze | Set measurement). Select the “Centroid”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“Analyze Particles” tool on the “binary file”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produced in the previous step (Analyze | Analyze Particle)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on the left). Select “Outlines” in the “Show” setting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This generates a new file that shows the result of the detection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Play with the parameters: size (to detect only cells, use values between 30 and 6000) and circularity (to determine an interval between 0 to 1, in which “1” defines a perfect circle and “0” a random shape) to refine the detection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left portion). Run the detection by clicking “OK”.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tables will appear following the detection: 1) a table titled “Summary” that provides the number of detected cells, and 2) a table titled “Results”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right portion) that provides the x- and y-coordinates of each cell.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Copy the values and paste them into a spreadsheet application. Save this table under the name “detection table”. A file with a plot of detected cells will also appear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Save this file as a TIFF file under the name “detection file”.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group of 2 or more labeled cells in the network are detected as a single cell with the analyze particles tool because they are too close to each other, use the watershed tool (Process | Binary | Watershed) </w:t>
      </w:r>
      <w:r>
        <w:rPr>
          <w:rFonts w:ascii="Calibri" w:hAnsi="Calibri" w:cs="Calibri" w:eastAsia="Calibri"/>
          <w:b/>
          <w:color w:val="000000"/>
          <w:spacing w:val="0"/>
          <w:position w:val="0"/>
          <w:sz w:val="24"/>
          <w:shd w:fill="auto" w:val="clear"/>
        </w:rPr>
        <w:t xml:space="preserve">on the binary image</w:t>
      </w:r>
      <w:r>
        <w:rPr>
          <w:rFonts w:ascii="Calibri" w:hAnsi="Calibri" w:cs="Calibri" w:eastAsia="Calibri"/>
          <w:color w:val="000000"/>
          <w:spacing w:val="0"/>
          <w:position w:val="0"/>
          <w:sz w:val="24"/>
          <w:shd w:fill="auto" w:val="clear"/>
        </w:rPr>
        <w:t xml:space="preserve"> before applying the analyze particles tool, and redo the analyze particles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watershed tool creates a delimitation of 1 pixel wide between extremely close cells. A cell counter plug-in can be used when labeling is unequivocal and can be conducted manually.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astrocytic network area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surface area of the networks, use the detection file using Image J.</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polygon selection tool (left click on the button in the tool bar to select it) to trace a polygon that connects all the cells located in the external periphery of the network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Left click to begin tracing the polygon, and right click to close it.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polygon will be defined as a region of interest (ROI) and its surface will be measured to determine the surface area of the network.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set measurement window (Analyze | Set Measurement) and select the “Area” option. Open the ROI Manager (Analyze | Tools | ROI Manager)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Then, add the traced polygon in the ROI Manager by clicking ‘’Add’’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and run the measurement by clicking ‘’Measure’’ in the ROI Manager.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area measurement will appear in a table and be expressed in pixels. Do not forget to convert this value with the conversion factor for the microscope used to obtain a value in </w:t>
      </w:r>
      <w:r>
        <w:rPr>
          <w:rFonts w:ascii="Times New Roman" w:hAnsi="Times New Roman" w:cs="Times New Roman" w:eastAsia="Times New Roman"/>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the main direction vector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the patched cell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stack file in ImageJFIJI and identify the patched cell in the stack file based on its stronger labeling intensity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Then, open the file named “detection table” in a spreadsheet application and find the number associated to the patched cell and its corresponding coordinates.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unable to accurately determine the patched cell, surround the area where the deposit of biocytin is denser in the imaged network of coupled cells, using the Polygon tool in ImageJFIJI, and refer to this position as that of the patched cell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ROI Manager (Analyze | Tools | ROI Manager). Then, draw a ROI at the patched cell location and add it to the ROI Manager (see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a measurement (Analyze | Set Measurement) and select the “Centroid”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ROI Manager, click on “Measure” to obtain the coordinates of the centroid of the traced area. Use these coordinates as the reference point for this specific network.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Referential translation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coordinates of each cell in reference to the patched astrocyte by using the following formula: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as the coordinates for a given cell;  as the coordinates of the patched cell (or the referential point of the network); and as the coordinates for a given cell in the new referential.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Expressing the coordinates of each cell in reference to the patched astrocyte is an important step in calculating vectors from the patched astrocyte. Be careful when using ImageJFIJI that the referential for any image is located in the top-left corner of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the main vector of preferential orientation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coordinates of the main vector of preferential orientation with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 as the coordinates of the main vector of preferential orientation; and   as the coordinates of each cell of the network obtained with the patched cell as referential.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cell in the network, a vector is determined relative to the coordinates of the patched astrocyte.  The main vector of preferential orientation of the network is the sum of all these vectors.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6.4.3.2 Divide the length of the main vector (provided by the coordinates</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obtained from using the above formula) by the number of cells in the network minus one (since the coordinates of the patched cell are not included), to normalize the values and enable comparisons between networks. A schematic view of this analysis is presented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Placement of analyzed networks in the nucleus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Alignment of the 20X and 4X images</w:t>
      </w:r>
    </w:p>
    <w:p>
      <w:pPr>
        <w:spacing w:before="0" w:after="0" w:line="240"/>
        <w:ind w:right="0" w:left="0" w:firstLine="0"/>
        <w:jc w:val="both"/>
        <w:rPr>
          <w:rFonts w:ascii="Calibri" w:hAnsi="Calibri" w:cs="Calibri" w:eastAsia="Calibri"/>
          <w:b/>
          <w:i/>
          <w:color w:val="000000"/>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position of each network in the nucleus of interest (NVsnpr), use the 4X image. Open the 4X image with a vector image editor.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4X image and modify its size by multiplying it by 5. The dimension window is located in the right part of the top horizontal toolbar. For instance, for a 4X image that has been sampled at 800 x 800 pixels, change the sampling resolution to 4000 x 4000 pixels (to set the working unit in pixels, go to “Document Setup” under the file tab: File | Document Setup). Export the file in TIFF format and name it “resized 4X”.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Align the top-left corner of the image with the bottom-left corner of the Adobe Illustrator document.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software provides coordinates from a bottom-left corner referential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20X image of the network. Use the ‘’binary file’’ or ‘’detection file’’ because they are easier to align. Then, play with the opacity tool on the ‘’binary file’’ of the 20X image to align it with the re-sized 4X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opacity tool is in the top horizontal tool bar.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alignment is done, select and hold the pipette tool so the measure tool appears, and select it in the left toolbar.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measure tool to click on the top-left corner of the 20X image to get the coordinates of the 20X referential point onto the resized 4X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coordinates, which are referred to as the 20X referential (20XR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will be useful for expressing the position of each network on a schematic drawing of the nucleus.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Normalization of the nucleus of interest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sum up the data, a normalization of the nucleus (NVsnpr) as a rectangle is used. The steps are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4X resized file in ImageJFIJI, and use the polygon tool to surround the nucleus (NVsnpr). Use the image with transmitted light if the borders of the nucleus are not able to be seen; in which case, remember to resize it first.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ROI Manager and add the drawn ROI. In “Set Measurement”, select the ‘’Bounding Rectangle’’ option.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“Bounding Rectangle” option calculates the smallest rectangle within the drawn nucleus.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“Measure”.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table appears with BX and BY, the coordinates of the top left corner of the rectangle: ‘’Rectangle Position’’ and provides the width and height. BX and BY are the coordinates of the bounding rectangle referential which are referred to as  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 </w:t>
        <w:tab/>
        <w:t xml:space="preserve">Expression of each network position in the normalized nucleus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numPr>
          <w:ilvl w:val="0"/>
          <w:numId w:val="1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 the coordinates of each cell with the 4X referential (black square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using the following formula: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are the cell coordinates with the 4X referential;  are the cell coordinates with the 20X referential (orange square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are the coordinates of the 20X referential point in the 4X image (20XR).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 the cell coordinates in the bounding rectangle referential (blue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are the cell coordinates in the bounding rectangle referential;  are the cell coordinates in the 4X referential; and  are the coordinates of the bounding rectangle referential in the 4X image.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Transform the cell coordinates in the bounding rectangle referential to the percentage of width and height of the bounding rectangle using the following formula:</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are the cell coordinates in the percentage of width and height of the bounding rectangle;  are the cell coordinates in the bounding rectangle referential;  is the width of the bounding rectangle measured above in the protocol; and  is the height of the bounding rectangle measured above in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represent all the networks on the same figure, take into account the orientation of the slice (left or right side). To standardize the data, the referential is applied on the left side of the slice. Transfer the network coordinates of the right side to the left side by applying the following formula only to x-coordinates: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is the x-coordinate on the right side of the slice; and x</w:t>
      </w:r>
      <w:r>
        <w:rPr>
          <w:rFonts w:ascii="Calibri" w:hAnsi="Calibri" w:cs="Calibri" w:eastAsia="Calibri"/>
          <w:color w:val="000000"/>
          <w:spacing w:val="0"/>
          <w:position w:val="0"/>
          <w:sz w:val="24"/>
          <w:shd w:fill="auto" w:val="clear"/>
          <w:vertAlign w:val="subscript"/>
        </w:rPr>
        <w:t xml:space="preserve">L </w:t>
      </w:r>
      <w:r>
        <w:rPr>
          <w:rFonts w:ascii="Calibri" w:hAnsi="Calibri" w:cs="Calibri" w:eastAsia="Calibri"/>
          <w:color w:val="000000"/>
          <w:spacing w:val="0"/>
          <w:position w:val="0"/>
          <w:sz w:val="24"/>
          <w:shd w:fill="auto" w:val="clear"/>
        </w:rPr>
        <w:t xml:space="preserve">is the new x-coordinate expressed in the referential on the left side of the slice.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mirror the picture in ImageJFIJI before the analysis (Image | Transform | Flip Horizontally).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express the coordinates of the main vector of preferential orientation, follow the same steps with the cell coordinates (steps 6.5.3.1 to 6.5.3.4).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expression of the coordinates in percentages allows a compilation of the data as a single plot in which the nucleus (NVsnpr) is designed as a rectangle.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of the angular difference of the main vector of preferential direction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angular difference of an astrocytic network is used to determine whether its preferential orientation is towards the center of the nucleus of interest. To calculate the angular difference (</w:t>
      </w:r>
      <w:r>
        <w:rPr>
          <w:rFonts w:ascii="Calibri" w:hAnsi="Calibri" w:cs="Calibri" w:eastAsia="Calibri"/>
          <w:color w:val="000000"/>
          <w:spacing w:val="0"/>
          <w:position w:val="0"/>
          <w:sz w:val="24"/>
          <w:shd w:fill="auto" w:val="clear"/>
        </w:rPr>
        <w:t xml:space="preserve">α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which is the angle between the main vector of preferential direction of the network (PD, red line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the line connecting P to C, apply the Al-Kashi Theorem into the triangle PDC (see inset of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Supplementary Methods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w:t>
      </w:r>
      <w:r>
        <w:rPr>
          <w:rFonts w:ascii="Calibri" w:hAnsi="Calibri" w:cs="Calibri" w:eastAsia="Calibri"/>
          <w:b/>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First, calculate the different lengths using the application of the Pythagorean Theorem into a Cartesian referential using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the coordinates of P and C are and , respectively, in the bounding rectangle referential (calculated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w:t>
      </w:r>
      <w:r>
        <w:rPr>
          <w:rFonts w:ascii="Calibri" w:hAnsi="Calibri" w:cs="Calibri" w:eastAsia="Calibri"/>
          <w:b/>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Determine the angular difference in radians using the following formula: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w:t>
      </w:r>
      <w:r>
        <w:rPr>
          <w:rFonts w:ascii="Calibri" w:hAnsi="Calibri" w:cs="Calibri" w:eastAsia="Calibri"/>
          <w:b/>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Convert the angular difference in degrees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with the DEGREES function in Excel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6.6.4</w:t>
      </w:r>
      <w:r>
        <w:rPr>
          <w:rFonts w:ascii="Calibri" w:hAnsi="Calibri" w:cs="Calibri" w:eastAsia="Calibri"/>
          <w:b/>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Compile all the angular differences by plotting them in vertical bar charts (</w:t>
      </w:r>
      <w:r>
        <w:rPr>
          <w:rFonts w:ascii="Calibri" w:hAnsi="Calibri" w:cs="Calibri" w:eastAsia="Calibri"/>
          <w:b/>
          <w:color w:val="000000"/>
          <w:spacing w:val="0"/>
          <w:position w:val="0"/>
          <w:sz w:val="24"/>
          <w:shd w:fill="auto" w:val="clear"/>
        </w:rPr>
        <w:t xml:space="preserve">Figures 7C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7D</w:t>
      </w:r>
      <w:r>
        <w:rPr>
          <w:rFonts w:ascii="Calibri" w:hAnsi="Calibri" w:cs="Calibri" w:eastAsia="Calibri"/>
          <w:color w:val="000000"/>
          <w:spacing w:val="0"/>
          <w:position w:val="0"/>
          <w:sz w:val="24"/>
          <w:shd w:fill="auto" w:val="clear"/>
        </w:rPr>
        <w:t xml:space="preserve">) and determine if there is a preferential orientation of astrocytic networks.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Coupling between cells in the brain is not static but rather dynamically regulated by many factors. The methods described were developed to analyze astrocytic networks revealed under different conditions and to understand their organization in NVsnpr. These results have been already published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 performed biocytin filling of single astrocytes in the dorsal part of the NVsnpr in three different conditions: at rest (in control conditions in the absence of any stimulation),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conditions, and following the electrical stimulation of sensory fibers that project to the nucleus. The experimental settings for the biocytin filling of astrocytes for each condition are illustrated in the left sides of </w:t>
      </w:r>
      <w:r>
        <w:rPr>
          <w:rFonts w:ascii="Calibri" w:hAnsi="Calibri" w:cs="Calibri" w:eastAsia="Calibri"/>
          <w:b/>
          <w:color w:val="000000"/>
          <w:spacing w:val="0"/>
          <w:position w:val="0"/>
          <w:sz w:val="24"/>
          <w:shd w:fill="auto" w:val="clear"/>
        </w:rPr>
        <w:t xml:space="preserve">Figure 6A-C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Networks of biocytin-labeled cells were observed in control conditions and confirmed a basal state of cell coupling between NVsnpr astrocytes at rest. In 11 tested cases, biocytin diffusion showed networks composed of 11 ± 3 cells (middle panel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extending over an area of 34737 ± 13254 µm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Carbenoxolone (CBX, 20 </w:t>
      </w:r>
      <w:r>
        <w:rPr>
          <w:rFonts w:ascii="Calibri" w:hAnsi="Calibri" w:cs="Calibri" w:eastAsia="Calibri"/>
          <w:color w:val="000000"/>
          <w:spacing w:val="0"/>
          <w:position w:val="0"/>
          <w:sz w:val="24"/>
          <w:shd w:fill="auto" w:val="clear"/>
        </w:rPr>
        <w:t xml:space="preserve">μM), a non-specific blocker of gap junctions, was used in an independent set of experiments to ensure that the observed labeling was a result of biocytin diffusion through gap junctions and not uptake by the cells of biocytin, which could leak into the extracellular space from the positive pressure applied to the patch pipette prior to patching. Bath application of CBX reduced the number of labeled cells to 2 </w:t>
      </w:r>
      <w:r>
        <w:rPr>
          <w:rFonts w:ascii="Calibri" w:hAnsi="Calibri" w:cs="Calibri" w:eastAsia="Calibri"/>
          <w:color w:val="000000"/>
          <w:spacing w:val="0"/>
          <w:position w:val="0"/>
          <w:sz w:val="24"/>
          <w:shd w:fill="auto" w:val="clear"/>
        </w:rPr>
        <w:t xml:space="preserve">± 0.5 cells (right panel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0.016;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0.010) and the area of biocytin spread to 2297 ± 1726 µm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0.0009;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0.025).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 of calcium removal from the medium on the NVsnpr astrocytic networks was tested because low extracellular calcium concentration is known to open connexins and gap junctions</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and it can be used as a massive and uniform stimulus to open up the syncytium and maximize tracer diffusion through gap junctions. The astrocytic networks that were revealed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conditions (n=10) showed a larger number of cells than the networks revealed in control conditions, with 37 ± 10 labeled cells (middle panel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0.016;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0.001) covering an area of 108123 ± 27450 </w:t>
      </w:r>
      <w:r>
        <w:rPr>
          <w:rFonts w:ascii="Calibri" w:hAnsi="Calibri" w:cs="Calibri" w:eastAsia="Calibri"/>
          <w:color w:val="000000"/>
          <w:spacing w:val="0"/>
          <w:position w:val="0"/>
          <w:sz w:val="24"/>
          <w:shd w:fill="auto" w:val="clear"/>
        </w:rPr>
        <w:t xml:space="preserve">μm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(middle panel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0.009;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 complete removal of calcium from the medium, electrical stimulation of afferent inputs to the nucleus of interest is a stronger physiological stimulus that directly involves the neuronal circuitry of interest. Consequently, the results from this type of manipulation can provide meaningful information regarding the functional implications of the astrocytic networks observed.  For instance, input from two different pathways may lead to different effects on the basal state of cells coupling in a given area, or it may elicit coupling between astrocytes in distinct subdivisions of the nucleus.  In our circuit, electrical stimulation of the sensory fibers that project to the NVsnpr using 2-second trains of 0.2 ms pulses at 40-60 Hz (n = 11) produced an increase of the coupling between NVsnpr astrocytes, relative to the unstimulated conditions, with 23 ± 6 cells (middle panel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0.016;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0.012) spreading out over an area of 814174 ± 15270 </w:t>
      </w:r>
      <w:r>
        <w:rPr>
          <w:rFonts w:ascii="Calibri" w:hAnsi="Calibri" w:cs="Calibri" w:eastAsia="Calibri"/>
          <w:color w:val="000000"/>
          <w:spacing w:val="0"/>
          <w:position w:val="0"/>
          <w:sz w:val="24"/>
          <w:shd w:fill="auto" w:val="clear"/>
        </w:rPr>
        <w:t xml:space="preserve">μm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(middle panel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0.009;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effects of these two types of stimulation, the removal of calcium from the medium, and the electrical stimulation of afferent inputs, are all disrupted by CBX. The astrocytic networks in this condition comprised only 5 ± 1 cells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(right panel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n = 4;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0.016;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0.001) and 9 ± 2 cells with sensory fibers stimulation (right panel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n = 6;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0.016;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0.023). The network surface areas were also reduced to 17987 ± 9843 µm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n = 4;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0.009;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0.004) and to 39379 ± 11014 µm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sensory fibers stimulation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n = 6; Iman-Conover method,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0.009; Holm-Sidak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0.055).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Anatomical analysis was performed only in cases where the NVsnpr boundaries could be clearly defined on 4X imaging, which was the case for 9 out of 10 networks obtained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and 8 out of 11 networks obtained with electrical stimulation. Plotting of all the analyzed astrocytic networks on a theoretical NVnspr shows that most cells comprised in the networks were confined within the nucleus boundaries (</w:t>
      </w:r>
      <w:r>
        <w:rPr>
          <w:rFonts w:ascii="Calibri" w:hAnsi="Calibri" w:cs="Calibri" w:eastAsia="Calibri"/>
          <w:b/>
          <w:color w:val="000000"/>
          <w:spacing w:val="0"/>
          <w:position w:val="0"/>
          <w:sz w:val="24"/>
          <w:shd w:fill="auto" w:val="clear"/>
        </w:rPr>
        <w:t xml:space="preserve">Figures 7A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7B</w:t>
      </w:r>
      <w:r>
        <w:rPr>
          <w:rFonts w:ascii="Calibri" w:hAnsi="Calibri" w:cs="Calibri" w:eastAsia="Calibri"/>
          <w:color w:val="000000"/>
          <w:spacing w:val="0"/>
          <w:position w:val="0"/>
          <w:sz w:val="24"/>
          <w:shd w:fill="auto" w:val="clear"/>
        </w:rPr>
        <w:t xml:space="preserve">, left and middle panels). Under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4 out of 9 astrocytic networks spread outside of the NVsnpr in the direction of the motor nucleus located medially to the NVsnpr. In these 4 cases, the vast majority of the labeled cells were confined to the nucleus. The networks of labeled cells obtained with electrical stimulation of the sensory fibers were more restricted. Only 2 networks extended over the nucleus borders, in which one spread over the mediodorsal border into the lateral supratrigeminal area (dark green network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left and middle panels). In the second case, 2 astrocytes in the red network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left and middle panels) crossed into the ventral portion of the NVsnpr.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vectorial analysis for the astrocytic networks preferential orientation (right panel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7B</w:t>
      </w:r>
      <w:r>
        <w:rPr>
          <w:rFonts w:ascii="Calibri" w:hAnsi="Calibri" w:cs="Calibri" w:eastAsia="Calibri"/>
          <w:color w:val="000000"/>
          <w:spacing w:val="0"/>
          <w:position w:val="0"/>
          <w:sz w:val="24"/>
          <w:shd w:fill="auto" w:val="clear"/>
        </w:rPr>
        <w:t xml:space="preserve">) produced different results depending on the stimulus used. Indeed, for the astrocytic networks observed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all except one of the vectors of preferential orientation were oriented towards the center of the NVsnpr. However, for the astrocytic networks observed with electrical stimulation, the preferential orientation vectors were mostly oriented towards the borders of the nucleus. This is reflected by the computed angular differences in preferential orientation between the astrocytic networks obtained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and those obtained with electrical stimulation of the sensory fibers. Under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the vertical bar charts of the distribution of angular difference showed that most of the networks of labeled cells have an angular difference between 0 and 40 degrees, with a mean of angular difference of 39.5 ± 12.7 degrees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With electrical stimulation of sensory fibers, the distribution is more uniform, and the mean angular difference (99.5 ± 17 degrees) is significantly different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student t-test,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data show that biocytin labeling analysis allows us to distinguish the effects of different stimuli modulating astrocytic coupling. Moreover, mapping of the astrocytic networks in a normalized nucleus followed by vectorial analysis provides valuable information on the size and anatomical organization of these networks.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Whole-cell patch-clamp of astrocyte.</w:t>
      </w:r>
      <w:r>
        <w:rPr>
          <w:rFonts w:ascii="Calibri" w:hAnsi="Calibri" w:cs="Calibri" w:eastAsia="Calibri"/>
          <w:color w:val="000000"/>
          <w:spacing w:val="0"/>
          <w:position w:val="0"/>
          <w:sz w:val="24"/>
          <w:shd w:fill="auto" w:val="clear"/>
        </w:rPr>
        <w:t xml:space="preserve"> (A) Astrocytes labeled with a loading of the marker sulforhodamine 101 (SR-101) in NVsnpr. An SR-101-labeled astrocyte soma is targeted with the patch pipette (white dashed line). Scale bar = 100 </w:t>
      </w:r>
      <w:r>
        <w:rPr>
          <w:rFonts w:ascii="Times New Roman" w:hAnsi="Times New Roman" w:cs="Times New Roman" w:eastAsia="Times New Roman"/>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m. (B) A depolarizing ramp protocol is performed in voltage-clamp (from -120 to 110mV) to assess the astrocyte passive characteristics. (C) Assessment of the lack of action potential firing in the astrocyte by injection of current pulses in current-clamp mode. This figure is adapted from Condamine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Treatment and analysis of astrocytic networks with ImageJFIJI software. </w:t>
      </w:r>
      <w:r>
        <w:rPr>
          <w:rFonts w:ascii="Calibri" w:hAnsi="Calibri" w:cs="Calibri" w:eastAsia="Calibri"/>
          <w:color w:val="000000"/>
          <w:spacing w:val="0"/>
          <w:position w:val="0"/>
          <w:sz w:val="24"/>
          <w:shd w:fill="auto" w:val="clear"/>
        </w:rPr>
        <w:t xml:space="preserve">(A) Z-Stack creation from the confocal imaging of an astrocytic network. At the top-left, Z-stack window in ImageJFIJI. (B) Background subtraction process. At the top-left, subtract background window in ImageJFIJI. The dotted circle emphasizes the area on the image where the effect of the subtract background command is the more obvious when compared to the image in A.  (C) Remove outliers process. This process removes the small spots due to unspecific deposits of streptavidine coupled to an Alexa 594. The white arrows show the deposit prior to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after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command has been processed. In the top-left, remove outliers window in ImageJFIJI. (D) Example of the blurring effect that may be produced by an inadequate adjustment of the remove outliers parameters. Yellow arrows show some blurred cells. (E) Adjust threshold process. At the top-left, adjust threshold window in ImageJFIJI. The scroll bars act on the threshold signal adjustment. (F) Make binary step. The image is converted into a binary file in ImageJFIJI. Scale bar = 100 </w:t>
      </w:r>
      <w:r>
        <w:rPr>
          <w:rFonts w:ascii="Times New Roman" w:hAnsi="Times New Roman" w:cs="Times New Roman" w:eastAsia="Times New Roman"/>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Detection of cells in astrocytic networks with ImageJFIJ</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Example of a binary image of an astrocytic network obtained in ImageJFIJI. Scale bar = 100 </w:t>
      </w:r>
      <w:r>
        <w:rPr>
          <w:rFonts w:ascii="Times New Roman" w:hAnsi="Times New Roman" w:cs="Times New Roman" w:eastAsia="Times New Roman"/>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Analyze particles window in ImageJFIJI. This function detects the cells of the network in the binary image. The size of the detected cells and their circularity can be adjusted. Numbers to be used should be set by trial-and-error until a satisfactory result is obtained. (C) Illustrates the “detection file” obtained after applying the analyze particles process on the binary file.  The shapes correspond to all the detected cells with their associated number in red. (D)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Detection table generated by the analyze particles process. X and Y columns list the coordinates of each cell detected in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Network area analysis and determination of the patched cell in ImageJFIJI.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polygon tool in ImageJFIJI, an ROI is traced around the cluster of detected cells (red line) that will be used to determine the surface area of the network.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ROI is added into the ROI Manager. (C)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 of an astrocytic network in which the patched cell (white arrow) is easily identifiable because of the striking intensity of its biocytin labeling. (D) Example of an astrocytic network where the patched cell could not be identified, but where an area of denser labeling clearly indicates biocytin deposits. An ROI is drawn around this area and added to the ROI manager. Its centroid is computed and considered as the position of the patched cell to use for vectorial analysis. Scale bar = 100 </w:t>
      </w:r>
      <w:r>
        <w:rPr>
          <w:rFonts w:ascii="Times New Roman" w:hAnsi="Times New Roman" w:cs="Times New Roman" w:eastAsia="Times New Roman"/>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Diagram of the different referentials used for astrocytic networks analysis.</w:t>
      </w:r>
      <w:r>
        <w:rPr>
          <w:rFonts w:ascii="Calibri" w:hAnsi="Calibri" w:cs="Calibri" w:eastAsia="Calibri"/>
          <w:color w:val="000000"/>
          <w:spacing w:val="0"/>
          <w:position w:val="0"/>
          <w:sz w:val="24"/>
          <w:shd w:fill="auto" w:val="clear"/>
        </w:rPr>
        <w:t xml:space="preserve"> The grey square is the 4X image with the referential point 4XR to be aligned with the left bottom corner of the Adobe Illustrator document. The white square surrounded in orange is the 20X image with the referential point 20XR. Both images are aligned with each other as described in the protocol.  The bounding rectangle (blue) defines NVsnpr (purple dashed line) and is scaled in percentage with the referential point (BR). The theoric center of the dorsal part of NVsnpr is schematized by the dark blue dot (C).  The astrocytic network is schematized by the patched cell (black dot, P) and the main vector of the preferential direction (red line). Each dashed black line is the vector of each cell of the astrocytic network.  The angular difference of the astrocytic network (</w:t>
      </w:r>
      <w:r>
        <w:rPr>
          <w:rFonts w:ascii="Calibri" w:hAnsi="Calibri" w:cs="Calibri" w:eastAsia="Calibri"/>
          <w:color w:val="000000"/>
          <w:spacing w:val="0"/>
          <w:position w:val="0"/>
          <w:sz w:val="24"/>
          <w:shd w:fill="auto" w:val="clear"/>
        </w:rPr>
        <w:t xml:space="preserve">α) is the angle between the main preferential orientation of the network (red line) and the black line that connects the patched astrocyte to the theoretical center of the nucleus.  Inset is a zoom of the 20X image showing the triangle PCD formed by the theoretical center of the NVsnpr (C), the patched cell, and the main vector of preferential direction (D).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Astrocytic networks labeled with biocytin in NVsnpr under different conditions showing different sizes</w:t>
      </w:r>
      <w:r>
        <w:rPr>
          <w:rFonts w:ascii="Calibri" w:hAnsi="Calibri" w:cs="Calibri" w:eastAsia="Calibri"/>
          <w:b/>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(A-C) </w:t>
      </w:r>
      <w:r>
        <w:rPr>
          <w:rFonts w:ascii="Calibri" w:hAnsi="Calibri" w:cs="Calibri" w:eastAsia="Calibri"/>
          <w:color w:val="auto"/>
          <w:spacing w:val="0"/>
          <w:position w:val="0"/>
          <w:sz w:val="24"/>
          <w:shd w:fill="auto" w:val="clear"/>
        </w:rPr>
        <w:t xml:space="preserve">To the left, a schematic drawing of the experimental condition. In all conditions, a single astrocyte labeled by SR-101 was targeted for whole-cell recording and filled with biocytin (0.2%). Middle column: photomicrographs illustrating the astrocytic networks obtained under control conditions (A), after electrical stimulation of the V</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tract (</w:t>
      </w:r>
      <w:r>
        <w:rPr>
          <w:rFonts w:ascii="Calibri" w:hAnsi="Calibri" w:cs="Calibri" w:eastAsia="Calibri"/>
          <w:color w:val="auto"/>
          <w:spacing w:val="0"/>
          <w:position w:val="0"/>
          <w:sz w:val="24"/>
          <w:shd w:fill="FFFFFF" w:val="clear"/>
        </w:rPr>
        <w:t xml:space="preserve">2 s trains, 40-60 Hz, 10-300 µA, 0.2 ms pulses)</w:t>
      </w:r>
      <w:r>
        <w:rPr>
          <w:rFonts w:ascii="Calibri" w:hAnsi="Calibri" w:cs="Calibri" w:eastAsia="Calibri"/>
          <w:color w:val="auto"/>
          <w:spacing w:val="0"/>
          <w:position w:val="0"/>
          <w:sz w:val="24"/>
          <w:shd w:fill="auto" w:val="clear"/>
        </w:rPr>
        <w:t xml:space="preserve"> (B); and</w:t>
      </w:r>
      <w:r>
        <w:rPr>
          <w:rFonts w:ascii="Calibri" w:hAnsi="Calibri" w:cs="Calibri" w:eastAsia="Calibri"/>
          <w:color w:val="auto"/>
          <w:spacing w:val="0"/>
          <w:position w:val="0"/>
          <w:sz w:val="24"/>
          <w:shd w:fill="FFFFFF" w:val="clear"/>
        </w:rPr>
        <w:t xml:space="preserve"> after perfusion with a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-free aCSF</w:t>
      </w:r>
      <w:r>
        <w:rPr>
          <w:rFonts w:ascii="Calibri" w:hAnsi="Calibri" w:cs="Calibri" w:eastAsia="Calibri"/>
          <w:color w:val="auto"/>
          <w:spacing w:val="0"/>
          <w:position w:val="0"/>
          <w:sz w:val="24"/>
          <w:shd w:fill="auto" w:val="clear"/>
        </w:rPr>
        <w:t xml:space="preserve">  (C). Right column:  photomicrographs illustrating the astrocytic networks obtained under the same conditions but in the presence of CBX (20 </w:t>
      </w:r>
      <w:r>
        <w:rPr>
          <w:rFonts w:ascii="Times New Roman" w:hAnsi="Times New Roman" w:cs="Times New Roman" w:eastAsia="Times New Roman"/>
          <w:color w:val="auto"/>
          <w:spacing w:val="0"/>
          <w:position w:val="0"/>
          <w:sz w:val="24"/>
          <w:shd w:fill="auto" w:val="clear"/>
        </w:rPr>
        <w:t xml:space="preserve">μ</w:t>
      </w:r>
      <w:r>
        <w:rPr>
          <w:rFonts w:ascii="Calibri" w:hAnsi="Calibri" w:cs="Calibri" w:eastAsia="Calibri"/>
          <w:color w:val="auto"/>
          <w:spacing w:val="0"/>
          <w:position w:val="0"/>
          <w:sz w:val="24"/>
          <w:shd w:fill="auto" w:val="clear"/>
        </w:rPr>
        <w:t xml:space="preserve">M) in the bath prior. Scale bar = 100 </w:t>
      </w:r>
      <w:r>
        <w:rPr>
          <w:rFonts w:ascii="Times New Roman" w:hAnsi="Times New Roman" w:cs="Times New Roman" w:eastAsia="Times New Roman"/>
          <w:color w:val="auto"/>
          <w:spacing w:val="0"/>
          <w:position w:val="0"/>
          <w:sz w:val="24"/>
          <w:shd w:fill="auto" w:val="clear"/>
        </w:rPr>
        <w:t xml:space="preserve">μ</w:t>
      </w:r>
      <w:r>
        <w:rPr>
          <w:rFonts w:ascii="Calibri" w:hAnsi="Calibri" w:cs="Calibri" w:eastAsia="Calibri"/>
          <w:color w:val="auto"/>
          <w:spacing w:val="0"/>
          <w:position w:val="0"/>
          <w:sz w:val="24"/>
          <w:shd w:fill="auto" w:val="clear"/>
        </w:rPr>
        <w:t xml:space="preserve">m. </w:t>
      </w:r>
      <w:r>
        <w:rPr>
          <w:rFonts w:ascii="Calibri" w:hAnsi="Calibri" w:cs="Calibri" w:eastAsia="Calibri"/>
          <w:color w:val="auto"/>
          <w:spacing w:val="0"/>
          <w:position w:val="0"/>
          <w:sz w:val="24"/>
          <w:shd w:fill="FFFFFF" w:val="clear"/>
        </w:rPr>
        <w:t xml:space="preserve">(D and 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Vertical bars chart representing the number of coupled cells and the surface area, respectively, of the biocytin-filled networks of astrocytes under the three experimental conditions presented above (A, B, and C) in the presence (hatched) and absence (solid) of CBX (20 </w:t>
      </w:r>
      <w:r>
        <w:rPr>
          <w:rFonts w:ascii="Calibri" w:hAnsi="Calibri" w:cs="Calibri" w:eastAsia="Calibri"/>
          <w:color w:val="auto"/>
          <w:spacing w:val="0"/>
          <w:position w:val="0"/>
          <w:sz w:val="24"/>
          <w:shd w:fill="FFFFFF" w:val="clear"/>
        </w:rPr>
        <w:t xml:space="preserve">µM). Data are represented as mean ± SEM. Multiple comparisons (Holm-Sidak test): * =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&lt; 0.05; ** = </w:t>
      </w:r>
      <w:r>
        <w:rPr>
          <w:rFonts w:ascii="Calibri" w:hAnsi="Calibri" w:cs="Calibri" w:eastAsia="Calibri"/>
          <w:i/>
          <w:color w:val="auto"/>
          <w:spacing w:val="0"/>
          <w:position w:val="0"/>
          <w:sz w:val="24"/>
          <w:shd w:fill="FFFFFF" w:val="clear"/>
        </w:rPr>
        <w:t xml:space="preserve">P </w:t>
      </w:r>
      <w:r>
        <w:rPr>
          <w:rFonts w:ascii="Calibri" w:hAnsi="Calibri" w:cs="Calibri" w:eastAsia="Calibri"/>
          <w:color w:val="auto"/>
          <w:spacing w:val="0"/>
          <w:position w:val="0"/>
          <w:sz w:val="24"/>
          <w:shd w:fill="FFFFFF" w:val="clear"/>
        </w:rPr>
        <w:t xml:space="preserve">&lt; 0.001. </w:t>
      </w:r>
      <w:r>
        <w:rPr>
          <w:rFonts w:ascii="Calibri" w:hAnsi="Calibri" w:cs="Calibri" w:eastAsia="Calibri"/>
          <w:color w:val="000000"/>
          <w:spacing w:val="0"/>
          <w:position w:val="0"/>
          <w:sz w:val="24"/>
          <w:shd w:fill="auto" w:val="clear"/>
        </w:rPr>
        <w:t xml:space="preserve">This figure is adapted from Condamine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Characterisation of networks in NVsnpr under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-free aCSF and with electrical stimulation of the V</w:t>
      </w:r>
      <w:r>
        <w:rPr>
          <w:rFonts w:ascii="Calibri" w:hAnsi="Calibri" w:cs="Calibri" w:eastAsia="Calibri"/>
          <w:b/>
          <w:color w:val="000000"/>
          <w:spacing w:val="0"/>
          <w:position w:val="0"/>
          <w:sz w:val="24"/>
          <w:shd w:fill="auto" w:val="clear"/>
          <w:vertAlign w:val="superscript"/>
        </w:rPr>
        <w:t xml:space="preserve">th</w:t>
      </w:r>
      <w:r>
        <w:rPr>
          <w:rFonts w:ascii="Calibri" w:hAnsi="Calibri" w:cs="Calibri" w:eastAsia="Calibri"/>
          <w:b/>
          <w:color w:val="000000"/>
          <w:spacing w:val="0"/>
          <w:position w:val="0"/>
          <w:sz w:val="24"/>
          <w:shd w:fill="auto" w:val="clear"/>
        </w:rPr>
        <w:t xml:space="preserve"> tract. </w:t>
      </w:r>
      <w:r>
        <w:rPr>
          <w:rFonts w:ascii="Calibri" w:hAnsi="Calibri" w:cs="Calibri" w:eastAsia="Calibri"/>
          <w:color w:val="000000"/>
          <w:spacing w:val="0"/>
          <w:position w:val="0"/>
          <w:sz w:val="24"/>
          <w:shd w:fill="auto" w:val="clear"/>
        </w:rPr>
        <w:t xml:space="preserve">(A and B)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All cells labeled in 9 networks filled under perfusion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(A) or in 8 networks filled while stimulating the V</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tract (B) are plotted according to their position in a theoretical NVsnpr nucleus (gray rectangle). Each network (and the cells composing it) is represented by a different color. </w:t>
      </w:r>
      <w:r>
        <w:rPr>
          <w:rFonts w:ascii="Calibri" w:hAnsi="Calibri" w:cs="Calibri" w:eastAsia="Calibri"/>
          <w:i/>
          <w:color w:val="000000"/>
          <w:spacing w:val="0"/>
          <w:position w:val="0"/>
          <w:sz w:val="24"/>
          <w:shd w:fill="auto" w:val="clear"/>
        </w:rPr>
        <w:t xml:space="preserve">Middle</w:t>
      </w:r>
      <w:r>
        <w:rPr>
          <w:rFonts w:ascii="Calibri" w:hAnsi="Calibri" w:cs="Calibri" w:eastAsia="Calibri"/>
          <w:color w:val="000000"/>
          <w:spacing w:val="0"/>
          <w:position w:val="0"/>
          <w:sz w:val="24"/>
          <w:shd w:fill="auto" w:val="clear"/>
        </w:rPr>
        <w:t xml:space="preserve">: Boundaries of each network. The dot in each area represents the patched cell.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Representation of main vector of preferential orientation of each network. The dot represents the patched cell and the arrow the vector of preferential direction. (C and D) Distribution of angular differences between the main vector of the preferential orientation and a straight line connecting the patched cell to the center of the dorsal part of NVsnpr (located at 25% on the dorsoventral axis and 50% on the mediolateral axis) under the two conditions studied. The mean angular difference was 39.5 ± 12.7 degrees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aCSF, indicating a preferential orientation towards the centre of the nucleus and 99.5 ± 17 degrees </w:t>
      </w:r>
      <w:r>
        <w:rPr>
          <w:rFonts w:ascii="Calibri" w:hAnsi="Calibri" w:cs="Calibri" w:eastAsia="Calibri"/>
          <w:color w:val="auto"/>
          <w:spacing w:val="0"/>
          <w:position w:val="0"/>
          <w:sz w:val="24"/>
          <w:shd w:fill="auto" w:val="clear"/>
        </w:rPr>
        <w:t xml:space="preserve">with electrical stimulation, indicating a preferential orientation towards the periphery (student t-test,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0.012). </w:t>
      </w:r>
      <w:r>
        <w:rPr>
          <w:rFonts w:ascii="Calibri" w:hAnsi="Calibri" w:cs="Calibri" w:eastAsia="Calibri"/>
          <w:color w:val="000000"/>
          <w:spacing w:val="0"/>
          <w:position w:val="0"/>
          <w:sz w:val="24"/>
          <w:shd w:fill="auto" w:val="clear"/>
        </w:rPr>
        <w:t xml:space="preserve">This figure is adapted from Condamine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the sucrose-based solution used for brain slicing</w:t>
      </w:r>
      <w:r>
        <w:rPr>
          <w:rFonts w:ascii="Calibri" w:hAnsi="Calibri" w:cs="Calibri" w:eastAsia="Calibri"/>
          <w:color w:val="auto"/>
          <w:spacing w:val="0"/>
          <w:position w:val="0"/>
          <w:sz w:val="24"/>
          <w:shd w:fill="auto" w:val="clear"/>
        </w:rPr>
        <w:t xml:space="preserve">. (*) = pH and osmolarity were adjusted to 7.3-7.4 and 300-320 mosmol/kg,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of the aCSf solution used for slice storage and whole-cell recording.</w:t>
      </w:r>
      <w:r>
        <w:rPr>
          <w:rFonts w:ascii="Calibri" w:hAnsi="Calibri" w:cs="Calibri" w:eastAsia="Calibri"/>
          <w:color w:val="auto"/>
          <w:spacing w:val="0"/>
          <w:position w:val="0"/>
          <w:sz w:val="24"/>
          <w:shd w:fill="auto" w:val="clear"/>
        </w:rPr>
        <w:t xml:space="preserve"> (*) =  pH and osmolarity were adjusted to 7.3-7.4 and 290-300 mosmol/kg,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Composition of the internal solution used for whole-cell recording. </w:t>
      </w:r>
      <w:r>
        <w:rPr>
          <w:rFonts w:ascii="Calibri" w:hAnsi="Calibri" w:cs="Calibri" w:eastAsia="Calibri"/>
          <w:color w:val="auto"/>
          <w:spacing w:val="0"/>
          <w:position w:val="0"/>
          <w:sz w:val="24"/>
          <w:shd w:fill="auto" w:val="clear"/>
        </w:rPr>
        <w:t xml:space="preserve">(*) = pH and osmolarity were adjusted to 7.2-7.3 and 280-300 mosmol/kg,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electrophysiological methods exist to assess functional coupling between astrocytes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However, these methods do not provide information about the anatomical arrangement of astrocytic networks. A number of studies have already shown that “dye- or tracer-coupling”, as done here, occurs only in a fraction of coupled cells that are detected by electrophysiological methods</w:t>
      </w:r>
      <w:r>
        <w:rPr>
          <w:rFonts w:ascii="Calibri" w:hAnsi="Calibri" w:cs="Calibri" w:eastAsia="Calibri"/>
          <w:color w:val="000000"/>
          <w:spacing w:val="0"/>
          <w:position w:val="0"/>
          <w:sz w:val="24"/>
          <w:shd w:fill="auto" w:val="clear"/>
          <w:vertAlign w:val="superscript"/>
        </w:rPr>
        <w:t xml:space="preserve">25,26,27</w:t>
      </w:r>
      <w:r>
        <w:rPr>
          <w:rFonts w:ascii="Calibri" w:hAnsi="Calibri" w:cs="Calibri" w:eastAsia="Calibri"/>
          <w:color w:val="000000"/>
          <w:spacing w:val="0"/>
          <w:position w:val="0"/>
          <w:sz w:val="24"/>
          <w:shd w:fill="auto" w:val="clear"/>
        </w:rPr>
        <w:t xml:space="preserve">, suggesting that the number of cells detected with this method is underestimated. Nevertheless, this is still the best method for visualisation of coupling. Greater dye-coupling is obtained when using molecule tracers smaller than 1-1.2 KDa to permeate gap junctions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Live visualization of coupling can be performed by monitoring diffusion of fluorescent glucose derivatives (2-NBDG) or a fluorescent marker (like some Alexa dyes or Lucifer Yellow)</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but due to its smaller size, biocytin yields better results and allows for quantification in fixed tissue. Thus, it should be noted that the number of cells detected with this method is largely underestimated. On the other hand, some of the cells may be labeled not because of their coupling, but because of the uptake of tracer that has leaked into the extracellular space. The extent of labeling resulting from leakage can be estimated in control experiments with bath applications of a gap junction blocker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it can be assumed that any bias due to the method would apply to all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it should be emphasized that not all coupled cells are astrocytes. Panglial networks where astrocytes are coupled to oligodendrocytes have been described in several brain areas, including the lateral superior olive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thalamus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cortex, and hippocampus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Our aim was to develop a method of comparing astrocytic networks revealed with dye-coupling under different conditions to assess the hypothesis that they form well-defined, distinctive functional domains revealed by different stimuli. Since in NVsnpr, the trigeminal brainstem nucleus in which this protocol was conducted, coupling between astrocytes is very limited under resting conditions, it was important to first develop a reliable and unbiased method to detect labeled cells. This was achieved with automated detection with ImageJFIJI. It is sometimes difficult to distinguish faintly labeled cells from background noise. Here, stack imaging and a method in ImageJFIJI are used to improve the signal, but background noise can still be too high and lead to data rejection. In future studies, clarification protocols may be used to improve the signal-to-noise ratio. A clearing protocol is an interesting method of clarification that preserves tissue morphology (no shrinkage), does not affect lipids, and is compatible with immunostaining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Another limitation of the method described is the “watershed” tool used to discriminate cells that are too close to each other. Visual inspection of detected cells should be done when using this tool.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astrocytic networks form functional domains, then they may define the boundaries of a nucleus or should at least be confined to the boundaries of a nucleus. Revealed networks may always be confined within a nucleus, more so if they are smaller in size, if the patched astrocyte is in the center (or within) the nucleus. To test if astrocytes sitting near the border of a nucleus preferably couple with other astrocytes outside the nucleus or with others within the nucleus, we needed to determine the preferential direction to which the dye spread from the patched astrocyte. Several other studies have addressed a similar issue in the barrel cortex, barreloid fields of the thalamus, olfactory glomeruli, hippocampus, and lateral superior olive, but they focused analyses mostly on the distance of diffusion of the tracer, electrophysiological characterization of different types of astrocytes in function of their localization, and spread of dye along orthogonal axes with respect to these well-defined structures</w:t>
      </w:r>
      <w:r>
        <w:rPr>
          <w:rFonts w:ascii="Calibri" w:hAnsi="Calibri" w:cs="Calibri" w:eastAsia="Calibri"/>
          <w:color w:val="000000"/>
          <w:spacing w:val="0"/>
          <w:position w:val="0"/>
          <w:sz w:val="24"/>
          <w:shd w:fill="auto" w:val="clear"/>
          <w:vertAlign w:val="superscript"/>
        </w:rPr>
        <w:t xml:space="preserve">8,9,10,13,14,16</w:t>
      </w:r>
      <w:r>
        <w:rPr>
          <w:rFonts w:ascii="Calibri" w:hAnsi="Calibri" w:cs="Calibri" w:eastAsia="Calibri"/>
          <w:color w:val="000000"/>
          <w:spacing w:val="0"/>
          <w:position w:val="0"/>
          <w:sz w:val="24"/>
          <w:shd w:fill="auto" w:val="clear"/>
        </w:rPr>
        <w:t xml:space="preserve">. Here, we used vectorial analysis to determine the dominant direction of tracer spread, which was given by the size and orientation of the normalized main vector. Small vectors indicate no clear “dominant” or preferential orientation. A critical step for vectorial analysis is the ability to accurately identify the patched astrocyte, which is not always possible. An interesting alternative to help locate the patched astrocyte is to add a large (non-gap junction permeant) and fixable tracer, like dextrans, to the recording solution. If it is not possible to determine the patched cell or patch location, it may be better to omit these experiments from the vector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to analyze whether properties of networks varied according to their location in the nucleus, we needed a method to express their position in a “normalized” nucleus. The only critical step in this procedure is the ability to clearly see the borders of the nucleus in the low magnification images (4X).  A simple solution to this problem, if it occurs often, is to add a standard histological coloration to tissue processing before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Heterogeneity of astrocytes across brain regions is clearly established, and a growing body of evidence supports the concept that their specializations are particularly adapted for the function of the circuit that they are embedded in</w:t>
      </w:r>
      <w:r>
        <w:rPr>
          <w:rFonts w:ascii="Calibri" w:hAnsi="Calibri" w:cs="Calibri" w:eastAsia="Calibri"/>
          <w:color w:val="000000"/>
          <w:spacing w:val="0"/>
          <w:position w:val="0"/>
          <w:sz w:val="24"/>
          <w:shd w:fill="auto" w:val="clear"/>
          <w:vertAlign w:val="superscript"/>
        </w:rPr>
        <w:t xml:space="preserve">9,10,30,31</w:t>
      </w:r>
      <w:r>
        <w:rPr>
          <w:rFonts w:ascii="Calibri" w:hAnsi="Calibri" w:cs="Calibri" w:eastAsia="Calibri"/>
          <w:color w:val="000000"/>
          <w:spacing w:val="0"/>
          <w:position w:val="0"/>
          <w:sz w:val="24"/>
          <w:shd w:fill="auto" w:val="clear"/>
        </w:rPr>
        <w:t xml:space="preserve">. For this to be true, inter-astrocytic communication should be limited to astrocytes associated to the same circuit. Observations supporting this assumption are emerging in different brain areas but are more evident in areas with clustered representations, like sensory maps in the barrel cortex or olfactory bulb. However, most reports of overlap between neuronal and astrocytic maps are descriptive and qualitative. The methods reported here can be used to quantify these observations and develop tools to better analyze astrocytic networks according to their position in a given circuit.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funded by the Canadian Institutes of Health Research, Grant/Award Number: 14392.</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Condamine, S., Lavoie, R., Verdier, D., Kolta, A. Functional rhythmogenic domains defined by astrocytic networks in the trigeminal main sensory nucleus.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311-326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Verkhratsky, A., Orkand, R. K., Kettenmann, H. Glial calcium: homeostasis and signaling function. </w:t>
      </w:r>
      <w:r>
        <w:rPr>
          <w:rFonts w:ascii="Calibri" w:hAnsi="Calibri" w:cs="Calibri" w:eastAsia="Calibri"/>
          <w:i/>
          <w:color w:val="000000"/>
          <w:spacing w:val="0"/>
          <w:position w:val="0"/>
          <w:sz w:val="24"/>
          <w:shd w:fill="auto" w:val="clear"/>
        </w:rPr>
        <w:t xml:space="preserve">Physiological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99-141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Christensen, R. K., Petersen, A. V., Perrier, J. F. How do glial cells contribute to motor control?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(24), 4385-4399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Verkhratsky, A., Steinhauser, C. Ion channels in glial cells. </w:t>
      </w:r>
      <w:r>
        <w:rPr>
          <w:rFonts w:ascii="Calibri" w:hAnsi="Calibri" w:cs="Calibri" w:eastAsia="Calibri"/>
          <w:i/>
          <w:color w:val="000000"/>
          <w:spacing w:val="0"/>
          <w:position w:val="0"/>
          <w:sz w:val="24"/>
          <w:shd w:fill="auto" w:val="clear"/>
        </w:rPr>
        <w:t xml:space="preserve">Brain Research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(2-3), 380-412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Harada, K., Kamiya, T., Tsuboi, T. Gliotransmitter Release from Astrocytes: Functional, Developmental, and Pathological Implications in the Brain. </w:t>
      </w:r>
      <w:r>
        <w:rPr>
          <w:rFonts w:ascii="Calibri" w:hAnsi="Calibri" w:cs="Calibri" w:eastAsia="Calibri"/>
          <w:i/>
          <w:color w:val="000000"/>
          <w:spacing w:val="0"/>
          <w:position w:val="0"/>
          <w:sz w:val="24"/>
          <w:shd w:fill="auto" w:val="clear"/>
        </w:rPr>
        <w:t xml:space="preserve">Frontiers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499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Montero, T. D., Orellana, J. A. Hemichannels: new pathways for gliotransmitter release.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45-59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Araque,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Gliotransmitters travel in time and space.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(4), 728-739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Augustin,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anisotropic panglial networks in the lateral superior olive.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(11), 1892-1911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Houades, V., Koulakoff, A., Ezan, P., Seif, I., Giaume, C. Gap junction-mediated astrocytic networks in the mouse barrel cortex.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5207-5217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Roux, L., Benchenane, K., Rothstein, J. D., Bonvento, G., Giaume, C. Plasticity of astroglial networks in olfactory glomeruli. </w:t>
      </w:r>
      <w:r>
        <w:rPr>
          <w:rFonts w:ascii="Calibri" w:hAnsi="Calibri" w:cs="Calibri" w:eastAsia="Calibri"/>
          <w:i/>
          <w:color w:val="000000"/>
          <w:spacing w:val="0"/>
          <w:position w:val="0"/>
          <w:sz w:val="24"/>
          <w:shd w:fill="auto" w:val="clear"/>
        </w:rPr>
        <w:t xml:space="preserve">Proceedings of the National Academy of  Science of the United State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(45), 18442-18446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Morquette,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astrocyte-dependent mechanism for neuronal rhythmogenesis.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844-854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Brocard, F., Verdier, D., Arsenault, I., Lund, J. P.,  Kolta, A. Emergence of intrinsic bursting in trigeminal sensory neurons parallels the acquisition of mastication in weanling rats.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(5), 2410-2424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Anders,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Spatial properties of astrocyte gap junction coupling in the rat hippocampus. </w:t>
      </w:r>
      <w:r>
        <w:rPr>
          <w:rFonts w:ascii="Calibri" w:hAnsi="Calibri" w:cs="Calibri" w:eastAsia="Calibri"/>
          <w:i/>
          <w:color w:val="000000"/>
          <w:spacing w:val="0"/>
          <w:position w:val="0"/>
          <w:sz w:val="24"/>
          <w:shd w:fill="auto" w:val="clear"/>
        </w:rPr>
        <w:t xml:space="preserve">Philosophical Transactions of the Royal Society of London. Series B, Biological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(1654), 20130600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Houades,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Shapes of astrocyte networks in the juvenile brain. </w:t>
      </w:r>
      <w:r>
        <w:rPr>
          <w:rFonts w:ascii="Calibri" w:hAnsi="Calibri" w:cs="Calibri" w:eastAsia="Calibri"/>
          <w:i/>
          <w:color w:val="000000"/>
          <w:spacing w:val="0"/>
          <w:position w:val="0"/>
          <w:sz w:val="24"/>
          <w:shd w:fill="auto" w:val="clear"/>
        </w:rPr>
        <w:t xml:space="preserve">Neuron Glia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3-14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Rouach, N., Koulakoff, A., Abudara, V., Willecke, K., Giaume, C. Astroglial metabolic networks sustain hippocampal synaptic transmission.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(5907), 1551-1555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Claus,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Barreloid Borders and Neuronal Activity Shape Panglial Gap Junction-Coupled Networks in the Mouse Thalamus.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213-222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Cameron,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Prolonged Incubation of Acute Neuronal Tissue for Electrophysiology and Calcium-imaging.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Kafitz, K. W., Meier, S. D., Stephan, J., Rose, C. R. Developmental profile and properties of sulforhodamine 101--Labeled glial cells in acute brain slices of rat hippocampus.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(1), 84-92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Neher, E. Correction for liquid junction potentials in patch clamp experiments.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123-131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Giaume, C., Leybaert, L., Naus, C. C., Saez, J. C. Connexin and pannexin hemichannels in brain glial cells: properties, pharmacology, and roles.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Torres,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Extracellular Ca(2)(+) acts as a mediator of communication from neurons to glia.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(208), ra8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Ye, Z. C., Wyeth, M. S., Baltan-Tekkok, S., Ransom, B. R. Functional hemichannels in astrocytes: a novel mechanism of glutamate release.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3588-3596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Gap junction coupling confers isopotentiality on astrocyte syncytium.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214-226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Meme, W., Vandecasteele, M., Giaume, C., Venance, L. Electrical coupling between hippocampal astrocytes in rat brain slices. </w:t>
      </w:r>
      <w:r>
        <w:rPr>
          <w:rFonts w:ascii="Calibri" w:hAnsi="Calibri" w:cs="Calibri" w:eastAsia="Calibri"/>
          <w:i/>
          <w:color w:val="000000"/>
          <w:spacing w:val="0"/>
          <w:position w:val="0"/>
          <w:sz w:val="24"/>
          <w:shd w:fill="auto" w:val="clear"/>
        </w:rPr>
        <w:t xml:space="preserve">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236-243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Ransom, B. R., Kettenmann, H. Electrical coupling, without dye coupling, between mammalian astrocytes and oligodendrocytes in cell culture.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258-266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Audesirk, G., Audesirk, T., Bowsher, P. Variability and frequent failure of lucifer yellow to pass between two electrically coupled neurons in Lymnaea stagnalis. </w:t>
      </w:r>
      <w:r>
        <w:rPr>
          <w:rFonts w:ascii="Calibri" w:hAnsi="Calibri" w:cs="Calibri" w:eastAsia="Calibri"/>
          <w:i/>
          <w:color w:val="000000"/>
          <w:spacing w:val="0"/>
          <w:position w:val="0"/>
          <w:sz w:val="24"/>
          <w:shd w:fill="auto" w:val="clear"/>
        </w:rPr>
        <w:t xml:space="preserve">Journal of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369-375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Ewadinger, N., Syed, N., Lukowiak, K., Bulloch, A. Differential Tracer Coupling between Pairs of Identified Neurones of the Mollusc Lymnaea Stagnalis.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(1), 291-297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Griemsmann,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Panglial Gap Junction Networks in the Thalamus, Neocortex, and Hippocampus Reveals a Unique Population of Glial Cells.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(10), 3420-3433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Kuwajima,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ClearT: a detergent- and solvent-free clearing method for neuronal and non-neuronal tissue.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(6), 1364-1368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Gourine, 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Astrocytes control breathing through pH-dependent release of ATP.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(5991), 571-575 (2010).</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Forsberg, D., Ringstedt, T., Herlenius, E. Astrocytes release prostaglandin E2 to modify respiratory network activity.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
    <w:lvl w:ilvl="0">
      <w:start w:val="1"/>
      <w:numFmt w:val="decimal"/>
      <w:lvlText w:val="%1."/>
    </w:lvl>
  </w:abstractNum>
  <w:abstractNum w:abstractNumId="144">
    <w:lvl w:ilvl="0">
      <w:start w:val="1"/>
      <w:numFmt w:val="bullet"/>
      <w:lvlText w:val="•"/>
    </w:lvl>
  </w:abstractNum>
  <w:abstractNum w:abstractNumId="7">
    <w:lvl w:ilvl="0">
      <w:start w:val="1"/>
      <w:numFmt w:val="decimal"/>
      <w:lvlText w:val="%1."/>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3">
    <w:lvl w:ilvl="0">
      <w:start w:val="1"/>
      <w:numFmt w:val="decimal"/>
      <w:lvlText w:val="%1."/>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num w:numId="8">
    <w:abstractNumId w:val="498"/>
  </w:num>
  <w:num w:numId="10">
    <w:abstractNumId w:val="492"/>
  </w:num>
  <w:num w:numId="12">
    <w:abstractNumId w:val="486"/>
  </w:num>
  <w:num w:numId="14">
    <w:abstractNumId w:val="480"/>
  </w:num>
  <w:num w:numId="16">
    <w:abstractNumId w:val="474"/>
  </w:num>
  <w:num w:numId="18">
    <w:abstractNumId w:val="468"/>
  </w:num>
  <w:num w:numId="20">
    <w:abstractNumId w:val="462"/>
  </w:num>
  <w:num w:numId="22">
    <w:abstractNumId w:val="456"/>
  </w:num>
  <w:num w:numId="24">
    <w:abstractNumId w:val="450"/>
  </w:num>
  <w:num w:numId="27">
    <w:abstractNumId w:val="444"/>
  </w:num>
  <w:num w:numId="29">
    <w:abstractNumId w:val="438"/>
  </w:num>
  <w:num w:numId="33">
    <w:abstractNumId w:val="432"/>
  </w:num>
  <w:num w:numId="35">
    <w:abstractNumId w:val="426"/>
  </w:num>
  <w:num w:numId="37">
    <w:abstractNumId w:val="420"/>
  </w:num>
  <w:num w:numId="39">
    <w:abstractNumId w:val="414"/>
  </w:num>
  <w:num w:numId="41">
    <w:abstractNumId w:val="408"/>
  </w:num>
  <w:num w:numId="43">
    <w:abstractNumId w:val="402"/>
  </w:num>
  <w:num w:numId="45">
    <w:abstractNumId w:val="396"/>
  </w:num>
  <w:num w:numId="47">
    <w:abstractNumId w:val="390"/>
  </w:num>
  <w:num w:numId="49">
    <w:abstractNumId w:val="384"/>
  </w:num>
  <w:num w:numId="51">
    <w:abstractNumId w:val="378"/>
  </w:num>
  <w:num w:numId="53">
    <w:abstractNumId w:val="372"/>
  </w:num>
  <w:num w:numId="56">
    <w:abstractNumId w:val="366"/>
  </w:num>
  <w:num w:numId="58">
    <w:abstractNumId w:val="360"/>
  </w:num>
  <w:num w:numId="59">
    <w:abstractNumId w:val="13"/>
  </w:num>
  <w:num w:numId="60">
    <w:abstractNumId w:val="354"/>
  </w:num>
  <w:num w:numId="62">
    <w:abstractNumId w:val="7"/>
  </w:num>
  <w:num w:numId="63">
    <w:abstractNumId w:val="348"/>
  </w:num>
  <w:num w:numId="65">
    <w:abstractNumId w:val="342"/>
  </w:num>
  <w:num w:numId="67">
    <w:abstractNumId w:val="336"/>
  </w:num>
  <w:num w:numId="69">
    <w:abstractNumId w:val="330"/>
  </w:num>
  <w:num w:numId="71">
    <w:abstractNumId w:val="324"/>
  </w:num>
  <w:num w:numId="73">
    <w:abstractNumId w:val="318"/>
  </w:num>
  <w:num w:numId="74">
    <w:abstractNumId w:val="1"/>
  </w:num>
  <w:num w:numId="75">
    <w:abstractNumId w:val="312"/>
  </w:num>
  <w:num w:numId="77">
    <w:abstractNumId w:val="306"/>
  </w:num>
  <w:num w:numId="79">
    <w:abstractNumId w:val="300"/>
  </w:num>
  <w:num w:numId="81">
    <w:abstractNumId w:val="294"/>
  </w:num>
  <w:num w:numId="83">
    <w:abstractNumId w:val="288"/>
  </w:num>
  <w:num w:numId="85">
    <w:abstractNumId w:val="282"/>
  </w:num>
  <w:num w:numId="87">
    <w:abstractNumId w:val="276"/>
  </w:num>
  <w:num w:numId="89">
    <w:abstractNumId w:val="270"/>
  </w:num>
  <w:num w:numId="91">
    <w:abstractNumId w:val="264"/>
  </w:num>
  <w:num w:numId="93">
    <w:abstractNumId w:val="258"/>
  </w:num>
  <w:num w:numId="95">
    <w:abstractNumId w:val="252"/>
  </w:num>
  <w:num w:numId="97">
    <w:abstractNumId w:val="246"/>
  </w:num>
  <w:num w:numId="99">
    <w:abstractNumId w:val="240"/>
  </w:num>
  <w:num w:numId="101">
    <w:abstractNumId w:val="234"/>
  </w:num>
  <w:num w:numId="103">
    <w:abstractNumId w:val="228"/>
  </w:num>
  <w:num w:numId="105">
    <w:abstractNumId w:val="222"/>
  </w:num>
  <w:num w:numId="107">
    <w:abstractNumId w:val="216"/>
  </w:num>
  <w:num w:numId="109">
    <w:abstractNumId w:val="210"/>
  </w:num>
  <w:num w:numId="113">
    <w:abstractNumId w:val="204"/>
  </w:num>
  <w:num w:numId="115">
    <w:abstractNumId w:val="198"/>
  </w:num>
  <w:num w:numId="117">
    <w:abstractNumId w:val="192"/>
  </w:num>
  <w:num w:numId="119">
    <w:abstractNumId w:val="186"/>
  </w:num>
  <w:num w:numId="121">
    <w:abstractNumId w:val="180"/>
  </w:num>
  <w:num w:numId="124">
    <w:abstractNumId w:val="174"/>
  </w:num>
  <w:num w:numId="126">
    <w:abstractNumId w:val="168"/>
  </w:num>
  <w:num w:numId="128">
    <w:abstractNumId w:val="162"/>
  </w:num>
  <w:num w:numId="130">
    <w:abstractNumId w:val="156"/>
  </w:num>
  <w:num w:numId="132">
    <w:abstractNumId w:val="150"/>
  </w:num>
  <w:num w:numId="134">
    <w:abstractNumId w:val="144"/>
  </w:num>
  <w:num w:numId="136">
    <w:abstractNumId w:val="138"/>
  </w:num>
  <w:num w:numId="138">
    <w:abstractNumId w:val="132"/>
  </w:num>
  <w:num w:numId="140">
    <w:abstractNumId w:val="126"/>
  </w:num>
  <w:num w:numId="142">
    <w:abstractNumId w:val="120"/>
  </w:num>
  <w:num w:numId="144">
    <w:abstractNumId w:val="114"/>
  </w:num>
  <w:num w:numId="146">
    <w:abstractNumId w:val="108"/>
  </w:num>
  <w:num w:numId="152">
    <w:abstractNumId w:val="102"/>
  </w:num>
  <w:num w:numId="154">
    <w:abstractNumId w:val="96"/>
  </w:num>
  <w:num w:numId="156">
    <w:abstractNumId w:val="90"/>
  </w:num>
  <w:num w:numId="158">
    <w:abstractNumId w:val="84"/>
  </w:num>
  <w:num w:numId="160">
    <w:abstractNumId w:val="78"/>
  </w:num>
  <w:num w:numId="162">
    <w:abstractNumId w:val="72"/>
  </w:num>
  <w:num w:numId="164">
    <w:abstractNumId w:val="66"/>
  </w:num>
  <w:num w:numId="166">
    <w:abstractNumId w:val="60"/>
  </w:num>
  <w:num w:numId="168">
    <w:abstractNumId w:val="54"/>
  </w:num>
  <w:num w:numId="170">
    <w:abstractNumId w:val="48"/>
  </w:num>
  <w:num w:numId="172">
    <w:abstractNumId w:val="42"/>
  </w:num>
  <w:num w:numId="174">
    <w:abstractNumId w:val="36"/>
  </w:num>
  <w:num w:numId="176">
    <w:abstractNumId w:val="30"/>
  </w:num>
  <w:num w:numId="178">
    <w:abstractNumId w:val="24"/>
  </w:num>
  <w:num w:numId="180">
    <w:abstractNumId w:val="18"/>
  </w:num>
  <w:num w:numId="183">
    <w:abstractNumId w:val="12"/>
  </w:num>
  <w:num w:numId="187">
    <w:abstractNumId w:val="6"/>
  </w:num>
  <w:num w:numId="18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ji.s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