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39F61" w14:textId="77777777" w:rsidR="00355E68" w:rsidRPr="00981557" w:rsidRDefault="00981557" w:rsidP="00342AEA">
      <w:pPr>
        <w:contextualSpacing/>
        <w:jc w:val="left"/>
        <w:rPr>
          <w:rFonts w:cs="Calibri"/>
          <w:b/>
          <w:bCs/>
          <w:sz w:val="24"/>
        </w:rPr>
      </w:pPr>
      <w:r w:rsidRPr="00981557">
        <w:rPr>
          <w:rFonts w:cs="Calibri"/>
          <w:b/>
          <w:bCs/>
          <w:sz w:val="24"/>
        </w:rPr>
        <w:t>TITLE:</w:t>
      </w:r>
      <w:r w:rsidRPr="00981557">
        <w:rPr>
          <w:rFonts w:cs="Calibri"/>
          <w:b/>
          <w:bCs/>
          <w:sz w:val="24"/>
        </w:rPr>
        <w:br/>
      </w:r>
      <w:r w:rsidR="008970F4">
        <w:rPr>
          <w:rFonts w:cs="Calibri"/>
          <w:b/>
          <w:bCs/>
          <w:sz w:val="24"/>
        </w:rPr>
        <w:t>A</w:t>
      </w:r>
      <w:r w:rsidR="00355E68" w:rsidRPr="00981557">
        <w:rPr>
          <w:rFonts w:cs="Calibri"/>
          <w:b/>
          <w:bCs/>
          <w:sz w:val="24"/>
        </w:rPr>
        <w:t xml:space="preserve"> Clinical Trial Assess</w:t>
      </w:r>
      <w:r w:rsidR="001A7E04" w:rsidRPr="00981557">
        <w:rPr>
          <w:rFonts w:cs="Calibri"/>
          <w:b/>
          <w:bCs/>
          <w:sz w:val="24"/>
        </w:rPr>
        <w:t>ing</w:t>
      </w:r>
      <w:r w:rsidR="00355E68" w:rsidRPr="00981557">
        <w:rPr>
          <w:rFonts w:cs="Calibri"/>
          <w:b/>
          <w:bCs/>
          <w:sz w:val="24"/>
        </w:rPr>
        <w:t xml:space="preserve"> the Safety, Eff</w:t>
      </w:r>
      <w:r w:rsidR="00432A4D" w:rsidRPr="00981557">
        <w:rPr>
          <w:rFonts w:cs="Calibri"/>
          <w:b/>
          <w:bCs/>
          <w:sz w:val="24"/>
        </w:rPr>
        <w:t>icacy</w:t>
      </w:r>
      <w:r w:rsidR="00355E68" w:rsidRPr="00981557">
        <w:rPr>
          <w:rFonts w:cs="Calibri"/>
          <w:b/>
          <w:bCs/>
          <w:sz w:val="24"/>
        </w:rPr>
        <w:t>, and Delivery of Olive</w:t>
      </w:r>
      <w:r w:rsidR="00A442FB" w:rsidRPr="00981557">
        <w:rPr>
          <w:rFonts w:cs="Calibri"/>
          <w:b/>
          <w:bCs/>
          <w:sz w:val="24"/>
        </w:rPr>
        <w:t>-</w:t>
      </w:r>
      <w:r w:rsidR="00355E68" w:rsidRPr="00981557">
        <w:rPr>
          <w:rFonts w:cs="Calibri"/>
          <w:b/>
          <w:bCs/>
          <w:sz w:val="24"/>
        </w:rPr>
        <w:t>Oil-Based Three-Chamber Bags for Parenteral Nutrition</w:t>
      </w:r>
    </w:p>
    <w:p w14:paraId="67663FA0" w14:textId="77777777" w:rsidR="00355E68" w:rsidRDefault="00355E68" w:rsidP="00342AEA">
      <w:pPr>
        <w:contextualSpacing/>
        <w:jc w:val="left"/>
        <w:rPr>
          <w:rFonts w:cs="Calibri"/>
          <w:b/>
          <w:bCs/>
          <w:sz w:val="24"/>
        </w:rPr>
      </w:pPr>
    </w:p>
    <w:p w14:paraId="58A3D2D6" w14:textId="77777777" w:rsidR="00981557" w:rsidRPr="00981557" w:rsidRDefault="00981557" w:rsidP="00342AEA">
      <w:pPr>
        <w:contextualSpacing/>
        <w:jc w:val="left"/>
        <w:rPr>
          <w:rFonts w:cs="Calibri"/>
          <w:b/>
          <w:bCs/>
          <w:sz w:val="24"/>
        </w:rPr>
      </w:pPr>
      <w:r>
        <w:rPr>
          <w:rFonts w:cs="Calibri"/>
          <w:b/>
          <w:bCs/>
          <w:sz w:val="24"/>
        </w:rPr>
        <w:t>AUTHORS:</w:t>
      </w:r>
    </w:p>
    <w:p w14:paraId="1FDC434C" w14:textId="77777777" w:rsidR="00355E68" w:rsidRPr="00981557" w:rsidRDefault="00355E68" w:rsidP="00342AEA">
      <w:pPr>
        <w:contextualSpacing/>
        <w:jc w:val="left"/>
        <w:rPr>
          <w:rFonts w:cs="Calibri"/>
          <w:bCs/>
          <w:sz w:val="24"/>
          <w:vertAlign w:val="superscript"/>
        </w:rPr>
      </w:pPr>
      <w:proofErr w:type="spellStart"/>
      <w:r w:rsidRPr="00981557">
        <w:rPr>
          <w:rFonts w:cs="Calibri"/>
          <w:bCs/>
          <w:sz w:val="24"/>
        </w:rPr>
        <w:t>Zhenyi</w:t>
      </w:r>
      <w:proofErr w:type="spellEnd"/>
      <w:r w:rsidRPr="00981557">
        <w:rPr>
          <w:rFonts w:cs="Calibri"/>
          <w:bCs/>
          <w:sz w:val="24"/>
        </w:rPr>
        <w:t xml:space="preserve"> Jia</w:t>
      </w:r>
      <w:r w:rsidRPr="00981557">
        <w:rPr>
          <w:rFonts w:cs="Calibri"/>
          <w:bCs/>
          <w:sz w:val="24"/>
          <w:vertAlign w:val="superscript"/>
        </w:rPr>
        <w:t>1</w:t>
      </w:r>
      <w:r w:rsidRPr="00981557">
        <w:rPr>
          <w:rFonts w:cs="Calibri"/>
          <w:bCs/>
          <w:sz w:val="24"/>
        </w:rPr>
        <w:t>, Jun Yang</w:t>
      </w:r>
      <w:r w:rsidRPr="00981557">
        <w:rPr>
          <w:rFonts w:cs="Calibri"/>
          <w:bCs/>
          <w:sz w:val="24"/>
          <w:vertAlign w:val="superscript"/>
        </w:rPr>
        <w:t>1</w:t>
      </w:r>
      <w:r w:rsidRPr="00981557">
        <w:rPr>
          <w:rFonts w:cs="Calibri"/>
          <w:bCs/>
          <w:sz w:val="24"/>
        </w:rPr>
        <w:t xml:space="preserve">, </w:t>
      </w:r>
      <w:proofErr w:type="spellStart"/>
      <w:r w:rsidRPr="00981557">
        <w:rPr>
          <w:rFonts w:cs="Calibri"/>
          <w:bCs/>
          <w:sz w:val="24"/>
        </w:rPr>
        <w:t>Huanlong</w:t>
      </w:r>
      <w:proofErr w:type="spellEnd"/>
      <w:r w:rsidRPr="00981557">
        <w:rPr>
          <w:rFonts w:cs="Calibri"/>
          <w:bCs/>
          <w:sz w:val="24"/>
        </w:rPr>
        <w:t xml:space="preserve"> Qin</w:t>
      </w:r>
      <w:r w:rsidRPr="00981557">
        <w:rPr>
          <w:rFonts w:cs="Calibri"/>
          <w:bCs/>
          <w:sz w:val="24"/>
          <w:vertAlign w:val="superscript"/>
        </w:rPr>
        <w:t>1,2</w:t>
      </w:r>
    </w:p>
    <w:p w14:paraId="600E6F22" w14:textId="77777777" w:rsidR="00355E68" w:rsidRPr="00981557" w:rsidRDefault="00355E68" w:rsidP="00342AEA">
      <w:pPr>
        <w:contextualSpacing/>
        <w:jc w:val="left"/>
        <w:rPr>
          <w:rFonts w:cs="Calibri"/>
          <w:bCs/>
          <w:sz w:val="24"/>
        </w:rPr>
      </w:pPr>
    </w:p>
    <w:p w14:paraId="24CA51DB" w14:textId="77777777" w:rsidR="00355E68" w:rsidRPr="00981557" w:rsidRDefault="00355E68" w:rsidP="00342AEA">
      <w:pPr>
        <w:contextualSpacing/>
        <w:jc w:val="left"/>
        <w:rPr>
          <w:rFonts w:cs="Calibri"/>
          <w:bCs/>
          <w:sz w:val="24"/>
        </w:rPr>
      </w:pPr>
      <w:r w:rsidRPr="00981557">
        <w:rPr>
          <w:rFonts w:cs="Calibri"/>
          <w:bCs/>
          <w:sz w:val="24"/>
          <w:vertAlign w:val="superscript"/>
        </w:rPr>
        <w:t>1</w:t>
      </w:r>
      <w:r w:rsidRPr="00981557">
        <w:rPr>
          <w:rFonts w:cs="Calibri"/>
          <w:bCs/>
          <w:sz w:val="24"/>
        </w:rPr>
        <w:t xml:space="preserve">Department of </w:t>
      </w:r>
      <w:r w:rsidR="007335DB" w:rsidRPr="00981557">
        <w:rPr>
          <w:rFonts w:cs="Calibri"/>
          <w:bCs/>
          <w:sz w:val="24"/>
        </w:rPr>
        <w:t>S</w:t>
      </w:r>
      <w:r w:rsidRPr="00981557">
        <w:rPr>
          <w:rFonts w:cs="Calibri"/>
          <w:bCs/>
          <w:sz w:val="24"/>
        </w:rPr>
        <w:t>urgery, Shanghai Sixth People’s Hospital, Shanghai, China</w:t>
      </w:r>
    </w:p>
    <w:p w14:paraId="00B3049F" w14:textId="77777777" w:rsidR="00355E68" w:rsidRPr="00981557" w:rsidRDefault="00355E68" w:rsidP="00342AEA">
      <w:pPr>
        <w:contextualSpacing/>
        <w:jc w:val="left"/>
        <w:rPr>
          <w:rFonts w:cs="Calibri"/>
          <w:bCs/>
          <w:sz w:val="24"/>
        </w:rPr>
      </w:pPr>
      <w:r w:rsidRPr="00981557">
        <w:rPr>
          <w:rFonts w:cs="Calibri"/>
          <w:bCs/>
          <w:sz w:val="24"/>
          <w:vertAlign w:val="superscript"/>
        </w:rPr>
        <w:t>2</w:t>
      </w:r>
      <w:r w:rsidRPr="00981557">
        <w:rPr>
          <w:rFonts w:cs="Calibri"/>
          <w:bCs/>
          <w:sz w:val="24"/>
        </w:rPr>
        <w:t>Department of Surgery, Shanghai Tenth People’s Hospital, Shanghai, China</w:t>
      </w:r>
    </w:p>
    <w:p w14:paraId="6EC4F4DE" w14:textId="77777777" w:rsidR="00981557" w:rsidRPr="00981557" w:rsidRDefault="00981557" w:rsidP="00342AEA">
      <w:pPr>
        <w:contextualSpacing/>
        <w:jc w:val="left"/>
        <w:rPr>
          <w:rFonts w:cs="Calibri"/>
          <w:bCs/>
          <w:sz w:val="24"/>
        </w:rPr>
      </w:pPr>
    </w:p>
    <w:p w14:paraId="14F2CFD4" w14:textId="77777777" w:rsidR="00981557" w:rsidRPr="00981557" w:rsidRDefault="00981557" w:rsidP="00342AEA">
      <w:pPr>
        <w:contextualSpacing/>
        <w:jc w:val="left"/>
        <w:rPr>
          <w:rStyle w:val="CommentReference"/>
          <w:rFonts w:cs="Calibri"/>
          <w:sz w:val="24"/>
          <w:szCs w:val="24"/>
        </w:rPr>
      </w:pPr>
      <w:proofErr w:type="spellStart"/>
      <w:r w:rsidRPr="00981557">
        <w:rPr>
          <w:rFonts w:cs="Calibri"/>
          <w:bCs/>
          <w:sz w:val="24"/>
        </w:rPr>
        <w:t>Zhenyi</w:t>
      </w:r>
      <w:proofErr w:type="spellEnd"/>
      <w:r w:rsidRPr="00981557">
        <w:rPr>
          <w:rFonts w:cs="Calibri"/>
          <w:bCs/>
          <w:sz w:val="24"/>
        </w:rPr>
        <w:t xml:space="preserve"> Jia: </w:t>
      </w:r>
      <w:hyperlink r:id="rId7" w:history="1">
        <w:r w:rsidRPr="00981557">
          <w:rPr>
            <w:rStyle w:val="Hyperlink"/>
            <w:rFonts w:cs="Calibri"/>
            <w:color w:val="auto"/>
            <w:sz w:val="24"/>
          </w:rPr>
          <w:t>jzhyjia@163.com</w:t>
        </w:r>
      </w:hyperlink>
    </w:p>
    <w:p w14:paraId="421BBBAD" w14:textId="77777777" w:rsidR="00981557" w:rsidRPr="00981557" w:rsidRDefault="00981557" w:rsidP="00342AEA">
      <w:pPr>
        <w:contextualSpacing/>
        <w:jc w:val="left"/>
        <w:rPr>
          <w:rStyle w:val="CommentReference"/>
          <w:rFonts w:cs="Calibri"/>
          <w:sz w:val="24"/>
          <w:szCs w:val="24"/>
        </w:rPr>
      </w:pPr>
      <w:r w:rsidRPr="00981557">
        <w:rPr>
          <w:rFonts w:cs="Calibri"/>
          <w:bCs/>
          <w:sz w:val="24"/>
        </w:rPr>
        <w:t>Jun Yang:</w:t>
      </w:r>
      <w:hyperlink r:id="rId8" w:history="1">
        <w:r w:rsidRPr="00981557">
          <w:rPr>
            <w:rStyle w:val="CommentReference"/>
            <w:rFonts w:cs="Calibri"/>
            <w:sz w:val="24"/>
            <w:szCs w:val="24"/>
            <w:u w:val="single"/>
          </w:rPr>
          <w:t>yangjuns</w:t>
        </w:r>
        <w:r w:rsidRPr="00981557">
          <w:rPr>
            <w:rStyle w:val="Hyperlink"/>
            <w:rFonts w:cs="Calibri"/>
            <w:color w:val="auto"/>
            <w:sz w:val="24"/>
          </w:rPr>
          <w:t>@foxmail.com</w:t>
        </w:r>
      </w:hyperlink>
    </w:p>
    <w:p w14:paraId="3CFBB683" w14:textId="77777777" w:rsidR="00981557" w:rsidRPr="00981557" w:rsidRDefault="00981557" w:rsidP="00342AEA">
      <w:pPr>
        <w:contextualSpacing/>
        <w:jc w:val="left"/>
        <w:rPr>
          <w:rFonts w:cs="Calibri"/>
          <w:sz w:val="24"/>
        </w:rPr>
      </w:pPr>
      <w:proofErr w:type="spellStart"/>
      <w:r w:rsidRPr="00981557">
        <w:rPr>
          <w:rFonts w:cs="Calibri"/>
          <w:bCs/>
          <w:sz w:val="24"/>
        </w:rPr>
        <w:t>Huanlong</w:t>
      </w:r>
      <w:proofErr w:type="spellEnd"/>
      <w:r w:rsidRPr="00981557">
        <w:rPr>
          <w:rFonts w:cs="Calibri"/>
          <w:bCs/>
          <w:sz w:val="24"/>
        </w:rPr>
        <w:t xml:space="preserve"> Qin</w:t>
      </w:r>
      <w:r w:rsidRPr="00981557">
        <w:rPr>
          <w:rFonts w:cs="Calibri"/>
          <w:sz w:val="24"/>
        </w:rPr>
        <w:t xml:space="preserve">: </w:t>
      </w:r>
      <w:hyperlink r:id="rId9" w:history="1">
        <w:r w:rsidRPr="00981557">
          <w:rPr>
            <w:rStyle w:val="Hyperlink"/>
            <w:rFonts w:cs="Calibri"/>
            <w:color w:val="auto"/>
            <w:sz w:val="24"/>
          </w:rPr>
          <w:t>hlqin65@163.com</w:t>
        </w:r>
      </w:hyperlink>
    </w:p>
    <w:p w14:paraId="1F959130" w14:textId="77777777" w:rsidR="00355E68" w:rsidRPr="00981557" w:rsidRDefault="00355E68" w:rsidP="00342AEA">
      <w:pPr>
        <w:contextualSpacing/>
        <w:jc w:val="left"/>
        <w:rPr>
          <w:rFonts w:cs="Calibri"/>
          <w:bCs/>
          <w:sz w:val="24"/>
        </w:rPr>
      </w:pPr>
    </w:p>
    <w:p w14:paraId="47EFB0DC" w14:textId="77777777" w:rsidR="00355E68" w:rsidRPr="00981557" w:rsidRDefault="00355E68" w:rsidP="00342AEA">
      <w:pPr>
        <w:contextualSpacing/>
        <w:jc w:val="left"/>
        <w:rPr>
          <w:rFonts w:cs="Calibri"/>
          <w:bCs/>
          <w:sz w:val="24"/>
        </w:rPr>
      </w:pPr>
      <w:r w:rsidRPr="00981557">
        <w:rPr>
          <w:rFonts w:cs="Calibri"/>
          <w:bCs/>
          <w:sz w:val="24"/>
        </w:rPr>
        <w:t>Corresponding Author:</w:t>
      </w:r>
      <w:bookmarkStart w:id="0" w:name="_Hlk507068199"/>
    </w:p>
    <w:p w14:paraId="5160BA44" w14:textId="77777777" w:rsidR="00355E68" w:rsidRPr="00981557" w:rsidRDefault="00355E68" w:rsidP="00342AEA">
      <w:pPr>
        <w:contextualSpacing/>
        <w:jc w:val="left"/>
        <w:rPr>
          <w:rFonts w:cs="Calibri"/>
          <w:bCs/>
          <w:sz w:val="24"/>
        </w:rPr>
      </w:pPr>
      <w:proofErr w:type="spellStart"/>
      <w:r w:rsidRPr="00981557">
        <w:rPr>
          <w:rFonts w:cs="Calibri"/>
          <w:bCs/>
          <w:sz w:val="24"/>
        </w:rPr>
        <w:t>Huanlong</w:t>
      </w:r>
      <w:proofErr w:type="spellEnd"/>
      <w:r w:rsidRPr="00981557">
        <w:rPr>
          <w:rFonts w:cs="Calibri"/>
          <w:bCs/>
          <w:sz w:val="24"/>
        </w:rPr>
        <w:t xml:space="preserve"> Qin</w:t>
      </w:r>
    </w:p>
    <w:p w14:paraId="06D6B473" w14:textId="77777777" w:rsidR="00355E68" w:rsidRPr="00981557" w:rsidRDefault="00342AEA" w:rsidP="00342AEA">
      <w:pPr>
        <w:contextualSpacing/>
        <w:jc w:val="left"/>
        <w:rPr>
          <w:rFonts w:cs="Calibri"/>
          <w:bCs/>
          <w:sz w:val="24"/>
        </w:rPr>
      </w:pPr>
      <w:hyperlink r:id="rId10" w:history="1">
        <w:r w:rsidR="00355E68" w:rsidRPr="00981557">
          <w:rPr>
            <w:rStyle w:val="Hyperlink"/>
            <w:rFonts w:cs="Calibri"/>
            <w:color w:val="auto"/>
            <w:sz w:val="24"/>
          </w:rPr>
          <w:t>hlqin65@163.com</w:t>
        </w:r>
      </w:hyperlink>
    </w:p>
    <w:bookmarkEnd w:id="0"/>
    <w:p w14:paraId="75D548E9" w14:textId="77777777" w:rsidR="00981557" w:rsidRDefault="00981557" w:rsidP="00342AEA">
      <w:pPr>
        <w:contextualSpacing/>
        <w:jc w:val="left"/>
        <w:rPr>
          <w:rFonts w:cs="Calibri"/>
          <w:b/>
          <w:bCs/>
          <w:sz w:val="24"/>
        </w:rPr>
      </w:pPr>
    </w:p>
    <w:p w14:paraId="125B0823" w14:textId="77777777" w:rsidR="00981557" w:rsidRDefault="00981557" w:rsidP="00342AEA">
      <w:pPr>
        <w:contextualSpacing/>
        <w:jc w:val="left"/>
        <w:rPr>
          <w:rFonts w:cs="Calibri"/>
          <w:b/>
          <w:bCs/>
          <w:sz w:val="24"/>
        </w:rPr>
      </w:pPr>
      <w:r w:rsidRPr="00981557">
        <w:rPr>
          <w:rFonts w:cs="Calibri"/>
          <w:b/>
          <w:bCs/>
          <w:sz w:val="24"/>
        </w:rPr>
        <w:t xml:space="preserve">KEYWORDS: </w:t>
      </w:r>
    </w:p>
    <w:p w14:paraId="4953D2FF" w14:textId="77777777" w:rsidR="00981557" w:rsidRPr="00981557" w:rsidRDefault="00981557" w:rsidP="00342AEA">
      <w:pPr>
        <w:contextualSpacing/>
        <w:jc w:val="left"/>
        <w:rPr>
          <w:rFonts w:cs="Calibri"/>
          <w:sz w:val="24"/>
        </w:rPr>
      </w:pPr>
      <w:r w:rsidRPr="00981557">
        <w:rPr>
          <w:rFonts w:cs="Calibri"/>
          <w:sz w:val="24"/>
        </w:rPr>
        <w:t xml:space="preserve">Parenteral nutrition, soybean oil, triple-chamber bags, compounded bags, olive oil, efficacy, lipids, oxidative stress </w:t>
      </w:r>
    </w:p>
    <w:p w14:paraId="2FD267E4" w14:textId="77777777" w:rsidR="00981557" w:rsidRPr="00981557" w:rsidRDefault="00981557" w:rsidP="00342AEA">
      <w:pPr>
        <w:contextualSpacing/>
        <w:jc w:val="left"/>
        <w:rPr>
          <w:rFonts w:cs="Calibri"/>
          <w:b/>
          <w:bCs/>
          <w:sz w:val="24"/>
        </w:rPr>
      </w:pPr>
    </w:p>
    <w:p w14:paraId="35E854D8" w14:textId="77777777" w:rsidR="00981557" w:rsidRPr="00981557" w:rsidRDefault="00981557" w:rsidP="00342AEA">
      <w:pPr>
        <w:contextualSpacing/>
        <w:jc w:val="left"/>
        <w:rPr>
          <w:rFonts w:cs="Calibri"/>
          <w:b/>
          <w:sz w:val="24"/>
        </w:rPr>
      </w:pPr>
      <w:r w:rsidRPr="00981557">
        <w:rPr>
          <w:rFonts w:cs="Calibri"/>
          <w:b/>
          <w:sz w:val="24"/>
        </w:rPr>
        <w:t>SUMMARY</w:t>
      </w:r>
      <w:r>
        <w:rPr>
          <w:rFonts w:cs="Calibri"/>
          <w:b/>
          <w:sz w:val="24"/>
        </w:rPr>
        <w:t>:</w:t>
      </w:r>
    </w:p>
    <w:p w14:paraId="2D0BB318" w14:textId="77777777" w:rsidR="00981557" w:rsidRPr="00981557" w:rsidRDefault="00981557" w:rsidP="00342AEA">
      <w:pPr>
        <w:contextualSpacing/>
        <w:jc w:val="left"/>
        <w:rPr>
          <w:rFonts w:cs="Calibri"/>
          <w:sz w:val="24"/>
        </w:rPr>
      </w:pPr>
      <w:r w:rsidRPr="00981557">
        <w:rPr>
          <w:rFonts w:cs="Calibri"/>
          <w:sz w:val="24"/>
        </w:rPr>
        <w:t>Here</w:t>
      </w:r>
      <w:r>
        <w:rPr>
          <w:rFonts w:cs="Calibri"/>
          <w:sz w:val="24"/>
        </w:rPr>
        <w:t>,</w:t>
      </w:r>
      <w:r w:rsidRPr="00981557">
        <w:rPr>
          <w:rFonts w:cs="Calibri"/>
          <w:sz w:val="24"/>
        </w:rPr>
        <w:t xml:space="preserve"> we present a protocol for a </w:t>
      </w:r>
      <w:r w:rsidRPr="00981557">
        <w:rPr>
          <w:rFonts w:cs="Calibri"/>
          <w:noProof/>
          <w:sz w:val="24"/>
        </w:rPr>
        <w:t>study</w:t>
      </w:r>
      <w:r w:rsidRPr="00981557">
        <w:rPr>
          <w:rFonts w:cs="Calibri"/>
          <w:sz w:val="24"/>
        </w:rPr>
        <w:t xml:space="preserve"> comparing the efficacy, safety, and delivery of olive-oil-based 3CB and soybean-oil-based </w:t>
      </w:r>
      <w:proofErr w:type="spellStart"/>
      <w:r w:rsidRPr="00981557">
        <w:rPr>
          <w:rFonts w:cs="Calibri"/>
          <w:sz w:val="24"/>
        </w:rPr>
        <w:t>CoB</w:t>
      </w:r>
      <w:proofErr w:type="spellEnd"/>
      <w:r w:rsidRPr="00981557">
        <w:rPr>
          <w:rFonts w:cs="Calibri"/>
          <w:sz w:val="24"/>
        </w:rPr>
        <w:t xml:space="preserve"> formulations in adults requiring parenteral nutrition. The results revealed that olive-oil-based 3CBs </w:t>
      </w:r>
      <w:r w:rsidR="0012729B">
        <w:rPr>
          <w:rFonts w:cs="Calibri"/>
          <w:sz w:val="24"/>
        </w:rPr>
        <w:t>is</w:t>
      </w:r>
      <w:r w:rsidRPr="00981557">
        <w:rPr>
          <w:rFonts w:cs="Calibri"/>
          <w:sz w:val="24"/>
        </w:rPr>
        <w:t xml:space="preserve"> non-inferior and well tolerated compared to soybean formulations.</w:t>
      </w:r>
    </w:p>
    <w:p w14:paraId="34E26447" w14:textId="77777777" w:rsidR="00355E68" w:rsidRPr="00981557" w:rsidRDefault="00355E68" w:rsidP="00342AEA">
      <w:pPr>
        <w:contextualSpacing/>
        <w:jc w:val="left"/>
        <w:rPr>
          <w:rFonts w:cs="Calibri"/>
          <w:sz w:val="24"/>
        </w:rPr>
      </w:pPr>
    </w:p>
    <w:p w14:paraId="6C2DD959" w14:textId="77777777" w:rsidR="00355E68" w:rsidRPr="00981557" w:rsidRDefault="00981557" w:rsidP="00342AEA">
      <w:pPr>
        <w:contextualSpacing/>
        <w:jc w:val="left"/>
        <w:rPr>
          <w:rFonts w:cs="Calibri"/>
          <w:b/>
          <w:bCs/>
          <w:sz w:val="24"/>
        </w:rPr>
      </w:pPr>
      <w:r w:rsidRPr="00981557">
        <w:rPr>
          <w:rFonts w:cs="Calibri"/>
          <w:b/>
          <w:bCs/>
          <w:sz w:val="24"/>
        </w:rPr>
        <w:t>ABSTRACT:</w:t>
      </w:r>
    </w:p>
    <w:p w14:paraId="35F81834" w14:textId="50044AF3" w:rsidR="00355E68" w:rsidRPr="00D60FE0" w:rsidRDefault="00E47BC6" w:rsidP="00342AEA">
      <w:pPr>
        <w:contextualSpacing/>
        <w:jc w:val="left"/>
        <w:rPr>
          <w:rFonts w:cs="Calibri"/>
          <w:sz w:val="24"/>
        </w:rPr>
      </w:pPr>
      <w:r w:rsidRPr="00981557">
        <w:rPr>
          <w:rFonts w:cs="Calibri"/>
          <w:sz w:val="24"/>
        </w:rPr>
        <w:t>L</w:t>
      </w:r>
      <w:r w:rsidR="00355E68" w:rsidRPr="00981557">
        <w:rPr>
          <w:rFonts w:cs="Calibri"/>
          <w:sz w:val="24"/>
        </w:rPr>
        <w:t xml:space="preserve">imited evidence </w:t>
      </w:r>
      <w:r w:rsidRPr="00981557">
        <w:rPr>
          <w:rFonts w:cs="Calibri"/>
          <w:sz w:val="24"/>
        </w:rPr>
        <w:t xml:space="preserve">exists </w:t>
      </w:r>
      <w:r w:rsidR="00355E68" w:rsidRPr="00981557">
        <w:rPr>
          <w:rFonts w:cs="Calibri"/>
          <w:sz w:val="24"/>
        </w:rPr>
        <w:t xml:space="preserve">to precisely </w:t>
      </w:r>
      <w:r w:rsidR="00B35E83" w:rsidRPr="00981557">
        <w:rPr>
          <w:rFonts w:cs="Calibri"/>
          <w:sz w:val="24"/>
        </w:rPr>
        <w:t xml:space="preserve">estimate </w:t>
      </w:r>
      <w:r w:rsidR="00355E68" w:rsidRPr="00981557">
        <w:rPr>
          <w:rFonts w:cs="Calibri"/>
          <w:sz w:val="24"/>
        </w:rPr>
        <w:t>efficacy and safety differences between parenteral nutrition</w:t>
      </w:r>
      <w:r w:rsidR="00693314" w:rsidRPr="00981557">
        <w:rPr>
          <w:rFonts w:cs="Calibri"/>
          <w:sz w:val="24"/>
        </w:rPr>
        <w:t xml:space="preserve"> (PN)</w:t>
      </w:r>
      <w:r w:rsidR="00355E68" w:rsidRPr="00981557">
        <w:rPr>
          <w:rFonts w:cs="Calibri"/>
          <w:sz w:val="24"/>
        </w:rPr>
        <w:t xml:space="preserve"> prepared using olive</w:t>
      </w:r>
      <w:r w:rsidR="00630C0B" w:rsidRPr="00981557">
        <w:rPr>
          <w:rFonts w:cs="Calibri"/>
          <w:sz w:val="24"/>
        </w:rPr>
        <w:t>-</w:t>
      </w:r>
      <w:r w:rsidR="00355E68" w:rsidRPr="00981557">
        <w:rPr>
          <w:rFonts w:cs="Calibri"/>
          <w:sz w:val="24"/>
        </w:rPr>
        <w:t>oil-based three-chamber bags (3CBs) and soybean</w:t>
      </w:r>
      <w:r w:rsidR="00630C0B" w:rsidRPr="00981557">
        <w:rPr>
          <w:rFonts w:cs="Calibri"/>
          <w:sz w:val="24"/>
        </w:rPr>
        <w:t>-</w:t>
      </w:r>
      <w:r w:rsidR="00355E68" w:rsidRPr="00981557">
        <w:rPr>
          <w:rFonts w:cs="Calibri"/>
          <w:sz w:val="24"/>
        </w:rPr>
        <w:t xml:space="preserve">oil-based </w:t>
      </w:r>
      <w:bookmarkStart w:id="1" w:name="OLE_LINK47"/>
      <w:r w:rsidR="00355E68" w:rsidRPr="00981557">
        <w:rPr>
          <w:rFonts w:cs="Calibri"/>
          <w:sz w:val="24"/>
        </w:rPr>
        <w:t>compounded bags (</w:t>
      </w:r>
      <w:proofErr w:type="spellStart"/>
      <w:r w:rsidR="00355E68" w:rsidRPr="00981557">
        <w:rPr>
          <w:rFonts w:cs="Calibri"/>
          <w:sz w:val="24"/>
        </w:rPr>
        <w:t>CoBs</w:t>
      </w:r>
      <w:proofErr w:type="spellEnd"/>
      <w:r w:rsidR="00355E68" w:rsidRPr="00981557">
        <w:rPr>
          <w:rFonts w:cs="Calibri"/>
          <w:sz w:val="24"/>
        </w:rPr>
        <w:t>)</w:t>
      </w:r>
      <w:bookmarkEnd w:id="1"/>
      <w:r w:rsidR="00355E68" w:rsidRPr="00981557">
        <w:rPr>
          <w:rFonts w:cs="Calibri"/>
          <w:sz w:val="24"/>
        </w:rPr>
        <w:t xml:space="preserve"> in hospitalized adult patients. We designed a multicenter, randomized, prospective, open-label, noninferiority </w:t>
      </w:r>
      <w:r w:rsidR="006D5A26" w:rsidRPr="00981557">
        <w:rPr>
          <w:rFonts w:cs="Calibri"/>
          <w:sz w:val="24"/>
        </w:rPr>
        <w:t>protocol</w:t>
      </w:r>
      <w:r w:rsidR="00355E68" w:rsidRPr="00981557">
        <w:rPr>
          <w:rFonts w:cs="Calibri"/>
          <w:sz w:val="24"/>
        </w:rPr>
        <w:t xml:space="preserve"> to compare the efficacy, safety</w:t>
      </w:r>
      <w:r w:rsidR="00630C0B" w:rsidRPr="00981557">
        <w:rPr>
          <w:rFonts w:cs="Calibri"/>
          <w:sz w:val="24"/>
        </w:rPr>
        <w:t>,</w:t>
      </w:r>
      <w:r w:rsidR="00355E68" w:rsidRPr="00981557">
        <w:rPr>
          <w:rFonts w:cs="Calibri"/>
          <w:sz w:val="24"/>
        </w:rPr>
        <w:t xml:space="preserve"> and distribution of olive</w:t>
      </w:r>
      <w:r w:rsidR="00560AC3" w:rsidRPr="00981557">
        <w:rPr>
          <w:rFonts w:cs="Calibri"/>
          <w:sz w:val="24"/>
        </w:rPr>
        <w:t>-</w:t>
      </w:r>
      <w:r w:rsidR="00355E68" w:rsidRPr="00981557">
        <w:rPr>
          <w:rFonts w:cs="Calibri"/>
          <w:sz w:val="24"/>
        </w:rPr>
        <w:t>oil-based 3CB</w:t>
      </w:r>
      <w:r w:rsidR="00560AC3" w:rsidRPr="00981557">
        <w:rPr>
          <w:rFonts w:cs="Calibri"/>
          <w:sz w:val="24"/>
        </w:rPr>
        <w:t>s and</w:t>
      </w:r>
      <w:r w:rsidR="00355E68" w:rsidRPr="00981557">
        <w:rPr>
          <w:rFonts w:cs="Calibri"/>
          <w:sz w:val="24"/>
        </w:rPr>
        <w:t xml:space="preserve"> soybean</w:t>
      </w:r>
      <w:r w:rsidR="00560AC3" w:rsidRPr="00981557">
        <w:rPr>
          <w:rFonts w:cs="Calibri"/>
          <w:sz w:val="24"/>
        </w:rPr>
        <w:t>-</w:t>
      </w:r>
      <w:r w:rsidR="00355E68" w:rsidRPr="00981557">
        <w:rPr>
          <w:rFonts w:cs="Calibri"/>
          <w:sz w:val="24"/>
        </w:rPr>
        <w:t xml:space="preserve">oil-based </w:t>
      </w:r>
      <w:proofErr w:type="spellStart"/>
      <w:r w:rsidR="00355E68" w:rsidRPr="00981557">
        <w:rPr>
          <w:rFonts w:cs="Calibri"/>
          <w:sz w:val="24"/>
        </w:rPr>
        <w:t>CoB</w:t>
      </w:r>
      <w:proofErr w:type="spellEnd"/>
      <w:r w:rsidR="00355E68" w:rsidRPr="00981557">
        <w:rPr>
          <w:rFonts w:cs="Calibri"/>
          <w:sz w:val="24"/>
        </w:rPr>
        <w:t xml:space="preserve"> formulations in adult Chinese </w:t>
      </w:r>
      <w:r w:rsidR="00560AC3" w:rsidRPr="00981557">
        <w:rPr>
          <w:rFonts w:cs="Calibri"/>
          <w:sz w:val="24"/>
        </w:rPr>
        <w:t xml:space="preserve">patients </w:t>
      </w:r>
      <w:r w:rsidR="00355E68" w:rsidRPr="00981557">
        <w:rPr>
          <w:rFonts w:cs="Calibri"/>
          <w:sz w:val="24"/>
        </w:rPr>
        <w:t xml:space="preserve">requiring </w:t>
      </w:r>
      <w:r w:rsidR="00693314" w:rsidRPr="00981557">
        <w:rPr>
          <w:rFonts w:cs="Calibri"/>
          <w:sz w:val="24"/>
        </w:rPr>
        <w:t>PN</w:t>
      </w:r>
      <w:r w:rsidR="00355E68" w:rsidRPr="00981557">
        <w:rPr>
          <w:rFonts w:cs="Calibri"/>
          <w:sz w:val="24"/>
        </w:rPr>
        <w:t xml:space="preserve"> during surgical intervention.</w:t>
      </w:r>
      <w:r w:rsidR="006D5A26" w:rsidRPr="00981557">
        <w:rPr>
          <w:rFonts w:cs="Calibri"/>
          <w:sz w:val="24"/>
        </w:rPr>
        <w:t xml:space="preserve"> S</w:t>
      </w:r>
      <w:r w:rsidR="00355E68" w:rsidRPr="00981557">
        <w:rPr>
          <w:rFonts w:cs="Calibri"/>
          <w:sz w:val="24"/>
        </w:rPr>
        <w:t xml:space="preserve">ubjects were randomized to receive </w:t>
      </w:r>
      <w:r w:rsidR="009A7297" w:rsidRPr="00981557">
        <w:rPr>
          <w:rFonts w:cs="Calibri"/>
          <w:sz w:val="24"/>
        </w:rPr>
        <w:t xml:space="preserve">either </w:t>
      </w:r>
      <w:r w:rsidR="00355E68" w:rsidRPr="00981557">
        <w:rPr>
          <w:rFonts w:cs="Calibri"/>
          <w:sz w:val="24"/>
        </w:rPr>
        <w:t>one of the</w:t>
      </w:r>
      <w:r w:rsidR="00497E98">
        <w:rPr>
          <w:rFonts w:cs="Calibri"/>
          <w:sz w:val="24"/>
        </w:rPr>
        <w:t xml:space="preserve"> </w:t>
      </w:r>
      <w:r w:rsidR="00355E68" w:rsidRPr="00981557">
        <w:rPr>
          <w:rFonts w:cs="Calibri"/>
          <w:sz w:val="24"/>
        </w:rPr>
        <w:t xml:space="preserve">study treatments using an interactive voice or web-based recognition system in accordance with the randomization code. Randomization was further stratified based on </w:t>
      </w:r>
      <w:r w:rsidR="005303C1" w:rsidRPr="00981557">
        <w:rPr>
          <w:rFonts w:cs="Calibri"/>
          <w:sz w:val="24"/>
        </w:rPr>
        <w:t xml:space="preserve">the </w:t>
      </w:r>
      <w:r w:rsidR="00355E68" w:rsidRPr="00981557">
        <w:rPr>
          <w:rFonts w:cs="Calibri"/>
          <w:noProof/>
          <w:sz w:val="24"/>
        </w:rPr>
        <w:t>study</w:t>
      </w:r>
      <w:r w:rsidR="00355E68" w:rsidRPr="00981557">
        <w:rPr>
          <w:rFonts w:cs="Calibri"/>
          <w:sz w:val="24"/>
        </w:rPr>
        <w:t xml:space="preserve"> site and surgical category. Both treatment groups received similar amounts of calories and protein. In addition, the two study treatments contained a similar composition of the amino</w:t>
      </w:r>
      <w:r w:rsidR="007F3431" w:rsidRPr="00981557">
        <w:rPr>
          <w:rFonts w:cs="Calibri"/>
          <w:sz w:val="24"/>
        </w:rPr>
        <w:t>-</w:t>
      </w:r>
      <w:r w:rsidR="00355E68" w:rsidRPr="00981557">
        <w:rPr>
          <w:rFonts w:cs="Calibri"/>
          <w:sz w:val="24"/>
        </w:rPr>
        <w:t xml:space="preserve">acid component. The only difference between the two PN formulations was the lipid constitution. The duration of administration of study treatments was </w:t>
      </w:r>
      <w:r w:rsidR="005E365B" w:rsidRPr="00981557">
        <w:rPr>
          <w:rFonts w:cs="Calibri"/>
          <w:sz w:val="24"/>
        </w:rPr>
        <w:t xml:space="preserve">a </w:t>
      </w:r>
      <w:r w:rsidR="00355E68" w:rsidRPr="00981557">
        <w:rPr>
          <w:rFonts w:cs="Calibri"/>
          <w:sz w:val="24"/>
        </w:rPr>
        <w:t xml:space="preserve">minimum of 5 days up to a maximum of 14 days after </w:t>
      </w:r>
      <w:r w:rsidR="005E365B" w:rsidRPr="00981557">
        <w:rPr>
          <w:rFonts w:cs="Calibri"/>
          <w:sz w:val="24"/>
        </w:rPr>
        <w:t xml:space="preserve">the </w:t>
      </w:r>
      <w:r w:rsidR="00355E68" w:rsidRPr="00981557">
        <w:rPr>
          <w:rFonts w:cs="Calibri"/>
          <w:sz w:val="24"/>
        </w:rPr>
        <w:t xml:space="preserve">surgical procedure. The primary efficacy endpoint was serum </w:t>
      </w:r>
      <w:r w:rsidR="00355E68" w:rsidRPr="00981557">
        <w:rPr>
          <w:rFonts w:cs="Calibri"/>
          <w:noProof/>
          <w:sz w:val="24"/>
        </w:rPr>
        <w:t>prealbumin</w:t>
      </w:r>
      <w:r w:rsidR="00355E68" w:rsidRPr="00981557">
        <w:rPr>
          <w:rFonts w:cs="Calibri"/>
          <w:sz w:val="24"/>
        </w:rPr>
        <w:t xml:space="preserve"> levels </w:t>
      </w:r>
      <w:r w:rsidR="005303C1" w:rsidRPr="00981557">
        <w:rPr>
          <w:rFonts w:cs="Calibri"/>
          <w:sz w:val="24"/>
        </w:rPr>
        <w:t xml:space="preserve">on </w:t>
      </w:r>
      <w:r w:rsidR="00355E68" w:rsidRPr="00981557">
        <w:rPr>
          <w:rFonts w:cs="Calibri"/>
          <w:sz w:val="24"/>
        </w:rPr>
        <w:t xml:space="preserve">day 5 of the study. </w:t>
      </w:r>
      <w:r w:rsidR="0041509D" w:rsidRPr="00981557">
        <w:rPr>
          <w:rFonts w:cs="Calibri"/>
          <w:sz w:val="24"/>
        </w:rPr>
        <w:t>N</w:t>
      </w:r>
      <w:r w:rsidR="00355E68" w:rsidRPr="00981557">
        <w:rPr>
          <w:rFonts w:cs="Calibri"/>
          <w:sz w:val="24"/>
        </w:rPr>
        <w:t xml:space="preserve">oninferiority was proved if the anti-log of the lower bound of the 95% confidence interval (CI) of the treatment difference was at least 0.80. Other efficacy </w:t>
      </w:r>
      <w:r w:rsidR="00355E68" w:rsidRPr="00981557">
        <w:rPr>
          <w:rFonts w:cs="Calibri"/>
          <w:sz w:val="24"/>
        </w:rPr>
        <w:lastRenderedPageBreak/>
        <w:t xml:space="preserve">measures </w:t>
      </w:r>
      <w:r w:rsidR="0041509D" w:rsidRPr="00981557">
        <w:rPr>
          <w:rFonts w:cs="Calibri"/>
          <w:sz w:val="24"/>
        </w:rPr>
        <w:t xml:space="preserve">included </w:t>
      </w:r>
      <w:r w:rsidR="00355E68" w:rsidRPr="00981557">
        <w:rPr>
          <w:rFonts w:cs="Calibri"/>
          <w:sz w:val="24"/>
        </w:rPr>
        <w:t>treatment preparation time; duration to achieve tolerability of oral nutrition; associated infectious complication</w:t>
      </w:r>
      <w:r w:rsidR="0065129E" w:rsidRPr="00981557">
        <w:rPr>
          <w:rFonts w:cs="Calibri"/>
          <w:sz w:val="24"/>
        </w:rPr>
        <w:t>s</w:t>
      </w:r>
      <w:r w:rsidR="00355E68" w:rsidRPr="00981557">
        <w:rPr>
          <w:rFonts w:cs="Calibri"/>
          <w:sz w:val="24"/>
        </w:rPr>
        <w:t xml:space="preserve">; length of hospitalization; and laboratory assessment of markers of nutrition, inflammation, metabolism, and oxidative stress. A total of 458 patients were enrolled </w:t>
      </w:r>
      <w:r w:rsidR="0065129E" w:rsidRPr="00981557">
        <w:rPr>
          <w:rFonts w:cs="Calibri"/>
          <w:sz w:val="24"/>
        </w:rPr>
        <w:t>in</w:t>
      </w:r>
      <w:r w:rsidR="00355E68" w:rsidRPr="00981557">
        <w:rPr>
          <w:rFonts w:cs="Calibri"/>
          <w:sz w:val="24"/>
        </w:rPr>
        <w:t xml:space="preserve"> the study. The result</w:t>
      </w:r>
      <w:r w:rsidR="0065129E" w:rsidRPr="00981557">
        <w:rPr>
          <w:rFonts w:cs="Calibri"/>
          <w:sz w:val="24"/>
        </w:rPr>
        <w:t>s</w:t>
      </w:r>
      <w:r w:rsidR="00355E68" w:rsidRPr="00981557">
        <w:rPr>
          <w:rFonts w:cs="Calibri"/>
          <w:sz w:val="24"/>
        </w:rPr>
        <w:t xml:space="preserve"> showed that olive</w:t>
      </w:r>
      <w:r w:rsidR="0065129E" w:rsidRPr="00981557">
        <w:rPr>
          <w:rFonts w:cs="Calibri"/>
          <w:sz w:val="24"/>
        </w:rPr>
        <w:t>-</w:t>
      </w:r>
      <w:r w:rsidR="00355E68" w:rsidRPr="00981557">
        <w:rPr>
          <w:rFonts w:cs="Calibri"/>
          <w:sz w:val="24"/>
        </w:rPr>
        <w:t xml:space="preserve">oil-based 3CBs were non-inferior to </w:t>
      </w:r>
      <w:r w:rsidR="00E576B6" w:rsidRPr="00D60FE0">
        <w:rPr>
          <w:rFonts w:cs="Calibri"/>
          <w:sz w:val="24"/>
        </w:rPr>
        <w:t>soybean</w:t>
      </w:r>
      <w:r w:rsidR="00355E68" w:rsidRPr="00D60FE0">
        <w:rPr>
          <w:rFonts w:cs="Calibri"/>
          <w:sz w:val="24"/>
        </w:rPr>
        <w:t xml:space="preserve">-based </w:t>
      </w:r>
      <w:proofErr w:type="spellStart"/>
      <w:r w:rsidR="00355E68" w:rsidRPr="00D60FE0">
        <w:rPr>
          <w:rFonts w:cs="Calibri"/>
          <w:sz w:val="24"/>
        </w:rPr>
        <w:t>CoBs</w:t>
      </w:r>
      <w:proofErr w:type="spellEnd"/>
      <w:r w:rsidR="00355E68" w:rsidRPr="00D60FE0">
        <w:rPr>
          <w:rFonts w:cs="Calibri"/>
          <w:sz w:val="24"/>
        </w:rPr>
        <w:t xml:space="preserve">, </w:t>
      </w:r>
      <w:r w:rsidR="0065129E" w:rsidRPr="00D60FE0">
        <w:rPr>
          <w:rFonts w:cs="Calibri"/>
          <w:sz w:val="24"/>
        </w:rPr>
        <w:t xml:space="preserve">besides being </w:t>
      </w:r>
      <w:r w:rsidR="00355E68" w:rsidRPr="00D60FE0">
        <w:rPr>
          <w:rFonts w:cs="Calibri"/>
          <w:sz w:val="24"/>
        </w:rPr>
        <w:t>well tolerated. The infection</w:t>
      </w:r>
      <w:r w:rsidR="0065129E" w:rsidRPr="00D60FE0">
        <w:rPr>
          <w:rFonts w:cs="Calibri"/>
          <w:sz w:val="24"/>
        </w:rPr>
        <w:t xml:space="preserve"> rate</w:t>
      </w:r>
      <w:r w:rsidR="00355E68" w:rsidRPr="00D60FE0">
        <w:rPr>
          <w:rFonts w:cs="Calibri"/>
          <w:sz w:val="24"/>
        </w:rPr>
        <w:t xml:space="preserve"> was found to be significantly lower in the olive</w:t>
      </w:r>
      <w:r w:rsidR="00E576B6" w:rsidRPr="00D60FE0">
        <w:rPr>
          <w:rFonts w:cs="Calibri"/>
          <w:sz w:val="24"/>
        </w:rPr>
        <w:t>-</w:t>
      </w:r>
      <w:r w:rsidR="00355E68" w:rsidRPr="00D60FE0">
        <w:rPr>
          <w:rFonts w:cs="Calibri"/>
          <w:sz w:val="24"/>
        </w:rPr>
        <w:t>oil-based 3CB group. Thus, this study may be used as a reference for future research on lipid emulsion and 3CBs.</w:t>
      </w:r>
    </w:p>
    <w:p w14:paraId="09C559E3" w14:textId="77777777" w:rsidR="006F7B4C" w:rsidRPr="00D60FE0" w:rsidRDefault="006F7B4C" w:rsidP="00342AEA">
      <w:pPr>
        <w:contextualSpacing/>
        <w:jc w:val="left"/>
        <w:rPr>
          <w:rFonts w:cs="Calibri"/>
          <w:b/>
          <w:bCs/>
          <w:sz w:val="24"/>
        </w:rPr>
      </w:pPr>
    </w:p>
    <w:p w14:paraId="73160884" w14:textId="77777777" w:rsidR="00355E68" w:rsidRPr="00D60FE0" w:rsidRDefault="00D60FE0" w:rsidP="00342AEA">
      <w:pPr>
        <w:contextualSpacing/>
        <w:jc w:val="left"/>
        <w:rPr>
          <w:rFonts w:cs="Calibri"/>
          <w:b/>
          <w:bCs/>
          <w:sz w:val="24"/>
        </w:rPr>
      </w:pPr>
      <w:r w:rsidRPr="00D60FE0">
        <w:rPr>
          <w:rFonts w:cs="Calibri"/>
          <w:b/>
          <w:bCs/>
          <w:sz w:val="24"/>
        </w:rPr>
        <w:t>INTRODUCTION:</w:t>
      </w:r>
    </w:p>
    <w:p w14:paraId="2F51B2DB" w14:textId="77777777" w:rsidR="00355E68" w:rsidRPr="00D60FE0" w:rsidRDefault="00355E68" w:rsidP="00342AEA">
      <w:pPr>
        <w:contextualSpacing/>
        <w:jc w:val="left"/>
        <w:rPr>
          <w:rFonts w:cs="Calibri"/>
          <w:sz w:val="24"/>
        </w:rPr>
      </w:pPr>
      <w:r w:rsidRPr="00D60FE0">
        <w:rPr>
          <w:rFonts w:cs="Calibri"/>
          <w:sz w:val="24"/>
        </w:rPr>
        <w:t>Parenteral nutrition is an essential component of overall therapy for a wide spectrum of indications</w:t>
      </w:r>
      <w:r w:rsidR="00180859" w:rsidRPr="00D60FE0">
        <w:rPr>
          <w:rFonts w:cs="Calibri"/>
          <w:sz w:val="24"/>
        </w:rPr>
        <w:t>,</w:t>
      </w:r>
      <w:r w:rsidRPr="00D60FE0">
        <w:rPr>
          <w:rFonts w:cs="Calibri"/>
          <w:sz w:val="24"/>
        </w:rPr>
        <w:t xml:space="preserve"> such as major gastrointestinal surgery, transient enteral intolerance, severe burns, coma; or for use in critically ill patients. Improvements in intravenous (IV) nutritional formulations and knowledge advancement regarding the implementation of therapy allow the safe and clinically efficacious administration of IV nutrition. These characteristics are particularly important in </w:t>
      </w:r>
      <w:r w:rsidR="005E73ED" w:rsidRPr="00D60FE0">
        <w:rPr>
          <w:rFonts w:cs="Calibri"/>
          <w:sz w:val="24"/>
        </w:rPr>
        <w:t xml:space="preserve">a </w:t>
      </w:r>
      <w:r w:rsidRPr="00D60FE0">
        <w:rPr>
          <w:rFonts w:cs="Calibri"/>
          <w:sz w:val="24"/>
        </w:rPr>
        <w:t>metabolically stressed patient</w:t>
      </w:r>
      <w:r w:rsidR="00A93C54" w:rsidRPr="00D60FE0">
        <w:rPr>
          <w:rFonts w:cs="Calibri"/>
          <w:sz w:val="24"/>
          <w:vertAlign w:val="superscript"/>
        </w:rPr>
        <w:t>1</w:t>
      </w:r>
      <w:r w:rsidRPr="00D60FE0">
        <w:rPr>
          <w:rFonts w:cs="Calibri"/>
          <w:sz w:val="24"/>
        </w:rPr>
        <w:t>.</w:t>
      </w:r>
    </w:p>
    <w:p w14:paraId="6C473B9F" w14:textId="77777777" w:rsidR="00D60FE0" w:rsidRPr="00D60FE0" w:rsidRDefault="00D60FE0" w:rsidP="00342AEA">
      <w:pPr>
        <w:contextualSpacing/>
        <w:jc w:val="left"/>
        <w:rPr>
          <w:rFonts w:cs="Calibri"/>
          <w:sz w:val="24"/>
        </w:rPr>
      </w:pPr>
    </w:p>
    <w:p w14:paraId="03C72838" w14:textId="77777777" w:rsidR="0012729B" w:rsidRDefault="00355E68" w:rsidP="00342AEA">
      <w:pPr>
        <w:contextualSpacing/>
        <w:jc w:val="left"/>
        <w:rPr>
          <w:rFonts w:cs="Calibri"/>
          <w:sz w:val="24"/>
        </w:rPr>
      </w:pPr>
      <w:r w:rsidRPr="00D60FE0">
        <w:rPr>
          <w:rFonts w:cs="Calibri"/>
          <w:sz w:val="24"/>
        </w:rPr>
        <w:t xml:space="preserve">Parenteral nutrition is commonly administered to patients by mixing nutrients that are compounded in the hospital pharmacy. Compounding total parenteral nutrition solutions from individual components is a multi-step, time-intensive process </w:t>
      </w:r>
      <w:r w:rsidR="005E73ED" w:rsidRPr="00D60FE0">
        <w:rPr>
          <w:rFonts w:cs="Calibri"/>
          <w:sz w:val="24"/>
        </w:rPr>
        <w:t xml:space="preserve">associated with </w:t>
      </w:r>
      <w:r w:rsidRPr="00D60FE0">
        <w:rPr>
          <w:rFonts w:cs="Calibri"/>
          <w:sz w:val="24"/>
        </w:rPr>
        <w:t xml:space="preserve">a greater risk of human error. Recently, triple-chamber bag (3CB) systems have been developed in which individual components are separated by nonpermanent breakable seals. The contents of </w:t>
      </w:r>
      <w:r w:rsidR="005303C1" w:rsidRPr="00D60FE0">
        <w:rPr>
          <w:rFonts w:cs="Calibri"/>
          <w:sz w:val="24"/>
        </w:rPr>
        <w:t xml:space="preserve">a </w:t>
      </w:r>
      <w:r w:rsidRPr="00D60FE0">
        <w:rPr>
          <w:rFonts w:cs="Calibri"/>
          <w:sz w:val="24"/>
        </w:rPr>
        <w:t xml:space="preserve">3CB include a glucose solution, an amino-acid solution, a lipid emulsion, with or without electrolytes. Prior to administration, the seal separating </w:t>
      </w:r>
      <w:r w:rsidR="00F24AF5" w:rsidRPr="00D60FE0">
        <w:rPr>
          <w:rFonts w:cs="Calibri"/>
          <w:sz w:val="24"/>
        </w:rPr>
        <w:t xml:space="preserve">the </w:t>
      </w:r>
      <w:r w:rsidRPr="00D60FE0">
        <w:rPr>
          <w:rFonts w:cs="Calibri"/>
          <w:sz w:val="24"/>
        </w:rPr>
        <w:t xml:space="preserve">various components of </w:t>
      </w:r>
      <w:r w:rsidR="00F24AF5" w:rsidRPr="00D60FE0">
        <w:rPr>
          <w:rFonts w:cs="Calibri"/>
          <w:sz w:val="24"/>
        </w:rPr>
        <w:t xml:space="preserve">the </w:t>
      </w:r>
      <w:r w:rsidRPr="00D60FE0">
        <w:rPr>
          <w:rFonts w:cs="Calibri"/>
          <w:sz w:val="24"/>
        </w:rPr>
        <w:t>3CB is broken, enabling the components of the chambers to be admixed. The advantages offered by the 3CB includes increased physio-chemical shelf life of components, reduction the extent of contamination during preparation, and cutting down on the steps required in the preparation of a PN product</w:t>
      </w:r>
      <w:r w:rsidR="00A93C54" w:rsidRPr="00D60FE0">
        <w:rPr>
          <w:rFonts w:cs="Calibri"/>
          <w:sz w:val="24"/>
          <w:vertAlign w:val="superscript"/>
        </w:rPr>
        <w:t>2</w:t>
      </w:r>
      <w:r w:rsidRPr="00D60FE0">
        <w:rPr>
          <w:rFonts w:cs="Calibri"/>
          <w:sz w:val="24"/>
        </w:rPr>
        <w:t xml:space="preserve">. </w:t>
      </w:r>
    </w:p>
    <w:p w14:paraId="0A5E9DBA" w14:textId="77777777" w:rsidR="0012729B" w:rsidRDefault="0012729B" w:rsidP="00342AEA">
      <w:pPr>
        <w:contextualSpacing/>
        <w:jc w:val="left"/>
        <w:rPr>
          <w:rFonts w:cs="Calibri"/>
          <w:sz w:val="24"/>
        </w:rPr>
      </w:pPr>
    </w:p>
    <w:p w14:paraId="6AD59094" w14:textId="4E90300D" w:rsidR="00D60FE0" w:rsidRDefault="00355E68" w:rsidP="00342AEA">
      <w:pPr>
        <w:contextualSpacing/>
        <w:jc w:val="left"/>
        <w:rPr>
          <w:rFonts w:cs="Calibri"/>
          <w:sz w:val="24"/>
        </w:rPr>
      </w:pPr>
      <w:r w:rsidRPr="00D60FE0">
        <w:rPr>
          <w:rFonts w:cs="Calibri"/>
          <w:sz w:val="24"/>
        </w:rPr>
        <w:t xml:space="preserve">Lipid emulsion is an important ingredient in a PN formula; it can produce different clinical effects, </w:t>
      </w:r>
      <w:r w:rsidR="00CA71D2" w:rsidRPr="00D60FE0">
        <w:rPr>
          <w:rFonts w:cs="Calibri"/>
          <w:sz w:val="24"/>
        </w:rPr>
        <w:t>depending upon the</w:t>
      </w:r>
      <w:r w:rsidRPr="00D60FE0">
        <w:rPr>
          <w:rFonts w:cs="Calibri"/>
          <w:sz w:val="24"/>
        </w:rPr>
        <w:t xml:space="preserve"> constituent</w:t>
      </w:r>
      <w:r w:rsidR="00393E2E">
        <w:rPr>
          <w:rFonts w:cs="Calibri"/>
          <w:sz w:val="24"/>
        </w:rPr>
        <w:t xml:space="preserve"> </w:t>
      </w:r>
      <w:r w:rsidRPr="00D60FE0">
        <w:rPr>
          <w:rFonts w:cs="Calibri"/>
          <w:sz w:val="24"/>
        </w:rPr>
        <w:t>fatty acids. Soybean</w:t>
      </w:r>
      <w:r w:rsidR="003947ED" w:rsidRPr="00D60FE0">
        <w:rPr>
          <w:rFonts w:cs="Calibri"/>
          <w:sz w:val="24"/>
        </w:rPr>
        <w:t>-</w:t>
      </w:r>
      <w:r w:rsidRPr="00D60FE0">
        <w:rPr>
          <w:rFonts w:cs="Calibri"/>
          <w:sz w:val="24"/>
        </w:rPr>
        <w:t xml:space="preserve">oil-based lipid emulsions primarily consist of long-chain linoleic acid </w:t>
      </w:r>
      <w:bookmarkStart w:id="2" w:name="OLE_LINK3"/>
      <w:r w:rsidRPr="00D60FE0">
        <w:rPr>
          <w:rFonts w:cs="Calibri"/>
          <w:sz w:val="24"/>
        </w:rPr>
        <w:t>(ω</w:t>
      </w:r>
      <w:bookmarkEnd w:id="2"/>
      <w:r w:rsidRPr="00D60FE0">
        <w:rPr>
          <w:rFonts w:cs="Calibri"/>
          <w:sz w:val="24"/>
        </w:rPr>
        <w:t>-6 polyunsaturated fatty acid [ω-6 PUFA]), which is mainly proinflammatory. Experimental data suggest</w:t>
      </w:r>
      <w:r w:rsidR="00393E2E">
        <w:rPr>
          <w:rFonts w:cs="Calibri"/>
          <w:sz w:val="24"/>
        </w:rPr>
        <w:t xml:space="preserve"> </w:t>
      </w:r>
      <w:r w:rsidRPr="00D60FE0">
        <w:rPr>
          <w:rFonts w:cs="Calibri"/>
          <w:sz w:val="24"/>
        </w:rPr>
        <w:t xml:space="preserve">that </w:t>
      </w:r>
      <w:bookmarkStart w:id="3" w:name="OLE_LINK4"/>
      <w:r w:rsidRPr="00D60FE0">
        <w:rPr>
          <w:rFonts w:cs="Calibri"/>
          <w:sz w:val="24"/>
        </w:rPr>
        <w:t>ω-6 PUFA</w:t>
      </w:r>
      <w:bookmarkEnd w:id="3"/>
      <w:r w:rsidRPr="00D60FE0">
        <w:rPr>
          <w:rFonts w:cs="Calibri"/>
          <w:sz w:val="24"/>
        </w:rPr>
        <w:t xml:space="preserve">-rich lipid emulsions may amplify </w:t>
      </w:r>
      <w:r w:rsidR="00393E2E">
        <w:rPr>
          <w:rFonts w:cs="Calibri"/>
          <w:sz w:val="24"/>
        </w:rPr>
        <w:t xml:space="preserve">the </w:t>
      </w:r>
      <w:r w:rsidRPr="00D60FE0">
        <w:rPr>
          <w:rFonts w:cs="Calibri"/>
          <w:sz w:val="24"/>
        </w:rPr>
        <w:t xml:space="preserve">inflammatory response </w:t>
      </w:r>
      <w:r w:rsidR="00BB18BF" w:rsidRPr="00D60FE0">
        <w:rPr>
          <w:rFonts w:cs="Calibri"/>
          <w:sz w:val="24"/>
        </w:rPr>
        <w:t xml:space="preserve">during </w:t>
      </w:r>
      <w:r w:rsidRPr="00D60FE0">
        <w:rPr>
          <w:rFonts w:cs="Calibri"/>
          <w:sz w:val="24"/>
        </w:rPr>
        <w:t>stress and traumatic condition</w:t>
      </w:r>
      <w:r w:rsidR="00BB18BF" w:rsidRPr="00D60FE0">
        <w:rPr>
          <w:rFonts w:cs="Calibri"/>
          <w:sz w:val="24"/>
        </w:rPr>
        <w:t>s</w:t>
      </w:r>
      <w:r w:rsidR="00D05A21" w:rsidRPr="00D60FE0">
        <w:rPr>
          <w:rFonts w:cs="Calibri"/>
          <w:sz w:val="24"/>
        </w:rPr>
        <w:t>,</w:t>
      </w:r>
      <w:r w:rsidR="00393E2E">
        <w:rPr>
          <w:rFonts w:cs="Calibri"/>
          <w:sz w:val="24"/>
        </w:rPr>
        <w:t xml:space="preserve"> </w:t>
      </w:r>
      <w:r w:rsidR="00D05A21" w:rsidRPr="00D60FE0">
        <w:rPr>
          <w:rFonts w:cs="Calibri"/>
          <w:sz w:val="24"/>
        </w:rPr>
        <w:t>as well as</w:t>
      </w:r>
      <w:r w:rsidRPr="00D60FE0">
        <w:rPr>
          <w:rFonts w:cs="Calibri"/>
          <w:sz w:val="24"/>
        </w:rPr>
        <w:t xml:space="preserve"> increas</w:t>
      </w:r>
      <w:r w:rsidR="00D05A21" w:rsidRPr="00D60FE0">
        <w:rPr>
          <w:rFonts w:cs="Calibri"/>
          <w:sz w:val="24"/>
        </w:rPr>
        <w:t>ing</w:t>
      </w:r>
      <w:r w:rsidRPr="00D60FE0">
        <w:rPr>
          <w:rFonts w:cs="Calibri"/>
          <w:sz w:val="24"/>
        </w:rPr>
        <w:t xml:space="preserve"> the infection</w:t>
      </w:r>
      <w:r w:rsidR="00D05A21" w:rsidRPr="00D60FE0">
        <w:rPr>
          <w:rFonts w:cs="Calibri"/>
          <w:sz w:val="24"/>
        </w:rPr>
        <w:t xml:space="preserve"> rate</w:t>
      </w:r>
      <w:r w:rsidR="00A93C54" w:rsidRPr="00D60FE0">
        <w:rPr>
          <w:rFonts w:cs="Calibri"/>
          <w:sz w:val="24"/>
          <w:vertAlign w:val="superscript"/>
        </w:rPr>
        <w:t>3</w:t>
      </w:r>
      <w:r w:rsidRPr="00D60FE0">
        <w:rPr>
          <w:rFonts w:cs="Calibri"/>
          <w:sz w:val="24"/>
        </w:rPr>
        <w:t>. On the other hand, olive</w:t>
      </w:r>
      <w:r w:rsidR="00D05A21" w:rsidRPr="00D60FE0">
        <w:rPr>
          <w:rFonts w:cs="Calibri"/>
          <w:sz w:val="24"/>
        </w:rPr>
        <w:t>-</w:t>
      </w:r>
      <w:r w:rsidRPr="00D60FE0">
        <w:rPr>
          <w:rFonts w:cs="Calibri"/>
          <w:sz w:val="24"/>
        </w:rPr>
        <w:t>oil-based lipid emulsions, which consist of long-chain oleic acid (</w:t>
      </w:r>
      <w:bookmarkStart w:id="4" w:name="OLE_LINK24"/>
      <w:r w:rsidRPr="00D60FE0">
        <w:rPr>
          <w:rFonts w:cs="Calibri"/>
          <w:sz w:val="24"/>
        </w:rPr>
        <w:t>ω-9</w:t>
      </w:r>
      <w:bookmarkEnd w:id="4"/>
      <w:r w:rsidRPr="00D60FE0">
        <w:rPr>
          <w:rFonts w:cs="Calibri"/>
          <w:sz w:val="24"/>
        </w:rPr>
        <w:t xml:space="preserve"> monounsaturated fatty</w:t>
      </w:r>
      <w:r w:rsidR="00393E2E">
        <w:rPr>
          <w:rFonts w:cs="Calibri"/>
          <w:sz w:val="24"/>
        </w:rPr>
        <w:t xml:space="preserve"> </w:t>
      </w:r>
      <w:r w:rsidRPr="00D60FE0">
        <w:rPr>
          <w:rFonts w:cs="Calibri"/>
          <w:sz w:val="24"/>
        </w:rPr>
        <w:t xml:space="preserve">acids, [ω-9 MUFAs]), have </w:t>
      </w:r>
      <w:r w:rsidR="00D05A21" w:rsidRPr="00D60FE0">
        <w:rPr>
          <w:rFonts w:cs="Calibri"/>
          <w:sz w:val="24"/>
        </w:rPr>
        <w:t xml:space="preserve">a </w:t>
      </w:r>
      <w:r w:rsidRPr="00D60FE0">
        <w:rPr>
          <w:rFonts w:cs="Calibri"/>
          <w:sz w:val="24"/>
        </w:rPr>
        <w:t>neutral response on the immune system</w:t>
      </w:r>
      <w:r w:rsidR="00A93C54" w:rsidRPr="00D60FE0">
        <w:rPr>
          <w:rFonts w:cs="Calibri"/>
          <w:sz w:val="24"/>
          <w:vertAlign w:val="superscript"/>
        </w:rPr>
        <w:t>3,4</w:t>
      </w:r>
      <w:r w:rsidRPr="00D60FE0">
        <w:rPr>
          <w:rFonts w:cs="Calibri"/>
          <w:sz w:val="24"/>
        </w:rPr>
        <w:t>. Substituting soybean</w:t>
      </w:r>
      <w:r w:rsidR="00066851" w:rsidRPr="00D60FE0">
        <w:rPr>
          <w:rFonts w:cs="Calibri"/>
          <w:sz w:val="24"/>
        </w:rPr>
        <w:t>-</w:t>
      </w:r>
      <w:r w:rsidRPr="00D60FE0">
        <w:rPr>
          <w:rFonts w:cs="Calibri"/>
          <w:sz w:val="24"/>
        </w:rPr>
        <w:t>oil-based ω-6 PUFAs with olive</w:t>
      </w:r>
      <w:r w:rsidR="00066851" w:rsidRPr="00D60FE0">
        <w:rPr>
          <w:rFonts w:cs="Calibri"/>
          <w:sz w:val="24"/>
        </w:rPr>
        <w:t>-</w:t>
      </w:r>
      <w:r w:rsidRPr="00D60FE0">
        <w:rPr>
          <w:rFonts w:cs="Calibri"/>
          <w:sz w:val="24"/>
        </w:rPr>
        <w:t>oil-based ω-9 MUFAs can make the PN safe and further widen its clinical application</w:t>
      </w:r>
      <w:r w:rsidR="00A93C54" w:rsidRPr="00D60FE0">
        <w:rPr>
          <w:rFonts w:cs="Calibri"/>
          <w:sz w:val="24"/>
          <w:vertAlign w:val="superscript"/>
        </w:rPr>
        <w:t>5,6</w:t>
      </w:r>
      <w:r w:rsidRPr="00D60FE0">
        <w:rPr>
          <w:rFonts w:cs="Calibri"/>
          <w:sz w:val="24"/>
        </w:rPr>
        <w:t xml:space="preserve">. However, there are limited clinical data in this connection. </w:t>
      </w:r>
    </w:p>
    <w:p w14:paraId="1E187DD2" w14:textId="77777777" w:rsidR="00D60FE0" w:rsidRDefault="00D60FE0" w:rsidP="00342AEA">
      <w:pPr>
        <w:contextualSpacing/>
        <w:jc w:val="left"/>
        <w:rPr>
          <w:rFonts w:cs="Calibri"/>
          <w:sz w:val="24"/>
        </w:rPr>
      </w:pPr>
    </w:p>
    <w:p w14:paraId="2C9FA51A" w14:textId="77777777" w:rsidR="00355E68" w:rsidRPr="00981557" w:rsidRDefault="00355E68" w:rsidP="00342AEA">
      <w:pPr>
        <w:contextualSpacing/>
        <w:jc w:val="left"/>
        <w:rPr>
          <w:rFonts w:cs="Calibri"/>
          <w:b/>
          <w:bCs/>
          <w:sz w:val="24"/>
        </w:rPr>
      </w:pPr>
      <w:r w:rsidRPr="00D60FE0">
        <w:rPr>
          <w:rFonts w:cs="Calibri"/>
          <w:sz w:val="24"/>
        </w:rPr>
        <w:t>Therefore, t</w:t>
      </w:r>
      <w:r w:rsidR="00E845F0" w:rsidRPr="00D60FE0">
        <w:rPr>
          <w:rFonts w:cs="Calibri"/>
          <w:sz w:val="24"/>
        </w:rPr>
        <w:t xml:space="preserve">he present </w:t>
      </w:r>
      <w:r w:rsidRPr="00D60FE0">
        <w:rPr>
          <w:rFonts w:cs="Calibri"/>
          <w:sz w:val="24"/>
        </w:rPr>
        <w:t xml:space="preserve">study aims to evaluate the rate of infections in two different lipid emulsions that varied in the content of linoleic acid, in addition to having the primary objective of assessing the safety and efficacy of 3CBs compared to </w:t>
      </w:r>
      <w:proofErr w:type="spellStart"/>
      <w:r w:rsidR="004726BA" w:rsidRPr="00D60FE0">
        <w:rPr>
          <w:rFonts w:cs="Calibri"/>
          <w:sz w:val="24"/>
        </w:rPr>
        <w:t>CoBs</w:t>
      </w:r>
      <w:proofErr w:type="spellEnd"/>
      <w:r w:rsidRPr="00D60FE0">
        <w:rPr>
          <w:rFonts w:cs="Calibri"/>
          <w:sz w:val="24"/>
        </w:rPr>
        <w:t xml:space="preserve"> for delivering PN. The assessment was carried out in adult hospitalized patients </w:t>
      </w:r>
      <w:r w:rsidR="00066851" w:rsidRPr="00D60FE0">
        <w:rPr>
          <w:rFonts w:cs="Calibri"/>
          <w:sz w:val="24"/>
        </w:rPr>
        <w:t xml:space="preserve">scheduled </w:t>
      </w:r>
      <w:r w:rsidRPr="00D60FE0">
        <w:rPr>
          <w:rFonts w:cs="Calibri"/>
          <w:sz w:val="24"/>
        </w:rPr>
        <w:t>to undergo surgery for whom enteral nutrition was either not possible, inadequate, or inadvisable.</w:t>
      </w:r>
    </w:p>
    <w:p w14:paraId="038D98B0" w14:textId="77777777" w:rsidR="00625AE7" w:rsidRPr="00981557" w:rsidRDefault="00625AE7" w:rsidP="00342AEA">
      <w:pPr>
        <w:contextualSpacing/>
        <w:jc w:val="left"/>
        <w:rPr>
          <w:rFonts w:cs="Calibri"/>
          <w:b/>
          <w:bCs/>
          <w:sz w:val="24"/>
        </w:rPr>
      </w:pPr>
    </w:p>
    <w:p w14:paraId="6A273AED" w14:textId="77777777" w:rsidR="00355E68" w:rsidRPr="00981557" w:rsidRDefault="00D60FE0" w:rsidP="00342AEA">
      <w:pPr>
        <w:contextualSpacing/>
        <w:jc w:val="left"/>
        <w:rPr>
          <w:rFonts w:cs="Calibri"/>
          <w:b/>
          <w:bCs/>
          <w:sz w:val="24"/>
        </w:rPr>
      </w:pPr>
      <w:r w:rsidRPr="00981557">
        <w:rPr>
          <w:rFonts w:cs="Calibri"/>
          <w:b/>
          <w:bCs/>
          <w:sz w:val="24"/>
        </w:rPr>
        <w:t>PROTOCOL</w:t>
      </w:r>
      <w:r>
        <w:rPr>
          <w:rFonts w:cs="Calibri"/>
          <w:b/>
          <w:bCs/>
          <w:sz w:val="24"/>
        </w:rPr>
        <w:t>:</w:t>
      </w:r>
    </w:p>
    <w:p w14:paraId="7E0C8FA1" w14:textId="77777777" w:rsidR="00355E68" w:rsidRPr="00981557" w:rsidRDefault="00355E68" w:rsidP="00342AEA">
      <w:pPr>
        <w:contextualSpacing/>
        <w:jc w:val="left"/>
        <w:rPr>
          <w:rFonts w:cs="Calibri"/>
          <w:sz w:val="24"/>
        </w:rPr>
      </w:pPr>
    </w:p>
    <w:p w14:paraId="42EF0528" w14:textId="77777777" w:rsidR="00355E68" w:rsidRPr="00FD6973" w:rsidRDefault="00355E68" w:rsidP="00342AEA">
      <w:pPr>
        <w:contextualSpacing/>
        <w:jc w:val="left"/>
        <w:rPr>
          <w:rFonts w:cs="Calibri"/>
          <w:sz w:val="24"/>
        </w:rPr>
      </w:pPr>
      <w:r w:rsidRPr="00FD6973">
        <w:rPr>
          <w:rFonts w:cs="Calibri"/>
          <w:sz w:val="24"/>
        </w:rPr>
        <w:t>For this prospective, randomized, multicenter, active-controlled, parallel-group investigational trial, the Ethics Committees of Shanghai Sixth People’s Hospital approved the study protocol.</w:t>
      </w:r>
    </w:p>
    <w:p w14:paraId="66A59822" w14:textId="77777777" w:rsidR="00D60FE0" w:rsidRPr="00FD6973" w:rsidRDefault="00D60FE0" w:rsidP="00342AEA">
      <w:pPr>
        <w:contextualSpacing/>
        <w:jc w:val="left"/>
        <w:rPr>
          <w:rFonts w:cs="Calibri"/>
          <w:sz w:val="24"/>
        </w:rPr>
      </w:pPr>
    </w:p>
    <w:p w14:paraId="79CA50ED" w14:textId="77777777" w:rsidR="00355E68" w:rsidRPr="00FD6973" w:rsidRDefault="00D60FE0" w:rsidP="00342AEA">
      <w:pPr>
        <w:numPr>
          <w:ilvl w:val="0"/>
          <w:numId w:val="1"/>
        </w:numPr>
        <w:ind w:left="0" w:firstLine="0"/>
        <w:contextualSpacing/>
        <w:jc w:val="left"/>
        <w:rPr>
          <w:rFonts w:cs="Calibri"/>
          <w:b/>
          <w:sz w:val="24"/>
        </w:rPr>
      </w:pPr>
      <w:r w:rsidRPr="00FD6973">
        <w:rPr>
          <w:rFonts w:cs="Calibri"/>
          <w:b/>
          <w:sz w:val="24"/>
        </w:rPr>
        <w:t>Patient recruitment and enrollment</w:t>
      </w:r>
    </w:p>
    <w:p w14:paraId="618F889C" w14:textId="77777777" w:rsidR="00D60FE0" w:rsidRPr="00FD6973" w:rsidRDefault="00D60FE0" w:rsidP="00342AEA">
      <w:pPr>
        <w:contextualSpacing/>
        <w:jc w:val="left"/>
        <w:rPr>
          <w:rFonts w:cs="Calibri"/>
          <w:b/>
          <w:sz w:val="24"/>
        </w:rPr>
      </w:pPr>
    </w:p>
    <w:p w14:paraId="5A78B3E5" w14:textId="77777777" w:rsidR="00FE57B8" w:rsidRPr="00FD6973" w:rsidRDefault="00355E68" w:rsidP="00342AEA">
      <w:pPr>
        <w:pStyle w:val="ListParagraph"/>
        <w:numPr>
          <w:ilvl w:val="1"/>
          <w:numId w:val="27"/>
        </w:numPr>
        <w:ind w:left="0" w:firstLine="0"/>
        <w:contextualSpacing/>
        <w:jc w:val="left"/>
        <w:rPr>
          <w:rFonts w:cs="Calibri"/>
          <w:sz w:val="24"/>
        </w:rPr>
      </w:pPr>
      <w:r w:rsidRPr="00FD6973">
        <w:rPr>
          <w:rFonts w:cs="Calibri"/>
          <w:sz w:val="24"/>
        </w:rPr>
        <w:t xml:space="preserve">Recruit patients as per the inclusion criteria specified in the protocol. Seek informed consent from </w:t>
      </w:r>
      <w:r w:rsidR="00BF6A84" w:rsidRPr="00FD6973">
        <w:rPr>
          <w:rFonts w:cs="Calibri"/>
          <w:sz w:val="24"/>
        </w:rPr>
        <w:t>patients and</w:t>
      </w:r>
      <w:r w:rsidRPr="00FD6973">
        <w:rPr>
          <w:rFonts w:cs="Calibri"/>
          <w:sz w:val="24"/>
        </w:rPr>
        <w:t xml:space="preserve"> perform screening assessments not more than 3 days prior to the scheduled surgery.</w:t>
      </w:r>
    </w:p>
    <w:p w14:paraId="639A2F42" w14:textId="77777777" w:rsidR="00BF6A84" w:rsidRPr="00FD6973" w:rsidRDefault="00BF6A84" w:rsidP="00342AEA">
      <w:pPr>
        <w:contextualSpacing/>
        <w:jc w:val="left"/>
        <w:rPr>
          <w:rFonts w:cs="Calibri"/>
          <w:sz w:val="24"/>
        </w:rPr>
      </w:pPr>
    </w:p>
    <w:p w14:paraId="2D13D35D" w14:textId="77777777" w:rsidR="00BF6A84" w:rsidRPr="00FD6973" w:rsidRDefault="00355E68" w:rsidP="00342AEA">
      <w:pPr>
        <w:pStyle w:val="ListParagraph"/>
        <w:numPr>
          <w:ilvl w:val="1"/>
          <w:numId w:val="27"/>
        </w:numPr>
        <w:ind w:left="0" w:firstLine="0"/>
        <w:contextualSpacing/>
        <w:jc w:val="left"/>
        <w:rPr>
          <w:rFonts w:cs="Calibri"/>
          <w:sz w:val="24"/>
        </w:rPr>
      </w:pPr>
      <w:r w:rsidRPr="00FD6973">
        <w:rPr>
          <w:rFonts w:cs="Calibri"/>
          <w:sz w:val="24"/>
        </w:rPr>
        <w:t>Randomize enrolled subjects to one of the two study treatments (olive</w:t>
      </w:r>
      <w:r w:rsidR="00066851" w:rsidRPr="00FD6973">
        <w:rPr>
          <w:rFonts w:cs="Calibri"/>
          <w:sz w:val="24"/>
        </w:rPr>
        <w:t>-</w:t>
      </w:r>
      <w:r w:rsidRPr="00FD6973">
        <w:rPr>
          <w:rFonts w:cs="Calibri"/>
          <w:sz w:val="24"/>
        </w:rPr>
        <w:t>oil-based 3CBsor soybean-oil</w:t>
      </w:r>
      <w:r w:rsidR="00066851" w:rsidRPr="00FD6973">
        <w:rPr>
          <w:rFonts w:cs="Calibri"/>
          <w:sz w:val="24"/>
        </w:rPr>
        <w:t>-</w:t>
      </w:r>
      <w:r w:rsidRPr="00FD6973">
        <w:rPr>
          <w:rFonts w:cs="Calibri"/>
          <w:sz w:val="24"/>
        </w:rPr>
        <w:t xml:space="preserve">based </w:t>
      </w:r>
      <w:proofErr w:type="spellStart"/>
      <w:r w:rsidRPr="00FD6973">
        <w:rPr>
          <w:rFonts w:cs="Calibri"/>
          <w:sz w:val="24"/>
        </w:rPr>
        <w:t>CoBs</w:t>
      </w:r>
      <w:proofErr w:type="spellEnd"/>
      <w:r w:rsidRPr="00FD6973">
        <w:rPr>
          <w:rFonts w:cs="Calibri"/>
          <w:sz w:val="24"/>
        </w:rPr>
        <w:t xml:space="preserve">), based on the randomization schedule. </w:t>
      </w:r>
      <w:bookmarkStart w:id="5" w:name="OLE_LINK43"/>
    </w:p>
    <w:p w14:paraId="6CA06F33" w14:textId="77777777" w:rsidR="00BF6A84" w:rsidRPr="00FD6973" w:rsidRDefault="00BF6A84" w:rsidP="00342AEA">
      <w:pPr>
        <w:pStyle w:val="ListParagraph"/>
        <w:ind w:left="0"/>
        <w:contextualSpacing/>
        <w:jc w:val="left"/>
        <w:rPr>
          <w:rFonts w:cs="Calibri"/>
          <w:sz w:val="24"/>
        </w:rPr>
      </w:pPr>
    </w:p>
    <w:p w14:paraId="61D6DE41" w14:textId="7836428A" w:rsidR="00BF6A84" w:rsidRPr="00FD6973" w:rsidRDefault="00355E68" w:rsidP="00342AEA">
      <w:pPr>
        <w:pStyle w:val="ListParagraph"/>
        <w:numPr>
          <w:ilvl w:val="2"/>
          <w:numId w:val="27"/>
        </w:numPr>
        <w:ind w:left="0" w:firstLine="0"/>
        <w:contextualSpacing/>
        <w:jc w:val="left"/>
        <w:rPr>
          <w:rFonts w:cs="Calibri"/>
          <w:sz w:val="24"/>
        </w:rPr>
      </w:pPr>
      <w:r w:rsidRPr="00FD6973">
        <w:rPr>
          <w:rFonts w:cs="Calibri"/>
          <w:sz w:val="24"/>
        </w:rPr>
        <w:t>Randomize subjects undergoing surgery who were not scheduled for preoperative PN after a surgical procedure (</w:t>
      </w:r>
      <w:r w:rsidRPr="00FD6973">
        <w:rPr>
          <w:rFonts w:cs="Calibri"/>
          <w:b/>
          <w:sz w:val="24"/>
        </w:rPr>
        <w:t>Figure 1</w:t>
      </w:r>
      <w:r w:rsidRPr="00FD6973">
        <w:rPr>
          <w:rFonts w:cs="Calibri"/>
          <w:sz w:val="24"/>
        </w:rPr>
        <w:t>). Randomize subjects undergoing surgery and who were scheduled for preoperative PN prior to the surgery (</w:t>
      </w:r>
      <w:r w:rsidRPr="00FD6973">
        <w:rPr>
          <w:rFonts w:cs="Calibri"/>
          <w:b/>
          <w:sz w:val="24"/>
        </w:rPr>
        <w:t>Figure 2</w:t>
      </w:r>
      <w:r w:rsidRPr="00FD6973">
        <w:rPr>
          <w:rFonts w:cs="Calibri"/>
          <w:sz w:val="24"/>
        </w:rPr>
        <w:t>).</w:t>
      </w:r>
      <w:r w:rsidR="00393E2E">
        <w:rPr>
          <w:rFonts w:cs="Calibri"/>
          <w:sz w:val="24"/>
        </w:rPr>
        <w:t xml:space="preserve"> </w:t>
      </w:r>
      <w:proofErr w:type="gramStart"/>
      <w:r w:rsidRPr="00FD6973">
        <w:rPr>
          <w:rFonts w:cs="Calibri"/>
          <w:sz w:val="24"/>
        </w:rPr>
        <w:t>Randomize</w:t>
      </w:r>
      <w:proofErr w:type="gramEnd"/>
      <w:r w:rsidRPr="00FD6973">
        <w:rPr>
          <w:rFonts w:cs="Calibri"/>
          <w:sz w:val="24"/>
        </w:rPr>
        <w:t xml:space="preserve"> subjects who were not scheduled to undergo surgery if they m</w:t>
      </w:r>
      <w:r w:rsidR="005303C1" w:rsidRPr="00FD6973">
        <w:rPr>
          <w:rFonts w:cs="Calibri"/>
          <w:sz w:val="24"/>
        </w:rPr>
        <w:t>e</w:t>
      </w:r>
      <w:r w:rsidRPr="00FD6973">
        <w:rPr>
          <w:rFonts w:cs="Calibri"/>
          <w:sz w:val="24"/>
        </w:rPr>
        <w:t>et the enrollment criteria (</w:t>
      </w:r>
      <w:r w:rsidRPr="00FD6973">
        <w:rPr>
          <w:rFonts w:cs="Calibri"/>
          <w:b/>
          <w:sz w:val="24"/>
        </w:rPr>
        <w:t>Figure 3</w:t>
      </w:r>
      <w:r w:rsidRPr="00FD6973">
        <w:rPr>
          <w:rFonts w:cs="Calibri"/>
          <w:sz w:val="24"/>
        </w:rPr>
        <w:t>).</w:t>
      </w:r>
      <w:bookmarkEnd w:id="5"/>
    </w:p>
    <w:p w14:paraId="0B193EA8" w14:textId="77777777" w:rsidR="00BF6A84" w:rsidRPr="00FD6973" w:rsidRDefault="00BF6A84" w:rsidP="00342AEA">
      <w:pPr>
        <w:pStyle w:val="ListParagraph"/>
        <w:ind w:left="0"/>
        <w:contextualSpacing/>
        <w:jc w:val="left"/>
        <w:rPr>
          <w:rFonts w:cs="Calibri"/>
          <w:sz w:val="24"/>
        </w:rPr>
      </w:pPr>
    </w:p>
    <w:p w14:paraId="62855ABE" w14:textId="77777777" w:rsidR="00FE57B8" w:rsidRPr="00FD6973" w:rsidRDefault="00355E68" w:rsidP="00342AEA">
      <w:pPr>
        <w:pStyle w:val="ListParagraph"/>
        <w:numPr>
          <w:ilvl w:val="2"/>
          <w:numId w:val="27"/>
        </w:numPr>
        <w:ind w:left="0" w:firstLine="0"/>
        <w:contextualSpacing/>
        <w:jc w:val="left"/>
        <w:rPr>
          <w:rFonts w:cs="Calibri"/>
          <w:sz w:val="24"/>
        </w:rPr>
      </w:pPr>
      <w:r w:rsidRPr="00FD6973">
        <w:rPr>
          <w:rFonts w:cs="Calibri"/>
          <w:sz w:val="24"/>
        </w:rPr>
        <w:t xml:space="preserve">Do not blind the </w:t>
      </w:r>
      <w:bookmarkStart w:id="6" w:name="OLE_LINK13"/>
      <w:r w:rsidRPr="00FD6973">
        <w:rPr>
          <w:rFonts w:cs="Calibri"/>
          <w:sz w:val="24"/>
        </w:rPr>
        <w:t>data management personnel, biostatistician, and/or the personnel at the central laboratory</w:t>
      </w:r>
      <w:bookmarkEnd w:id="6"/>
      <w:r w:rsidRPr="00FD6973">
        <w:rPr>
          <w:rFonts w:cs="Calibri"/>
          <w:sz w:val="24"/>
        </w:rPr>
        <w:t xml:space="preserve"> for the assignment of study treatment.</w:t>
      </w:r>
    </w:p>
    <w:p w14:paraId="30F70F34" w14:textId="77777777" w:rsidR="00BF6A84" w:rsidRPr="00FD6973" w:rsidRDefault="00BF6A84" w:rsidP="00342AEA">
      <w:pPr>
        <w:contextualSpacing/>
        <w:jc w:val="left"/>
        <w:rPr>
          <w:rFonts w:cs="Calibri"/>
          <w:sz w:val="24"/>
        </w:rPr>
      </w:pPr>
    </w:p>
    <w:p w14:paraId="110F121D" w14:textId="77777777" w:rsidR="00FE57B8" w:rsidRPr="00FD6973" w:rsidRDefault="00355E68" w:rsidP="00342AEA">
      <w:pPr>
        <w:pStyle w:val="ListParagraph"/>
        <w:numPr>
          <w:ilvl w:val="1"/>
          <w:numId w:val="27"/>
        </w:numPr>
        <w:ind w:left="0" w:firstLine="0"/>
        <w:contextualSpacing/>
        <w:jc w:val="left"/>
        <w:rPr>
          <w:rFonts w:cs="Calibri"/>
          <w:sz w:val="24"/>
        </w:rPr>
      </w:pPr>
      <w:r w:rsidRPr="00FD6973">
        <w:rPr>
          <w:rFonts w:cs="Calibri"/>
          <w:sz w:val="24"/>
        </w:rPr>
        <w:t>Unblind the designated pharmacist for the preparation of the study treatment. Enter the blinded data into the database. Reveal the treatment group assignments after the database lock.</w:t>
      </w:r>
    </w:p>
    <w:p w14:paraId="0A369C4F" w14:textId="77777777" w:rsidR="00BF6A84" w:rsidRPr="00FD6973" w:rsidRDefault="00BF6A84" w:rsidP="00342AEA">
      <w:pPr>
        <w:pStyle w:val="ListParagraph"/>
        <w:ind w:left="0"/>
        <w:contextualSpacing/>
        <w:jc w:val="left"/>
        <w:rPr>
          <w:rFonts w:cs="Calibri"/>
          <w:sz w:val="24"/>
        </w:rPr>
      </w:pPr>
    </w:p>
    <w:p w14:paraId="6C1737E5" w14:textId="77777777" w:rsidR="00FE57B8" w:rsidRPr="00FD6973" w:rsidRDefault="00D60FE0" w:rsidP="00342AEA">
      <w:pPr>
        <w:contextualSpacing/>
        <w:jc w:val="left"/>
        <w:rPr>
          <w:rFonts w:cs="Calibri"/>
          <w:sz w:val="24"/>
        </w:rPr>
      </w:pPr>
      <w:r w:rsidRPr="00FD6973">
        <w:rPr>
          <w:rFonts w:cs="Calibri"/>
          <w:sz w:val="24"/>
        </w:rPr>
        <w:t>NOTE:</w:t>
      </w:r>
      <w:r w:rsidR="00355E68" w:rsidRPr="00FD6973">
        <w:rPr>
          <w:rFonts w:cs="Calibri"/>
          <w:sz w:val="24"/>
        </w:rPr>
        <w:t xml:space="preserve"> For this study, the study treatment assignment was delegated to the site pharmacist.</w:t>
      </w:r>
    </w:p>
    <w:p w14:paraId="51C84B0B" w14:textId="77777777" w:rsidR="00BF6A84" w:rsidRPr="00FD6973" w:rsidRDefault="00BF6A84" w:rsidP="00342AEA">
      <w:pPr>
        <w:contextualSpacing/>
        <w:jc w:val="left"/>
        <w:rPr>
          <w:rFonts w:cs="Calibri"/>
          <w:sz w:val="24"/>
        </w:rPr>
      </w:pPr>
    </w:p>
    <w:p w14:paraId="0BF3D2C5" w14:textId="77777777" w:rsidR="00BF6A84" w:rsidRPr="00FD6973" w:rsidRDefault="00355E68" w:rsidP="00342AEA">
      <w:pPr>
        <w:pStyle w:val="ListParagraph"/>
        <w:numPr>
          <w:ilvl w:val="1"/>
          <w:numId w:val="27"/>
        </w:numPr>
        <w:ind w:left="0" w:firstLine="0"/>
        <w:contextualSpacing/>
        <w:jc w:val="left"/>
        <w:rPr>
          <w:rFonts w:cs="Calibri"/>
          <w:sz w:val="24"/>
        </w:rPr>
      </w:pPr>
      <w:r w:rsidRPr="00FD6973">
        <w:rPr>
          <w:rFonts w:cs="Calibri"/>
          <w:sz w:val="24"/>
        </w:rPr>
        <w:t>Perform the allocation of p</w:t>
      </w:r>
      <w:bookmarkStart w:id="7" w:name="OLE_LINK11"/>
      <w:r w:rsidRPr="00FD6973">
        <w:rPr>
          <w:rFonts w:cs="Calibri"/>
          <w:sz w:val="24"/>
        </w:rPr>
        <w:t xml:space="preserve">atient numbers </w:t>
      </w:r>
      <w:bookmarkStart w:id="8" w:name="OLE_LINK25"/>
      <w:r w:rsidRPr="00FD6973">
        <w:rPr>
          <w:rFonts w:cs="Calibri"/>
          <w:sz w:val="24"/>
        </w:rPr>
        <w:t xml:space="preserve">using an </w:t>
      </w:r>
      <w:bookmarkStart w:id="9" w:name="OLE_LINK22"/>
      <w:r w:rsidRPr="00FD6973">
        <w:rPr>
          <w:rFonts w:cs="Calibri"/>
          <w:sz w:val="24"/>
        </w:rPr>
        <w:t>interactive voice-recognition system/interactive web-based recognition system</w:t>
      </w:r>
      <w:bookmarkEnd w:id="9"/>
      <w:r w:rsidRPr="00FD6973">
        <w:rPr>
          <w:rFonts w:cs="Calibri"/>
          <w:sz w:val="24"/>
        </w:rPr>
        <w:t xml:space="preserve"> (IVRS/IWRS) according to the randomization code contained in the randomization list.</w:t>
      </w:r>
      <w:bookmarkStart w:id="10" w:name="OLE_LINK12"/>
    </w:p>
    <w:p w14:paraId="23E98704" w14:textId="77777777" w:rsidR="00BF6A84" w:rsidRPr="00FD6973" w:rsidRDefault="00BF6A84" w:rsidP="00342AEA">
      <w:pPr>
        <w:pStyle w:val="ListParagraph"/>
        <w:ind w:left="0"/>
        <w:contextualSpacing/>
        <w:jc w:val="left"/>
        <w:rPr>
          <w:rFonts w:cs="Calibri"/>
          <w:sz w:val="24"/>
        </w:rPr>
      </w:pPr>
    </w:p>
    <w:p w14:paraId="50ED67D0" w14:textId="77777777" w:rsidR="00355E68" w:rsidRPr="00FD6973" w:rsidRDefault="00355E68" w:rsidP="00342AEA">
      <w:pPr>
        <w:pStyle w:val="ListParagraph"/>
        <w:numPr>
          <w:ilvl w:val="2"/>
          <w:numId w:val="27"/>
        </w:numPr>
        <w:ind w:left="0" w:firstLine="0"/>
        <w:contextualSpacing/>
        <w:jc w:val="left"/>
        <w:rPr>
          <w:rFonts w:cs="Calibri"/>
          <w:sz w:val="24"/>
        </w:rPr>
      </w:pPr>
      <w:r w:rsidRPr="00FD6973">
        <w:rPr>
          <w:rFonts w:cs="Calibri"/>
          <w:sz w:val="24"/>
        </w:rPr>
        <w:t xml:space="preserve">Stratify randomization </w:t>
      </w:r>
      <w:bookmarkStart w:id="11" w:name="OLE_LINK26"/>
      <w:bookmarkEnd w:id="8"/>
      <w:r w:rsidRPr="00FD6973">
        <w:rPr>
          <w:rFonts w:cs="Calibri"/>
          <w:sz w:val="24"/>
        </w:rPr>
        <w:t>by study site and surgical category</w:t>
      </w:r>
      <w:bookmarkEnd w:id="11"/>
      <w:r w:rsidRPr="00FD6973">
        <w:rPr>
          <w:rFonts w:cs="Calibri"/>
          <w:sz w:val="24"/>
        </w:rPr>
        <w:t xml:space="preserve"> (no surgery, medium</w:t>
      </w:r>
      <w:r w:rsidR="00E56EFB" w:rsidRPr="00FD6973">
        <w:rPr>
          <w:rFonts w:cs="Calibri"/>
          <w:sz w:val="24"/>
        </w:rPr>
        <w:t>-</w:t>
      </w:r>
      <w:r w:rsidRPr="00FD6973">
        <w:rPr>
          <w:rFonts w:cs="Calibri"/>
          <w:sz w:val="24"/>
        </w:rPr>
        <w:t>complexity, and high</w:t>
      </w:r>
      <w:r w:rsidR="00E56EFB" w:rsidRPr="00FD6973">
        <w:rPr>
          <w:rFonts w:cs="Calibri"/>
          <w:sz w:val="24"/>
        </w:rPr>
        <w:t>-</w:t>
      </w:r>
      <w:r w:rsidRPr="00FD6973">
        <w:rPr>
          <w:rFonts w:cs="Calibri"/>
          <w:sz w:val="24"/>
        </w:rPr>
        <w:t>complexity</w:t>
      </w:r>
      <w:r w:rsidR="00E56EFB" w:rsidRPr="00FD6973">
        <w:rPr>
          <w:rFonts w:cs="Calibri"/>
          <w:sz w:val="24"/>
        </w:rPr>
        <w:t>,</w:t>
      </w:r>
      <w:r w:rsidRPr="00FD6973">
        <w:rPr>
          <w:rFonts w:cs="Calibri"/>
          <w:sz w:val="24"/>
        </w:rPr>
        <w:t xml:space="preserve"> i.e. each type of surgery </w:t>
      </w:r>
      <w:r w:rsidRPr="00FD6973">
        <w:rPr>
          <w:rFonts w:cs="Calibri"/>
          <w:noProof/>
          <w:sz w:val="24"/>
        </w:rPr>
        <w:t>is</w:t>
      </w:r>
      <w:r w:rsidRPr="00FD6973">
        <w:rPr>
          <w:rFonts w:cs="Calibri"/>
          <w:sz w:val="24"/>
        </w:rPr>
        <w:t xml:space="preserve"> categorized based on the complexity and the length of surgery) within </w:t>
      </w:r>
      <w:bookmarkStart w:id="12" w:name="OLE_LINK27"/>
      <w:r w:rsidRPr="00FD6973">
        <w:rPr>
          <w:rFonts w:cs="Calibri"/>
          <w:sz w:val="24"/>
        </w:rPr>
        <w:t>each study site</w:t>
      </w:r>
      <w:bookmarkEnd w:id="12"/>
      <w:r w:rsidRPr="00FD6973">
        <w:rPr>
          <w:rFonts w:cs="Calibri"/>
          <w:sz w:val="24"/>
        </w:rPr>
        <w:t>.</w:t>
      </w:r>
      <w:bookmarkEnd w:id="7"/>
      <w:bookmarkEnd w:id="10"/>
      <w:r w:rsidRPr="00FD6973">
        <w:rPr>
          <w:rFonts w:cs="Calibri"/>
          <w:sz w:val="24"/>
        </w:rPr>
        <w:t xml:space="preserve"> In addition, specify the block size in the randomization code algorithm.</w:t>
      </w:r>
    </w:p>
    <w:p w14:paraId="3EB47BB7" w14:textId="77777777" w:rsidR="00355E68" w:rsidRPr="00FD6973" w:rsidRDefault="00355E68" w:rsidP="00342AEA">
      <w:pPr>
        <w:contextualSpacing/>
        <w:jc w:val="left"/>
        <w:rPr>
          <w:rFonts w:cs="Calibri"/>
          <w:sz w:val="24"/>
        </w:rPr>
      </w:pPr>
    </w:p>
    <w:p w14:paraId="2CFAFD90" w14:textId="77777777" w:rsidR="00355E68" w:rsidRPr="00FD6973" w:rsidRDefault="00BF6A84" w:rsidP="00342AEA">
      <w:pPr>
        <w:numPr>
          <w:ilvl w:val="0"/>
          <w:numId w:val="1"/>
        </w:numPr>
        <w:ind w:left="0" w:firstLine="0"/>
        <w:contextualSpacing/>
        <w:jc w:val="left"/>
        <w:rPr>
          <w:rFonts w:cs="Calibri"/>
          <w:b/>
          <w:bCs/>
          <w:sz w:val="24"/>
        </w:rPr>
      </w:pPr>
      <w:r w:rsidRPr="00FD6973">
        <w:rPr>
          <w:rFonts w:cs="Calibri"/>
          <w:b/>
          <w:bCs/>
          <w:sz w:val="24"/>
        </w:rPr>
        <w:t>Study population</w:t>
      </w:r>
    </w:p>
    <w:p w14:paraId="33DE4E3C" w14:textId="77777777" w:rsidR="00355E68" w:rsidRPr="00FD6973" w:rsidRDefault="00355E68" w:rsidP="00342AEA">
      <w:pPr>
        <w:contextualSpacing/>
        <w:jc w:val="left"/>
        <w:rPr>
          <w:rFonts w:cs="Calibri"/>
          <w:b/>
          <w:bCs/>
          <w:sz w:val="24"/>
        </w:rPr>
      </w:pPr>
    </w:p>
    <w:p w14:paraId="726C343A" w14:textId="6E6D10F4" w:rsidR="00355E68" w:rsidRPr="00FD6973" w:rsidRDefault="00355E68" w:rsidP="00342AEA">
      <w:pPr>
        <w:pStyle w:val="ListParagraph"/>
        <w:numPr>
          <w:ilvl w:val="1"/>
          <w:numId w:val="28"/>
        </w:numPr>
        <w:ind w:left="0" w:firstLine="0"/>
        <w:contextualSpacing/>
        <w:jc w:val="left"/>
        <w:rPr>
          <w:rFonts w:cs="Calibri"/>
          <w:bCs/>
          <w:sz w:val="24"/>
        </w:rPr>
      </w:pPr>
      <w:r w:rsidRPr="00FD6973">
        <w:rPr>
          <w:rFonts w:cs="Calibri"/>
          <w:sz w:val="24"/>
        </w:rPr>
        <w:t>Inclusion</w:t>
      </w:r>
      <w:r w:rsidR="00393E2E">
        <w:rPr>
          <w:rFonts w:cs="Calibri"/>
          <w:sz w:val="24"/>
        </w:rPr>
        <w:t xml:space="preserve"> </w:t>
      </w:r>
      <w:r w:rsidR="00FD6973">
        <w:rPr>
          <w:rFonts w:cs="Calibri"/>
          <w:bCs/>
          <w:sz w:val="24"/>
        </w:rPr>
        <w:t>c</w:t>
      </w:r>
      <w:r w:rsidRPr="00FD6973">
        <w:rPr>
          <w:rFonts w:cs="Calibri"/>
          <w:bCs/>
          <w:sz w:val="24"/>
        </w:rPr>
        <w:t>riteria</w:t>
      </w:r>
    </w:p>
    <w:p w14:paraId="3C1C8C82" w14:textId="77777777" w:rsidR="00355E68" w:rsidRPr="00FD6973" w:rsidRDefault="00355E68" w:rsidP="00342AEA">
      <w:pPr>
        <w:contextualSpacing/>
        <w:jc w:val="left"/>
        <w:rPr>
          <w:rFonts w:cs="Calibri"/>
          <w:sz w:val="24"/>
        </w:rPr>
      </w:pPr>
    </w:p>
    <w:p w14:paraId="2E471F62" w14:textId="77777777" w:rsidR="00355E68" w:rsidRPr="00FD6973" w:rsidRDefault="00431CD2" w:rsidP="00342AEA">
      <w:pPr>
        <w:pStyle w:val="ListParagraph"/>
        <w:numPr>
          <w:ilvl w:val="2"/>
          <w:numId w:val="28"/>
        </w:numPr>
        <w:ind w:left="0" w:firstLine="0"/>
        <w:contextualSpacing/>
        <w:jc w:val="left"/>
        <w:rPr>
          <w:rFonts w:cs="Calibri"/>
          <w:sz w:val="24"/>
        </w:rPr>
      </w:pPr>
      <w:r w:rsidRPr="00FD6973">
        <w:rPr>
          <w:rFonts w:cs="Calibri"/>
          <w:sz w:val="24"/>
        </w:rPr>
        <w:t xml:space="preserve">Enroll </w:t>
      </w:r>
      <w:r w:rsidR="00C94E83" w:rsidRPr="00FD6973">
        <w:rPr>
          <w:rFonts w:cs="Calibri"/>
          <w:sz w:val="24"/>
        </w:rPr>
        <w:t>subjects</w:t>
      </w:r>
      <w:r w:rsidR="00355E68" w:rsidRPr="00FD6973">
        <w:rPr>
          <w:rFonts w:cs="Calibri"/>
          <w:sz w:val="24"/>
        </w:rPr>
        <w:t xml:space="preserve"> in</w:t>
      </w:r>
      <w:r w:rsidR="00E56EFB" w:rsidRPr="00FD6973">
        <w:rPr>
          <w:rFonts w:cs="Calibri"/>
          <w:sz w:val="24"/>
        </w:rPr>
        <w:t>to</w:t>
      </w:r>
      <w:r w:rsidR="00355E68" w:rsidRPr="00FD6973">
        <w:rPr>
          <w:rFonts w:cs="Calibri"/>
          <w:sz w:val="24"/>
        </w:rPr>
        <w:t xml:space="preserve"> the study if all the following criteria </w:t>
      </w:r>
      <w:r w:rsidR="00E56EFB" w:rsidRPr="00FD6973">
        <w:rPr>
          <w:rFonts w:cs="Calibri"/>
          <w:sz w:val="24"/>
        </w:rPr>
        <w:t xml:space="preserve">are </w:t>
      </w:r>
      <w:r w:rsidR="00355E68" w:rsidRPr="00FD6973">
        <w:rPr>
          <w:rFonts w:cs="Calibri"/>
          <w:sz w:val="24"/>
        </w:rPr>
        <w:t>met:</w:t>
      </w:r>
    </w:p>
    <w:p w14:paraId="798BC95E" w14:textId="77777777" w:rsidR="00FD6973" w:rsidRDefault="00FD6973" w:rsidP="00342AEA">
      <w:pPr>
        <w:contextualSpacing/>
        <w:jc w:val="left"/>
        <w:rPr>
          <w:rFonts w:cs="Calibri"/>
          <w:sz w:val="24"/>
        </w:rPr>
      </w:pPr>
    </w:p>
    <w:p w14:paraId="02B90207" w14:textId="77777777" w:rsidR="00FD6973" w:rsidRDefault="00FD6973" w:rsidP="00342AEA">
      <w:pPr>
        <w:pStyle w:val="ListParagraph"/>
        <w:numPr>
          <w:ilvl w:val="3"/>
          <w:numId w:val="28"/>
        </w:numPr>
        <w:ind w:left="0" w:firstLine="0"/>
        <w:contextualSpacing/>
        <w:jc w:val="left"/>
        <w:rPr>
          <w:rFonts w:cs="Calibri"/>
          <w:sz w:val="24"/>
        </w:rPr>
      </w:pPr>
      <w:r>
        <w:rPr>
          <w:rFonts w:cs="Calibri"/>
          <w:sz w:val="24"/>
        </w:rPr>
        <w:lastRenderedPageBreak/>
        <w:t>Ensure that the subject is m</w:t>
      </w:r>
      <w:r w:rsidR="00355E68" w:rsidRPr="00FD6973">
        <w:rPr>
          <w:rFonts w:cs="Calibri"/>
          <w:sz w:val="24"/>
        </w:rPr>
        <w:t xml:space="preserve">ale or female aged 18 </w:t>
      </w:r>
      <w:r w:rsidR="00E56EFB" w:rsidRPr="00FD6973">
        <w:rPr>
          <w:rFonts w:cs="Calibri"/>
          <w:sz w:val="24"/>
        </w:rPr>
        <w:t xml:space="preserve">to </w:t>
      </w:r>
      <w:r w:rsidR="00355E68" w:rsidRPr="00FD6973">
        <w:rPr>
          <w:rFonts w:cs="Calibri"/>
          <w:sz w:val="24"/>
        </w:rPr>
        <w:t>80 years</w:t>
      </w:r>
      <w:r>
        <w:rPr>
          <w:rFonts w:cs="Calibri"/>
          <w:sz w:val="24"/>
        </w:rPr>
        <w:t>.</w:t>
      </w:r>
    </w:p>
    <w:p w14:paraId="0E8F8928" w14:textId="77777777" w:rsidR="00FD6973" w:rsidRPr="00FD6973" w:rsidRDefault="00FD6973" w:rsidP="00342AEA">
      <w:pPr>
        <w:pStyle w:val="ListParagraph"/>
        <w:ind w:left="0"/>
        <w:contextualSpacing/>
        <w:jc w:val="left"/>
        <w:rPr>
          <w:rFonts w:cs="Calibri"/>
          <w:sz w:val="24"/>
        </w:rPr>
      </w:pPr>
    </w:p>
    <w:p w14:paraId="338D895E" w14:textId="77777777" w:rsidR="00FD6973" w:rsidRDefault="00FD6973" w:rsidP="00342AEA">
      <w:pPr>
        <w:pStyle w:val="ListParagraph"/>
        <w:numPr>
          <w:ilvl w:val="3"/>
          <w:numId w:val="28"/>
        </w:numPr>
        <w:ind w:left="0" w:firstLine="0"/>
        <w:contextualSpacing/>
        <w:jc w:val="left"/>
        <w:rPr>
          <w:rFonts w:cs="Calibri"/>
          <w:sz w:val="24"/>
        </w:rPr>
      </w:pPr>
      <w:r>
        <w:rPr>
          <w:rFonts w:cs="Calibri"/>
          <w:sz w:val="24"/>
        </w:rPr>
        <w:t>Ensure that the subject is i</w:t>
      </w:r>
      <w:r w:rsidR="00355E68" w:rsidRPr="00FD6973">
        <w:rPr>
          <w:rFonts w:cs="Calibri"/>
          <w:sz w:val="24"/>
        </w:rPr>
        <w:t xml:space="preserve">npatient but hospitalized for fewer than 14 days prior to enrollment in </w:t>
      </w:r>
      <w:r w:rsidR="00E56EFB" w:rsidRPr="00FD6973">
        <w:rPr>
          <w:rFonts w:cs="Calibri"/>
          <w:sz w:val="24"/>
        </w:rPr>
        <w:t xml:space="preserve">the </w:t>
      </w:r>
      <w:r w:rsidR="00355E68" w:rsidRPr="00FD6973">
        <w:rPr>
          <w:rFonts w:cs="Calibri"/>
          <w:sz w:val="24"/>
        </w:rPr>
        <w:t>study</w:t>
      </w:r>
      <w:r>
        <w:rPr>
          <w:rFonts w:cs="Calibri"/>
          <w:sz w:val="24"/>
        </w:rPr>
        <w:t>.</w:t>
      </w:r>
    </w:p>
    <w:p w14:paraId="57DBB0B7" w14:textId="77777777" w:rsidR="00FD6973" w:rsidRPr="00FD6973" w:rsidRDefault="00FD6973" w:rsidP="00342AEA">
      <w:pPr>
        <w:pStyle w:val="ListParagraph"/>
        <w:ind w:left="0"/>
        <w:contextualSpacing/>
        <w:jc w:val="left"/>
        <w:rPr>
          <w:rFonts w:cs="Calibri"/>
          <w:sz w:val="24"/>
        </w:rPr>
      </w:pPr>
    </w:p>
    <w:p w14:paraId="221746F5" w14:textId="77777777" w:rsidR="00431CD2" w:rsidRDefault="00FD6973" w:rsidP="00342AEA">
      <w:pPr>
        <w:pStyle w:val="ListParagraph"/>
        <w:numPr>
          <w:ilvl w:val="3"/>
          <w:numId w:val="28"/>
        </w:numPr>
        <w:ind w:left="0" w:firstLine="0"/>
        <w:contextualSpacing/>
        <w:jc w:val="left"/>
        <w:rPr>
          <w:rFonts w:cs="Calibri"/>
          <w:sz w:val="24"/>
        </w:rPr>
      </w:pPr>
      <w:r>
        <w:rPr>
          <w:rFonts w:cs="Calibri"/>
          <w:sz w:val="24"/>
        </w:rPr>
        <w:t>Ensure that the subject r</w:t>
      </w:r>
      <w:r w:rsidR="00355E68" w:rsidRPr="00FD6973">
        <w:rPr>
          <w:rFonts w:cs="Calibri"/>
          <w:sz w:val="24"/>
        </w:rPr>
        <w:t>equire</w:t>
      </w:r>
      <w:r w:rsidR="0012729B">
        <w:rPr>
          <w:rFonts w:cs="Calibri"/>
          <w:sz w:val="24"/>
        </w:rPr>
        <w:t>s</w:t>
      </w:r>
      <w:r w:rsidR="00355E68" w:rsidRPr="00FD6973">
        <w:rPr>
          <w:rFonts w:cs="Calibri"/>
          <w:sz w:val="24"/>
        </w:rPr>
        <w:t xml:space="preserve"> PN because enteral nutrition was not feasible, inadequate, or inadvisable</w:t>
      </w:r>
    </w:p>
    <w:p w14:paraId="7209DCBF" w14:textId="77777777" w:rsidR="00FD6973" w:rsidRPr="00FD6973" w:rsidRDefault="00FD6973" w:rsidP="00342AEA">
      <w:pPr>
        <w:pStyle w:val="ListParagraph"/>
        <w:ind w:left="0"/>
        <w:contextualSpacing/>
        <w:jc w:val="left"/>
        <w:rPr>
          <w:rFonts w:cs="Calibri"/>
          <w:sz w:val="24"/>
        </w:rPr>
      </w:pPr>
    </w:p>
    <w:p w14:paraId="7F6690FB" w14:textId="77777777" w:rsidR="00355E68" w:rsidRPr="00FD6973" w:rsidRDefault="00FD6973" w:rsidP="00342AEA">
      <w:pPr>
        <w:pStyle w:val="ListParagraph"/>
        <w:numPr>
          <w:ilvl w:val="3"/>
          <w:numId w:val="28"/>
        </w:numPr>
        <w:ind w:left="0" w:firstLine="0"/>
        <w:contextualSpacing/>
        <w:jc w:val="left"/>
        <w:rPr>
          <w:rFonts w:cs="Calibri"/>
          <w:sz w:val="24"/>
        </w:rPr>
      </w:pPr>
      <w:r>
        <w:rPr>
          <w:rFonts w:cs="Calibri"/>
          <w:sz w:val="24"/>
        </w:rPr>
        <w:t xml:space="preserve">Ensure that the subject </w:t>
      </w:r>
      <w:proofErr w:type="gramStart"/>
      <w:r>
        <w:rPr>
          <w:rFonts w:cs="Calibri"/>
          <w:sz w:val="24"/>
        </w:rPr>
        <w:t xml:space="preserve">is </w:t>
      </w:r>
      <w:r w:rsidR="00355E68" w:rsidRPr="00FD6973">
        <w:rPr>
          <w:rFonts w:cs="Calibri"/>
          <w:sz w:val="24"/>
        </w:rPr>
        <w:t>capable of completing</w:t>
      </w:r>
      <w:proofErr w:type="gramEnd"/>
      <w:r w:rsidR="00355E68" w:rsidRPr="00FD6973">
        <w:rPr>
          <w:rFonts w:cs="Calibri"/>
          <w:sz w:val="24"/>
        </w:rPr>
        <w:t xml:space="preserve"> at least 5 days of study treatment and having a functional visible peripheral vein for IV delivery of PN</w:t>
      </w:r>
      <w:r>
        <w:rPr>
          <w:rFonts w:cs="Calibri"/>
          <w:sz w:val="24"/>
        </w:rPr>
        <w:t>.</w:t>
      </w:r>
    </w:p>
    <w:p w14:paraId="1CD4E84B" w14:textId="77777777" w:rsidR="00355E68" w:rsidRPr="00FD6973" w:rsidRDefault="00355E68" w:rsidP="00342AEA">
      <w:pPr>
        <w:contextualSpacing/>
        <w:jc w:val="left"/>
        <w:rPr>
          <w:rFonts w:cs="Calibri"/>
          <w:sz w:val="24"/>
        </w:rPr>
      </w:pPr>
    </w:p>
    <w:p w14:paraId="2EE04982" w14:textId="77777777" w:rsidR="00355E68" w:rsidRPr="00FD6973" w:rsidRDefault="00355E68" w:rsidP="00342AEA">
      <w:pPr>
        <w:pStyle w:val="ListParagraph"/>
        <w:numPr>
          <w:ilvl w:val="1"/>
          <w:numId w:val="28"/>
        </w:numPr>
        <w:ind w:left="0" w:firstLine="0"/>
        <w:contextualSpacing/>
        <w:jc w:val="left"/>
        <w:rPr>
          <w:rFonts w:cs="Calibri"/>
          <w:sz w:val="24"/>
        </w:rPr>
      </w:pPr>
      <w:r w:rsidRPr="00FD6973">
        <w:rPr>
          <w:rFonts w:cs="Calibri"/>
          <w:sz w:val="24"/>
        </w:rPr>
        <w:t xml:space="preserve">Exclusion </w:t>
      </w:r>
      <w:r w:rsidR="00FD6973">
        <w:rPr>
          <w:rFonts w:cs="Calibri"/>
          <w:sz w:val="24"/>
        </w:rPr>
        <w:t>c</w:t>
      </w:r>
      <w:r w:rsidRPr="00FD6973">
        <w:rPr>
          <w:rFonts w:cs="Calibri"/>
          <w:sz w:val="24"/>
        </w:rPr>
        <w:t>riteria</w:t>
      </w:r>
    </w:p>
    <w:p w14:paraId="6D70C5E8" w14:textId="77777777" w:rsidR="00355E68" w:rsidRPr="00FD6973" w:rsidRDefault="00355E68" w:rsidP="00342AEA">
      <w:pPr>
        <w:contextualSpacing/>
        <w:jc w:val="left"/>
        <w:rPr>
          <w:rFonts w:cs="Calibri"/>
          <w:sz w:val="24"/>
        </w:rPr>
      </w:pPr>
    </w:p>
    <w:p w14:paraId="1A6552A4" w14:textId="77777777" w:rsidR="00355E68" w:rsidRPr="00FD6973" w:rsidRDefault="00983AC8" w:rsidP="00342AEA">
      <w:pPr>
        <w:pStyle w:val="ListParagraph"/>
        <w:numPr>
          <w:ilvl w:val="2"/>
          <w:numId w:val="28"/>
        </w:numPr>
        <w:ind w:left="0" w:firstLine="0"/>
        <w:contextualSpacing/>
        <w:jc w:val="left"/>
        <w:rPr>
          <w:rFonts w:cs="Calibri"/>
          <w:sz w:val="24"/>
        </w:rPr>
      </w:pPr>
      <w:r w:rsidRPr="00FD6973">
        <w:rPr>
          <w:rFonts w:cs="Calibri"/>
          <w:sz w:val="24"/>
        </w:rPr>
        <w:t xml:space="preserve">Exclude </w:t>
      </w:r>
      <w:r w:rsidR="00C94E83" w:rsidRPr="00FD6973">
        <w:rPr>
          <w:rFonts w:cs="Calibri"/>
          <w:sz w:val="24"/>
        </w:rPr>
        <w:t>subjects</w:t>
      </w:r>
      <w:r w:rsidR="00355E68" w:rsidRPr="00FD6973">
        <w:rPr>
          <w:rFonts w:cs="Calibri"/>
          <w:sz w:val="24"/>
        </w:rPr>
        <w:t xml:space="preserve"> from the study if any of the following criteria </w:t>
      </w:r>
      <w:r w:rsidR="00E56EFB" w:rsidRPr="00FD6973">
        <w:rPr>
          <w:rFonts w:cs="Calibri"/>
          <w:sz w:val="24"/>
        </w:rPr>
        <w:t xml:space="preserve">are </w:t>
      </w:r>
      <w:r w:rsidR="00355E68" w:rsidRPr="00FD6973">
        <w:rPr>
          <w:rFonts w:cs="Calibri"/>
          <w:sz w:val="24"/>
        </w:rPr>
        <w:t>met:</w:t>
      </w:r>
    </w:p>
    <w:p w14:paraId="3C200CB5" w14:textId="77777777" w:rsidR="00BF6A84" w:rsidRPr="00FD6973" w:rsidRDefault="00BF6A84" w:rsidP="00342AEA">
      <w:pPr>
        <w:contextualSpacing/>
        <w:jc w:val="left"/>
        <w:rPr>
          <w:rFonts w:cs="Calibri"/>
          <w:sz w:val="24"/>
        </w:rPr>
      </w:pPr>
    </w:p>
    <w:p w14:paraId="34945F42" w14:textId="77777777" w:rsidR="00A358FC" w:rsidRPr="00FD6973" w:rsidRDefault="00BF6A84" w:rsidP="00342AEA">
      <w:pPr>
        <w:pStyle w:val="ListParagraph"/>
        <w:numPr>
          <w:ilvl w:val="3"/>
          <w:numId w:val="28"/>
        </w:numPr>
        <w:ind w:left="0" w:firstLine="0"/>
        <w:contextualSpacing/>
        <w:jc w:val="left"/>
        <w:rPr>
          <w:rFonts w:cs="Calibri"/>
          <w:sz w:val="24"/>
        </w:rPr>
      </w:pPr>
      <w:r w:rsidRPr="00FD6973">
        <w:rPr>
          <w:rFonts w:cs="Calibri"/>
          <w:sz w:val="24"/>
        </w:rPr>
        <w:t>Exclude if the p</w:t>
      </w:r>
      <w:r w:rsidR="00355E68" w:rsidRPr="00FD6973">
        <w:rPr>
          <w:rFonts w:cs="Calibri"/>
          <w:sz w:val="24"/>
        </w:rPr>
        <w:t xml:space="preserve">atient </w:t>
      </w:r>
      <w:r w:rsidRPr="00FD6973">
        <w:rPr>
          <w:rFonts w:cs="Calibri"/>
          <w:sz w:val="24"/>
        </w:rPr>
        <w:t>has</w:t>
      </w:r>
      <w:r w:rsidR="00355E68" w:rsidRPr="00FD6973">
        <w:rPr>
          <w:rFonts w:cs="Calibri"/>
          <w:sz w:val="24"/>
        </w:rPr>
        <w:t xml:space="preserve"> a life expectancy of fewer than 6 days from the start of study treatment, as determined by the investigator</w:t>
      </w:r>
      <w:r w:rsidRPr="00FD6973">
        <w:rPr>
          <w:rFonts w:cs="Calibri"/>
          <w:sz w:val="24"/>
        </w:rPr>
        <w:t>.</w:t>
      </w:r>
    </w:p>
    <w:p w14:paraId="3B174935" w14:textId="77777777" w:rsidR="00BF6A84" w:rsidRPr="00FD6973" w:rsidRDefault="00BF6A84" w:rsidP="00342AEA">
      <w:pPr>
        <w:pStyle w:val="ListParagraph"/>
        <w:ind w:left="0"/>
        <w:contextualSpacing/>
        <w:jc w:val="left"/>
        <w:rPr>
          <w:rFonts w:cs="Calibri"/>
          <w:sz w:val="24"/>
        </w:rPr>
      </w:pPr>
    </w:p>
    <w:p w14:paraId="0760551E" w14:textId="77777777" w:rsidR="00A00559" w:rsidRPr="00FD6973" w:rsidRDefault="00BF6A84" w:rsidP="00342AEA">
      <w:pPr>
        <w:pStyle w:val="ListParagraph"/>
        <w:numPr>
          <w:ilvl w:val="3"/>
          <w:numId w:val="28"/>
        </w:numPr>
        <w:ind w:left="0" w:firstLine="0"/>
        <w:contextualSpacing/>
        <w:jc w:val="left"/>
        <w:rPr>
          <w:rFonts w:cs="Calibri"/>
          <w:sz w:val="24"/>
        </w:rPr>
      </w:pPr>
      <w:r w:rsidRPr="00FD6973">
        <w:rPr>
          <w:rFonts w:cs="Calibri"/>
          <w:sz w:val="24"/>
        </w:rPr>
        <w:t xml:space="preserve">Exclude if the patient has </w:t>
      </w:r>
      <w:r w:rsidR="00355E68" w:rsidRPr="00FD6973">
        <w:rPr>
          <w:rFonts w:cs="Calibri"/>
          <w:sz w:val="24"/>
        </w:rPr>
        <w:t>established hypersensitivity to the individual constituents of any of the study treatments</w:t>
      </w:r>
      <w:r w:rsidRPr="00FD6973">
        <w:rPr>
          <w:rFonts w:cs="Calibri"/>
          <w:sz w:val="24"/>
        </w:rPr>
        <w:t>.</w:t>
      </w:r>
    </w:p>
    <w:p w14:paraId="15AE11BB" w14:textId="77777777" w:rsidR="00BF6A84" w:rsidRPr="00FD6973" w:rsidRDefault="00BF6A84" w:rsidP="00342AEA">
      <w:pPr>
        <w:contextualSpacing/>
        <w:jc w:val="left"/>
        <w:rPr>
          <w:rFonts w:cs="Calibri"/>
          <w:sz w:val="24"/>
        </w:rPr>
      </w:pPr>
    </w:p>
    <w:p w14:paraId="51EADE64" w14:textId="77777777" w:rsidR="00A00559" w:rsidRPr="00FD6973" w:rsidRDefault="00BF6A84" w:rsidP="00342AEA">
      <w:pPr>
        <w:pStyle w:val="ListParagraph"/>
        <w:numPr>
          <w:ilvl w:val="3"/>
          <w:numId w:val="28"/>
        </w:numPr>
        <w:ind w:left="0" w:firstLine="0"/>
        <w:contextualSpacing/>
        <w:jc w:val="left"/>
        <w:rPr>
          <w:rFonts w:cs="Calibri"/>
          <w:sz w:val="24"/>
        </w:rPr>
      </w:pPr>
      <w:r w:rsidRPr="00FD6973">
        <w:rPr>
          <w:rFonts w:cs="Calibri"/>
          <w:sz w:val="24"/>
        </w:rPr>
        <w:t>Exclude if the patient has used</w:t>
      </w:r>
      <w:r w:rsidR="00355E68" w:rsidRPr="00FD6973">
        <w:rPr>
          <w:rFonts w:cs="Calibri"/>
          <w:sz w:val="24"/>
        </w:rPr>
        <w:t xml:space="preserve"> forbidden medications (e.g.</w:t>
      </w:r>
      <w:r w:rsidRPr="00FD6973">
        <w:rPr>
          <w:rFonts w:cs="Calibri"/>
          <w:sz w:val="24"/>
        </w:rPr>
        <w:t>,</w:t>
      </w:r>
      <w:r w:rsidR="00355E68" w:rsidRPr="00FD6973">
        <w:rPr>
          <w:rFonts w:cs="Calibri"/>
          <w:sz w:val="24"/>
        </w:rPr>
        <w:t xml:space="preserve"> </w:t>
      </w:r>
      <w:proofErr w:type="spellStart"/>
      <w:r w:rsidR="00355E68" w:rsidRPr="00FD6973">
        <w:rPr>
          <w:rFonts w:cs="Calibri"/>
          <w:sz w:val="24"/>
        </w:rPr>
        <w:t>glucocorticosteroids</w:t>
      </w:r>
      <w:proofErr w:type="spellEnd"/>
      <w:r w:rsidR="00355E68" w:rsidRPr="00FD6973">
        <w:rPr>
          <w:rFonts w:cs="Calibri"/>
          <w:sz w:val="24"/>
        </w:rPr>
        <w:t xml:space="preserve"> or antitumor chemotherapeutic agents) within 30 days prior to enrollment in the study</w:t>
      </w:r>
      <w:r w:rsidRPr="00FD6973">
        <w:rPr>
          <w:rFonts w:cs="Calibri"/>
          <w:sz w:val="24"/>
        </w:rPr>
        <w:t>.</w:t>
      </w:r>
    </w:p>
    <w:p w14:paraId="3A6289A8" w14:textId="77777777" w:rsidR="00BF6A84" w:rsidRPr="00FD6973" w:rsidRDefault="00BF6A84" w:rsidP="00342AEA">
      <w:pPr>
        <w:contextualSpacing/>
        <w:jc w:val="left"/>
        <w:rPr>
          <w:rFonts w:cs="Calibri"/>
          <w:sz w:val="24"/>
        </w:rPr>
      </w:pPr>
    </w:p>
    <w:p w14:paraId="7147B803" w14:textId="2DA6A846" w:rsidR="0033120C" w:rsidRPr="00FD6973" w:rsidRDefault="00BF6A84" w:rsidP="00342AEA">
      <w:pPr>
        <w:pStyle w:val="ListParagraph"/>
        <w:numPr>
          <w:ilvl w:val="3"/>
          <w:numId w:val="28"/>
        </w:numPr>
        <w:ind w:left="0" w:firstLine="0"/>
        <w:contextualSpacing/>
        <w:jc w:val="left"/>
        <w:rPr>
          <w:rFonts w:cs="Calibri"/>
          <w:sz w:val="24"/>
        </w:rPr>
      </w:pPr>
      <w:r w:rsidRPr="00FD6973">
        <w:rPr>
          <w:rFonts w:cs="Calibri"/>
          <w:sz w:val="24"/>
        </w:rPr>
        <w:t>Exclude p</w:t>
      </w:r>
      <w:r w:rsidR="00355E68" w:rsidRPr="00FD6973">
        <w:rPr>
          <w:rFonts w:cs="Calibri"/>
          <w:sz w:val="24"/>
        </w:rPr>
        <w:t>atients with a confirmed clinically relevant serious condition that prevent</w:t>
      </w:r>
      <w:r w:rsidR="00A358FC" w:rsidRPr="00FD6973">
        <w:rPr>
          <w:rFonts w:cs="Calibri"/>
          <w:sz w:val="24"/>
        </w:rPr>
        <w:t>s</w:t>
      </w:r>
      <w:r w:rsidR="00355E68" w:rsidRPr="00FD6973">
        <w:rPr>
          <w:rFonts w:cs="Calibri"/>
          <w:sz w:val="24"/>
        </w:rPr>
        <w:t xml:space="preserve"> inclusion in the study (e.g.</w:t>
      </w:r>
      <w:r w:rsidR="00393E2E">
        <w:rPr>
          <w:rFonts w:cs="Calibri"/>
          <w:sz w:val="24"/>
        </w:rPr>
        <w:t>,</w:t>
      </w:r>
      <w:r w:rsidR="00355E68" w:rsidRPr="00FD6973">
        <w:rPr>
          <w:rFonts w:cs="Calibri"/>
          <w:sz w:val="24"/>
        </w:rPr>
        <w:t xml:space="preserve"> congestive heart failure with New York Heart Association class IV) or severe renal insufficiency without adequate compensation (e.g.</w:t>
      </w:r>
      <w:r w:rsidR="00393E2E">
        <w:rPr>
          <w:rFonts w:cs="Calibri"/>
          <w:sz w:val="24"/>
        </w:rPr>
        <w:t>,</w:t>
      </w:r>
      <w:r w:rsidR="00355E68" w:rsidRPr="00FD6973">
        <w:rPr>
          <w:rFonts w:cs="Calibri"/>
          <w:sz w:val="24"/>
        </w:rPr>
        <w:t xml:space="preserve"> hemofiltration, hemodialysis, or peritoneal dialysis), etc. or known chronic active hepatitis, alanine aminotransferase (ALT) &gt;4x upper limit of normal (ULN), aspartate aminotransferase (AST) &gt;4x ULN; total serum bilirubin &gt;2x ULN; history of human immunodeficiency virus infection</w:t>
      </w:r>
    </w:p>
    <w:p w14:paraId="676B3DF4" w14:textId="77777777" w:rsidR="00BF6A84" w:rsidRPr="00FD6973" w:rsidRDefault="00BF6A84" w:rsidP="00342AEA">
      <w:pPr>
        <w:contextualSpacing/>
        <w:jc w:val="left"/>
        <w:rPr>
          <w:rFonts w:cs="Calibri"/>
          <w:sz w:val="24"/>
        </w:rPr>
      </w:pPr>
    </w:p>
    <w:p w14:paraId="1834A504" w14:textId="77777777" w:rsidR="0033120C" w:rsidRPr="00FD6973" w:rsidRDefault="00BF6A84" w:rsidP="00342AEA">
      <w:pPr>
        <w:pStyle w:val="ListParagraph"/>
        <w:numPr>
          <w:ilvl w:val="3"/>
          <w:numId w:val="28"/>
        </w:numPr>
        <w:ind w:left="0" w:firstLine="0"/>
        <w:contextualSpacing/>
        <w:jc w:val="left"/>
        <w:rPr>
          <w:rFonts w:cs="Calibri"/>
          <w:sz w:val="24"/>
        </w:rPr>
      </w:pPr>
      <w:r w:rsidRPr="00FD6973">
        <w:rPr>
          <w:rFonts w:cs="Calibri"/>
          <w:sz w:val="24"/>
        </w:rPr>
        <w:t>Exclude p</w:t>
      </w:r>
      <w:r w:rsidR="00355E68" w:rsidRPr="00FD6973">
        <w:rPr>
          <w:rFonts w:cs="Calibri"/>
          <w:sz w:val="24"/>
        </w:rPr>
        <w:t>atients with confirmed inborn abnormalities related to the metabolism of amino acid</w:t>
      </w:r>
      <w:r w:rsidR="005303C1" w:rsidRPr="00FD6973">
        <w:rPr>
          <w:rFonts w:cs="Calibri"/>
          <w:sz w:val="24"/>
        </w:rPr>
        <w:t>s</w:t>
      </w:r>
      <w:r w:rsidR="00355E68" w:rsidRPr="00FD6973">
        <w:rPr>
          <w:rFonts w:cs="Calibri"/>
          <w:sz w:val="24"/>
        </w:rPr>
        <w:t xml:space="preserve"> (e.g.</w:t>
      </w:r>
      <w:r w:rsidRPr="00FD6973">
        <w:rPr>
          <w:rFonts w:cs="Calibri"/>
          <w:sz w:val="24"/>
        </w:rPr>
        <w:t>,</w:t>
      </w:r>
      <w:r w:rsidR="00355E68" w:rsidRPr="00FD6973">
        <w:rPr>
          <w:rFonts w:cs="Calibri"/>
          <w:sz w:val="24"/>
        </w:rPr>
        <w:t xml:space="preserve"> phenylketonuria, maple syrup urine disease, homocystinuria, or tyrosinemia, etc.), severe dyslipidemia with triglyceride level &gt;2x ULN or &gt;4.52 </w:t>
      </w:r>
      <w:r w:rsidR="00FD6973" w:rsidRPr="00FD6973">
        <w:rPr>
          <w:rFonts w:cs="Calibri"/>
          <w:sz w:val="24"/>
        </w:rPr>
        <w:t>mM</w:t>
      </w:r>
      <w:r w:rsidR="00355E68" w:rsidRPr="00FD6973">
        <w:rPr>
          <w:rFonts w:cs="Calibri"/>
          <w:sz w:val="24"/>
        </w:rPr>
        <w:t xml:space="preserve"> (&gt;400 mg/dL)</w:t>
      </w:r>
      <w:r w:rsidR="00FD6973" w:rsidRPr="00FD6973">
        <w:rPr>
          <w:rFonts w:cs="Calibri"/>
          <w:sz w:val="24"/>
        </w:rPr>
        <w:t>.</w:t>
      </w:r>
    </w:p>
    <w:p w14:paraId="36AB4918" w14:textId="77777777" w:rsidR="00BF6A84" w:rsidRPr="00FD6973" w:rsidRDefault="00BF6A84" w:rsidP="00342AEA">
      <w:pPr>
        <w:contextualSpacing/>
        <w:jc w:val="left"/>
        <w:rPr>
          <w:rFonts w:cs="Calibri"/>
          <w:sz w:val="24"/>
        </w:rPr>
      </w:pPr>
    </w:p>
    <w:p w14:paraId="641FF1DD" w14:textId="77777777" w:rsidR="0033120C" w:rsidRPr="00FD6973" w:rsidRDefault="00BF6A84" w:rsidP="00342AEA">
      <w:pPr>
        <w:pStyle w:val="ListParagraph"/>
        <w:numPr>
          <w:ilvl w:val="3"/>
          <w:numId w:val="28"/>
        </w:numPr>
        <w:ind w:left="0" w:firstLine="0"/>
        <w:contextualSpacing/>
        <w:jc w:val="left"/>
        <w:rPr>
          <w:rFonts w:cs="Calibri"/>
          <w:sz w:val="24"/>
        </w:rPr>
      </w:pPr>
      <w:r w:rsidRPr="00FD6973">
        <w:rPr>
          <w:rFonts w:cs="Calibri"/>
          <w:sz w:val="24"/>
        </w:rPr>
        <w:t xml:space="preserve">Exclude patients </w:t>
      </w:r>
      <w:r w:rsidR="00355E68" w:rsidRPr="00FD6973">
        <w:rPr>
          <w:rFonts w:cs="Calibri"/>
          <w:sz w:val="24"/>
        </w:rPr>
        <w:t xml:space="preserve">with severe hyperglycemia; serum glucose levels &gt;20 </w:t>
      </w:r>
      <w:r w:rsidR="00FD6973" w:rsidRPr="00FD6973">
        <w:rPr>
          <w:rFonts w:cs="Calibri"/>
          <w:sz w:val="24"/>
        </w:rPr>
        <w:t>mM</w:t>
      </w:r>
      <w:r w:rsidR="00355E68" w:rsidRPr="00FD6973">
        <w:rPr>
          <w:rFonts w:cs="Calibri"/>
          <w:sz w:val="24"/>
        </w:rPr>
        <w:t xml:space="preserve"> (&gt;360 mg/</w:t>
      </w:r>
      <w:r w:rsidR="00FD6973" w:rsidRPr="00FD6973">
        <w:rPr>
          <w:rFonts w:cs="Calibri"/>
          <w:sz w:val="24"/>
        </w:rPr>
        <w:t>dL</w:t>
      </w:r>
      <w:r w:rsidR="00355E68" w:rsidRPr="00FD6973">
        <w:rPr>
          <w:rFonts w:cs="Calibri"/>
          <w:sz w:val="24"/>
        </w:rPr>
        <w:t xml:space="preserve">); and with clinically relevant abnormalities of plasma electrolytes, such as sodium (&lt;130 </w:t>
      </w:r>
      <w:r w:rsidR="00FD6973" w:rsidRPr="00FD6973">
        <w:rPr>
          <w:rFonts w:cs="Calibri"/>
          <w:sz w:val="24"/>
        </w:rPr>
        <w:t>mM</w:t>
      </w:r>
      <w:r w:rsidR="00355E68" w:rsidRPr="00FD6973">
        <w:rPr>
          <w:rFonts w:cs="Calibri"/>
          <w:sz w:val="24"/>
        </w:rPr>
        <w:t xml:space="preserve"> or &gt;150 </w:t>
      </w:r>
      <w:r w:rsidR="00FD6973" w:rsidRPr="00FD6973">
        <w:rPr>
          <w:rFonts w:cs="Calibri"/>
          <w:sz w:val="24"/>
        </w:rPr>
        <w:t>mM</w:t>
      </w:r>
      <w:r w:rsidR="00355E68" w:rsidRPr="00FD6973">
        <w:rPr>
          <w:rFonts w:cs="Calibri"/>
          <w:sz w:val="24"/>
        </w:rPr>
        <w:t xml:space="preserve">), potassium (&lt;3.0 </w:t>
      </w:r>
      <w:r w:rsidR="00FD6973" w:rsidRPr="00FD6973">
        <w:rPr>
          <w:rFonts w:cs="Calibri"/>
          <w:sz w:val="24"/>
        </w:rPr>
        <w:t>mM</w:t>
      </w:r>
      <w:r w:rsidR="00355E68" w:rsidRPr="00FD6973">
        <w:rPr>
          <w:rFonts w:cs="Calibri"/>
          <w:sz w:val="24"/>
        </w:rPr>
        <w:t xml:space="preserve"> or &gt;5.5 </w:t>
      </w:r>
      <w:r w:rsidR="00FD6973" w:rsidRPr="00FD6973">
        <w:rPr>
          <w:rFonts w:cs="Calibri"/>
          <w:sz w:val="24"/>
        </w:rPr>
        <w:t>mM</w:t>
      </w:r>
      <w:r w:rsidR="00355E68" w:rsidRPr="00FD6973">
        <w:rPr>
          <w:rFonts w:cs="Calibri"/>
          <w:sz w:val="24"/>
        </w:rPr>
        <w:t xml:space="preserve">), magnesium (&lt;0.70 </w:t>
      </w:r>
      <w:r w:rsidR="00FD6973" w:rsidRPr="00FD6973">
        <w:rPr>
          <w:rFonts w:cs="Calibri"/>
          <w:sz w:val="24"/>
        </w:rPr>
        <w:t>mM</w:t>
      </w:r>
      <w:r w:rsidR="00355E68" w:rsidRPr="00FD6973">
        <w:rPr>
          <w:rFonts w:cs="Calibri"/>
          <w:sz w:val="24"/>
        </w:rPr>
        <w:t xml:space="preserve"> or &gt;1.10 </w:t>
      </w:r>
      <w:r w:rsidR="00FD6973" w:rsidRPr="00FD6973">
        <w:rPr>
          <w:rFonts w:cs="Calibri"/>
          <w:sz w:val="24"/>
        </w:rPr>
        <w:t>mM</w:t>
      </w:r>
      <w:r w:rsidR="00355E68" w:rsidRPr="00FD6973">
        <w:rPr>
          <w:rFonts w:cs="Calibri"/>
          <w:sz w:val="24"/>
        </w:rPr>
        <w:t xml:space="preserve">), calcium (&lt;2.0 </w:t>
      </w:r>
      <w:r w:rsidR="00FD6973" w:rsidRPr="00FD6973">
        <w:rPr>
          <w:rFonts w:cs="Calibri"/>
          <w:sz w:val="24"/>
        </w:rPr>
        <w:t>mM</w:t>
      </w:r>
      <w:r w:rsidR="00355E68" w:rsidRPr="00FD6973">
        <w:rPr>
          <w:rFonts w:cs="Calibri"/>
          <w:sz w:val="24"/>
        </w:rPr>
        <w:t xml:space="preserve"> or &gt;3.0 </w:t>
      </w:r>
      <w:r w:rsidR="00FD6973" w:rsidRPr="00FD6973">
        <w:rPr>
          <w:rFonts w:cs="Calibri"/>
          <w:sz w:val="24"/>
        </w:rPr>
        <w:t>mM</w:t>
      </w:r>
      <w:r w:rsidR="00355E68" w:rsidRPr="00FD6973">
        <w:rPr>
          <w:rFonts w:cs="Calibri"/>
          <w:sz w:val="24"/>
        </w:rPr>
        <w:t xml:space="preserve">), or phosphorus (&lt;0.96 </w:t>
      </w:r>
      <w:r w:rsidR="00FD6973" w:rsidRPr="00FD6973">
        <w:rPr>
          <w:rFonts w:cs="Calibri"/>
          <w:sz w:val="24"/>
        </w:rPr>
        <w:t>mM</w:t>
      </w:r>
      <w:r w:rsidR="00355E68" w:rsidRPr="00FD6973">
        <w:rPr>
          <w:rFonts w:cs="Calibri"/>
          <w:sz w:val="24"/>
        </w:rPr>
        <w:t xml:space="preserve"> or &gt;1.62 </w:t>
      </w:r>
      <w:r w:rsidR="00FD6973" w:rsidRPr="00FD6973">
        <w:rPr>
          <w:rFonts w:cs="Calibri"/>
          <w:sz w:val="24"/>
        </w:rPr>
        <w:t>mM</w:t>
      </w:r>
      <w:r w:rsidR="00355E68" w:rsidRPr="00FD6973">
        <w:rPr>
          <w:rFonts w:cs="Calibri"/>
          <w:sz w:val="24"/>
        </w:rPr>
        <w:t>)</w:t>
      </w:r>
      <w:r w:rsidR="00FD6973" w:rsidRPr="00FD6973">
        <w:rPr>
          <w:rFonts w:cs="Calibri"/>
          <w:sz w:val="24"/>
        </w:rPr>
        <w:t>.</w:t>
      </w:r>
    </w:p>
    <w:p w14:paraId="388E8473" w14:textId="77777777" w:rsidR="00FD6973" w:rsidRPr="00FD6973" w:rsidRDefault="00FD6973" w:rsidP="00342AEA">
      <w:pPr>
        <w:contextualSpacing/>
        <w:jc w:val="left"/>
        <w:rPr>
          <w:rFonts w:cs="Calibri"/>
          <w:sz w:val="24"/>
        </w:rPr>
      </w:pPr>
    </w:p>
    <w:p w14:paraId="4E7C0F76" w14:textId="77777777" w:rsidR="00A358FC" w:rsidRPr="00FD6973" w:rsidRDefault="00FD6973" w:rsidP="00342AEA">
      <w:pPr>
        <w:pStyle w:val="ListParagraph"/>
        <w:numPr>
          <w:ilvl w:val="3"/>
          <w:numId w:val="28"/>
        </w:numPr>
        <w:ind w:left="0" w:firstLine="0"/>
        <w:contextualSpacing/>
        <w:jc w:val="left"/>
        <w:rPr>
          <w:rFonts w:cs="Calibri"/>
          <w:sz w:val="24"/>
        </w:rPr>
      </w:pPr>
      <w:r w:rsidRPr="00FD6973">
        <w:rPr>
          <w:rFonts w:cs="Calibri"/>
          <w:sz w:val="24"/>
        </w:rPr>
        <w:t>Exclude p</w:t>
      </w:r>
      <w:r w:rsidR="00355E68" w:rsidRPr="00FD6973">
        <w:rPr>
          <w:rFonts w:cs="Calibri"/>
          <w:sz w:val="24"/>
        </w:rPr>
        <w:t>regnant and lactating patients</w:t>
      </w:r>
      <w:r w:rsidRPr="00FD6973">
        <w:rPr>
          <w:rFonts w:cs="Calibri"/>
          <w:sz w:val="24"/>
        </w:rPr>
        <w:t>.</w:t>
      </w:r>
    </w:p>
    <w:p w14:paraId="0869F9FD" w14:textId="77777777" w:rsidR="00FD6973" w:rsidRPr="00FD6973" w:rsidRDefault="00FD6973" w:rsidP="00342AEA">
      <w:pPr>
        <w:contextualSpacing/>
        <w:jc w:val="left"/>
        <w:rPr>
          <w:rFonts w:cs="Calibri"/>
          <w:sz w:val="24"/>
        </w:rPr>
      </w:pPr>
    </w:p>
    <w:p w14:paraId="64A80366" w14:textId="77777777" w:rsidR="00A358FC" w:rsidRPr="00FD6973" w:rsidRDefault="00FD6973" w:rsidP="00342AEA">
      <w:pPr>
        <w:pStyle w:val="ListParagraph"/>
        <w:numPr>
          <w:ilvl w:val="3"/>
          <w:numId w:val="28"/>
        </w:numPr>
        <w:ind w:left="0" w:firstLine="0"/>
        <w:contextualSpacing/>
        <w:jc w:val="left"/>
        <w:rPr>
          <w:rFonts w:cs="Calibri"/>
          <w:sz w:val="24"/>
        </w:rPr>
      </w:pPr>
      <w:r w:rsidRPr="00FD6973">
        <w:rPr>
          <w:rFonts w:cs="Calibri"/>
          <w:sz w:val="24"/>
        </w:rPr>
        <w:t>Exclude p</w:t>
      </w:r>
      <w:r w:rsidR="00355E68" w:rsidRPr="00FD6973">
        <w:rPr>
          <w:rFonts w:cs="Calibri"/>
          <w:sz w:val="24"/>
        </w:rPr>
        <w:t xml:space="preserve">atients </w:t>
      </w:r>
      <w:r w:rsidR="00355E68" w:rsidRPr="00FD6973">
        <w:rPr>
          <w:rFonts w:cs="Calibri"/>
          <w:sz w:val="24"/>
          <w:lang w:eastAsia="en-IN"/>
        </w:rPr>
        <w:t>previously</w:t>
      </w:r>
      <w:r w:rsidR="00355E68" w:rsidRPr="00FD6973">
        <w:rPr>
          <w:rFonts w:cs="Calibri"/>
          <w:sz w:val="24"/>
        </w:rPr>
        <w:t xml:space="preserve"> enrolled in the current study</w:t>
      </w:r>
      <w:r w:rsidR="00355E68" w:rsidRPr="00FD6973">
        <w:rPr>
          <w:rFonts w:cs="Calibri"/>
          <w:sz w:val="24"/>
          <w:lang w:eastAsia="en-IN"/>
        </w:rPr>
        <w:t>,</w:t>
      </w:r>
      <w:r w:rsidR="00355E68" w:rsidRPr="00FD6973">
        <w:rPr>
          <w:rFonts w:cs="Calibri"/>
          <w:sz w:val="24"/>
        </w:rPr>
        <w:t xml:space="preserve"> or who participated in a study of any investigational drug or device concurrently or within 30 days before enrollment in this </w:t>
      </w:r>
      <w:r w:rsidR="00355E68" w:rsidRPr="00FD6973">
        <w:rPr>
          <w:rFonts w:cs="Calibri"/>
          <w:sz w:val="24"/>
        </w:rPr>
        <w:lastRenderedPageBreak/>
        <w:t>study</w:t>
      </w:r>
      <w:r w:rsidRPr="00FD6973">
        <w:rPr>
          <w:rFonts w:cs="Calibri"/>
          <w:sz w:val="24"/>
        </w:rPr>
        <w:t>.</w:t>
      </w:r>
    </w:p>
    <w:p w14:paraId="1C974B81" w14:textId="77777777" w:rsidR="00FD6973" w:rsidRPr="00FD6973" w:rsidRDefault="00FD6973" w:rsidP="00342AEA">
      <w:pPr>
        <w:contextualSpacing/>
        <w:jc w:val="left"/>
        <w:rPr>
          <w:rFonts w:cs="Calibri"/>
          <w:sz w:val="24"/>
        </w:rPr>
      </w:pPr>
    </w:p>
    <w:p w14:paraId="73385978" w14:textId="269ACF88" w:rsidR="00355E68" w:rsidRPr="00FD6973" w:rsidRDefault="00FD6973" w:rsidP="00342AEA">
      <w:pPr>
        <w:pStyle w:val="ListParagraph"/>
        <w:numPr>
          <w:ilvl w:val="3"/>
          <w:numId w:val="28"/>
        </w:numPr>
        <w:ind w:left="0" w:firstLine="0"/>
        <w:contextualSpacing/>
        <w:jc w:val="left"/>
        <w:rPr>
          <w:rFonts w:cs="Calibri"/>
          <w:sz w:val="24"/>
        </w:rPr>
      </w:pPr>
      <w:r w:rsidRPr="00FD6973">
        <w:rPr>
          <w:rFonts w:cs="Calibri"/>
          <w:sz w:val="24"/>
        </w:rPr>
        <w:t>Exclude for a</w:t>
      </w:r>
      <w:r w:rsidR="00355E68" w:rsidRPr="00FD6973">
        <w:rPr>
          <w:rFonts w:cs="Calibri"/>
          <w:sz w:val="24"/>
        </w:rPr>
        <w:t>ny reason</w:t>
      </w:r>
      <w:r w:rsidR="00A358FC" w:rsidRPr="00FD6973">
        <w:rPr>
          <w:rFonts w:cs="Calibri"/>
          <w:sz w:val="24"/>
        </w:rPr>
        <w:t>,</w:t>
      </w:r>
      <w:r w:rsidR="00355E68" w:rsidRPr="00FD6973">
        <w:rPr>
          <w:rFonts w:cs="Calibri"/>
          <w:sz w:val="24"/>
        </w:rPr>
        <w:t xml:space="preserve"> as per the investigator’s opinion</w:t>
      </w:r>
      <w:r w:rsidR="00A358FC" w:rsidRPr="00FD6973">
        <w:rPr>
          <w:rFonts w:cs="Calibri"/>
          <w:sz w:val="24"/>
        </w:rPr>
        <w:t>,</w:t>
      </w:r>
      <w:r w:rsidR="00355E68" w:rsidRPr="00FD6973">
        <w:rPr>
          <w:rFonts w:cs="Calibri"/>
          <w:sz w:val="24"/>
        </w:rPr>
        <w:t xml:space="preserve"> that </w:t>
      </w:r>
      <w:r w:rsidR="0099033E" w:rsidRPr="00FD6973">
        <w:rPr>
          <w:rFonts w:cs="Calibri"/>
          <w:sz w:val="24"/>
        </w:rPr>
        <w:t>renders</w:t>
      </w:r>
      <w:r w:rsidR="00393E2E">
        <w:rPr>
          <w:rFonts w:cs="Calibri"/>
          <w:sz w:val="24"/>
        </w:rPr>
        <w:t xml:space="preserve"> </w:t>
      </w:r>
      <w:r w:rsidR="00355E68" w:rsidRPr="00FD6973">
        <w:rPr>
          <w:rFonts w:cs="Calibri"/>
          <w:sz w:val="24"/>
        </w:rPr>
        <w:t>the subject unsuitable for the trial</w:t>
      </w:r>
      <w:r w:rsidRPr="00FD6973">
        <w:rPr>
          <w:rFonts w:cs="Calibri"/>
          <w:sz w:val="24"/>
        </w:rPr>
        <w:t>.</w:t>
      </w:r>
    </w:p>
    <w:p w14:paraId="53CD46FB" w14:textId="77777777" w:rsidR="00355E68" w:rsidRPr="00981557" w:rsidRDefault="00355E68" w:rsidP="00342AEA">
      <w:pPr>
        <w:contextualSpacing/>
        <w:jc w:val="left"/>
        <w:rPr>
          <w:rFonts w:cs="Calibri"/>
          <w:sz w:val="24"/>
        </w:rPr>
      </w:pPr>
    </w:p>
    <w:p w14:paraId="0528E4BA" w14:textId="77777777" w:rsidR="00355E68" w:rsidRPr="00BF6A84" w:rsidRDefault="00355E68" w:rsidP="00342AEA">
      <w:pPr>
        <w:pStyle w:val="ListParagraph"/>
        <w:numPr>
          <w:ilvl w:val="1"/>
          <w:numId w:val="28"/>
        </w:numPr>
        <w:ind w:left="0" w:firstLine="0"/>
        <w:contextualSpacing/>
        <w:jc w:val="left"/>
        <w:rPr>
          <w:rFonts w:cs="Calibri"/>
          <w:sz w:val="24"/>
        </w:rPr>
      </w:pPr>
      <w:r w:rsidRPr="00BF6A84">
        <w:rPr>
          <w:rFonts w:cs="Calibri"/>
          <w:sz w:val="24"/>
        </w:rPr>
        <w:t xml:space="preserve">Removal of </w:t>
      </w:r>
      <w:r w:rsidR="00FD6973" w:rsidRPr="00BF6A84">
        <w:rPr>
          <w:rFonts w:cs="Calibri"/>
          <w:sz w:val="24"/>
        </w:rPr>
        <w:t>patients from therapy or assessment</w:t>
      </w:r>
    </w:p>
    <w:p w14:paraId="0CDB695F" w14:textId="77777777" w:rsidR="00355E68" w:rsidRPr="00981557" w:rsidRDefault="00355E68" w:rsidP="00342AEA">
      <w:pPr>
        <w:contextualSpacing/>
        <w:jc w:val="left"/>
        <w:rPr>
          <w:rFonts w:cs="Calibri"/>
          <w:b/>
          <w:bCs/>
          <w:sz w:val="24"/>
        </w:rPr>
      </w:pPr>
    </w:p>
    <w:p w14:paraId="58662505" w14:textId="77777777" w:rsidR="00355E68" w:rsidRPr="00FD6973" w:rsidRDefault="00355E68" w:rsidP="00342AEA">
      <w:pPr>
        <w:pStyle w:val="ListParagraph"/>
        <w:numPr>
          <w:ilvl w:val="2"/>
          <w:numId w:val="28"/>
        </w:numPr>
        <w:ind w:left="0" w:firstLine="0"/>
        <w:contextualSpacing/>
        <w:jc w:val="left"/>
        <w:rPr>
          <w:rFonts w:cs="Calibri"/>
          <w:bCs/>
          <w:sz w:val="24"/>
        </w:rPr>
      </w:pPr>
      <w:r w:rsidRPr="00FD6973">
        <w:rPr>
          <w:rFonts w:cs="Calibri"/>
          <w:bCs/>
          <w:sz w:val="24"/>
        </w:rPr>
        <w:t xml:space="preserve">Discontinuation </w:t>
      </w:r>
      <w:r w:rsidR="00FD6973" w:rsidRPr="00FD6973">
        <w:rPr>
          <w:rFonts w:cs="Calibri"/>
          <w:bCs/>
          <w:sz w:val="24"/>
        </w:rPr>
        <w:t>of study treatment/early release from study</w:t>
      </w:r>
    </w:p>
    <w:p w14:paraId="61A723E8" w14:textId="77777777" w:rsidR="00355E68" w:rsidRPr="00FD6973" w:rsidRDefault="00355E68" w:rsidP="00342AEA">
      <w:pPr>
        <w:contextualSpacing/>
        <w:jc w:val="left"/>
        <w:rPr>
          <w:rFonts w:cs="Calibri"/>
          <w:sz w:val="24"/>
        </w:rPr>
      </w:pPr>
    </w:p>
    <w:p w14:paraId="6419551E" w14:textId="77777777" w:rsidR="0011738B" w:rsidRDefault="00486C1F" w:rsidP="00342AEA">
      <w:pPr>
        <w:numPr>
          <w:ilvl w:val="3"/>
          <w:numId w:val="28"/>
        </w:numPr>
        <w:ind w:left="0" w:firstLine="0"/>
        <w:contextualSpacing/>
        <w:jc w:val="left"/>
        <w:rPr>
          <w:rFonts w:cs="Calibri"/>
          <w:sz w:val="24"/>
        </w:rPr>
      </w:pPr>
      <w:r w:rsidRPr="00FD6973">
        <w:rPr>
          <w:rFonts w:cs="Calibri"/>
          <w:sz w:val="24"/>
        </w:rPr>
        <w:t xml:space="preserve">Exclude </w:t>
      </w:r>
      <w:r w:rsidR="00355E68" w:rsidRPr="00FD6973">
        <w:rPr>
          <w:rFonts w:cs="Calibri"/>
          <w:sz w:val="24"/>
        </w:rPr>
        <w:t>patient</w:t>
      </w:r>
      <w:r w:rsidR="0048457A" w:rsidRPr="00FD6973">
        <w:rPr>
          <w:rFonts w:cs="Calibri"/>
          <w:sz w:val="24"/>
        </w:rPr>
        <w:t>s</w:t>
      </w:r>
      <w:r w:rsidR="00355E68" w:rsidRPr="00FD6973">
        <w:rPr>
          <w:rFonts w:cs="Calibri"/>
          <w:sz w:val="24"/>
        </w:rPr>
        <w:t xml:space="preserve"> who </w:t>
      </w:r>
      <w:r w:rsidR="0048457A" w:rsidRPr="00FD6973">
        <w:rPr>
          <w:rFonts w:cs="Calibri"/>
          <w:sz w:val="24"/>
        </w:rPr>
        <w:t xml:space="preserve">do </w:t>
      </w:r>
      <w:r w:rsidR="00355E68" w:rsidRPr="00FD6973">
        <w:rPr>
          <w:rFonts w:cs="Calibri"/>
          <w:sz w:val="24"/>
        </w:rPr>
        <w:t>not continue to meet the inclusion and exclusion criteria after surgery (assessed either in the recovery room or just after transfer to the surgical ward).</w:t>
      </w:r>
    </w:p>
    <w:p w14:paraId="3AE357EF" w14:textId="77777777" w:rsidR="00FD6973" w:rsidRPr="00FD6973" w:rsidRDefault="00FD6973" w:rsidP="00342AEA">
      <w:pPr>
        <w:contextualSpacing/>
        <w:jc w:val="left"/>
        <w:rPr>
          <w:rFonts w:cs="Calibri"/>
          <w:sz w:val="24"/>
        </w:rPr>
      </w:pPr>
    </w:p>
    <w:p w14:paraId="3EB14537" w14:textId="656C9FA4" w:rsidR="00355E68" w:rsidRPr="00FD6973" w:rsidRDefault="0011738B" w:rsidP="00342AEA">
      <w:pPr>
        <w:numPr>
          <w:ilvl w:val="3"/>
          <w:numId w:val="28"/>
        </w:numPr>
        <w:ind w:left="0" w:firstLine="0"/>
        <w:contextualSpacing/>
        <w:jc w:val="left"/>
        <w:rPr>
          <w:rFonts w:cs="Calibri"/>
          <w:sz w:val="24"/>
        </w:rPr>
      </w:pPr>
      <w:r w:rsidRPr="00FD6973">
        <w:rPr>
          <w:rFonts w:cs="Calibri"/>
          <w:sz w:val="24"/>
        </w:rPr>
        <w:t>Exclude and consider the patient discontinued if an</w:t>
      </w:r>
      <w:r w:rsidR="00355E68" w:rsidRPr="00FD6973">
        <w:rPr>
          <w:rFonts w:cs="Calibri"/>
          <w:sz w:val="24"/>
        </w:rPr>
        <w:t xml:space="preserve">y </w:t>
      </w:r>
      <w:r w:rsidR="0068010D" w:rsidRPr="00FD6973">
        <w:rPr>
          <w:rFonts w:cs="Calibri"/>
          <w:sz w:val="24"/>
        </w:rPr>
        <w:t xml:space="preserve">enrolled </w:t>
      </w:r>
      <w:r w:rsidR="00355E68" w:rsidRPr="00FD6973">
        <w:rPr>
          <w:rFonts w:cs="Calibri"/>
          <w:sz w:val="24"/>
        </w:rPr>
        <w:t>patient who, continued the study after surgery, and for whom study treatment was prematurely terminated (i.e.</w:t>
      </w:r>
      <w:r w:rsidR="00393E2E">
        <w:rPr>
          <w:rFonts w:cs="Calibri"/>
          <w:sz w:val="24"/>
        </w:rPr>
        <w:t>,</w:t>
      </w:r>
      <w:r w:rsidR="00355E68" w:rsidRPr="00FD6973">
        <w:rPr>
          <w:rFonts w:cs="Calibri"/>
          <w:sz w:val="24"/>
        </w:rPr>
        <w:t xml:space="preserve"> completion of &lt;5 full days of post-surgery study treatment).</w:t>
      </w:r>
    </w:p>
    <w:p w14:paraId="31B91D35" w14:textId="77777777" w:rsidR="00355E68" w:rsidRPr="00FD6973" w:rsidRDefault="00355E68" w:rsidP="00342AEA">
      <w:pPr>
        <w:contextualSpacing/>
        <w:jc w:val="left"/>
        <w:rPr>
          <w:rFonts w:cs="Calibri"/>
          <w:sz w:val="24"/>
        </w:rPr>
      </w:pPr>
    </w:p>
    <w:p w14:paraId="25A24602" w14:textId="77777777" w:rsidR="00355E68" w:rsidRPr="00FD6973" w:rsidRDefault="00355E68" w:rsidP="00342AEA">
      <w:pPr>
        <w:pStyle w:val="ListParagraph"/>
        <w:numPr>
          <w:ilvl w:val="2"/>
          <w:numId w:val="28"/>
        </w:numPr>
        <w:ind w:left="0" w:firstLine="0"/>
        <w:contextualSpacing/>
        <w:jc w:val="left"/>
        <w:rPr>
          <w:rFonts w:cs="Calibri"/>
          <w:sz w:val="24"/>
        </w:rPr>
      </w:pPr>
      <w:r w:rsidRPr="00FD6973">
        <w:rPr>
          <w:rFonts w:cs="Calibri"/>
          <w:bCs/>
          <w:sz w:val="24"/>
        </w:rPr>
        <w:t xml:space="preserve">Withdrawal </w:t>
      </w:r>
      <w:r w:rsidR="00FD6973" w:rsidRPr="00FD6973">
        <w:rPr>
          <w:rFonts w:cs="Calibri"/>
          <w:bCs/>
          <w:sz w:val="24"/>
        </w:rPr>
        <w:t>from study</w:t>
      </w:r>
    </w:p>
    <w:p w14:paraId="5D6486B4" w14:textId="77777777" w:rsidR="00355E68" w:rsidRPr="00981557" w:rsidRDefault="00355E68" w:rsidP="00342AEA">
      <w:pPr>
        <w:contextualSpacing/>
        <w:jc w:val="left"/>
        <w:rPr>
          <w:rFonts w:cs="Calibri"/>
          <w:sz w:val="24"/>
        </w:rPr>
      </w:pPr>
    </w:p>
    <w:p w14:paraId="74908845" w14:textId="77777777" w:rsidR="002E4122" w:rsidRPr="00FD6973" w:rsidRDefault="00FD6973" w:rsidP="00342AEA">
      <w:pPr>
        <w:numPr>
          <w:ilvl w:val="3"/>
          <w:numId w:val="28"/>
        </w:numPr>
        <w:ind w:left="0" w:firstLine="0"/>
        <w:contextualSpacing/>
        <w:jc w:val="left"/>
        <w:rPr>
          <w:rFonts w:cs="Calibri"/>
          <w:sz w:val="24"/>
        </w:rPr>
      </w:pPr>
      <w:r w:rsidRPr="00FD6973">
        <w:rPr>
          <w:rFonts w:cs="Calibri"/>
          <w:sz w:val="24"/>
        </w:rPr>
        <w:t xml:space="preserve">Withdraw the patient if the </w:t>
      </w:r>
      <w:r w:rsidR="00355E68" w:rsidRPr="00FD6973">
        <w:rPr>
          <w:rFonts w:cs="Calibri"/>
          <w:sz w:val="24"/>
        </w:rPr>
        <w:t>patient did not continue to fulfill the inclusion or exclusion criteria</w:t>
      </w:r>
      <w:r w:rsidRPr="00FD6973">
        <w:rPr>
          <w:rFonts w:cs="Calibri"/>
          <w:sz w:val="24"/>
        </w:rPr>
        <w:t>.</w:t>
      </w:r>
    </w:p>
    <w:p w14:paraId="67C8B9F2" w14:textId="77777777" w:rsidR="00FD6973" w:rsidRPr="00FD6973" w:rsidRDefault="00FD6973" w:rsidP="00342AEA">
      <w:pPr>
        <w:contextualSpacing/>
        <w:jc w:val="left"/>
        <w:rPr>
          <w:rFonts w:cs="Calibri"/>
          <w:sz w:val="24"/>
        </w:rPr>
      </w:pPr>
    </w:p>
    <w:p w14:paraId="1A9274EC" w14:textId="77777777" w:rsidR="0048457A" w:rsidRPr="00FD6973" w:rsidRDefault="00FD6973" w:rsidP="00342AEA">
      <w:pPr>
        <w:numPr>
          <w:ilvl w:val="3"/>
          <w:numId w:val="28"/>
        </w:numPr>
        <w:ind w:left="0" w:firstLine="0"/>
        <w:contextualSpacing/>
        <w:jc w:val="left"/>
        <w:rPr>
          <w:rFonts w:cs="Calibri"/>
          <w:sz w:val="24"/>
        </w:rPr>
      </w:pPr>
      <w:r w:rsidRPr="00FD6973">
        <w:rPr>
          <w:rFonts w:cs="Calibri"/>
          <w:sz w:val="24"/>
        </w:rPr>
        <w:t xml:space="preserve">Withdraw the patient if the </w:t>
      </w:r>
      <w:r w:rsidR="00355E68" w:rsidRPr="00FD6973">
        <w:rPr>
          <w:rFonts w:cs="Calibri"/>
          <w:sz w:val="24"/>
        </w:rPr>
        <w:t xml:space="preserve">patient experienced an adverse event (AE) or developed an inter-current illness, condition, or procedural complication that would interfere with continued </w:t>
      </w:r>
      <w:r w:rsidR="002E4122" w:rsidRPr="00FD6973">
        <w:rPr>
          <w:rFonts w:cs="Calibri"/>
          <w:sz w:val="24"/>
        </w:rPr>
        <w:t>participation</w:t>
      </w:r>
    </w:p>
    <w:p w14:paraId="7F9C4CCF" w14:textId="77777777" w:rsidR="00FD6973" w:rsidRPr="00FD6973" w:rsidRDefault="00FD6973" w:rsidP="00342AEA">
      <w:pPr>
        <w:contextualSpacing/>
        <w:jc w:val="left"/>
        <w:rPr>
          <w:rFonts w:cs="Calibri"/>
          <w:sz w:val="24"/>
        </w:rPr>
      </w:pPr>
    </w:p>
    <w:p w14:paraId="2A3BA18E" w14:textId="77777777" w:rsidR="002E4122" w:rsidRPr="00FD6973" w:rsidRDefault="00FD6973" w:rsidP="00342AEA">
      <w:pPr>
        <w:numPr>
          <w:ilvl w:val="3"/>
          <w:numId w:val="28"/>
        </w:numPr>
        <w:ind w:left="0" w:firstLine="0"/>
        <w:contextualSpacing/>
        <w:jc w:val="left"/>
        <w:rPr>
          <w:rFonts w:cs="Calibri"/>
          <w:sz w:val="24"/>
        </w:rPr>
      </w:pPr>
      <w:r w:rsidRPr="00FD6973">
        <w:rPr>
          <w:rFonts w:cs="Calibri"/>
          <w:sz w:val="24"/>
        </w:rPr>
        <w:t xml:space="preserve">Withdraw the patient if the </w:t>
      </w:r>
      <w:r w:rsidR="00355E68" w:rsidRPr="00FD6973">
        <w:rPr>
          <w:rFonts w:cs="Calibri"/>
          <w:sz w:val="24"/>
        </w:rPr>
        <w:t>patient voluntarily withdrew consent/authorization for the study</w:t>
      </w:r>
    </w:p>
    <w:p w14:paraId="4CB17DE8" w14:textId="77777777" w:rsidR="00FD6973" w:rsidRPr="00FD6973" w:rsidRDefault="00FD6973" w:rsidP="00342AEA">
      <w:pPr>
        <w:contextualSpacing/>
        <w:jc w:val="left"/>
        <w:rPr>
          <w:rFonts w:cs="Calibri"/>
          <w:sz w:val="24"/>
        </w:rPr>
      </w:pPr>
    </w:p>
    <w:p w14:paraId="50380565" w14:textId="77777777" w:rsidR="00355E68" w:rsidRPr="00FD6973" w:rsidRDefault="00FD6973" w:rsidP="00342AEA">
      <w:pPr>
        <w:numPr>
          <w:ilvl w:val="3"/>
          <w:numId w:val="28"/>
        </w:numPr>
        <w:ind w:left="0" w:firstLine="0"/>
        <w:contextualSpacing/>
        <w:jc w:val="left"/>
        <w:rPr>
          <w:rFonts w:cs="Calibri"/>
          <w:sz w:val="24"/>
        </w:rPr>
      </w:pPr>
      <w:r w:rsidRPr="00FD6973">
        <w:rPr>
          <w:rFonts w:cs="Calibri"/>
          <w:sz w:val="24"/>
        </w:rPr>
        <w:t xml:space="preserve">Withdraw the patient if the </w:t>
      </w:r>
      <w:r w:rsidR="00355E68" w:rsidRPr="00FD6973">
        <w:rPr>
          <w:rFonts w:cs="Calibri"/>
          <w:sz w:val="24"/>
        </w:rPr>
        <w:t>patient was found to be in violation of the protocol and for whom the physician deemed it in their best medical interests to terminate involvement in the study</w:t>
      </w:r>
    </w:p>
    <w:p w14:paraId="1033E4E9" w14:textId="77777777" w:rsidR="00355E68" w:rsidRPr="00981557" w:rsidRDefault="00355E68" w:rsidP="00342AEA">
      <w:pPr>
        <w:contextualSpacing/>
        <w:jc w:val="left"/>
        <w:rPr>
          <w:rFonts w:cs="Calibri"/>
          <w:sz w:val="24"/>
        </w:rPr>
      </w:pPr>
    </w:p>
    <w:p w14:paraId="31E183BB" w14:textId="77777777" w:rsidR="00355E68" w:rsidRPr="002469C2" w:rsidRDefault="00FD6973" w:rsidP="00342AEA">
      <w:pPr>
        <w:numPr>
          <w:ilvl w:val="0"/>
          <w:numId w:val="1"/>
        </w:numPr>
        <w:ind w:left="0" w:firstLine="0"/>
        <w:contextualSpacing/>
        <w:jc w:val="left"/>
        <w:rPr>
          <w:rFonts w:cs="Calibri"/>
          <w:b/>
          <w:bCs/>
          <w:sz w:val="24"/>
          <w:highlight w:val="yellow"/>
        </w:rPr>
      </w:pPr>
      <w:r w:rsidRPr="002469C2">
        <w:rPr>
          <w:rFonts w:cs="Calibri"/>
          <w:b/>
          <w:bCs/>
          <w:sz w:val="24"/>
          <w:highlight w:val="yellow"/>
        </w:rPr>
        <w:t>Method and clinical parameters</w:t>
      </w:r>
    </w:p>
    <w:p w14:paraId="3387628B" w14:textId="77777777" w:rsidR="00355E68" w:rsidRPr="002469C2" w:rsidRDefault="00355E68" w:rsidP="00342AEA">
      <w:pPr>
        <w:contextualSpacing/>
        <w:jc w:val="left"/>
        <w:rPr>
          <w:rFonts w:cs="Calibri"/>
          <w:b/>
          <w:bCs/>
          <w:sz w:val="24"/>
          <w:highlight w:val="yellow"/>
        </w:rPr>
      </w:pPr>
    </w:p>
    <w:p w14:paraId="6BDC3E84" w14:textId="77777777" w:rsidR="00355E68" w:rsidRPr="002469C2" w:rsidRDefault="00355E68" w:rsidP="00342AEA">
      <w:pPr>
        <w:pStyle w:val="ListParagraph"/>
        <w:numPr>
          <w:ilvl w:val="1"/>
          <w:numId w:val="29"/>
        </w:numPr>
        <w:ind w:left="0" w:firstLine="0"/>
        <w:contextualSpacing/>
        <w:jc w:val="left"/>
        <w:rPr>
          <w:rFonts w:cs="Calibri"/>
          <w:bCs/>
          <w:sz w:val="24"/>
          <w:highlight w:val="yellow"/>
        </w:rPr>
      </w:pPr>
      <w:r w:rsidRPr="002469C2">
        <w:rPr>
          <w:rFonts w:cs="Calibri"/>
          <w:bCs/>
          <w:sz w:val="24"/>
          <w:highlight w:val="yellow"/>
        </w:rPr>
        <w:t>Efficacy Assessments</w:t>
      </w:r>
    </w:p>
    <w:p w14:paraId="7B574DDA" w14:textId="77777777" w:rsidR="00355E68" w:rsidRPr="002469C2" w:rsidRDefault="00355E68" w:rsidP="00342AEA">
      <w:pPr>
        <w:contextualSpacing/>
        <w:jc w:val="left"/>
        <w:rPr>
          <w:rFonts w:cs="Calibri"/>
          <w:sz w:val="24"/>
          <w:highlight w:val="yellow"/>
        </w:rPr>
      </w:pPr>
    </w:p>
    <w:p w14:paraId="5F52A6CB" w14:textId="77777777" w:rsidR="009610EB" w:rsidRPr="002469C2" w:rsidRDefault="00355E68" w:rsidP="00342AEA">
      <w:pPr>
        <w:pStyle w:val="ListParagraph"/>
        <w:numPr>
          <w:ilvl w:val="2"/>
          <w:numId w:val="29"/>
        </w:numPr>
        <w:ind w:left="0" w:firstLine="0"/>
        <w:contextualSpacing/>
        <w:jc w:val="left"/>
        <w:rPr>
          <w:rFonts w:cs="Calibri"/>
          <w:sz w:val="24"/>
          <w:highlight w:val="yellow"/>
        </w:rPr>
      </w:pPr>
      <w:r w:rsidRPr="002469C2">
        <w:rPr>
          <w:rFonts w:cs="Calibri"/>
          <w:sz w:val="24"/>
          <w:highlight w:val="yellow"/>
        </w:rPr>
        <w:t xml:space="preserve">Assess the primary efficacy outcome measure of the serum </w:t>
      </w:r>
      <w:r w:rsidRPr="002469C2">
        <w:rPr>
          <w:rFonts w:cs="Calibri"/>
          <w:noProof/>
          <w:sz w:val="24"/>
          <w:highlight w:val="yellow"/>
        </w:rPr>
        <w:t>prealbumin</w:t>
      </w:r>
      <w:r w:rsidRPr="002469C2">
        <w:rPr>
          <w:rFonts w:cs="Calibri"/>
          <w:sz w:val="24"/>
          <w:highlight w:val="yellow"/>
        </w:rPr>
        <w:t xml:space="preserve"> level </w:t>
      </w:r>
      <w:bookmarkStart w:id="13" w:name="OLE_LINK39"/>
      <w:r w:rsidR="00697B66" w:rsidRPr="002469C2">
        <w:rPr>
          <w:rFonts w:cs="Calibri"/>
          <w:noProof/>
          <w:sz w:val="24"/>
          <w:highlight w:val="yellow"/>
        </w:rPr>
        <w:t>on</w:t>
      </w:r>
      <w:r w:rsidRPr="002469C2">
        <w:rPr>
          <w:rFonts w:cs="Calibri"/>
          <w:sz w:val="24"/>
          <w:highlight w:val="yellow"/>
        </w:rPr>
        <w:t xml:space="preserve"> day 5</w:t>
      </w:r>
      <w:bookmarkEnd w:id="13"/>
      <w:r w:rsidRPr="002469C2">
        <w:rPr>
          <w:rFonts w:cs="Calibri"/>
          <w:sz w:val="24"/>
          <w:highlight w:val="yellow"/>
        </w:rPr>
        <w:t>.</w:t>
      </w:r>
    </w:p>
    <w:p w14:paraId="00D5AAAB" w14:textId="77777777" w:rsidR="00FD6973" w:rsidRPr="0012729B" w:rsidRDefault="00FD6973" w:rsidP="00342AEA">
      <w:pPr>
        <w:pStyle w:val="ListParagraph"/>
        <w:ind w:left="0"/>
        <w:contextualSpacing/>
        <w:jc w:val="left"/>
        <w:rPr>
          <w:rFonts w:cs="Calibri"/>
          <w:sz w:val="24"/>
        </w:rPr>
      </w:pPr>
    </w:p>
    <w:p w14:paraId="20010B55" w14:textId="77777777" w:rsidR="00355E68" w:rsidRPr="0012729B" w:rsidRDefault="00D60FE0" w:rsidP="00342AEA">
      <w:pPr>
        <w:contextualSpacing/>
        <w:jc w:val="left"/>
        <w:rPr>
          <w:rFonts w:cs="Calibri"/>
          <w:sz w:val="24"/>
        </w:rPr>
      </w:pPr>
      <w:r w:rsidRPr="0012729B">
        <w:rPr>
          <w:rFonts w:cs="Calibri"/>
          <w:sz w:val="24"/>
        </w:rPr>
        <w:t>NOTE:</w:t>
      </w:r>
      <w:r w:rsidR="00355E68" w:rsidRPr="0012729B">
        <w:rPr>
          <w:rFonts w:cs="Calibri"/>
          <w:sz w:val="24"/>
        </w:rPr>
        <w:t xml:space="preserve"> Secondary efficacy parameters included:</w:t>
      </w:r>
    </w:p>
    <w:p w14:paraId="631C91F9" w14:textId="6D54C846" w:rsidR="00355E68" w:rsidRPr="0012729B" w:rsidRDefault="00355E68" w:rsidP="00342AEA">
      <w:pPr>
        <w:numPr>
          <w:ilvl w:val="0"/>
          <w:numId w:val="4"/>
        </w:numPr>
        <w:ind w:left="0" w:firstLine="0"/>
        <w:contextualSpacing/>
        <w:jc w:val="left"/>
        <w:rPr>
          <w:rFonts w:cs="Calibri"/>
          <w:sz w:val="24"/>
        </w:rPr>
      </w:pPr>
      <w:r w:rsidRPr="0012729B">
        <w:rPr>
          <w:rFonts w:cs="Calibri"/>
          <w:sz w:val="24"/>
        </w:rPr>
        <w:t>Time for preparation of the</w:t>
      </w:r>
      <w:r w:rsidR="00393E2E">
        <w:rPr>
          <w:rFonts w:cs="Calibri"/>
          <w:sz w:val="24"/>
        </w:rPr>
        <w:t xml:space="preserve"> </w:t>
      </w:r>
      <w:r w:rsidRPr="0012729B">
        <w:rPr>
          <w:rFonts w:cs="Calibri"/>
          <w:sz w:val="24"/>
        </w:rPr>
        <w:t>study treatment (</w:t>
      </w:r>
      <w:r w:rsidRPr="0012729B">
        <w:rPr>
          <w:rFonts w:cs="Calibri"/>
          <w:b/>
          <w:sz w:val="24"/>
        </w:rPr>
        <w:t>Table 1</w:t>
      </w:r>
      <w:r w:rsidRPr="0012729B">
        <w:rPr>
          <w:rFonts w:cs="Calibri"/>
          <w:sz w:val="24"/>
        </w:rPr>
        <w:t>)</w:t>
      </w:r>
    </w:p>
    <w:p w14:paraId="5A18D77B" w14:textId="77777777" w:rsidR="00355E68" w:rsidRPr="0012729B" w:rsidRDefault="00355E68" w:rsidP="00342AEA">
      <w:pPr>
        <w:numPr>
          <w:ilvl w:val="0"/>
          <w:numId w:val="4"/>
        </w:numPr>
        <w:ind w:left="0" w:firstLine="0"/>
        <w:contextualSpacing/>
        <w:jc w:val="left"/>
        <w:rPr>
          <w:rFonts w:cs="Calibri"/>
          <w:sz w:val="24"/>
        </w:rPr>
      </w:pPr>
      <w:r w:rsidRPr="0012729B">
        <w:rPr>
          <w:rFonts w:cs="Calibri"/>
          <w:sz w:val="24"/>
        </w:rPr>
        <w:t>Duration to achieve tolerability of oral nutrition</w:t>
      </w:r>
    </w:p>
    <w:p w14:paraId="060F7FED" w14:textId="77777777" w:rsidR="00355E68" w:rsidRPr="0012729B" w:rsidRDefault="00355E68" w:rsidP="00342AEA">
      <w:pPr>
        <w:numPr>
          <w:ilvl w:val="0"/>
          <w:numId w:val="4"/>
        </w:numPr>
        <w:ind w:left="0" w:firstLine="0"/>
        <w:contextualSpacing/>
        <w:jc w:val="left"/>
        <w:rPr>
          <w:rFonts w:cs="Calibri"/>
          <w:sz w:val="24"/>
        </w:rPr>
      </w:pPr>
      <w:bookmarkStart w:id="14" w:name="OLE_LINK40"/>
      <w:r w:rsidRPr="0012729B">
        <w:rPr>
          <w:rFonts w:cs="Calibri"/>
          <w:sz w:val="24"/>
        </w:rPr>
        <w:t>Infectious complication</w:t>
      </w:r>
      <w:bookmarkEnd w:id="14"/>
    </w:p>
    <w:p w14:paraId="1BAB4C57" w14:textId="77777777" w:rsidR="00355E68" w:rsidRPr="0012729B" w:rsidRDefault="00355E68" w:rsidP="00342AEA">
      <w:pPr>
        <w:numPr>
          <w:ilvl w:val="0"/>
          <w:numId w:val="4"/>
        </w:numPr>
        <w:ind w:left="0" w:firstLine="0"/>
        <w:contextualSpacing/>
        <w:jc w:val="left"/>
        <w:rPr>
          <w:rFonts w:cs="Calibri"/>
          <w:sz w:val="24"/>
        </w:rPr>
      </w:pPr>
      <w:r w:rsidRPr="0012729B">
        <w:rPr>
          <w:rFonts w:cs="Calibri"/>
          <w:sz w:val="24"/>
        </w:rPr>
        <w:t>Length of hospitalization</w:t>
      </w:r>
    </w:p>
    <w:p w14:paraId="159C63A6" w14:textId="77777777" w:rsidR="00355E68" w:rsidRPr="0012729B" w:rsidRDefault="00355E68" w:rsidP="00342AEA">
      <w:pPr>
        <w:numPr>
          <w:ilvl w:val="0"/>
          <w:numId w:val="4"/>
        </w:numPr>
        <w:ind w:left="0" w:firstLine="0"/>
        <w:contextualSpacing/>
        <w:jc w:val="left"/>
        <w:rPr>
          <w:rFonts w:cs="Calibri"/>
          <w:sz w:val="24"/>
        </w:rPr>
      </w:pPr>
      <w:r w:rsidRPr="0012729B">
        <w:rPr>
          <w:rFonts w:cs="Calibri"/>
          <w:sz w:val="24"/>
        </w:rPr>
        <w:t xml:space="preserve">Nutrition markers: Albumin and fatty acids (including linoleic, oleic acid, arachidonic acid, </w:t>
      </w:r>
      <w:r w:rsidRPr="0012729B">
        <w:rPr>
          <w:rFonts w:cs="Calibri"/>
          <w:sz w:val="24"/>
        </w:rPr>
        <w:lastRenderedPageBreak/>
        <w:t xml:space="preserve">and </w:t>
      </w:r>
      <w:proofErr w:type="spellStart"/>
      <w:r w:rsidRPr="0012729B">
        <w:rPr>
          <w:rFonts w:cs="Calibri"/>
          <w:sz w:val="24"/>
        </w:rPr>
        <w:t>eicosapentaenoic</w:t>
      </w:r>
      <w:proofErr w:type="spellEnd"/>
      <w:r w:rsidRPr="0012729B">
        <w:rPr>
          <w:rFonts w:cs="Calibri"/>
          <w:sz w:val="24"/>
        </w:rPr>
        <w:t xml:space="preserve"> acid)</w:t>
      </w:r>
    </w:p>
    <w:p w14:paraId="2BA79A11" w14:textId="77777777" w:rsidR="00355E68" w:rsidRPr="0012729B" w:rsidRDefault="00355E68" w:rsidP="00342AEA">
      <w:pPr>
        <w:numPr>
          <w:ilvl w:val="0"/>
          <w:numId w:val="4"/>
        </w:numPr>
        <w:ind w:left="0" w:firstLine="0"/>
        <w:contextualSpacing/>
        <w:jc w:val="left"/>
        <w:rPr>
          <w:rFonts w:cs="Calibri"/>
          <w:sz w:val="24"/>
        </w:rPr>
      </w:pPr>
      <w:r w:rsidRPr="0012729B">
        <w:rPr>
          <w:rFonts w:cs="Calibri"/>
          <w:sz w:val="24"/>
        </w:rPr>
        <w:t>Infection and inflammatory markers: Including procalcitonin, C-reactive protein, interleukin-6, and intercellular adhesion molecule-1</w:t>
      </w:r>
    </w:p>
    <w:p w14:paraId="57CE51F2" w14:textId="77777777" w:rsidR="00355E68" w:rsidRPr="0012729B" w:rsidRDefault="00355E68" w:rsidP="00342AEA">
      <w:pPr>
        <w:numPr>
          <w:ilvl w:val="0"/>
          <w:numId w:val="4"/>
        </w:numPr>
        <w:ind w:left="0" w:firstLine="0"/>
        <w:contextualSpacing/>
        <w:jc w:val="left"/>
        <w:rPr>
          <w:rFonts w:cs="Calibri"/>
          <w:sz w:val="24"/>
        </w:rPr>
      </w:pPr>
      <w:r w:rsidRPr="0012729B">
        <w:rPr>
          <w:rFonts w:cs="Calibri"/>
          <w:sz w:val="24"/>
        </w:rPr>
        <w:t>Oxidative stress markers: Including malondialdehyde and F2-isoprostane</w:t>
      </w:r>
    </w:p>
    <w:p w14:paraId="212A8D9A" w14:textId="77777777" w:rsidR="00355E68" w:rsidRPr="0012729B" w:rsidRDefault="00355E68" w:rsidP="00342AEA">
      <w:pPr>
        <w:numPr>
          <w:ilvl w:val="0"/>
          <w:numId w:val="4"/>
        </w:numPr>
        <w:ind w:left="0" w:firstLine="0"/>
        <w:contextualSpacing/>
        <w:jc w:val="left"/>
        <w:rPr>
          <w:rFonts w:cs="Calibri"/>
          <w:sz w:val="24"/>
        </w:rPr>
      </w:pPr>
      <w:r w:rsidRPr="0012729B">
        <w:rPr>
          <w:rFonts w:cs="Calibri"/>
          <w:sz w:val="24"/>
        </w:rPr>
        <w:t>Metabolism markers: Including urine markers of metabolism (urinary urea nitrogen, urinary 3-methylhistidine); hormonal markers of metabolism (thyroid panel, cortisol, growth hormone, insulin-like growth factor-1 [IGF-1]</w:t>
      </w:r>
      <w:r w:rsidR="0068010D" w:rsidRPr="0012729B">
        <w:rPr>
          <w:rFonts w:cs="Calibri"/>
          <w:sz w:val="24"/>
        </w:rPr>
        <w:t xml:space="preserve">, </w:t>
      </w:r>
      <w:r w:rsidRPr="0012729B">
        <w:rPr>
          <w:rFonts w:cs="Calibri"/>
          <w:sz w:val="24"/>
        </w:rPr>
        <w:t>and testosterone)</w:t>
      </w:r>
    </w:p>
    <w:p w14:paraId="78871ADE" w14:textId="77777777" w:rsidR="00FD6973" w:rsidRPr="0012729B" w:rsidRDefault="00FD6973" w:rsidP="00342AEA">
      <w:pPr>
        <w:contextualSpacing/>
        <w:jc w:val="left"/>
        <w:rPr>
          <w:rFonts w:cs="Calibri"/>
          <w:sz w:val="24"/>
        </w:rPr>
      </w:pPr>
    </w:p>
    <w:p w14:paraId="0ABA9E19" w14:textId="0B313504" w:rsidR="002469C2" w:rsidRPr="002469C2" w:rsidRDefault="00355E68" w:rsidP="00342AEA">
      <w:pPr>
        <w:numPr>
          <w:ilvl w:val="2"/>
          <w:numId w:val="29"/>
        </w:numPr>
        <w:ind w:left="0" w:firstLine="0"/>
        <w:contextualSpacing/>
        <w:rPr>
          <w:rFonts w:cs="Calibri"/>
          <w:sz w:val="24"/>
          <w:highlight w:val="yellow"/>
          <w:shd w:val="pct15" w:color="auto" w:fill="FFFFFF"/>
        </w:rPr>
      </w:pPr>
      <w:r w:rsidRPr="002469C2">
        <w:rPr>
          <w:rFonts w:cs="Calibri"/>
          <w:sz w:val="24"/>
          <w:highlight w:val="yellow"/>
        </w:rPr>
        <w:t xml:space="preserve">Draw venous blood via a peripheral vein in a contralateral appendage from the peripheral IV study treatment administration at the time points indicated in the </w:t>
      </w:r>
      <w:r w:rsidRPr="002469C2">
        <w:rPr>
          <w:rFonts w:cs="Calibri"/>
          <w:sz w:val="24"/>
          <w:highlight w:val="yellow"/>
          <w:lang w:eastAsia="en-IN"/>
        </w:rPr>
        <w:t>schedule</w:t>
      </w:r>
      <w:r w:rsidRPr="002469C2">
        <w:rPr>
          <w:rFonts w:cs="Calibri"/>
          <w:sz w:val="24"/>
          <w:highlight w:val="yellow"/>
        </w:rPr>
        <w:t xml:space="preserve"> of assessment</w:t>
      </w:r>
      <w:r w:rsidR="00393E2E" w:rsidRPr="002469C2">
        <w:rPr>
          <w:rFonts w:cs="Calibri"/>
          <w:sz w:val="24"/>
          <w:highlight w:val="yellow"/>
        </w:rPr>
        <w:t xml:space="preserve"> </w:t>
      </w:r>
      <w:r w:rsidR="007B3C22" w:rsidRPr="002469C2">
        <w:rPr>
          <w:rFonts w:cs="Calibri" w:hint="eastAsia"/>
          <w:sz w:val="24"/>
          <w:highlight w:val="yellow"/>
        </w:rPr>
        <w:t>(</w:t>
      </w:r>
      <w:r w:rsidR="007B3C22" w:rsidRPr="002469C2">
        <w:rPr>
          <w:rFonts w:cs="Calibri" w:hint="eastAsia"/>
          <w:b/>
          <w:sz w:val="24"/>
          <w:highlight w:val="yellow"/>
        </w:rPr>
        <w:t>Table</w:t>
      </w:r>
      <w:r w:rsidR="00393E2E" w:rsidRPr="002469C2">
        <w:rPr>
          <w:rFonts w:cs="Calibri"/>
          <w:b/>
          <w:sz w:val="24"/>
          <w:highlight w:val="yellow"/>
        </w:rPr>
        <w:t xml:space="preserve"> </w:t>
      </w:r>
      <w:r w:rsidR="007B3C22" w:rsidRPr="002469C2">
        <w:rPr>
          <w:rFonts w:cs="Calibri" w:hint="eastAsia"/>
          <w:b/>
          <w:sz w:val="24"/>
          <w:highlight w:val="yellow"/>
        </w:rPr>
        <w:t>1</w:t>
      </w:r>
      <w:r w:rsidR="007B3C22" w:rsidRPr="002469C2">
        <w:rPr>
          <w:rFonts w:cs="Calibri" w:hint="eastAsia"/>
          <w:sz w:val="24"/>
          <w:highlight w:val="yellow"/>
        </w:rPr>
        <w:t>)</w:t>
      </w:r>
      <w:r w:rsidRPr="002469C2">
        <w:rPr>
          <w:rFonts w:cs="Calibri"/>
          <w:sz w:val="24"/>
          <w:highlight w:val="yellow"/>
        </w:rPr>
        <w:t>.</w:t>
      </w:r>
      <w:r w:rsidR="00393E2E" w:rsidRPr="002469C2">
        <w:rPr>
          <w:rFonts w:cs="Calibri"/>
          <w:sz w:val="24"/>
          <w:highlight w:val="yellow"/>
        </w:rPr>
        <w:t xml:space="preserve"> </w:t>
      </w:r>
    </w:p>
    <w:p w14:paraId="79CBA408" w14:textId="77777777" w:rsidR="002469C2" w:rsidRPr="002469C2" w:rsidRDefault="002469C2" w:rsidP="00342AEA">
      <w:pPr>
        <w:contextualSpacing/>
        <w:rPr>
          <w:rFonts w:cs="Calibri"/>
          <w:sz w:val="24"/>
          <w:highlight w:val="yellow"/>
          <w:shd w:val="pct15" w:color="auto" w:fill="FFFFFF"/>
        </w:rPr>
      </w:pPr>
    </w:p>
    <w:p w14:paraId="4D03B3E2" w14:textId="77777777" w:rsidR="002469C2" w:rsidRPr="002469C2" w:rsidRDefault="00355E68" w:rsidP="00342AEA">
      <w:pPr>
        <w:numPr>
          <w:ilvl w:val="2"/>
          <w:numId w:val="29"/>
        </w:numPr>
        <w:ind w:left="0" w:firstLine="0"/>
        <w:contextualSpacing/>
        <w:rPr>
          <w:rFonts w:cs="Calibri"/>
          <w:sz w:val="24"/>
          <w:highlight w:val="yellow"/>
          <w:shd w:val="pct15" w:color="auto" w:fill="FFFFFF"/>
        </w:rPr>
      </w:pPr>
      <w:r w:rsidRPr="002469C2">
        <w:rPr>
          <w:rFonts w:cs="Calibri"/>
          <w:sz w:val="24"/>
          <w:highlight w:val="yellow"/>
        </w:rPr>
        <w:t xml:space="preserve">Transfer the samples to a central laboratory for analysis of efficacy parameters. </w:t>
      </w:r>
      <w:r w:rsidR="002469C2">
        <w:rPr>
          <w:rFonts w:cs="Calibri"/>
          <w:sz w:val="24"/>
          <w:highlight w:val="yellow"/>
        </w:rPr>
        <w:t xml:space="preserve">Use </w:t>
      </w:r>
      <w:r w:rsidR="007B3C22" w:rsidRPr="002469C2">
        <w:rPr>
          <w:rFonts w:cs="Calibri"/>
          <w:sz w:val="24"/>
          <w:highlight w:val="yellow"/>
        </w:rPr>
        <w:t xml:space="preserve">EDTA anticoagulant tubes for </w:t>
      </w:r>
      <w:r w:rsidR="002469C2">
        <w:rPr>
          <w:rFonts w:cs="Calibri"/>
          <w:sz w:val="24"/>
          <w:highlight w:val="yellow"/>
        </w:rPr>
        <w:t xml:space="preserve">the </w:t>
      </w:r>
      <w:r w:rsidR="007B3C22" w:rsidRPr="002469C2">
        <w:rPr>
          <w:rFonts w:cs="Calibri"/>
          <w:sz w:val="24"/>
          <w:highlight w:val="yellow"/>
        </w:rPr>
        <w:t xml:space="preserve">hematology test. </w:t>
      </w:r>
      <w:r w:rsidR="002469C2">
        <w:rPr>
          <w:rFonts w:cs="Calibri"/>
          <w:sz w:val="24"/>
          <w:highlight w:val="yellow"/>
        </w:rPr>
        <w:t>Use c</w:t>
      </w:r>
      <w:r w:rsidR="007B3C22" w:rsidRPr="002469C2">
        <w:rPr>
          <w:rFonts w:cs="Calibri"/>
          <w:sz w:val="24"/>
          <w:highlight w:val="yellow"/>
        </w:rPr>
        <w:t xml:space="preserve">ommon serum tubes which are free of additives for </w:t>
      </w:r>
      <w:r w:rsidR="002469C2">
        <w:rPr>
          <w:rFonts w:cs="Calibri"/>
          <w:sz w:val="24"/>
          <w:highlight w:val="yellow"/>
        </w:rPr>
        <w:t xml:space="preserve">the </w:t>
      </w:r>
      <w:r w:rsidR="007B3C22" w:rsidRPr="002469C2">
        <w:rPr>
          <w:rFonts w:cs="Calibri"/>
          <w:sz w:val="24"/>
          <w:highlight w:val="yellow"/>
        </w:rPr>
        <w:t>serum biochemical and serological tests.</w:t>
      </w:r>
      <w:r w:rsidR="002469C2">
        <w:rPr>
          <w:rFonts w:cs="Calibri"/>
          <w:sz w:val="24"/>
          <w:highlight w:val="yellow"/>
        </w:rPr>
        <w:t xml:space="preserve"> </w:t>
      </w:r>
    </w:p>
    <w:p w14:paraId="07F9A77B" w14:textId="77777777" w:rsidR="002469C2" w:rsidRDefault="002469C2" w:rsidP="00342AEA">
      <w:pPr>
        <w:pStyle w:val="ListParagraph"/>
        <w:ind w:left="0"/>
        <w:rPr>
          <w:rFonts w:cs="Calibri"/>
          <w:sz w:val="24"/>
          <w:highlight w:val="yellow"/>
        </w:rPr>
      </w:pPr>
    </w:p>
    <w:p w14:paraId="721EB340" w14:textId="5D31FF59" w:rsidR="00857539" w:rsidRPr="002469C2" w:rsidRDefault="002469C2" w:rsidP="00342AEA">
      <w:pPr>
        <w:numPr>
          <w:ilvl w:val="2"/>
          <w:numId w:val="29"/>
        </w:numPr>
        <w:ind w:left="0" w:firstLine="0"/>
        <w:contextualSpacing/>
        <w:rPr>
          <w:rFonts w:cs="Calibri"/>
          <w:sz w:val="24"/>
          <w:highlight w:val="yellow"/>
          <w:shd w:val="pct15" w:color="auto" w:fill="FFFFFF"/>
        </w:rPr>
      </w:pPr>
      <w:r>
        <w:rPr>
          <w:rFonts w:cs="Calibri"/>
          <w:sz w:val="24"/>
          <w:highlight w:val="yellow"/>
        </w:rPr>
        <w:t xml:space="preserve">Collect </w:t>
      </w:r>
      <w:r w:rsidR="007B3C22" w:rsidRPr="002469C2">
        <w:rPr>
          <w:rFonts w:cs="Calibri"/>
          <w:sz w:val="24"/>
          <w:highlight w:val="yellow"/>
        </w:rPr>
        <w:t>2-3</w:t>
      </w:r>
      <w:r>
        <w:rPr>
          <w:rFonts w:cs="Calibri"/>
          <w:sz w:val="24"/>
          <w:highlight w:val="yellow"/>
        </w:rPr>
        <w:t xml:space="preserve"> </w:t>
      </w:r>
      <w:r w:rsidR="007B3C22" w:rsidRPr="002469C2">
        <w:rPr>
          <w:rFonts w:cs="Calibri"/>
          <w:sz w:val="24"/>
          <w:highlight w:val="yellow"/>
        </w:rPr>
        <w:t>m</w:t>
      </w:r>
      <w:r>
        <w:rPr>
          <w:rFonts w:cs="Calibri"/>
          <w:sz w:val="24"/>
          <w:highlight w:val="yellow"/>
        </w:rPr>
        <w:t>L</w:t>
      </w:r>
      <w:r w:rsidR="007B3C22" w:rsidRPr="002469C2">
        <w:rPr>
          <w:rFonts w:cs="Calibri"/>
          <w:sz w:val="24"/>
          <w:highlight w:val="yellow"/>
        </w:rPr>
        <w:t xml:space="preserve"> </w:t>
      </w:r>
      <w:r>
        <w:rPr>
          <w:rFonts w:cs="Calibri"/>
          <w:sz w:val="24"/>
          <w:highlight w:val="yellow"/>
        </w:rPr>
        <w:t xml:space="preserve">of </w:t>
      </w:r>
      <w:r w:rsidR="007B3C22" w:rsidRPr="002469C2">
        <w:rPr>
          <w:rFonts w:cs="Calibri"/>
          <w:sz w:val="24"/>
          <w:highlight w:val="yellow"/>
        </w:rPr>
        <w:t xml:space="preserve">blood </w:t>
      </w:r>
      <w:r>
        <w:rPr>
          <w:rFonts w:cs="Calibri"/>
          <w:sz w:val="24"/>
          <w:highlight w:val="yellow"/>
        </w:rPr>
        <w:t xml:space="preserve">per </w:t>
      </w:r>
      <w:r w:rsidR="007B3C22" w:rsidRPr="002469C2">
        <w:rPr>
          <w:rFonts w:cs="Calibri"/>
          <w:sz w:val="24"/>
          <w:highlight w:val="yellow"/>
        </w:rPr>
        <w:t>sample.</w:t>
      </w:r>
      <w:r w:rsidR="00393E2E" w:rsidRPr="002469C2">
        <w:rPr>
          <w:rFonts w:cs="Calibri"/>
          <w:sz w:val="24"/>
          <w:highlight w:val="yellow"/>
        </w:rPr>
        <w:t xml:space="preserve"> </w:t>
      </w:r>
      <w:r w:rsidR="007B3C22" w:rsidRPr="002469C2">
        <w:rPr>
          <w:rFonts w:cs="Calibri" w:hint="eastAsia"/>
          <w:sz w:val="24"/>
          <w:highlight w:val="yellow"/>
        </w:rPr>
        <w:t xml:space="preserve">If the test was performed 4 hours after collection, </w:t>
      </w:r>
      <w:r>
        <w:rPr>
          <w:rFonts w:cs="Calibri"/>
          <w:sz w:val="24"/>
          <w:highlight w:val="yellow"/>
        </w:rPr>
        <w:t xml:space="preserve">store </w:t>
      </w:r>
      <w:r w:rsidR="007B3C22" w:rsidRPr="002469C2">
        <w:rPr>
          <w:rFonts w:cs="Calibri" w:hint="eastAsia"/>
          <w:sz w:val="24"/>
          <w:highlight w:val="yellow"/>
        </w:rPr>
        <w:t>the blood in the 4</w:t>
      </w:r>
      <w:r>
        <w:rPr>
          <w:rFonts w:cs="Calibri"/>
          <w:sz w:val="24"/>
          <w:highlight w:val="yellow"/>
        </w:rPr>
        <w:t xml:space="preserve"> °C</w:t>
      </w:r>
      <w:r w:rsidR="007B3C22" w:rsidRPr="002469C2">
        <w:rPr>
          <w:rFonts w:cs="Calibri" w:hint="eastAsia"/>
          <w:sz w:val="24"/>
          <w:highlight w:val="yellow"/>
        </w:rPr>
        <w:t xml:space="preserve"> refrigerator.</w:t>
      </w:r>
    </w:p>
    <w:p w14:paraId="1ECFA127" w14:textId="77777777" w:rsidR="00857539" w:rsidRPr="00E408F5" w:rsidRDefault="00857539" w:rsidP="00342AEA">
      <w:pPr>
        <w:pStyle w:val="ListParagraph"/>
        <w:ind w:left="0"/>
        <w:rPr>
          <w:rFonts w:cs="Calibri"/>
          <w:sz w:val="24"/>
          <w:shd w:val="pct15" w:color="auto" w:fill="FFFFFF"/>
        </w:rPr>
      </w:pPr>
    </w:p>
    <w:p w14:paraId="1E66153C" w14:textId="001B1394" w:rsidR="00355E68" w:rsidRPr="002469C2" w:rsidRDefault="00355E68" w:rsidP="00342AEA">
      <w:pPr>
        <w:numPr>
          <w:ilvl w:val="2"/>
          <w:numId w:val="29"/>
        </w:numPr>
        <w:ind w:left="0" w:firstLine="0"/>
        <w:contextualSpacing/>
        <w:jc w:val="left"/>
        <w:rPr>
          <w:rFonts w:cs="Calibri"/>
          <w:sz w:val="24"/>
          <w:highlight w:val="yellow"/>
        </w:rPr>
      </w:pPr>
      <w:r w:rsidRPr="002469C2">
        <w:rPr>
          <w:rFonts w:cs="Calibri"/>
          <w:sz w:val="24"/>
          <w:highlight w:val="yellow"/>
        </w:rPr>
        <w:t>Collect urine over a 6-hour period</w:t>
      </w:r>
      <w:r w:rsidR="0048457A" w:rsidRPr="002469C2">
        <w:rPr>
          <w:rFonts w:cs="Calibri"/>
          <w:sz w:val="24"/>
          <w:highlight w:val="yellow"/>
        </w:rPr>
        <w:t>,</w:t>
      </w:r>
      <w:r w:rsidRPr="002469C2">
        <w:rPr>
          <w:rFonts w:cs="Calibri"/>
          <w:sz w:val="24"/>
          <w:highlight w:val="yellow"/>
        </w:rPr>
        <w:t xml:space="preserve"> according to the </w:t>
      </w:r>
      <w:r w:rsidRPr="002469C2">
        <w:rPr>
          <w:rFonts w:cs="Calibri"/>
          <w:sz w:val="24"/>
          <w:highlight w:val="yellow"/>
          <w:lang w:eastAsia="en-IN"/>
        </w:rPr>
        <w:t>schedule</w:t>
      </w:r>
      <w:r w:rsidRPr="002469C2">
        <w:rPr>
          <w:rFonts w:cs="Calibri"/>
          <w:sz w:val="24"/>
          <w:highlight w:val="yellow"/>
        </w:rPr>
        <w:t xml:space="preserve"> of assessment</w:t>
      </w:r>
      <w:r w:rsidR="002469C2" w:rsidRPr="002469C2">
        <w:rPr>
          <w:rFonts w:cs="Calibri"/>
          <w:sz w:val="24"/>
          <w:highlight w:val="yellow"/>
        </w:rPr>
        <w:t xml:space="preserve"> </w:t>
      </w:r>
      <w:r w:rsidR="00E90EC3" w:rsidRPr="002469C2">
        <w:rPr>
          <w:rFonts w:cs="Calibri" w:hint="eastAsia"/>
          <w:sz w:val="24"/>
          <w:highlight w:val="yellow"/>
        </w:rPr>
        <w:t>(</w:t>
      </w:r>
      <w:r w:rsidR="00E90EC3" w:rsidRPr="002469C2">
        <w:rPr>
          <w:rFonts w:cs="Calibri" w:hint="eastAsia"/>
          <w:b/>
          <w:sz w:val="24"/>
          <w:highlight w:val="yellow"/>
        </w:rPr>
        <w:t>Table 1</w:t>
      </w:r>
      <w:r w:rsidR="00E90EC3" w:rsidRPr="002469C2">
        <w:rPr>
          <w:rFonts w:cs="Calibri" w:hint="eastAsia"/>
          <w:sz w:val="24"/>
          <w:highlight w:val="yellow"/>
        </w:rPr>
        <w:t>)</w:t>
      </w:r>
      <w:r w:rsidRPr="002469C2">
        <w:rPr>
          <w:rFonts w:cs="Calibri"/>
          <w:sz w:val="24"/>
          <w:highlight w:val="yellow"/>
        </w:rPr>
        <w:t>.</w:t>
      </w:r>
      <w:r w:rsidR="002469C2" w:rsidRPr="002469C2">
        <w:rPr>
          <w:rFonts w:cs="Calibri"/>
          <w:sz w:val="24"/>
          <w:highlight w:val="yellow"/>
        </w:rPr>
        <w:t xml:space="preserve"> </w:t>
      </w:r>
      <w:r w:rsidRPr="002469C2">
        <w:rPr>
          <w:rFonts w:cs="Calibri"/>
          <w:sz w:val="24"/>
          <w:highlight w:val="yellow"/>
        </w:rPr>
        <w:t>Record the collected volume of the urine for the applicable treatment day</w:t>
      </w:r>
      <w:r w:rsidR="00E90EC3" w:rsidRPr="002469C2">
        <w:rPr>
          <w:rFonts w:cs="Calibri" w:hint="eastAsia"/>
          <w:sz w:val="24"/>
          <w:highlight w:val="yellow"/>
        </w:rPr>
        <w:t xml:space="preserve"> and store in the 4</w:t>
      </w:r>
      <w:r w:rsidR="002469C2" w:rsidRPr="002469C2">
        <w:rPr>
          <w:rFonts w:cs="Calibri"/>
          <w:sz w:val="24"/>
          <w:highlight w:val="yellow"/>
        </w:rPr>
        <w:t xml:space="preserve"> °C </w:t>
      </w:r>
      <w:r w:rsidR="00E90EC3" w:rsidRPr="002469C2">
        <w:rPr>
          <w:rFonts w:cs="Calibri" w:hint="eastAsia"/>
          <w:sz w:val="24"/>
          <w:highlight w:val="yellow"/>
        </w:rPr>
        <w:t>refrigerator</w:t>
      </w:r>
      <w:r w:rsidRPr="002469C2">
        <w:rPr>
          <w:rFonts w:cs="Calibri"/>
          <w:sz w:val="24"/>
          <w:highlight w:val="yellow"/>
        </w:rPr>
        <w:t>. Take an aliquot from the urine collection and transfer it to a central laboratory for analysis of efficacy parameters.</w:t>
      </w:r>
    </w:p>
    <w:p w14:paraId="4D495DE3" w14:textId="77777777" w:rsidR="00355E68" w:rsidRPr="00FD6973" w:rsidRDefault="00355E68" w:rsidP="00342AEA">
      <w:pPr>
        <w:contextualSpacing/>
        <w:jc w:val="left"/>
        <w:rPr>
          <w:rFonts w:cs="Calibri"/>
          <w:sz w:val="24"/>
        </w:rPr>
      </w:pPr>
    </w:p>
    <w:p w14:paraId="12A3A50F" w14:textId="77777777" w:rsidR="00355E68" w:rsidRPr="00857539" w:rsidRDefault="00355E68" w:rsidP="00342AEA">
      <w:pPr>
        <w:pStyle w:val="ListParagraph"/>
        <w:numPr>
          <w:ilvl w:val="1"/>
          <w:numId w:val="29"/>
        </w:numPr>
        <w:ind w:left="0" w:firstLine="0"/>
        <w:contextualSpacing/>
        <w:jc w:val="left"/>
        <w:rPr>
          <w:rFonts w:cs="Calibri"/>
          <w:sz w:val="24"/>
        </w:rPr>
      </w:pPr>
      <w:r w:rsidRPr="00857539">
        <w:rPr>
          <w:rFonts w:cs="Calibri"/>
          <w:bCs/>
          <w:sz w:val="24"/>
        </w:rPr>
        <w:t xml:space="preserve">Safety </w:t>
      </w:r>
      <w:r w:rsidR="00FD6973" w:rsidRPr="00857539">
        <w:rPr>
          <w:rFonts w:cs="Calibri"/>
          <w:bCs/>
          <w:sz w:val="24"/>
        </w:rPr>
        <w:t>a</w:t>
      </w:r>
      <w:r w:rsidRPr="00857539">
        <w:rPr>
          <w:rFonts w:cs="Calibri"/>
          <w:bCs/>
          <w:sz w:val="24"/>
        </w:rPr>
        <w:t>ssessments</w:t>
      </w:r>
    </w:p>
    <w:p w14:paraId="2AFFF0E4" w14:textId="77777777" w:rsidR="00355E68" w:rsidRPr="00857539" w:rsidRDefault="00355E68" w:rsidP="00342AEA">
      <w:pPr>
        <w:contextualSpacing/>
        <w:jc w:val="left"/>
        <w:rPr>
          <w:rFonts w:cs="Calibri"/>
          <w:sz w:val="24"/>
        </w:rPr>
      </w:pPr>
    </w:p>
    <w:p w14:paraId="37C91666" w14:textId="77777777" w:rsidR="00355E68" w:rsidRPr="00857539" w:rsidRDefault="00D60FE0" w:rsidP="00342AEA">
      <w:pPr>
        <w:contextualSpacing/>
        <w:jc w:val="left"/>
        <w:rPr>
          <w:rFonts w:cs="Calibri"/>
          <w:sz w:val="24"/>
        </w:rPr>
      </w:pPr>
      <w:r w:rsidRPr="00857539">
        <w:rPr>
          <w:rFonts w:cs="Calibri"/>
          <w:sz w:val="24"/>
        </w:rPr>
        <w:t>NOTE:</w:t>
      </w:r>
      <w:r w:rsidR="00355E68" w:rsidRPr="00857539">
        <w:rPr>
          <w:rFonts w:cs="Calibri"/>
          <w:sz w:val="24"/>
        </w:rPr>
        <w:t xml:space="preserve"> The safety assessments in this study included:</w:t>
      </w:r>
    </w:p>
    <w:p w14:paraId="386D0A0B" w14:textId="77777777" w:rsidR="00355E68" w:rsidRPr="00857539" w:rsidRDefault="00355E68" w:rsidP="00342AEA">
      <w:pPr>
        <w:numPr>
          <w:ilvl w:val="0"/>
          <w:numId w:val="5"/>
        </w:numPr>
        <w:ind w:left="0" w:firstLine="0"/>
        <w:contextualSpacing/>
        <w:jc w:val="left"/>
        <w:rPr>
          <w:rFonts w:cs="Calibri"/>
          <w:sz w:val="24"/>
        </w:rPr>
      </w:pPr>
      <w:r w:rsidRPr="00857539">
        <w:rPr>
          <w:rFonts w:cs="Calibri"/>
          <w:sz w:val="24"/>
        </w:rPr>
        <w:t>Adverse events and SAEs</w:t>
      </w:r>
    </w:p>
    <w:p w14:paraId="4A270A4F" w14:textId="77777777" w:rsidR="00355E68" w:rsidRPr="00857539" w:rsidRDefault="00355E68" w:rsidP="00342AEA">
      <w:pPr>
        <w:numPr>
          <w:ilvl w:val="0"/>
          <w:numId w:val="5"/>
        </w:numPr>
        <w:ind w:left="0" w:firstLine="0"/>
        <w:contextualSpacing/>
        <w:jc w:val="left"/>
        <w:rPr>
          <w:rFonts w:cs="Calibri"/>
          <w:sz w:val="24"/>
        </w:rPr>
      </w:pPr>
      <w:bookmarkStart w:id="15" w:name="OLE_LINK36"/>
      <w:r w:rsidRPr="00857539">
        <w:rPr>
          <w:rFonts w:cs="Calibri"/>
          <w:sz w:val="24"/>
        </w:rPr>
        <w:t xml:space="preserve">Vital sign </w:t>
      </w:r>
      <w:bookmarkEnd w:id="15"/>
      <w:r w:rsidRPr="00857539">
        <w:rPr>
          <w:rFonts w:cs="Calibri"/>
          <w:sz w:val="24"/>
        </w:rPr>
        <w:t>assessment and physical examination findings, including body weight and injection-site rating by the investigator</w:t>
      </w:r>
    </w:p>
    <w:p w14:paraId="56C34905" w14:textId="77777777" w:rsidR="00355E68" w:rsidRPr="00857539" w:rsidRDefault="00355E68" w:rsidP="00342AEA">
      <w:pPr>
        <w:numPr>
          <w:ilvl w:val="0"/>
          <w:numId w:val="5"/>
        </w:numPr>
        <w:ind w:left="0" w:firstLine="0"/>
        <w:contextualSpacing/>
        <w:jc w:val="left"/>
        <w:rPr>
          <w:rFonts w:cs="Calibri"/>
          <w:sz w:val="24"/>
        </w:rPr>
      </w:pPr>
      <w:bookmarkStart w:id="16" w:name="OLE_LINK37"/>
      <w:r w:rsidRPr="00857539">
        <w:rPr>
          <w:rFonts w:cs="Calibri"/>
          <w:sz w:val="24"/>
        </w:rPr>
        <w:t>Clinical laboratory</w:t>
      </w:r>
      <w:bookmarkEnd w:id="16"/>
      <w:r w:rsidRPr="00857539">
        <w:rPr>
          <w:rFonts w:cs="Calibri"/>
          <w:sz w:val="24"/>
        </w:rPr>
        <w:t xml:space="preserve"> assessments: Hematology, serum chemistry, urinalysis, and other required laboratory assessments by the investigator</w:t>
      </w:r>
    </w:p>
    <w:p w14:paraId="1CD53A3B" w14:textId="77777777" w:rsidR="00355E68" w:rsidRPr="00981557" w:rsidRDefault="00355E68" w:rsidP="00342AEA">
      <w:pPr>
        <w:contextualSpacing/>
        <w:jc w:val="left"/>
        <w:rPr>
          <w:rFonts w:cs="Calibri"/>
          <w:sz w:val="24"/>
        </w:rPr>
      </w:pPr>
    </w:p>
    <w:p w14:paraId="3B27B51D" w14:textId="77777777" w:rsidR="00355E68" w:rsidRPr="002469C2" w:rsidRDefault="00FD6973" w:rsidP="00342AEA">
      <w:pPr>
        <w:numPr>
          <w:ilvl w:val="0"/>
          <w:numId w:val="1"/>
        </w:numPr>
        <w:ind w:left="0" w:firstLine="0"/>
        <w:contextualSpacing/>
        <w:jc w:val="left"/>
        <w:rPr>
          <w:rFonts w:cs="Calibri"/>
          <w:b/>
          <w:bCs/>
          <w:sz w:val="24"/>
          <w:highlight w:val="yellow"/>
        </w:rPr>
      </w:pPr>
      <w:r w:rsidRPr="002469C2">
        <w:rPr>
          <w:rFonts w:cs="Calibri"/>
          <w:b/>
          <w:bCs/>
          <w:sz w:val="24"/>
          <w:highlight w:val="yellow"/>
        </w:rPr>
        <w:t>Study treatments</w:t>
      </w:r>
    </w:p>
    <w:p w14:paraId="7D5BDE8A" w14:textId="77777777" w:rsidR="00355E68" w:rsidRPr="002469C2" w:rsidRDefault="00355E68" w:rsidP="00342AEA">
      <w:pPr>
        <w:contextualSpacing/>
        <w:jc w:val="left"/>
        <w:rPr>
          <w:rFonts w:cs="Calibri"/>
          <w:b/>
          <w:bCs/>
          <w:sz w:val="24"/>
          <w:highlight w:val="yellow"/>
        </w:rPr>
      </w:pPr>
    </w:p>
    <w:p w14:paraId="48755F80" w14:textId="77777777" w:rsidR="00355E68" w:rsidRPr="002469C2" w:rsidRDefault="00355E68" w:rsidP="00342AEA">
      <w:pPr>
        <w:pStyle w:val="ListParagraph"/>
        <w:numPr>
          <w:ilvl w:val="1"/>
          <w:numId w:val="30"/>
        </w:numPr>
        <w:ind w:left="0" w:firstLine="0"/>
        <w:contextualSpacing/>
        <w:jc w:val="left"/>
        <w:rPr>
          <w:rFonts w:cs="Calibri"/>
          <w:bCs/>
          <w:sz w:val="24"/>
          <w:highlight w:val="yellow"/>
        </w:rPr>
      </w:pPr>
      <w:r w:rsidRPr="002469C2">
        <w:rPr>
          <w:rFonts w:cs="Calibri"/>
          <w:sz w:val="24"/>
          <w:highlight w:val="yellow"/>
        </w:rPr>
        <w:t>Dosage</w:t>
      </w:r>
      <w:r w:rsidRPr="002469C2">
        <w:rPr>
          <w:rFonts w:cs="Calibri"/>
          <w:bCs/>
          <w:sz w:val="24"/>
          <w:highlight w:val="yellow"/>
        </w:rPr>
        <w:t xml:space="preserve"> Forms and Administration</w:t>
      </w:r>
    </w:p>
    <w:p w14:paraId="59DD85A5" w14:textId="77777777" w:rsidR="00FD6973" w:rsidRPr="002469C2" w:rsidRDefault="00FD6973" w:rsidP="00342AEA">
      <w:pPr>
        <w:pStyle w:val="ListParagraph"/>
        <w:ind w:left="0"/>
        <w:contextualSpacing/>
        <w:jc w:val="left"/>
        <w:rPr>
          <w:rFonts w:cs="Calibri"/>
          <w:bCs/>
          <w:sz w:val="24"/>
          <w:highlight w:val="yellow"/>
        </w:rPr>
      </w:pPr>
    </w:p>
    <w:p w14:paraId="26808A07" w14:textId="77777777" w:rsidR="002469C2" w:rsidRPr="002469C2" w:rsidRDefault="00D60FE0" w:rsidP="00342AEA">
      <w:pPr>
        <w:contextualSpacing/>
        <w:jc w:val="left"/>
        <w:rPr>
          <w:rFonts w:cs="Calibri"/>
          <w:sz w:val="24"/>
          <w:highlight w:val="yellow"/>
        </w:rPr>
      </w:pPr>
      <w:r w:rsidRPr="002469C2">
        <w:rPr>
          <w:rFonts w:cs="Calibri"/>
          <w:sz w:val="24"/>
          <w:highlight w:val="yellow"/>
        </w:rPr>
        <w:t>NOTE:</w:t>
      </w:r>
      <w:r w:rsidR="00355E68" w:rsidRPr="002469C2">
        <w:rPr>
          <w:rFonts w:cs="Calibri"/>
          <w:sz w:val="24"/>
          <w:highlight w:val="yellow"/>
        </w:rPr>
        <w:t xml:space="preserve"> For this study, the treatments </w:t>
      </w:r>
      <w:r w:rsidR="002B2BA9" w:rsidRPr="002469C2">
        <w:rPr>
          <w:rFonts w:cs="Calibri"/>
          <w:sz w:val="24"/>
          <w:highlight w:val="yellow"/>
        </w:rPr>
        <w:t xml:space="preserve">were </w:t>
      </w:r>
      <w:r w:rsidR="00355E68" w:rsidRPr="002469C2">
        <w:rPr>
          <w:rFonts w:cs="Calibri"/>
          <w:sz w:val="24"/>
          <w:highlight w:val="yellow"/>
        </w:rPr>
        <w:t>intended to provide 25 kilocalories per kilogram per day (kcal/kg/day) using a PN admixture that contained 910 kcal/1.5 L, with a dextrose-to-lipid ratio of 62:38 and 5.4 grams (g) nitrogen/1.5 L. The study treatment was delivered over 12 to 22 hours.</w:t>
      </w:r>
      <w:r w:rsidR="002469C2" w:rsidRPr="002469C2">
        <w:rPr>
          <w:rFonts w:cs="Calibri"/>
          <w:sz w:val="24"/>
          <w:highlight w:val="yellow"/>
        </w:rPr>
        <w:t xml:space="preserve"> </w:t>
      </w:r>
    </w:p>
    <w:p w14:paraId="1D2B9ACF" w14:textId="77777777" w:rsidR="002469C2" w:rsidRPr="002469C2" w:rsidRDefault="002469C2" w:rsidP="00342AEA">
      <w:pPr>
        <w:contextualSpacing/>
        <w:jc w:val="left"/>
        <w:rPr>
          <w:rFonts w:cs="Calibri"/>
          <w:sz w:val="24"/>
          <w:highlight w:val="yellow"/>
        </w:rPr>
      </w:pPr>
      <w:bookmarkStart w:id="17" w:name="_GoBack"/>
      <w:bookmarkEnd w:id="17"/>
    </w:p>
    <w:p w14:paraId="17A43DAA" w14:textId="3BD055E7" w:rsidR="002469C2" w:rsidRPr="002469C2" w:rsidRDefault="002469C2" w:rsidP="00342AEA">
      <w:pPr>
        <w:pStyle w:val="ListParagraph"/>
        <w:numPr>
          <w:ilvl w:val="2"/>
          <w:numId w:val="30"/>
        </w:numPr>
        <w:ind w:left="0" w:firstLine="0"/>
        <w:contextualSpacing/>
        <w:jc w:val="left"/>
        <w:rPr>
          <w:rFonts w:cs="Calibri"/>
          <w:sz w:val="24"/>
          <w:highlight w:val="yellow"/>
        </w:rPr>
      </w:pPr>
      <w:r w:rsidRPr="002469C2">
        <w:rPr>
          <w:rFonts w:cs="Calibri"/>
          <w:sz w:val="24"/>
          <w:highlight w:val="yellow"/>
        </w:rPr>
        <w:t xml:space="preserve">For </w:t>
      </w:r>
      <w:r w:rsidR="00355E68" w:rsidRPr="002469C2">
        <w:rPr>
          <w:rFonts w:cs="Calibri"/>
          <w:sz w:val="24"/>
          <w:highlight w:val="yellow"/>
        </w:rPr>
        <w:t xml:space="preserve">Treatment A (test treatment) </w:t>
      </w:r>
      <w:r w:rsidRPr="002469C2">
        <w:rPr>
          <w:rFonts w:cs="Calibri"/>
          <w:sz w:val="24"/>
          <w:highlight w:val="yellow"/>
        </w:rPr>
        <w:t xml:space="preserve">which </w:t>
      </w:r>
      <w:r w:rsidR="0097217E" w:rsidRPr="002469C2">
        <w:rPr>
          <w:rFonts w:cs="Calibri"/>
          <w:sz w:val="24"/>
          <w:highlight w:val="yellow"/>
        </w:rPr>
        <w:t xml:space="preserve">comprises </w:t>
      </w:r>
      <w:r w:rsidR="00355E68" w:rsidRPr="002469C2">
        <w:rPr>
          <w:rFonts w:cs="Calibri"/>
          <w:sz w:val="24"/>
          <w:highlight w:val="yellow"/>
        </w:rPr>
        <w:t>olive</w:t>
      </w:r>
      <w:r w:rsidR="0097217E" w:rsidRPr="002469C2">
        <w:rPr>
          <w:rFonts w:cs="Calibri"/>
          <w:sz w:val="24"/>
          <w:highlight w:val="yellow"/>
        </w:rPr>
        <w:t>-</w:t>
      </w:r>
      <w:r w:rsidR="00355E68" w:rsidRPr="002469C2">
        <w:rPr>
          <w:rFonts w:cs="Calibri"/>
          <w:sz w:val="24"/>
          <w:highlight w:val="yellow"/>
        </w:rPr>
        <w:t>oil-based 3CBs</w:t>
      </w:r>
      <w:r w:rsidRPr="002469C2">
        <w:rPr>
          <w:rFonts w:cs="Calibri"/>
          <w:sz w:val="24"/>
          <w:highlight w:val="yellow"/>
        </w:rPr>
        <w:t>, use</w:t>
      </w:r>
      <w:r w:rsidR="00B55999" w:rsidRPr="002469C2">
        <w:rPr>
          <w:rFonts w:cs="Calibri"/>
          <w:sz w:val="24"/>
          <w:highlight w:val="yellow"/>
        </w:rPr>
        <w:t xml:space="preserve"> dextrose (D-glucose) solution (final mixed concentration 80 g</w:t>
      </w:r>
      <w:r w:rsidRPr="002469C2">
        <w:rPr>
          <w:rFonts w:cs="Calibri"/>
          <w:sz w:val="24"/>
          <w:highlight w:val="yellow"/>
        </w:rPr>
        <w:t>/L</w:t>
      </w:r>
      <w:r w:rsidR="00B55999" w:rsidRPr="002469C2">
        <w:rPr>
          <w:rFonts w:cs="Calibri"/>
          <w:sz w:val="24"/>
          <w:highlight w:val="yellow"/>
        </w:rPr>
        <w:t>) with</w:t>
      </w:r>
      <w:r w:rsidR="008F3EE3" w:rsidRPr="002469C2">
        <w:rPr>
          <w:rFonts w:cs="Calibri" w:hint="eastAsia"/>
          <w:sz w:val="24"/>
          <w:highlight w:val="yellow"/>
        </w:rPr>
        <w:t xml:space="preserve"> </w:t>
      </w:r>
      <w:r w:rsidR="00B55999" w:rsidRPr="002469C2">
        <w:rPr>
          <w:rFonts w:cs="Calibri"/>
          <w:sz w:val="24"/>
          <w:highlight w:val="yellow"/>
        </w:rPr>
        <w:t xml:space="preserve">calcium (final mixed concentration 2 </w:t>
      </w:r>
      <w:r w:rsidR="00B55999" w:rsidRPr="002469C2">
        <w:rPr>
          <w:rFonts w:cs="Calibri"/>
          <w:sz w:val="24"/>
          <w:highlight w:val="yellow"/>
        </w:rPr>
        <w:lastRenderedPageBreak/>
        <w:t>mmol</w:t>
      </w:r>
      <w:r w:rsidRPr="002469C2">
        <w:rPr>
          <w:rFonts w:cs="Calibri"/>
          <w:sz w:val="24"/>
          <w:highlight w:val="yellow"/>
        </w:rPr>
        <w:t>/L</w:t>
      </w:r>
      <w:r w:rsidR="00B55999" w:rsidRPr="002469C2">
        <w:rPr>
          <w:rFonts w:cs="Calibri"/>
          <w:sz w:val="24"/>
          <w:highlight w:val="yellow"/>
        </w:rPr>
        <w:t>); a middle</w:t>
      </w:r>
      <w:r w:rsidRPr="002469C2">
        <w:rPr>
          <w:rFonts w:cs="Calibri"/>
          <w:sz w:val="24"/>
          <w:highlight w:val="yellow"/>
        </w:rPr>
        <w:t xml:space="preserve"> </w:t>
      </w:r>
      <w:r w:rsidR="00B55999" w:rsidRPr="002469C2">
        <w:rPr>
          <w:rFonts w:cs="Calibri"/>
          <w:sz w:val="24"/>
          <w:highlight w:val="yellow"/>
        </w:rPr>
        <w:t>chamber that contains a solution of 15 amino acids (final</w:t>
      </w:r>
      <w:r w:rsidRPr="002469C2">
        <w:rPr>
          <w:rFonts w:cs="Calibri"/>
          <w:sz w:val="24"/>
          <w:highlight w:val="yellow"/>
        </w:rPr>
        <w:t xml:space="preserve"> </w:t>
      </w:r>
      <w:r w:rsidR="00B55999" w:rsidRPr="002469C2">
        <w:rPr>
          <w:rFonts w:cs="Calibri"/>
          <w:sz w:val="24"/>
          <w:highlight w:val="yellow"/>
        </w:rPr>
        <w:t>mixed concentration 22 g</w:t>
      </w:r>
      <w:r w:rsidRPr="002469C2">
        <w:rPr>
          <w:rFonts w:cs="Calibri"/>
          <w:sz w:val="24"/>
          <w:highlight w:val="yellow"/>
        </w:rPr>
        <w:t>/L</w:t>
      </w:r>
      <w:r w:rsidR="00B55999" w:rsidRPr="002469C2">
        <w:rPr>
          <w:rFonts w:cs="Calibri"/>
          <w:sz w:val="24"/>
          <w:highlight w:val="yellow"/>
        </w:rPr>
        <w:t>), with electrolytes including</w:t>
      </w:r>
      <w:r w:rsidR="00A54994" w:rsidRPr="002469C2">
        <w:rPr>
          <w:rFonts w:cs="Calibri" w:hint="eastAsia"/>
          <w:sz w:val="24"/>
          <w:highlight w:val="yellow"/>
        </w:rPr>
        <w:t xml:space="preserve"> </w:t>
      </w:r>
      <w:r w:rsidR="00B55999" w:rsidRPr="002469C2">
        <w:rPr>
          <w:rFonts w:cs="Calibri"/>
          <w:sz w:val="24"/>
          <w:highlight w:val="yellow"/>
        </w:rPr>
        <w:t>sodium (final mixed concentration 21 mmol</w:t>
      </w:r>
      <w:r w:rsidRPr="002469C2">
        <w:rPr>
          <w:rFonts w:cs="Calibri"/>
          <w:sz w:val="24"/>
          <w:highlight w:val="yellow"/>
        </w:rPr>
        <w:t>/L</w:t>
      </w:r>
      <w:r w:rsidR="00B55999" w:rsidRPr="002469C2">
        <w:rPr>
          <w:rFonts w:cs="Calibri"/>
          <w:sz w:val="24"/>
          <w:highlight w:val="yellow"/>
        </w:rPr>
        <w:t>),potassium (final mixed concentration 16 mmol</w:t>
      </w:r>
      <w:r w:rsidRPr="002469C2">
        <w:rPr>
          <w:rFonts w:cs="Calibri"/>
          <w:sz w:val="24"/>
          <w:highlight w:val="yellow"/>
        </w:rPr>
        <w:t>/L</w:t>
      </w:r>
      <w:r w:rsidR="00B55999" w:rsidRPr="002469C2">
        <w:rPr>
          <w:rFonts w:cs="Calibri"/>
          <w:sz w:val="24"/>
          <w:highlight w:val="yellow"/>
        </w:rPr>
        <w:t>), magnesium(final mixed concentration 2.2 mmol</w:t>
      </w:r>
      <w:r w:rsidRPr="002469C2">
        <w:rPr>
          <w:rFonts w:cs="Calibri"/>
          <w:sz w:val="24"/>
          <w:highlight w:val="yellow"/>
        </w:rPr>
        <w:t>/L</w:t>
      </w:r>
      <w:r w:rsidR="00B55999" w:rsidRPr="002469C2">
        <w:rPr>
          <w:rFonts w:cs="Calibri"/>
          <w:sz w:val="24"/>
          <w:highlight w:val="yellow"/>
        </w:rPr>
        <w:t>), and</w:t>
      </w:r>
      <w:r w:rsidRPr="002469C2">
        <w:rPr>
          <w:rFonts w:cs="Calibri"/>
          <w:sz w:val="24"/>
          <w:highlight w:val="yellow"/>
        </w:rPr>
        <w:t xml:space="preserve"> </w:t>
      </w:r>
      <w:r w:rsidR="00B55999" w:rsidRPr="002469C2">
        <w:rPr>
          <w:rFonts w:cs="Calibri"/>
          <w:sz w:val="24"/>
          <w:highlight w:val="yellow"/>
        </w:rPr>
        <w:t>phosphate (final mixed concentration 8.5 mmol</w:t>
      </w:r>
      <w:r w:rsidRPr="002469C2">
        <w:rPr>
          <w:rFonts w:cs="Calibri"/>
          <w:sz w:val="24"/>
          <w:highlight w:val="yellow"/>
        </w:rPr>
        <w:t>/L</w:t>
      </w:r>
      <w:r w:rsidR="00B55999" w:rsidRPr="002469C2">
        <w:rPr>
          <w:rFonts w:cs="Calibri"/>
          <w:sz w:val="24"/>
          <w:highlight w:val="yellow"/>
        </w:rPr>
        <w:t>); and</w:t>
      </w:r>
      <w:r w:rsidR="00A54994" w:rsidRPr="002469C2">
        <w:rPr>
          <w:rFonts w:cs="Calibri" w:hint="eastAsia"/>
          <w:sz w:val="24"/>
          <w:highlight w:val="yellow"/>
        </w:rPr>
        <w:t xml:space="preserve"> </w:t>
      </w:r>
      <w:r w:rsidR="00B55999" w:rsidRPr="002469C2">
        <w:rPr>
          <w:rFonts w:cs="Calibri"/>
          <w:sz w:val="24"/>
          <w:highlight w:val="yellow"/>
        </w:rPr>
        <w:t>a smaller outer chamber that contains a lipid emulsion</w:t>
      </w:r>
      <w:r w:rsidRPr="002469C2">
        <w:rPr>
          <w:rFonts w:cs="Calibri"/>
          <w:sz w:val="24"/>
          <w:highlight w:val="yellow"/>
        </w:rPr>
        <w:t xml:space="preserve"> </w:t>
      </w:r>
      <w:r w:rsidR="00B55999" w:rsidRPr="002469C2">
        <w:rPr>
          <w:rFonts w:cs="Calibri"/>
          <w:sz w:val="24"/>
          <w:highlight w:val="yellow"/>
        </w:rPr>
        <w:t>comprising 80 % olive oil and 20 % soybean oil (final</w:t>
      </w:r>
      <w:r w:rsidRPr="002469C2">
        <w:rPr>
          <w:rFonts w:cs="Calibri"/>
          <w:sz w:val="24"/>
          <w:highlight w:val="yellow"/>
        </w:rPr>
        <w:t xml:space="preserve"> </w:t>
      </w:r>
      <w:r w:rsidR="00B55999" w:rsidRPr="002469C2">
        <w:rPr>
          <w:rFonts w:cs="Calibri"/>
          <w:sz w:val="24"/>
          <w:highlight w:val="yellow"/>
        </w:rPr>
        <w:t>mixed concentration 20 g</w:t>
      </w:r>
      <w:r w:rsidRPr="002469C2">
        <w:rPr>
          <w:rFonts w:cs="Calibri"/>
          <w:sz w:val="24"/>
          <w:highlight w:val="yellow"/>
        </w:rPr>
        <w:t>/L</w:t>
      </w:r>
      <w:r w:rsidR="00B55999" w:rsidRPr="002469C2">
        <w:rPr>
          <w:rFonts w:cs="Calibri"/>
          <w:sz w:val="24"/>
          <w:highlight w:val="yellow"/>
        </w:rPr>
        <w:t>).</w:t>
      </w:r>
      <w:r w:rsidRPr="002469C2">
        <w:rPr>
          <w:rFonts w:cs="Calibri"/>
          <w:sz w:val="24"/>
          <w:highlight w:val="yellow"/>
        </w:rPr>
        <w:t xml:space="preserve"> </w:t>
      </w:r>
    </w:p>
    <w:p w14:paraId="2300CAB0" w14:textId="77777777" w:rsidR="002469C2" w:rsidRPr="002469C2" w:rsidRDefault="002469C2" w:rsidP="00342AEA">
      <w:pPr>
        <w:contextualSpacing/>
        <w:jc w:val="left"/>
        <w:rPr>
          <w:rFonts w:cs="Calibri"/>
          <w:sz w:val="24"/>
          <w:highlight w:val="yellow"/>
        </w:rPr>
      </w:pPr>
    </w:p>
    <w:p w14:paraId="709F12D2" w14:textId="77777777" w:rsidR="002469C2" w:rsidRPr="002469C2" w:rsidRDefault="002469C2" w:rsidP="00342AEA">
      <w:pPr>
        <w:pStyle w:val="ListParagraph"/>
        <w:numPr>
          <w:ilvl w:val="2"/>
          <w:numId w:val="30"/>
        </w:numPr>
        <w:ind w:left="0" w:firstLine="0"/>
        <w:contextualSpacing/>
        <w:jc w:val="left"/>
        <w:rPr>
          <w:rFonts w:cs="Calibri"/>
          <w:sz w:val="24"/>
          <w:highlight w:val="yellow"/>
        </w:rPr>
      </w:pPr>
      <w:r w:rsidRPr="002469C2">
        <w:rPr>
          <w:rFonts w:cs="Calibri"/>
          <w:sz w:val="24"/>
          <w:highlight w:val="yellow"/>
        </w:rPr>
        <w:t xml:space="preserve">For </w:t>
      </w:r>
      <w:r w:rsidR="00355E68" w:rsidRPr="002469C2">
        <w:rPr>
          <w:rFonts w:cs="Calibri"/>
          <w:sz w:val="24"/>
          <w:highlight w:val="yellow"/>
        </w:rPr>
        <w:t>Treatment B (control treatment)</w:t>
      </w:r>
      <w:r w:rsidRPr="002469C2">
        <w:rPr>
          <w:rFonts w:cs="Calibri"/>
          <w:sz w:val="24"/>
          <w:highlight w:val="yellow"/>
        </w:rPr>
        <w:t xml:space="preserve">, use a </w:t>
      </w:r>
      <w:r w:rsidR="000D1A60" w:rsidRPr="002469C2">
        <w:rPr>
          <w:rFonts w:cs="Calibri"/>
          <w:sz w:val="24"/>
          <w:highlight w:val="yellow"/>
        </w:rPr>
        <w:t xml:space="preserve">compounded ternary PN admixture </w:t>
      </w:r>
      <w:r w:rsidRPr="002469C2">
        <w:rPr>
          <w:rFonts w:cs="Calibri"/>
          <w:sz w:val="24"/>
          <w:highlight w:val="yellow"/>
        </w:rPr>
        <w:t>that</w:t>
      </w:r>
      <w:r w:rsidR="000D1A60" w:rsidRPr="002469C2">
        <w:rPr>
          <w:rFonts w:cs="Calibri"/>
          <w:sz w:val="24"/>
          <w:highlight w:val="yellow"/>
        </w:rPr>
        <w:t xml:space="preserve"> ha</w:t>
      </w:r>
      <w:r w:rsidRPr="002469C2">
        <w:rPr>
          <w:rFonts w:cs="Calibri"/>
          <w:sz w:val="24"/>
          <w:highlight w:val="yellow"/>
        </w:rPr>
        <w:t>s</w:t>
      </w:r>
      <w:r w:rsidR="000D1A60" w:rsidRPr="002469C2">
        <w:rPr>
          <w:rFonts w:cs="Calibri"/>
          <w:sz w:val="24"/>
          <w:highlight w:val="yellow"/>
        </w:rPr>
        <w:t xml:space="preserve"> the same volume, energy,</w:t>
      </w:r>
      <w:r w:rsidRPr="002469C2">
        <w:rPr>
          <w:rFonts w:cs="Calibri"/>
          <w:sz w:val="24"/>
          <w:highlight w:val="yellow"/>
        </w:rPr>
        <w:t xml:space="preserve"> </w:t>
      </w:r>
      <w:r w:rsidR="000D1A60" w:rsidRPr="002469C2">
        <w:rPr>
          <w:rFonts w:cs="Calibri"/>
          <w:sz w:val="24"/>
          <w:highlight w:val="yellow"/>
        </w:rPr>
        <w:t>nitrogen and dextrose-to-lipid ratio as Treatment A</w:t>
      </w:r>
      <w:r w:rsidR="000D1A60" w:rsidRPr="002469C2">
        <w:rPr>
          <w:rFonts w:cs="Calibri" w:hint="eastAsia"/>
          <w:sz w:val="24"/>
          <w:highlight w:val="yellow"/>
        </w:rPr>
        <w:t xml:space="preserve">. It </w:t>
      </w:r>
      <w:r w:rsidR="0097217E" w:rsidRPr="002469C2">
        <w:rPr>
          <w:rFonts w:cs="Calibri"/>
          <w:sz w:val="24"/>
          <w:highlight w:val="yellow"/>
        </w:rPr>
        <w:t>comprises s</w:t>
      </w:r>
      <w:r w:rsidR="00355E68" w:rsidRPr="002469C2">
        <w:rPr>
          <w:rFonts w:cs="Calibri"/>
          <w:sz w:val="24"/>
          <w:highlight w:val="yellow"/>
        </w:rPr>
        <w:t xml:space="preserve">oybean-oil based </w:t>
      </w:r>
      <w:bookmarkStart w:id="18" w:name="OLE_LINK21"/>
      <w:bookmarkStart w:id="19" w:name="OLE_LINK42"/>
      <w:proofErr w:type="spellStart"/>
      <w:r w:rsidR="00355E68" w:rsidRPr="002469C2">
        <w:rPr>
          <w:rFonts w:cs="Calibri"/>
          <w:sz w:val="24"/>
          <w:highlight w:val="yellow"/>
        </w:rPr>
        <w:t>CoBs</w:t>
      </w:r>
      <w:bookmarkEnd w:id="18"/>
      <w:bookmarkEnd w:id="19"/>
      <w:proofErr w:type="spellEnd"/>
      <w:r w:rsidR="00355E68" w:rsidRPr="002469C2">
        <w:rPr>
          <w:rFonts w:cs="Calibri"/>
          <w:sz w:val="24"/>
          <w:highlight w:val="yellow"/>
        </w:rPr>
        <w:t xml:space="preserve">, </w:t>
      </w:r>
      <w:bookmarkStart w:id="20" w:name="OLE_LINK17"/>
      <w:bookmarkStart w:id="21" w:name="OLE_LINK20"/>
      <w:r w:rsidR="00355E68" w:rsidRPr="002469C2">
        <w:rPr>
          <w:rFonts w:cs="Calibri"/>
          <w:sz w:val="24"/>
          <w:highlight w:val="yellow"/>
        </w:rPr>
        <w:t>compound amino acid</w:t>
      </w:r>
      <w:bookmarkEnd w:id="20"/>
      <w:bookmarkEnd w:id="21"/>
      <w:r w:rsidR="00355E68" w:rsidRPr="002469C2">
        <w:rPr>
          <w:rFonts w:cs="Calibri"/>
          <w:sz w:val="24"/>
          <w:highlight w:val="yellow"/>
        </w:rPr>
        <w:t xml:space="preserve">, and </w:t>
      </w:r>
      <w:r w:rsidR="00355E68" w:rsidRPr="002469C2">
        <w:rPr>
          <w:rFonts w:cs="Calibri"/>
          <w:noProof/>
          <w:sz w:val="24"/>
          <w:highlight w:val="yellow"/>
          <w:lang w:eastAsia="en-IN"/>
        </w:rPr>
        <w:t>intralipid</w:t>
      </w:r>
      <w:r w:rsidR="00355E68" w:rsidRPr="002469C2">
        <w:rPr>
          <w:rFonts w:cs="Calibri"/>
          <w:sz w:val="24"/>
          <w:highlight w:val="yellow"/>
        </w:rPr>
        <w:t xml:space="preserve"> compounded as a 1.5-L admixture in the pharmacy.</w:t>
      </w:r>
      <w:r w:rsidRPr="002469C2">
        <w:rPr>
          <w:rFonts w:cs="Calibri"/>
          <w:sz w:val="24"/>
          <w:highlight w:val="yellow"/>
        </w:rPr>
        <w:t xml:space="preserve"> </w:t>
      </w:r>
    </w:p>
    <w:p w14:paraId="12721D53" w14:textId="77777777" w:rsidR="002469C2" w:rsidRPr="002469C2" w:rsidRDefault="002469C2" w:rsidP="00342AEA">
      <w:pPr>
        <w:pStyle w:val="ListParagraph"/>
        <w:ind w:left="0"/>
        <w:rPr>
          <w:rFonts w:cs="Calibri"/>
          <w:sz w:val="24"/>
          <w:highlight w:val="yellow"/>
        </w:rPr>
      </w:pPr>
    </w:p>
    <w:p w14:paraId="1E6A1CE4" w14:textId="60A0260B" w:rsidR="00BB33AA" w:rsidRPr="002469C2" w:rsidRDefault="002469C2" w:rsidP="00342AEA">
      <w:pPr>
        <w:pStyle w:val="ListParagraph"/>
        <w:numPr>
          <w:ilvl w:val="2"/>
          <w:numId w:val="30"/>
        </w:numPr>
        <w:ind w:left="0" w:firstLine="0"/>
        <w:contextualSpacing/>
        <w:jc w:val="left"/>
        <w:rPr>
          <w:rFonts w:cs="Calibri"/>
          <w:sz w:val="24"/>
          <w:highlight w:val="yellow"/>
        </w:rPr>
      </w:pPr>
      <w:r w:rsidRPr="002469C2">
        <w:rPr>
          <w:rFonts w:cs="Calibri"/>
          <w:sz w:val="24"/>
          <w:highlight w:val="yellow"/>
        </w:rPr>
        <w:t>Give e</w:t>
      </w:r>
      <w:r w:rsidR="000D1A60" w:rsidRPr="002469C2">
        <w:rPr>
          <w:rFonts w:cs="Calibri" w:hint="eastAsia"/>
          <w:sz w:val="24"/>
          <w:highlight w:val="yellow"/>
        </w:rPr>
        <w:t>ach</w:t>
      </w:r>
      <w:r w:rsidR="000D1A60" w:rsidRPr="002469C2">
        <w:rPr>
          <w:rFonts w:cs="Calibri"/>
          <w:sz w:val="24"/>
          <w:highlight w:val="yellow"/>
        </w:rPr>
        <w:t xml:space="preserve"> research site a table containing</w:t>
      </w:r>
      <w:r w:rsidRPr="002469C2">
        <w:rPr>
          <w:rFonts w:cs="Calibri"/>
          <w:sz w:val="24"/>
          <w:highlight w:val="yellow"/>
        </w:rPr>
        <w:t xml:space="preserve"> the</w:t>
      </w:r>
      <w:r w:rsidR="000D1A60" w:rsidRPr="002469C2">
        <w:rPr>
          <w:rFonts w:cs="Calibri"/>
          <w:sz w:val="24"/>
          <w:highlight w:val="yellow"/>
        </w:rPr>
        <w:t xml:space="preserve"> exact composition of different weight</w:t>
      </w:r>
      <w:r w:rsidRPr="002469C2">
        <w:rPr>
          <w:rFonts w:cs="Calibri"/>
          <w:sz w:val="24"/>
          <w:highlight w:val="yellow"/>
        </w:rPr>
        <w:t>s</w:t>
      </w:r>
      <w:r w:rsidR="000D1A60" w:rsidRPr="002469C2">
        <w:rPr>
          <w:rFonts w:cs="Calibri"/>
          <w:sz w:val="24"/>
          <w:highlight w:val="yellow"/>
        </w:rPr>
        <w:t xml:space="preserve"> to ensure the consistency of prescriptions.</w:t>
      </w:r>
      <w:r w:rsidRPr="002469C2">
        <w:rPr>
          <w:rFonts w:cs="Calibri"/>
          <w:sz w:val="24"/>
          <w:highlight w:val="yellow"/>
        </w:rPr>
        <w:t xml:space="preserve"> </w:t>
      </w:r>
      <w:r w:rsidR="00355E68" w:rsidRPr="002469C2">
        <w:rPr>
          <w:rFonts w:cs="Calibri"/>
          <w:sz w:val="24"/>
          <w:highlight w:val="yellow"/>
        </w:rPr>
        <w:t xml:space="preserve">Electrolytes, vitamins, minerals, and trace elements </w:t>
      </w:r>
      <w:proofErr w:type="gramStart"/>
      <w:r w:rsidR="00355E68" w:rsidRPr="002469C2">
        <w:rPr>
          <w:rFonts w:cs="Calibri"/>
          <w:sz w:val="24"/>
          <w:highlight w:val="yellow"/>
        </w:rPr>
        <w:t>were allowed to</w:t>
      </w:r>
      <w:proofErr w:type="gramEnd"/>
      <w:r w:rsidR="00355E68" w:rsidRPr="002469C2">
        <w:rPr>
          <w:rFonts w:cs="Calibri"/>
          <w:sz w:val="24"/>
          <w:highlight w:val="yellow"/>
        </w:rPr>
        <w:t xml:space="preserve"> be presc</w:t>
      </w:r>
      <w:r w:rsidR="000D1A60" w:rsidRPr="002469C2">
        <w:rPr>
          <w:rFonts w:cs="Calibri"/>
          <w:sz w:val="24"/>
          <w:highlight w:val="yellow"/>
        </w:rPr>
        <w:t xml:space="preserve">ribed for addition to </w:t>
      </w:r>
      <w:r w:rsidR="000D1A60" w:rsidRPr="002469C2">
        <w:rPr>
          <w:rFonts w:cs="Calibri" w:hint="eastAsia"/>
          <w:sz w:val="24"/>
          <w:highlight w:val="yellow"/>
        </w:rPr>
        <w:t xml:space="preserve">either treatment group </w:t>
      </w:r>
      <w:r w:rsidR="000D1A60" w:rsidRPr="002469C2">
        <w:rPr>
          <w:rFonts w:cs="Calibri"/>
          <w:sz w:val="24"/>
          <w:highlight w:val="yellow"/>
        </w:rPr>
        <w:t>according to the clinical requirement of different patients</w:t>
      </w:r>
      <w:r w:rsidR="00355E68" w:rsidRPr="002469C2">
        <w:rPr>
          <w:rFonts w:cs="Calibri"/>
          <w:sz w:val="24"/>
          <w:highlight w:val="yellow"/>
        </w:rPr>
        <w:t>.</w:t>
      </w:r>
    </w:p>
    <w:p w14:paraId="67E321AE" w14:textId="77777777" w:rsidR="00FD6973" w:rsidRPr="00E408F5" w:rsidRDefault="00FD6973" w:rsidP="00342AEA">
      <w:pPr>
        <w:contextualSpacing/>
        <w:jc w:val="left"/>
        <w:rPr>
          <w:rFonts w:cs="Calibri"/>
          <w:sz w:val="24"/>
        </w:rPr>
      </w:pPr>
    </w:p>
    <w:p w14:paraId="0F8FFBA9" w14:textId="77777777" w:rsidR="00857539" w:rsidRPr="002469C2" w:rsidRDefault="00355E68" w:rsidP="00342AEA">
      <w:pPr>
        <w:numPr>
          <w:ilvl w:val="2"/>
          <w:numId w:val="30"/>
        </w:numPr>
        <w:ind w:left="0" w:firstLine="0"/>
        <w:contextualSpacing/>
        <w:jc w:val="left"/>
        <w:rPr>
          <w:rFonts w:cs="Calibri"/>
          <w:sz w:val="24"/>
          <w:highlight w:val="yellow"/>
        </w:rPr>
      </w:pPr>
      <w:r w:rsidRPr="002469C2">
        <w:rPr>
          <w:rFonts w:cs="Calibri"/>
          <w:sz w:val="24"/>
          <w:highlight w:val="yellow"/>
        </w:rPr>
        <w:t xml:space="preserve">Administer the treatments through a peripheral IV catheter via a control pump. If the infusion is not possible or inadvisable via peripheral IV </w:t>
      </w:r>
      <w:r w:rsidRPr="002469C2">
        <w:rPr>
          <w:rFonts w:cs="Calibri"/>
          <w:sz w:val="24"/>
          <w:highlight w:val="yellow"/>
          <w:lang w:eastAsia="en-IN"/>
        </w:rPr>
        <w:t>due to</w:t>
      </w:r>
      <w:r w:rsidRPr="002469C2">
        <w:rPr>
          <w:rFonts w:cs="Calibri"/>
          <w:sz w:val="24"/>
          <w:highlight w:val="yellow"/>
        </w:rPr>
        <w:t xml:space="preserve"> the integrity of the peripheral vein, infuse the study treatment via a peripherally inserted central catheter or </w:t>
      </w:r>
      <w:r w:rsidR="00697B66" w:rsidRPr="002469C2">
        <w:rPr>
          <w:rFonts w:cs="Calibri"/>
          <w:sz w:val="24"/>
          <w:highlight w:val="yellow"/>
        </w:rPr>
        <w:t xml:space="preserve">a </w:t>
      </w:r>
      <w:r w:rsidRPr="002469C2">
        <w:rPr>
          <w:rFonts w:cs="Calibri"/>
          <w:noProof/>
          <w:sz w:val="24"/>
          <w:highlight w:val="yellow"/>
        </w:rPr>
        <w:t>central</w:t>
      </w:r>
      <w:r w:rsidRPr="002469C2">
        <w:rPr>
          <w:rFonts w:cs="Calibri"/>
          <w:sz w:val="24"/>
          <w:highlight w:val="yellow"/>
        </w:rPr>
        <w:t xml:space="preserve"> IV line. Increase the flow rate gradually during the first hour. </w:t>
      </w:r>
    </w:p>
    <w:p w14:paraId="21B64801" w14:textId="77777777" w:rsidR="00857539" w:rsidRPr="002469C2" w:rsidRDefault="00857539" w:rsidP="00342AEA">
      <w:pPr>
        <w:pStyle w:val="ListParagraph"/>
        <w:ind w:left="0"/>
        <w:rPr>
          <w:rFonts w:cs="Calibri"/>
          <w:sz w:val="24"/>
          <w:highlight w:val="yellow"/>
        </w:rPr>
      </w:pPr>
    </w:p>
    <w:p w14:paraId="68F51E62" w14:textId="698399DC" w:rsidR="00BB33AA" w:rsidRPr="002469C2" w:rsidRDefault="002469C2" w:rsidP="00342AEA">
      <w:pPr>
        <w:numPr>
          <w:ilvl w:val="2"/>
          <w:numId w:val="30"/>
        </w:numPr>
        <w:ind w:left="0" w:firstLine="0"/>
        <w:contextualSpacing/>
        <w:rPr>
          <w:rFonts w:cs="Calibri"/>
          <w:sz w:val="24"/>
          <w:highlight w:val="yellow"/>
        </w:rPr>
      </w:pPr>
      <w:r>
        <w:rPr>
          <w:rFonts w:cs="Calibri"/>
          <w:sz w:val="24"/>
          <w:highlight w:val="yellow"/>
        </w:rPr>
        <w:t>Provide a</w:t>
      </w:r>
      <w:r w:rsidR="0059741F" w:rsidRPr="002469C2">
        <w:rPr>
          <w:rFonts w:cs="Calibri" w:hint="eastAsia"/>
          <w:sz w:val="24"/>
          <w:highlight w:val="yellow"/>
        </w:rPr>
        <w:t xml:space="preserve"> daily volume </w:t>
      </w:r>
      <w:r>
        <w:rPr>
          <w:rFonts w:cs="Calibri"/>
          <w:sz w:val="24"/>
          <w:highlight w:val="yellow"/>
        </w:rPr>
        <w:t>of</w:t>
      </w:r>
      <w:r w:rsidR="0059741F" w:rsidRPr="002469C2">
        <w:rPr>
          <w:rFonts w:cs="Calibri" w:hint="eastAsia"/>
          <w:sz w:val="24"/>
          <w:highlight w:val="yellow"/>
        </w:rPr>
        <w:t xml:space="preserve"> 46.6</w:t>
      </w:r>
      <w:r>
        <w:rPr>
          <w:rFonts w:cs="Calibri"/>
          <w:sz w:val="24"/>
          <w:highlight w:val="yellow"/>
        </w:rPr>
        <w:t xml:space="preserve"> mL/h</w:t>
      </w:r>
      <w:r w:rsidR="0059741F" w:rsidRPr="002469C2">
        <w:rPr>
          <w:rFonts w:cs="Calibri" w:hint="eastAsia"/>
          <w:sz w:val="24"/>
          <w:highlight w:val="yellow"/>
        </w:rPr>
        <w:t xml:space="preserve"> and </w:t>
      </w:r>
      <w:r>
        <w:rPr>
          <w:rFonts w:cs="Calibri"/>
          <w:sz w:val="24"/>
          <w:highlight w:val="yellow"/>
        </w:rPr>
        <w:t xml:space="preserve">limit </w:t>
      </w:r>
      <w:r w:rsidR="0059741F" w:rsidRPr="002469C2">
        <w:rPr>
          <w:rFonts w:cs="Calibri" w:hint="eastAsia"/>
          <w:sz w:val="24"/>
          <w:highlight w:val="yellow"/>
        </w:rPr>
        <w:t>the administer duration between 12-22</w:t>
      </w:r>
      <w:r>
        <w:rPr>
          <w:rFonts w:cs="Calibri"/>
          <w:sz w:val="24"/>
          <w:highlight w:val="yellow"/>
        </w:rPr>
        <w:t xml:space="preserve"> </w:t>
      </w:r>
      <w:r w:rsidR="0059741F" w:rsidRPr="002469C2">
        <w:rPr>
          <w:rFonts w:cs="Calibri" w:hint="eastAsia"/>
          <w:sz w:val="24"/>
          <w:highlight w:val="yellow"/>
        </w:rPr>
        <w:t xml:space="preserve">h. </w:t>
      </w:r>
      <w:r>
        <w:rPr>
          <w:rFonts w:cs="Calibri"/>
          <w:sz w:val="24"/>
          <w:highlight w:val="yellow"/>
        </w:rPr>
        <w:t>Gradually increase the</w:t>
      </w:r>
      <w:r w:rsidR="0059741F" w:rsidRPr="002469C2">
        <w:rPr>
          <w:rFonts w:cs="Calibri" w:hint="eastAsia"/>
          <w:sz w:val="24"/>
          <w:highlight w:val="yellow"/>
        </w:rPr>
        <w:t xml:space="preserve"> flow rate during the first hour</w:t>
      </w:r>
      <w:r>
        <w:rPr>
          <w:rFonts w:cs="Calibri" w:hint="eastAsia"/>
          <w:sz w:val="24"/>
          <w:highlight w:val="yellow"/>
        </w:rPr>
        <w:t xml:space="preserve"> </w:t>
      </w:r>
      <w:r>
        <w:rPr>
          <w:rFonts w:cs="Calibri"/>
          <w:sz w:val="24"/>
          <w:highlight w:val="yellow"/>
        </w:rPr>
        <w:t>(</w:t>
      </w:r>
      <w:r w:rsidR="0059741F" w:rsidRPr="002469C2">
        <w:rPr>
          <w:rFonts w:cs="Calibri" w:hint="eastAsia"/>
          <w:sz w:val="24"/>
          <w:highlight w:val="yellow"/>
        </w:rPr>
        <w:t>50-100</w:t>
      </w:r>
      <w:r>
        <w:rPr>
          <w:rFonts w:cs="Calibri"/>
          <w:sz w:val="24"/>
          <w:highlight w:val="yellow"/>
        </w:rPr>
        <w:t xml:space="preserve"> </w:t>
      </w:r>
      <w:r w:rsidR="0059741F" w:rsidRPr="002469C2">
        <w:rPr>
          <w:rFonts w:cs="Calibri" w:hint="eastAsia"/>
          <w:sz w:val="24"/>
          <w:highlight w:val="yellow"/>
        </w:rPr>
        <w:t>m</w:t>
      </w:r>
      <w:r>
        <w:rPr>
          <w:rFonts w:cs="Calibri"/>
          <w:sz w:val="24"/>
          <w:highlight w:val="yellow"/>
        </w:rPr>
        <w:t>L</w:t>
      </w:r>
      <w:r w:rsidR="0059741F" w:rsidRPr="002469C2">
        <w:rPr>
          <w:rFonts w:cs="Calibri" w:hint="eastAsia"/>
          <w:sz w:val="24"/>
          <w:highlight w:val="yellow"/>
        </w:rPr>
        <w:t>/h at the first hour</w:t>
      </w:r>
      <w:r>
        <w:rPr>
          <w:rFonts w:cs="Calibri" w:hint="eastAsia"/>
          <w:sz w:val="24"/>
          <w:highlight w:val="yellow"/>
        </w:rPr>
        <w:t>)</w:t>
      </w:r>
      <w:r w:rsidR="0059741F" w:rsidRPr="002469C2">
        <w:rPr>
          <w:rFonts w:cs="Calibri" w:hint="eastAsia"/>
          <w:sz w:val="24"/>
          <w:highlight w:val="yellow"/>
        </w:rPr>
        <w:t xml:space="preserve">. </w:t>
      </w:r>
      <w:r w:rsidR="00355E68" w:rsidRPr="002469C2">
        <w:rPr>
          <w:rFonts w:cs="Calibri"/>
          <w:sz w:val="24"/>
          <w:highlight w:val="yellow"/>
        </w:rPr>
        <w:t>Adjust the administration rate considering the dose being administered, the daily volume intake, and the duration of the infusion.</w:t>
      </w:r>
      <w:r w:rsidR="0059741F" w:rsidRPr="002469C2">
        <w:rPr>
          <w:rFonts w:cs="Calibri"/>
          <w:sz w:val="24"/>
          <w:highlight w:val="yellow"/>
        </w:rPr>
        <w:t xml:space="preserve"> </w:t>
      </w:r>
      <w:r>
        <w:rPr>
          <w:rFonts w:cs="Calibri"/>
          <w:sz w:val="24"/>
          <w:highlight w:val="yellow"/>
        </w:rPr>
        <w:t>Do not increase the</w:t>
      </w:r>
      <w:r w:rsidR="0059741F" w:rsidRPr="002469C2">
        <w:rPr>
          <w:rFonts w:cs="Calibri"/>
          <w:sz w:val="24"/>
          <w:highlight w:val="yellow"/>
        </w:rPr>
        <w:t xml:space="preserve"> rate of intake </w:t>
      </w:r>
      <w:r>
        <w:rPr>
          <w:rFonts w:cs="Calibri"/>
          <w:sz w:val="24"/>
          <w:highlight w:val="yellow"/>
        </w:rPr>
        <w:t>over</w:t>
      </w:r>
      <w:r w:rsidR="0059741F" w:rsidRPr="002469C2">
        <w:rPr>
          <w:rFonts w:cs="Calibri"/>
          <w:sz w:val="24"/>
          <w:highlight w:val="yellow"/>
        </w:rPr>
        <w:t xml:space="preserve"> 150</w:t>
      </w:r>
      <w:r>
        <w:rPr>
          <w:rFonts w:cs="Calibri"/>
          <w:sz w:val="24"/>
          <w:highlight w:val="yellow"/>
        </w:rPr>
        <w:t xml:space="preserve"> </w:t>
      </w:r>
      <w:r w:rsidR="0059741F" w:rsidRPr="002469C2">
        <w:rPr>
          <w:rFonts w:cs="Calibri"/>
          <w:sz w:val="24"/>
          <w:highlight w:val="yellow"/>
        </w:rPr>
        <w:t>m</w:t>
      </w:r>
      <w:r>
        <w:rPr>
          <w:rFonts w:cs="Calibri"/>
          <w:sz w:val="24"/>
          <w:highlight w:val="yellow"/>
        </w:rPr>
        <w:t>L</w:t>
      </w:r>
      <w:r w:rsidR="0059741F" w:rsidRPr="002469C2">
        <w:rPr>
          <w:rFonts w:cs="Calibri"/>
          <w:sz w:val="24"/>
          <w:highlight w:val="yellow"/>
        </w:rPr>
        <w:t>/h.</w:t>
      </w:r>
    </w:p>
    <w:p w14:paraId="1E9B9582" w14:textId="77777777" w:rsidR="00FD6973" w:rsidRPr="002469C2" w:rsidRDefault="00FD6973" w:rsidP="00342AEA">
      <w:pPr>
        <w:contextualSpacing/>
        <w:jc w:val="left"/>
        <w:rPr>
          <w:rFonts w:cs="Calibri"/>
          <w:sz w:val="24"/>
          <w:highlight w:val="yellow"/>
        </w:rPr>
      </w:pPr>
    </w:p>
    <w:p w14:paraId="51C35206" w14:textId="2D477ADD" w:rsidR="00BB33AA" w:rsidRPr="002469C2" w:rsidRDefault="00355E68" w:rsidP="00342AEA">
      <w:pPr>
        <w:numPr>
          <w:ilvl w:val="2"/>
          <w:numId w:val="30"/>
        </w:numPr>
        <w:ind w:left="0" w:firstLine="0"/>
        <w:contextualSpacing/>
        <w:jc w:val="left"/>
        <w:rPr>
          <w:rFonts w:cs="Calibri"/>
          <w:sz w:val="24"/>
          <w:highlight w:val="yellow"/>
        </w:rPr>
      </w:pPr>
      <w:r w:rsidRPr="002469C2">
        <w:rPr>
          <w:rFonts w:cs="Calibri"/>
          <w:sz w:val="24"/>
          <w:highlight w:val="yellow"/>
        </w:rPr>
        <w:t>Administer the treatments for a minimum of 5 days up to 14 days. On day</w:t>
      </w:r>
      <w:r w:rsidR="00A11A25" w:rsidRPr="002469C2">
        <w:rPr>
          <w:rFonts w:cs="Calibri"/>
          <w:sz w:val="24"/>
          <w:highlight w:val="yellow"/>
        </w:rPr>
        <w:t>s</w:t>
      </w:r>
      <w:r w:rsidRPr="002469C2">
        <w:rPr>
          <w:rFonts w:cs="Calibri"/>
          <w:sz w:val="24"/>
          <w:highlight w:val="yellow"/>
        </w:rPr>
        <w:t xml:space="preserve"> 1 through 5, </w:t>
      </w:r>
      <w:r w:rsidR="002469C2">
        <w:rPr>
          <w:rFonts w:cs="Calibri"/>
          <w:sz w:val="24"/>
          <w:highlight w:val="yellow"/>
        </w:rPr>
        <w:t>administer</w:t>
      </w:r>
      <w:r w:rsidRPr="002469C2">
        <w:rPr>
          <w:rFonts w:cs="Calibri"/>
          <w:sz w:val="24"/>
          <w:highlight w:val="yellow"/>
        </w:rPr>
        <w:t xml:space="preserve"> only the study treatment (i.e.</w:t>
      </w:r>
      <w:r w:rsidR="002469C2">
        <w:rPr>
          <w:rFonts w:cs="Calibri"/>
          <w:sz w:val="24"/>
          <w:highlight w:val="yellow"/>
        </w:rPr>
        <w:t>,</w:t>
      </w:r>
      <w:r w:rsidRPr="002469C2">
        <w:rPr>
          <w:rFonts w:cs="Calibri"/>
          <w:sz w:val="24"/>
          <w:highlight w:val="yellow"/>
        </w:rPr>
        <w:t xml:space="preserve"> PN). On day 6 and until the end of </w:t>
      </w:r>
      <w:r w:rsidR="00697B66" w:rsidRPr="002469C2">
        <w:rPr>
          <w:rFonts w:cs="Calibri"/>
          <w:sz w:val="24"/>
          <w:highlight w:val="yellow"/>
        </w:rPr>
        <w:t xml:space="preserve">the </w:t>
      </w:r>
      <w:r w:rsidRPr="002469C2">
        <w:rPr>
          <w:rFonts w:cs="Calibri"/>
          <w:noProof/>
          <w:sz w:val="24"/>
          <w:highlight w:val="yellow"/>
        </w:rPr>
        <w:t>study</w:t>
      </w:r>
      <w:r w:rsidRPr="002469C2">
        <w:rPr>
          <w:rFonts w:cs="Calibri"/>
          <w:sz w:val="24"/>
          <w:highlight w:val="yellow"/>
        </w:rPr>
        <w:t xml:space="preserve"> period, allow </w:t>
      </w:r>
      <w:r w:rsidR="00A11A25" w:rsidRPr="002469C2">
        <w:rPr>
          <w:rFonts w:cs="Calibri"/>
          <w:sz w:val="24"/>
          <w:highlight w:val="yellow"/>
        </w:rPr>
        <w:t xml:space="preserve">the </w:t>
      </w:r>
      <w:r w:rsidRPr="002469C2">
        <w:rPr>
          <w:rFonts w:cs="Calibri"/>
          <w:sz w:val="24"/>
          <w:highlight w:val="yellow"/>
        </w:rPr>
        <w:t>addition of liquid oral nutrition to the study treatment in order to meet the calculated daily nutrition requirements.</w:t>
      </w:r>
    </w:p>
    <w:p w14:paraId="4D2E9A0E" w14:textId="77777777" w:rsidR="00FD6973" w:rsidRPr="002469C2" w:rsidRDefault="00FD6973" w:rsidP="00342AEA">
      <w:pPr>
        <w:contextualSpacing/>
        <w:jc w:val="left"/>
        <w:rPr>
          <w:rFonts w:cs="Calibri"/>
          <w:sz w:val="24"/>
          <w:highlight w:val="yellow"/>
        </w:rPr>
      </w:pPr>
    </w:p>
    <w:p w14:paraId="0FD8D7D1" w14:textId="77777777" w:rsidR="00BB33AA" w:rsidRPr="002469C2" w:rsidRDefault="00355E68" w:rsidP="00342AEA">
      <w:pPr>
        <w:numPr>
          <w:ilvl w:val="2"/>
          <w:numId w:val="30"/>
        </w:numPr>
        <w:ind w:left="0" w:firstLine="0"/>
        <w:contextualSpacing/>
        <w:jc w:val="left"/>
        <w:rPr>
          <w:rFonts w:cs="Calibri"/>
          <w:sz w:val="24"/>
          <w:highlight w:val="yellow"/>
        </w:rPr>
      </w:pPr>
      <w:r w:rsidRPr="002469C2">
        <w:rPr>
          <w:rFonts w:cs="Calibri"/>
          <w:sz w:val="24"/>
          <w:highlight w:val="yellow"/>
        </w:rPr>
        <w:t>Stop the study treatment once the subject receives at least 80% of the calculated daily nutrition requirements by the administered liquid oral nutrition or the completion of day-14 study treatment, whichever comes first.</w:t>
      </w:r>
    </w:p>
    <w:p w14:paraId="0CDC2068" w14:textId="77777777" w:rsidR="00FD6973" w:rsidRPr="002469C2" w:rsidRDefault="00FD6973" w:rsidP="00342AEA">
      <w:pPr>
        <w:contextualSpacing/>
        <w:jc w:val="left"/>
        <w:rPr>
          <w:rFonts w:cs="Calibri"/>
          <w:sz w:val="24"/>
          <w:highlight w:val="yellow"/>
        </w:rPr>
      </w:pPr>
    </w:p>
    <w:p w14:paraId="73D3E116" w14:textId="77777777" w:rsidR="00355E68" w:rsidRPr="002469C2" w:rsidRDefault="00355E68" w:rsidP="00342AEA">
      <w:pPr>
        <w:numPr>
          <w:ilvl w:val="2"/>
          <w:numId w:val="30"/>
        </w:numPr>
        <w:ind w:left="0" w:firstLine="0"/>
        <w:contextualSpacing/>
        <w:jc w:val="left"/>
        <w:rPr>
          <w:rFonts w:cs="Calibri"/>
          <w:sz w:val="24"/>
          <w:highlight w:val="yellow"/>
        </w:rPr>
      </w:pPr>
      <w:r w:rsidRPr="002469C2">
        <w:rPr>
          <w:rFonts w:cs="Calibri"/>
          <w:sz w:val="24"/>
          <w:highlight w:val="yellow"/>
        </w:rPr>
        <w:t xml:space="preserve">Terminate treatment for patients who met the discontinuation or withdrawal criteria. Upon completion or termination of treatment, perform the </w:t>
      </w:r>
      <w:r w:rsidR="00A11A25" w:rsidRPr="002469C2">
        <w:rPr>
          <w:rFonts w:cs="Calibri"/>
          <w:sz w:val="24"/>
          <w:highlight w:val="yellow"/>
        </w:rPr>
        <w:t>end-of-</w:t>
      </w:r>
      <w:r w:rsidR="00CD5E44" w:rsidRPr="002469C2">
        <w:rPr>
          <w:rFonts w:cs="Calibri"/>
          <w:sz w:val="24"/>
          <w:highlight w:val="yellow"/>
        </w:rPr>
        <w:t>treatment</w:t>
      </w:r>
      <w:r w:rsidRPr="002469C2">
        <w:rPr>
          <w:rFonts w:cs="Calibri"/>
          <w:sz w:val="24"/>
          <w:highlight w:val="yellow"/>
        </w:rPr>
        <w:t xml:space="preserve"> procedures for subjects.</w:t>
      </w:r>
    </w:p>
    <w:p w14:paraId="226F08BF" w14:textId="77777777" w:rsidR="00355E68" w:rsidRPr="00FD6973" w:rsidRDefault="00355E68" w:rsidP="00342AEA">
      <w:pPr>
        <w:contextualSpacing/>
        <w:jc w:val="left"/>
        <w:rPr>
          <w:rFonts w:cs="Calibri"/>
          <w:sz w:val="24"/>
        </w:rPr>
      </w:pPr>
    </w:p>
    <w:p w14:paraId="18AF55B1" w14:textId="77777777" w:rsidR="00355E68" w:rsidRPr="00FD6973" w:rsidRDefault="00FD6973" w:rsidP="00342AEA">
      <w:pPr>
        <w:pStyle w:val="ListParagraph"/>
        <w:numPr>
          <w:ilvl w:val="1"/>
          <w:numId w:val="30"/>
        </w:numPr>
        <w:ind w:left="0" w:firstLine="0"/>
        <w:contextualSpacing/>
        <w:jc w:val="left"/>
        <w:rPr>
          <w:rFonts w:cs="Calibri"/>
          <w:bCs/>
          <w:sz w:val="24"/>
        </w:rPr>
      </w:pPr>
      <w:bookmarkStart w:id="22" w:name="OLE_LINK14"/>
      <w:bookmarkStart w:id="23" w:name="OLE_LINK30"/>
      <w:r>
        <w:rPr>
          <w:rFonts w:cs="Calibri"/>
          <w:bCs/>
          <w:sz w:val="24"/>
        </w:rPr>
        <w:t>C</w:t>
      </w:r>
      <w:r w:rsidRPr="00FD6973">
        <w:rPr>
          <w:rFonts w:cs="Calibri"/>
          <w:bCs/>
          <w:sz w:val="24"/>
        </w:rPr>
        <w:t>ontraindicated medications</w:t>
      </w:r>
      <w:bookmarkEnd w:id="22"/>
      <w:r w:rsidRPr="00FD6973">
        <w:rPr>
          <w:rFonts w:cs="Calibri"/>
          <w:bCs/>
          <w:sz w:val="24"/>
        </w:rPr>
        <w:t xml:space="preserve"> and therapies</w:t>
      </w:r>
      <w:bookmarkEnd w:id="23"/>
    </w:p>
    <w:p w14:paraId="197713A9" w14:textId="77777777" w:rsidR="00355E68" w:rsidRPr="00981557" w:rsidRDefault="00355E68" w:rsidP="00342AEA">
      <w:pPr>
        <w:contextualSpacing/>
        <w:jc w:val="left"/>
        <w:rPr>
          <w:rFonts w:cs="Calibri"/>
          <w:b/>
          <w:bCs/>
          <w:sz w:val="24"/>
        </w:rPr>
      </w:pPr>
    </w:p>
    <w:p w14:paraId="083A0241" w14:textId="77777777" w:rsidR="00D71BFD" w:rsidRPr="00857539" w:rsidRDefault="00355E68" w:rsidP="00342AEA">
      <w:pPr>
        <w:numPr>
          <w:ilvl w:val="2"/>
          <w:numId w:val="30"/>
        </w:numPr>
        <w:ind w:left="0" w:firstLine="0"/>
        <w:contextualSpacing/>
        <w:jc w:val="left"/>
        <w:rPr>
          <w:rFonts w:cs="Calibri"/>
          <w:sz w:val="24"/>
        </w:rPr>
      </w:pPr>
      <w:r w:rsidRPr="00857539">
        <w:rPr>
          <w:rFonts w:cs="Calibri"/>
          <w:sz w:val="24"/>
        </w:rPr>
        <w:t xml:space="preserve">Do not administer additional lipids or amino acids during the clinical trial (from screening through completion of the study treatment period, inclusive), to the study subjects. </w:t>
      </w:r>
      <w:r w:rsidRPr="00857539">
        <w:rPr>
          <w:rFonts w:cs="Calibri"/>
          <w:sz w:val="24"/>
        </w:rPr>
        <w:lastRenderedPageBreak/>
        <w:t xml:space="preserve">Do not allow the use of </w:t>
      </w:r>
      <w:proofErr w:type="spellStart"/>
      <w:r w:rsidRPr="00857539">
        <w:rPr>
          <w:rFonts w:cs="Calibri"/>
          <w:sz w:val="24"/>
        </w:rPr>
        <w:t>glucocorticosteroids</w:t>
      </w:r>
      <w:proofErr w:type="spellEnd"/>
      <w:r w:rsidRPr="00857539">
        <w:rPr>
          <w:rFonts w:cs="Calibri"/>
          <w:sz w:val="24"/>
        </w:rPr>
        <w:t xml:space="preserve"> within 30 days prior to enrollment.</w:t>
      </w:r>
    </w:p>
    <w:p w14:paraId="34753282" w14:textId="77777777" w:rsidR="00FD6973" w:rsidRPr="00981557" w:rsidRDefault="00FD6973" w:rsidP="00342AEA">
      <w:pPr>
        <w:contextualSpacing/>
        <w:jc w:val="left"/>
        <w:rPr>
          <w:rFonts w:cs="Calibri"/>
          <w:sz w:val="24"/>
        </w:rPr>
      </w:pPr>
    </w:p>
    <w:p w14:paraId="0F1F763A" w14:textId="77777777" w:rsidR="00D71BFD" w:rsidRDefault="00355E68" w:rsidP="00342AEA">
      <w:pPr>
        <w:numPr>
          <w:ilvl w:val="2"/>
          <w:numId w:val="30"/>
        </w:numPr>
        <w:ind w:left="0" w:firstLine="0"/>
        <w:contextualSpacing/>
        <w:jc w:val="left"/>
        <w:rPr>
          <w:rFonts w:cs="Calibri"/>
          <w:sz w:val="24"/>
        </w:rPr>
      </w:pPr>
      <w:r w:rsidRPr="00981557">
        <w:rPr>
          <w:rFonts w:cs="Calibri"/>
          <w:sz w:val="24"/>
        </w:rPr>
        <w:t xml:space="preserve">Administer </w:t>
      </w:r>
      <w:proofErr w:type="spellStart"/>
      <w:r w:rsidRPr="00981557">
        <w:rPr>
          <w:rFonts w:cs="Calibri"/>
          <w:sz w:val="24"/>
        </w:rPr>
        <w:t>glucocorticosteroids</w:t>
      </w:r>
      <w:proofErr w:type="spellEnd"/>
      <w:r w:rsidRPr="00981557">
        <w:rPr>
          <w:rFonts w:cs="Calibri"/>
          <w:sz w:val="24"/>
        </w:rPr>
        <w:t xml:space="preserve"> during the clinical trial (from enrollment through completion of the study treatment period, inclusive) only if medically necessary. Similarly, do not allow the use of anti</w:t>
      </w:r>
      <w:r w:rsidR="004726BA" w:rsidRPr="00981557">
        <w:rPr>
          <w:rFonts w:cs="Calibri"/>
          <w:sz w:val="24"/>
        </w:rPr>
        <w:t>tumor</w:t>
      </w:r>
      <w:r w:rsidRPr="00981557">
        <w:rPr>
          <w:rFonts w:cs="Calibri"/>
          <w:sz w:val="24"/>
        </w:rPr>
        <w:t xml:space="preserve"> chemotherapeutic agents, whether for treatment of cancer or for other diseases, within 30 days prior to enrollment.</w:t>
      </w:r>
    </w:p>
    <w:p w14:paraId="4507501C" w14:textId="77777777" w:rsidR="00FD6973" w:rsidRPr="00981557" w:rsidRDefault="00FD6973" w:rsidP="00342AEA">
      <w:pPr>
        <w:contextualSpacing/>
        <w:jc w:val="left"/>
        <w:rPr>
          <w:rFonts w:cs="Calibri"/>
          <w:sz w:val="24"/>
        </w:rPr>
      </w:pPr>
    </w:p>
    <w:p w14:paraId="44990F20" w14:textId="77777777" w:rsidR="00A71DD4" w:rsidRDefault="00355E68" w:rsidP="00342AEA">
      <w:pPr>
        <w:numPr>
          <w:ilvl w:val="2"/>
          <w:numId w:val="30"/>
        </w:numPr>
        <w:ind w:left="0" w:firstLine="0"/>
        <w:contextualSpacing/>
        <w:jc w:val="left"/>
        <w:rPr>
          <w:rFonts w:cs="Calibri"/>
          <w:sz w:val="24"/>
        </w:rPr>
      </w:pPr>
      <w:r w:rsidRPr="00981557">
        <w:rPr>
          <w:rFonts w:cs="Calibri"/>
          <w:sz w:val="24"/>
        </w:rPr>
        <w:t>Administer antitumor chemotherapeutic agents during the clinical trial (from enrollment through completion of the study treatment period, inclusive) only if medically necessary. Record the administered concomitant medications on the case report forms (CRFs).</w:t>
      </w:r>
    </w:p>
    <w:p w14:paraId="3EE60702" w14:textId="77777777" w:rsidR="00FD6973" w:rsidRPr="00981557" w:rsidRDefault="00FD6973" w:rsidP="00342AEA">
      <w:pPr>
        <w:contextualSpacing/>
        <w:jc w:val="left"/>
        <w:rPr>
          <w:rFonts w:cs="Calibri"/>
          <w:sz w:val="24"/>
        </w:rPr>
      </w:pPr>
    </w:p>
    <w:p w14:paraId="19A79D0A" w14:textId="77777777" w:rsidR="00355E68" w:rsidRPr="00981557" w:rsidRDefault="00355E68" w:rsidP="00342AEA">
      <w:pPr>
        <w:numPr>
          <w:ilvl w:val="2"/>
          <w:numId w:val="30"/>
        </w:numPr>
        <w:ind w:left="0" w:firstLine="0"/>
        <w:contextualSpacing/>
        <w:jc w:val="left"/>
        <w:rPr>
          <w:rFonts w:cs="Calibri"/>
          <w:sz w:val="24"/>
        </w:rPr>
      </w:pPr>
      <w:r w:rsidRPr="00981557">
        <w:rPr>
          <w:rFonts w:cs="Calibri"/>
          <w:sz w:val="24"/>
        </w:rPr>
        <w:t>Allow the use of dextrose-containing IV solutions for maintenance of fluid status from randomization until the study treatment is discontinued.</w:t>
      </w:r>
    </w:p>
    <w:p w14:paraId="4E403CC8" w14:textId="77777777" w:rsidR="00355E68" w:rsidRPr="00981557" w:rsidRDefault="00355E68" w:rsidP="00342AEA">
      <w:pPr>
        <w:contextualSpacing/>
        <w:jc w:val="left"/>
        <w:rPr>
          <w:rFonts w:cs="Calibri"/>
          <w:sz w:val="24"/>
        </w:rPr>
      </w:pPr>
    </w:p>
    <w:p w14:paraId="1168AEAF" w14:textId="77777777" w:rsidR="00355E68" w:rsidRPr="00FD6973" w:rsidRDefault="00355E68" w:rsidP="00342AEA">
      <w:pPr>
        <w:pStyle w:val="ListParagraph"/>
        <w:numPr>
          <w:ilvl w:val="1"/>
          <w:numId w:val="30"/>
        </w:numPr>
        <w:ind w:left="0" w:firstLine="0"/>
        <w:contextualSpacing/>
        <w:jc w:val="left"/>
        <w:rPr>
          <w:rFonts w:cs="Calibri"/>
          <w:bCs/>
          <w:sz w:val="24"/>
        </w:rPr>
      </w:pPr>
      <w:bookmarkStart w:id="24" w:name="OLE_LINK7"/>
      <w:r w:rsidRPr="00FD6973">
        <w:rPr>
          <w:rFonts w:cs="Calibri"/>
          <w:bCs/>
          <w:sz w:val="24"/>
        </w:rPr>
        <w:t xml:space="preserve">Acceptable </w:t>
      </w:r>
      <w:r w:rsidR="00FD6973" w:rsidRPr="00FD6973">
        <w:rPr>
          <w:rFonts w:cs="Calibri"/>
          <w:bCs/>
          <w:sz w:val="24"/>
        </w:rPr>
        <w:t>medications</w:t>
      </w:r>
      <w:bookmarkEnd w:id="24"/>
      <w:r w:rsidR="00FD6973" w:rsidRPr="00FD6973">
        <w:rPr>
          <w:rFonts w:cs="Calibri"/>
          <w:bCs/>
          <w:sz w:val="24"/>
        </w:rPr>
        <w:t xml:space="preserve"> and therapies</w:t>
      </w:r>
    </w:p>
    <w:p w14:paraId="780223DF" w14:textId="77777777" w:rsidR="00355E68" w:rsidRPr="00981557" w:rsidRDefault="00355E68" w:rsidP="00342AEA">
      <w:pPr>
        <w:contextualSpacing/>
        <w:jc w:val="left"/>
        <w:rPr>
          <w:rFonts w:cs="Calibri"/>
          <w:b/>
          <w:bCs/>
          <w:sz w:val="24"/>
        </w:rPr>
      </w:pPr>
    </w:p>
    <w:p w14:paraId="052719FA" w14:textId="77777777" w:rsidR="00FD6973" w:rsidRDefault="00355E68" w:rsidP="00342AEA">
      <w:pPr>
        <w:numPr>
          <w:ilvl w:val="2"/>
          <w:numId w:val="30"/>
        </w:numPr>
        <w:ind w:left="0" w:firstLine="0"/>
        <w:contextualSpacing/>
        <w:jc w:val="left"/>
        <w:rPr>
          <w:rFonts w:cs="Calibri"/>
          <w:sz w:val="24"/>
        </w:rPr>
      </w:pPr>
      <w:r w:rsidRPr="00981557">
        <w:rPr>
          <w:rFonts w:cs="Calibri"/>
          <w:sz w:val="24"/>
        </w:rPr>
        <w:t>Dilute the medications that need to be delivered via the IV route in saline-based solutions; however, limit the volume to 50 mL per medication if a medication is diluted in a dextrose-containing IV solution.</w:t>
      </w:r>
    </w:p>
    <w:p w14:paraId="481C37F4" w14:textId="77777777" w:rsidR="00FD6973" w:rsidRPr="00FD6973" w:rsidRDefault="00FD6973" w:rsidP="00342AEA">
      <w:pPr>
        <w:contextualSpacing/>
        <w:jc w:val="left"/>
        <w:rPr>
          <w:rFonts w:cs="Calibri"/>
          <w:sz w:val="24"/>
        </w:rPr>
      </w:pPr>
    </w:p>
    <w:p w14:paraId="7D9B64F4" w14:textId="77777777" w:rsidR="00D65A8E" w:rsidRDefault="00355E68" w:rsidP="00342AEA">
      <w:pPr>
        <w:numPr>
          <w:ilvl w:val="2"/>
          <w:numId w:val="30"/>
        </w:numPr>
        <w:ind w:left="0" w:firstLine="0"/>
        <w:contextualSpacing/>
        <w:jc w:val="left"/>
        <w:rPr>
          <w:rFonts w:cs="Calibri"/>
          <w:sz w:val="24"/>
        </w:rPr>
      </w:pPr>
      <w:r w:rsidRPr="00981557">
        <w:rPr>
          <w:rFonts w:cs="Calibri"/>
          <w:sz w:val="24"/>
        </w:rPr>
        <w:t xml:space="preserve">Record these medications on the CRFs, including details about the type of IV solution used as the </w:t>
      </w:r>
      <w:bookmarkStart w:id="25" w:name="OLE_LINK8"/>
      <w:r w:rsidRPr="00981557">
        <w:rPr>
          <w:rFonts w:cs="Calibri"/>
          <w:sz w:val="24"/>
        </w:rPr>
        <w:t>diluent</w:t>
      </w:r>
      <w:bookmarkEnd w:id="25"/>
      <w:r w:rsidRPr="00981557">
        <w:rPr>
          <w:rFonts w:cs="Calibri"/>
          <w:sz w:val="24"/>
        </w:rPr>
        <w:t>. Administer dextrose solutions for the treatment of hypoglycemia, and record details on the CRFs.</w:t>
      </w:r>
    </w:p>
    <w:p w14:paraId="4D7CD243" w14:textId="77777777" w:rsidR="00FD6973" w:rsidRPr="00981557" w:rsidRDefault="00FD6973" w:rsidP="00342AEA">
      <w:pPr>
        <w:contextualSpacing/>
        <w:jc w:val="left"/>
        <w:rPr>
          <w:rFonts w:cs="Calibri"/>
          <w:sz w:val="24"/>
        </w:rPr>
      </w:pPr>
    </w:p>
    <w:p w14:paraId="489B244A" w14:textId="7298B295" w:rsidR="00355E68" w:rsidRPr="00981557" w:rsidRDefault="00355E68" w:rsidP="00342AEA">
      <w:pPr>
        <w:numPr>
          <w:ilvl w:val="2"/>
          <w:numId w:val="30"/>
        </w:numPr>
        <w:ind w:left="0" w:firstLine="0"/>
        <w:contextualSpacing/>
        <w:jc w:val="left"/>
        <w:rPr>
          <w:rFonts w:cs="Calibri"/>
          <w:sz w:val="24"/>
        </w:rPr>
      </w:pPr>
      <w:r w:rsidRPr="00981557">
        <w:rPr>
          <w:rFonts w:cs="Calibri"/>
          <w:sz w:val="24"/>
        </w:rPr>
        <w:t xml:space="preserve">Do not </w:t>
      </w:r>
      <w:r w:rsidR="00697B66" w:rsidRPr="00981557">
        <w:rPr>
          <w:rFonts w:cs="Calibri"/>
          <w:noProof/>
          <w:sz w:val="24"/>
        </w:rPr>
        <w:t>restrict</w:t>
      </w:r>
      <w:r w:rsidR="002469C2">
        <w:rPr>
          <w:rFonts w:cs="Calibri"/>
          <w:noProof/>
          <w:sz w:val="24"/>
        </w:rPr>
        <w:t xml:space="preserve"> </w:t>
      </w:r>
      <w:r w:rsidRPr="00981557">
        <w:rPr>
          <w:rFonts w:cs="Calibri"/>
          <w:sz w:val="24"/>
        </w:rPr>
        <w:t>the use of other concomitant therapies (e.g.</w:t>
      </w:r>
      <w:r w:rsidR="002469C2">
        <w:rPr>
          <w:rFonts w:cs="Calibri"/>
          <w:sz w:val="24"/>
        </w:rPr>
        <w:t>,</w:t>
      </w:r>
      <w:r w:rsidRPr="00981557">
        <w:rPr>
          <w:rFonts w:cs="Calibri"/>
          <w:sz w:val="24"/>
        </w:rPr>
        <w:t xml:space="preserve"> drugs, blood and plasma transfusion products, albumin, and other treatments) if these treatments are commercially available. Maintain a detailed record (including dose and duration) of medical treatments, including vitamins, electrolytes, and trace elements.</w:t>
      </w:r>
    </w:p>
    <w:p w14:paraId="02CBFD75" w14:textId="77777777" w:rsidR="00355E68" w:rsidRPr="00981557" w:rsidRDefault="00355E68" w:rsidP="00342AEA">
      <w:pPr>
        <w:contextualSpacing/>
        <w:jc w:val="left"/>
        <w:rPr>
          <w:rFonts w:cs="Calibri"/>
          <w:sz w:val="24"/>
        </w:rPr>
      </w:pPr>
    </w:p>
    <w:p w14:paraId="66C72B6C" w14:textId="77777777" w:rsidR="00355E68" w:rsidRPr="00981557" w:rsidRDefault="00FD6973" w:rsidP="00342AEA">
      <w:pPr>
        <w:numPr>
          <w:ilvl w:val="0"/>
          <w:numId w:val="1"/>
        </w:numPr>
        <w:ind w:left="0" w:firstLine="0"/>
        <w:contextualSpacing/>
        <w:jc w:val="left"/>
        <w:rPr>
          <w:rFonts w:cs="Calibri"/>
          <w:sz w:val="24"/>
        </w:rPr>
      </w:pPr>
      <w:bookmarkStart w:id="26" w:name="OLE_LINK32"/>
      <w:r w:rsidRPr="00981557">
        <w:rPr>
          <w:rFonts w:cs="Calibri"/>
          <w:b/>
          <w:bCs/>
          <w:sz w:val="24"/>
        </w:rPr>
        <w:t>Statistical method</w:t>
      </w:r>
      <w:bookmarkEnd w:id="26"/>
      <w:r w:rsidRPr="00981557">
        <w:rPr>
          <w:rFonts w:cs="Calibri"/>
          <w:b/>
          <w:bCs/>
          <w:sz w:val="24"/>
        </w:rPr>
        <w:t>s</w:t>
      </w:r>
    </w:p>
    <w:p w14:paraId="01D9B7BD" w14:textId="77777777" w:rsidR="00355E68" w:rsidRPr="00981557" w:rsidRDefault="00355E68" w:rsidP="00342AEA">
      <w:pPr>
        <w:contextualSpacing/>
        <w:jc w:val="left"/>
        <w:rPr>
          <w:rFonts w:cs="Calibri"/>
          <w:sz w:val="24"/>
        </w:rPr>
      </w:pPr>
    </w:p>
    <w:p w14:paraId="186A8E8D" w14:textId="1C2B97CA" w:rsidR="00FD6973" w:rsidRDefault="00D60FE0" w:rsidP="00342AEA">
      <w:pPr>
        <w:contextualSpacing/>
        <w:jc w:val="left"/>
        <w:rPr>
          <w:rFonts w:cs="Calibri"/>
          <w:sz w:val="24"/>
        </w:rPr>
      </w:pPr>
      <w:r w:rsidRPr="00D60FE0">
        <w:rPr>
          <w:rFonts w:cs="Calibri"/>
          <w:sz w:val="24"/>
        </w:rPr>
        <w:t>NOTE:</w:t>
      </w:r>
      <w:r w:rsidR="002469C2">
        <w:rPr>
          <w:rFonts w:cs="Calibri"/>
          <w:sz w:val="24"/>
        </w:rPr>
        <w:t xml:space="preserve"> </w:t>
      </w:r>
      <w:r w:rsidR="00355E68" w:rsidRPr="00981557">
        <w:rPr>
          <w:rFonts w:cs="Calibri"/>
          <w:sz w:val="24"/>
        </w:rPr>
        <w:t>The assumption for the sample size calculation in this non</w:t>
      </w:r>
      <w:r w:rsidR="004726BA" w:rsidRPr="00981557">
        <w:rPr>
          <w:rFonts w:cs="Calibri"/>
          <w:sz w:val="24"/>
        </w:rPr>
        <w:t>inferiority</w:t>
      </w:r>
      <w:r w:rsidR="002469C2">
        <w:rPr>
          <w:rFonts w:cs="Calibri"/>
          <w:sz w:val="24"/>
        </w:rPr>
        <w:t xml:space="preserve"> </w:t>
      </w:r>
      <w:r w:rsidR="00355E68" w:rsidRPr="00981557">
        <w:rPr>
          <w:rFonts w:cs="Calibri"/>
          <w:sz w:val="24"/>
          <w:lang w:eastAsia="en-IN"/>
        </w:rPr>
        <w:t>trial</w:t>
      </w:r>
      <w:r w:rsidR="00355E68" w:rsidRPr="00981557">
        <w:rPr>
          <w:rFonts w:cs="Calibri"/>
          <w:sz w:val="24"/>
        </w:rPr>
        <w:t xml:space="preserve"> was made such that the true ratio was 1, the coefficient of variance was 0.5, and the noninferiority margin was 20 %. A sample size of 98 patients per study treatment came out of all the assumptions, providing 90% power to claim noninferiority between groups for the primary efficacy endpoint</w:t>
      </w:r>
      <w:r w:rsidR="002469C2">
        <w:rPr>
          <w:rFonts w:cs="Calibri"/>
          <w:sz w:val="24"/>
        </w:rPr>
        <w:t xml:space="preserve"> (</w:t>
      </w:r>
      <w:r w:rsidR="00355E68" w:rsidRPr="00981557">
        <w:rPr>
          <w:rFonts w:cs="Calibri"/>
          <w:sz w:val="24"/>
        </w:rPr>
        <w:t>i.e.</w:t>
      </w:r>
      <w:r w:rsidR="002469C2">
        <w:rPr>
          <w:rFonts w:cs="Calibri"/>
          <w:sz w:val="24"/>
        </w:rPr>
        <w:t>,</w:t>
      </w:r>
      <w:r w:rsidR="00355E68" w:rsidRPr="00981557">
        <w:rPr>
          <w:rFonts w:cs="Calibri"/>
          <w:sz w:val="24"/>
        </w:rPr>
        <w:t xml:space="preserve"> </w:t>
      </w:r>
      <w:r w:rsidR="00355E68" w:rsidRPr="00981557">
        <w:rPr>
          <w:rFonts w:cs="Calibri"/>
          <w:noProof/>
          <w:sz w:val="24"/>
          <w:lang w:eastAsia="en-IN"/>
        </w:rPr>
        <w:t>prealbumin</w:t>
      </w:r>
      <w:r w:rsidR="002469C2">
        <w:rPr>
          <w:rFonts w:cs="Calibri"/>
          <w:noProof/>
          <w:sz w:val="24"/>
          <w:lang w:eastAsia="en-IN"/>
        </w:rPr>
        <w:t xml:space="preserve"> </w:t>
      </w:r>
      <w:r w:rsidR="00697B66" w:rsidRPr="00981557">
        <w:rPr>
          <w:rFonts w:cs="Calibri"/>
          <w:sz w:val="24"/>
        </w:rPr>
        <w:t xml:space="preserve">levels on </w:t>
      </w:r>
      <w:r w:rsidR="00355E68" w:rsidRPr="00981557">
        <w:rPr>
          <w:rFonts w:cs="Calibri"/>
          <w:sz w:val="24"/>
        </w:rPr>
        <w:t>day 5</w:t>
      </w:r>
      <w:r w:rsidR="002469C2">
        <w:rPr>
          <w:rFonts w:cs="Calibri"/>
          <w:sz w:val="24"/>
        </w:rPr>
        <w:t>)</w:t>
      </w:r>
      <w:r w:rsidR="00355E68" w:rsidRPr="00981557">
        <w:rPr>
          <w:rFonts w:cs="Calibri"/>
          <w:sz w:val="24"/>
        </w:rPr>
        <w:t>.</w:t>
      </w:r>
    </w:p>
    <w:p w14:paraId="4AEB763D" w14:textId="77777777" w:rsidR="00FD6973" w:rsidRDefault="00FD6973" w:rsidP="00342AEA">
      <w:pPr>
        <w:pStyle w:val="ListParagraph"/>
        <w:ind w:left="0"/>
        <w:contextualSpacing/>
        <w:jc w:val="left"/>
        <w:rPr>
          <w:rFonts w:cs="Calibri"/>
          <w:sz w:val="24"/>
        </w:rPr>
      </w:pPr>
    </w:p>
    <w:p w14:paraId="4623E9C9" w14:textId="77777777" w:rsidR="005210B8" w:rsidRDefault="00355E68" w:rsidP="00342AEA">
      <w:pPr>
        <w:pStyle w:val="ListParagraph"/>
        <w:numPr>
          <w:ilvl w:val="1"/>
          <w:numId w:val="31"/>
        </w:numPr>
        <w:ind w:left="0" w:firstLine="0"/>
        <w:contextualSpacing/>
        <w:jc w:val="left"/>
        <w:rPr>
          <w:rFonts w:cs="Calibri"/>
          <w:sz w:val="24"/>
        </w:rPr>
      </w:pPr>
      <w:r w:rsidRPr="00981557">
        <w:rPr>
          <w:rFonts w:cs="Calibri"/>
          <w:sz w:val="24"/>
        </w:rPr>
        <w:t>To achieve a total of 400 subjects</w:t>
      </w:r>
      <w:r w:rsidR="006C4507" w:rsidRPr="00981557">
        <w:rPr>
          <w:rFonts w:cs="Calibri"/>
          <w:sz w:val="24"/>
        </w:rPr>
        <w:t>,</w:t>
      </w:r>
      <w:r w:rsidRPr="00981557">
        <w:rPr>
          <w:rFonts w:cs="Calibri"/>
          <w:sz w:val="24"/>
        </w:rPr>
        <w:t xml:space="preserve"> required for primary efficacy assessment, </w:t>
      </w:r>
      <w:r w:rsidR="00857539">
        <w:rPr>
          <w:rFonts w:cs="Calibri"/>
          <w:sz w:val="24"/>
        </w:rPr>
        <w:t xml:space="preserve">randomize </w:t>
      </w:r>
      <w:r w:rsidRPr="00981557">
        <w:rPr>
          <w:rFonts w:cs="Calibri"/>
          <w:sz w:val="24"/>
        </w:rPr>
        <w:t xml:space="preserve">approximately 500 subjects. </w:t>
      </w:r>
      <w:r w:rsidR="00857539">
        <w:rPr>
          <w:rFonts w:cs="Calibri"/>
          <w:sz w:val="24"/>
        </w:rPr>
        <w:t>Determine the</w:t>
      </w:r>
      <w:r w:rsidRPr="00981557">
        <w:rPr>
          <w:rFonts w:cs="Calibri"/>
          <w:sz w:val="24"/>
        </w:rPr>
        <w:t xml:space="preserve"> sample size based on the assumption that up to 20% of the randomized subjects would drop out of the study before the day-5 analysis.</w:t>
      </w:r>
    </w:p>
    <w:p w14:paraId="6ACCA5E0" w14:textId="77777777" w:rsidR="00FD6973" w:rsidRPr="00981557" w:rsidRDefault="00FD6973" w:rsidP="00342AEA">
      <w:pPr>
        <w:pStyle w:val="ListParagraph"/>
        <w:ind w:left="0"/>
        <w:contextualSpacing/>
        <w:jc w:val="left"/>
        <w:rPr>
          <w:rFonts w:cs="Calibri"/>
          <w:sz w:val="24"/>
        </w:rPr>
      </w:pPr>
    </w:p>
    <w:p w14:paraId="480464C1" w14:textId="71EBD6D3" w:rsidR="00857539" w:rsidRDefault="002469C2" w:rsidP="00342AEA">
      <w:pPr>
        <w:pStyle w:val="ListParagraph"/>
        <w:numPr>
          <w:ilvl w:val="1"/>
          <w:numId w:val="31"/>
        </w:numPr>
        <w:ind w:left="0" w:firstLine="0"/>
        <w:contextualSpacing/>
        <w:jc w:val="left"/>
        <w:rPr>
          <w:rFonts w:cs="Calibri"/>
          <w:sz w:val="24"/>
        </w:rPr>
      </w:pPr>
      <w:r>
        <w:rPr>
          <w:rFonts w:cs="Calibri"/>
          <w:sz w:val="24"/>
        </w:rPr>
        <w:t>As t</w:t>
      </w:r>
      <w:r w:rsidR="00355E68" w:rsidRPr="00981557">
        <w:rPr>
          <w:rFonts w:cs="Calibri"/>
          <w:sz w:val="24"/>
        </w:rPr>
        <w:t xml:space="preserve">he </w:t>
      </w:r>
      <w:r w:rsidR="004726BA" w:rsidRPr="00981557">
        <w:rPr>
          <w:rFonts w:cs="Calibri"/>
          <w:sz w:val="24"/>
        </w:rPr>
        <w:t>intention-to-treat (ITT)</w:t>
      </w:r>
      <w:r w:rsidR="00355E68" w:rsidRPr="00981557">
        <w:rPr>
          <w:rFonts w:cs="Calibri"/>
          <w:sz w:val="24"/>
        </w:rPr>
        <w:t xml:space="preserve"> population </w:t>
      </w:r>
      <w:r>
        <w:rPr>
          <w:rFonts w:cs="Calibri"/>
          <w:sz w:val="24"/>
        </w:rPr>
        <w:t>is</w:t>
      </w:r>
      <w:r w:rsidR="00355E68" w:rsidRPr="00981557">
        <w:rPr>
          <w:rFonts w:cs="Calibri"/>
          <w:sz w:val="24"/>
        </w:rPr>
        <w:t xml:space="preserve"> the primary analysis population for demographic and other baseline characteristics</w:t>
      </w:r>
      <w:r>
        <w:rPr>
          <w:rFonts w:cs="Calibri"/>
          <w:sz w:val="24"/>
        </w:rPr>
        <w:t>, draw s</w:t>
      </w:r>
      <w:r w:rsidR="00355E68" w:rsidRPr="00981557">
        <w:rPr>
          <w:rFonts w:cs="Calibri"/>
          <w:sz w:val="24"/>
        </w:rPr>
        <w:t xml:space="preserve">tatistical inferences </w:t>
      </w:r>
      <w:r w:rsidR="006C4507" w:rsidRPr="00981557">
        <w:rPr>
          <w:rFonts w:cs="Calibri"/>
          <w:sz w:val="24"/>
        </w:rPr>
        <w:t xml:space="preserve">for </w:t>
      </w:r>
      <w:r w:rsidR="00355E68" w:rsidRPr="00981557">
        <w:rPr>
          <w:rFonts w:cs="Calibri"/>
          <w:sz w:val="24"/>
        </w:rPr>
        <w:t xml:space="preserve">the 2 treatment groups. </w:t>
      </w:r>
    </w:p>
    <w:p w14:paraId="6B9A2CFB" w14:textId="77777777" w:rsidR="00857539" w:rsidRPr="00857539" w:rsidRDefault="00857539" w:rsidP="00342AEA">
      <w:pPr>
        <w:pStyle w:val="ListParagraph"/>
        <w:ind w:left="0"/>
        <w:rPr>
          <w:rFonts w:cs="Calibri"/>
          <w:sz w:val="24"/>
        </w:rPr>
      </w:pPr>
    </w:p>
    <w:p w14:paraId="14BC9677" w14:textId="77777777" w:rsidR="00F95D82" w:rsidRDefault="00857539" w:rsidP="00342AEA">
      <w:pPr>
        <w:pStyle w:val="ListParagraph"/>
        <w:numPr>
          <w:ilvl w:val="1"/>
          <w:numId w:val="31"/>
        </w:numPr>
        <w:ind w:left="0" w:firstLine="0"/>
        <w:contextualSpacing/>
        <w:jc w:val="left"/>
        <w:rPr>
          <w:rFonts w:cs="Calibri"/>
          <w:sz w:val="24"/>
        </w:rPr>
      </w:pPr>
      <w:r>
        <w:rPr>
          <w:rFonts w:cs="Calibri"/>
          <w:sz w:val="24"/>
        </w:rPr>
        <w:t>Use a</w:t>
      </w:r>
      <w:r w:rsidR="00355E68" w:rsidRPr="00981557">
        <w:rPr>
          <w:rFonts w:cs="Calibri"/>
          <w:sz w:val="24"/>
        </w:rPr>
        <w:t xml:space="preserve">nalysis of variance (ANOVA) to compare continuous </w:t>
      </w:r>
      <w:proofErr w:type="gramStart"/>
      <w:r w:rsidR="00355E68" w:rsidRPr="00981557">
        <w:rPr>
          <w:rFonts w:cs="Calibri"/>
          <w:sz w:val="24"/>
        </w:rPr>
        <w:t>data, and</w:t>
      </w:r>
      <w:proofErr w:type="gramEnd"/>
      <w:r w:rsidR="00355E68" w:rsidRPr="00981557">
        <w:rPr>
          <w:rFonts w:cs="Calibri"/>
          <w:sz w:val="24"/>
        </w:rPr>
        <w:t xml:space="preserve"> </w:t>
      </w:r>
      <w:r>
        <w:rPr>
          <w:rFonts w:cs="Calibri"/>
          <w:sz w:val="24"/>
        </w:rPr>
        <w:t xml:space="preserve">use </w:t>
      </w:r>
      <w:r w:rsidR="006C4507" w:rsidRPr="00981557">
        <w:rPr>
          <w:rFonts w:cs="Calibri"/>
          <w:sz w:val="24"/>
        </w:rPr>
        <w:t xml:space="preserve">the </w:t>
      </w:r>
      <w:r w:rsidR="00355E68" w:rsidRPr="00981557">
        <w:rPr>
          <w:rFonts w:cs="Calibri"/>
          <w:sz w:val="24"/>
        </w:rPr>
        <w:t xml:space="preserve">chi-square test/Fisher's Exact test to compare categorical data. In </w:t>
      </w:r>
      <w:r w:rsidR="0048066C" w:rsidRPr="00981557">
        <w:rPr>
          <w:rFonts w:cs="Calibri"/>
          <w:sz w:val="24"/>
        </w:rPr>
        <w:t xml:space="preserve">the </w:t>
      </w:r>
      <w:r w:rsidR="00355E68" w:rsidRPr="00981557">
        <w:rPr>
          <w:rFonts w:cs="Calibri"/>
          <w:noProof/>
          <w:sz w:val="24"/>
        </w:rPr>
        <w:t>case</w:t>
      </w:r>
      <w:r w:rsidR="00355E68" w:rsidRPr="00981557">
        <w:rPr>
          <w:rFonts w:cs="Calibri"/>
          <w:sz w:val="24"/>
        </w:rPr>
        <w:t xml:space="preserve"> of significant imbalances for certain variables, </w:t>
      </w:r>
      <w:r>
        <w:rPr>
          <w:rFonts w:cs="Calibri"/>
          <w:sz w:val="24"/>
        </w:rPr>
        <w:t xml:space="preserve">review </w:t>
      </w:r>
      <w:r w:rsidR="00355E68" w:rsidRPr="00981557">
        <w:rPr>
          <w:rFonts w:cs="Calibri"/>
          <w:sz w:val="24"/>
        </w:rPr>
        <w:t>the results using covariate adjustments and subgroup analyses.</w:t>
      </w:r>
    </w:p>
    <w:p w14:paraId="21E521AF" w14:textId="77777777" w:rsidR="00FD6973" w:rsidRPr="00981557" w:rsidRDefault="00FD6973" w:rsidP="00342AEA">
      <w:pPr>
        <w:pStyle w:val="ListParagraph"/>
        <w:ind w:left="0"/>
        <w:contextualSpacing/>
        <w:jc w:val="left"/>
        <w:rPr>
          <w:rFonts w:cs="Calibri"/>
          <w:sz w:val="24"/>
        </w:rPr>
      </w:pPr>
    </w:p>
    <w:p w14:paraId="6E49F0DE" w14:textId="77777777" w:rsidR="00F95D82" w:rsidRDefault="00857539" w:rsidP="00342AEA">
      <w:pPr>
        <w:pStyle w:val="ListParagraph"/>
        <w:numPr>
          <w:ilvl w:val="1"/>
          <w:numId w:val="31"/>
        </w:numPr>
        <w:ind w:left="0" w:firstLine="0"/>
        <w:contextualSpacing/>
        <w:jc w:val="left"/>
        <w:rPr>
          <w:rFonts w:cs="Calibri"/>
          <w:sz w:val="24"/>
        </w:rPr>
      </w:pPr>
      <w:r>
        <w:rPr>
          <w:rFonts w:cs="Calibri"/>
          <w:sz w:val="24"/>
        </w:rPr>
        <w:t>Use the</w:t>
      </w:r>
      <w:r w:rsidR="00355E68" w:rsidRPr="00981557">
        <w:rPr>
          <w:rFonts w:cs="Calibri"/>
          <w:sz w:val="24"/>
        </w:rPr>
        <w:t xml:space="preserve"> analysis of covariance (ANCOVA) model to analyze the log-transformed primary efficacy endpoint. For the stated model, treatment and study site were the main effects and baseline serum </w:t>
      </w:r>
      <w:r w:rsidR="00355E68" w:rsidRPr="00981557">
        <w:rPr>
          <w:rFonts w:cs="Calibri"/>
          <w:noProof/>
          <w:sz w:val="24"/>
        </w:rPr>
        <w:t>prealbumin</w:t>
      </w:r>
      <w:r w:rsidR="00355E68" w:rsidRPr="00981557">
        <w:rPr>
          <w:rFonts w:cs="Calibri"/>
          <w:sz w:val="24"/>
        </w:rPr>
        <w:t xml:space="preserve"> was the covariate.</w:t>
      </w:r>
    </w:p>
    <w:p w14:paraId="25AA5AA1" w14:textId="77777777" w:rsidR="00FD6973" w:rsidRPr="00981557" w:rsidRDefault="00FD6973" w:rsidP="00342AEA">
      <w:pPr>
        <w:pStyle w:val="ListParagraph"/>
        <w:ind w:left="0"/>
        <w:contextualSpacing/>
        <w:jc w:val="left"/>
        <w:rPr>
          <w:rFonts w:cs="Calibri"/>
          <w:sz w:val="24"/>
        </w:rPr>
      </w:pPr>
    </w:p>
    <w:p w14:paraId="00A88F6A" w14:textId="77777777" w:rsidR="002469C2" w:rsidRDefault="00857539" w:rsidP="00342AEA">
      <w:pPr>
        <w:pStyle w:val="ListParagraph"/>
        <w:numPr>
          <w:ilvl w:val="1"/>
          <w:numId w:val="31"/>
        </w:numPr>
        <w:ind w:left="0" w:firstLine="0"/>
        <w:contextualSpacing/>
        <w:jc w:val="left"/>
        <w:rPr>
          <w:rFonts w:cs="Calibri"/>
          <w:sz w:val="24"/>
        </w:rPr>
      </w:pPr>
      <w:r>
        <w:rPr>
          <w:rFonts w:cs="Calibri"/>
          <w:sz w:val="24"/>
        </w:rPr>
        <w:t>Test the</w:t>
      </w:r>
      <w:r w:rsidR="00355E68" w:rsidRPr="00981557">
        <w:rPr>
          <w:rFonts w:cs="Calibri"/>
          <w:sz w:val="24"/>
        </w:rPr>
        <w:t xml:space="preserve"> interaction between the 2 main effects and remove from the model if it was statistically insignificant. </w:t>
      </w:r>
      <w:r>
        <w:rPr>
          <w:rFonts w:cs="Calibri"/>
          <w:sz w:val="24"/>
        </w:rPr>
        <w:t>Determine the</w:t>
      </w:r>
      <w:r w:rsidR="00355E68" w:rsidRPr="00981557">
        <w:rPr>
          <w:rFonts w:cs="Calibri"/>
          <w:sz w:val="24"/>
        </w:rPr>
        <w:t xml:space="preserve"> least squared geometric mean ratio of the treatment difference for </w:t>
      </w:r>
      <w:bookmarkStart w:id="27" w:name="OLE_LINK41"/>
      <w:r w:rsidR="00355E68" w:rsidRPr="00981557">
        <w:rPr>
          <w:rFonts w:cs="Calibri"/>
          <w:sz w:val="24"/>
        </w:rPr>
        <w:t>olive</w:t>
      </w:r>
      <w:r w:rsidR="006C4507" w:rsidRPr="00981557">
        <w:rPr>
          <w:rFonts w:cs="Calibri"/>
          <w:sz w:val="24"/>
        </w:rPr>
        <w:t>-</w:t>
      </w:r>
      <w:r w:rsidR="00355E68" w:rsidRPr="00981557">
        <w:rPr>
          <w:rFonts w:cs="Calibri"/>
          <w:sz w:val="24"/>
        </w:rPr>
        <w:t>oil-based 3CBs to soybean</w:t>
      </w:r>
      <w:r w:rsidR="006C4507" w:rsidRPr="00981557">
        <w:rPr>
          <w:rFonts w:cs="Calibri"/>
          <w:sz w:val="24"/>
        </w:rPr>
        <w:t>-</w:t>
      </w:r>
      <w:r w:rsidR="00355E68" w:rsidRPr="00981557">
        <w:rPr>
          <w:rFonts w:cs="Calibri"/>
          <w:sz w:val="24"/>
        </w:rPr>
        <w:t xml:space="preserve">oil-based </w:t>
      </w:r>
      <w:proofErr w:type="spellStart"/>
      <w:r w:rsidR="00355E68" w:rsidRPr="00981557">
        <w:rPr>
          <w:rFonts w:cs="Calibri"/>
          <w:sz w:val="24"/>
        </w:rPr>
        <w:t>CoBs</w:t>
      </w:r>
      <w:proofErr w:type="spellEnd"/>
      <w:r w:rsidR="00355E68" w:rsidRPr="00981557">
        <w:rPr>
          <w:rFonts w:cs="Calibri"/>
          <w:sz w:val="24"/>
        </w:rPr>
        <w:t>, as well as the 2-sided 95% CI.</w:t>
      </w:r>
      <w:bookmarkEnd w:id="27"/>
      <w:r w:rsidR="002469C2">
        <w:rPr>
          <w:rFonts w:cs="Calibri"/>
          <w:sz w:val="24"/>
        </w:rPr>
        <w:t xml:space="preserve"> </w:t>
      </w:r>
    </w:p>
    <w:p w14:paraId="306C7CF2" w14:textId="77777777" w:rsidR="002469C2" w:rsidRPr="002469C2" w:rsidRDefault="002469C2" w:rsidP="00342AEA">
      <w:pPr>
        <w:pStyle w:val="ListParagraph"/>
        <w:ind w:left="0"/>
        <w:rPr>
          <w:rFonts w:cs="Calibri"/>
          <w:sz w:val="24"/>
        </w:rPr>
      </w:pPr>
    </w:p>
    <w:p w14:paraId="13638E36" w14:textId="155C0CD6" w:rsidR="00BE7C3F" w:rsidRPr="002469C2" w:rsidRDefault="002469C2" w:rsidP="00342AEA">
      <w:pPr>
        <w:pStyle w:val="ListParagraph"/>
        <w:ind w:left="0"/>
        <w:contextualSpacing/>
        <w:jc w:val="left"/>
        <w:rPr>
          <w:rFonts w:cs="Calibri"/>
          <w:sz w:val="24"/>
        </w:rPr>
      </w:pPr>
      <w:r>
        <w:rPr>
          <w:rFonts w:cs="Calibri"/>
          <w:sz w:val="24"/>
        </w:rPr>
        <w:t xml:space="preserve">NOTE: </w:t>
      </w:r>
      <w:r w:rsidR="00355E68" w:rsidRPr="002469C2">
        <w:rPr>
          <w:rFonts w:cs="Calibri"/>
          <w:sz w:val="24"/>
        </w:rPr>
        <w:t>The primary comparison hypothesis was that olive</w:t>
      </w:r>
      <w:r w:rsidR="006C4507" w:rsidRPr="002469C2">
        <w:rPr>
          <w:rFonts w:cs="Calibri"/>
          <w:sz w:val="24"/>
        </w:rPr>
        <w:t>-</w:t>
      </w:r>
      <w:r w:rsidR="00355E68" w:rsidRPr="002469C2">
        <w:rPr>
          <w:rFonts w:cs="Calibri"/>
          <w:sz w:val="24"/>
        </w:rPr>
        <w:t xml:space="preserve">oil-based 3CBs were </w:t>
      </w:r>
      <w:r w:rsidR="00355E68" w:rsidRPr="002469C2">
        <w:rPr>
          <w:rFonts w:cs="Calibri"/>
          <w:sz w:val="24"/>
          <w:lang w:eastAsia="en-IN"/>
        </w:rPr>
        <w:t>non-inferior</w:t>
      </w:r>
      <w:r w:rsidR="00355E68" w:rsidRPr="002469C2">
        <w:rPr>
          <w:rFonts w:cs="Calibri"/>
          <w:sz w:val="24"/>
        </w:rPr>
        <w:t xml:space="preserve"> to soybean</w:t>
      </w:r>
      <w:r w:rsidR="006C4507" w:rsidRPr="002469C2">
        <w:rPr>
          <w:rFonts w:cs="Calibri"/>
          <w:sz w:val="24"/>
        </w:rPr>
        <w:t>-oil</w:t>
      </w:r>
      <w:r w:rsidR="00355E68" w:rsidRPr="002469C2">
        <w:rPr>
          <w:rFonts w:cs="Calibri"/>
          <w:sz w:val="24"/>
        </w:rPr>
        <w:t xml:space="preserve">-based </w:t>
      </w:r>
      <w:proofErr w:type="spellStart"/>
      <w:r w:rsidR="00355E68" w:rsidRPr="002469C2">
        <w:rPr>
          <w:rFonts w:cs="Calibri"/>
          <w:sz w:val="24"/>
        </w:rPr>
        <w:t>CoBs</w:t>
      </w:r>
      <w:proofErr w:type="spellEnd"/>
      <w:r w:rsidR="00355E68" w:rsidRPr="002469C2">
        <w:rPr>
          <w:rFonts w:cs="Calibri"/>
          <w:sz w:val="24"/>
        </w:rPr>
        <w:t xml:space="preserve"> for increasing or maintaining serum </w:t>
      </w:r>
      <w:r w:rsidR="00355E68" w:rsidRPr="002469C2">
        <w:rPr>
          <w:rFonts w:cs="Calibri"/>
          <w:noProof/>
          <w:sz w:val="24"/>
          <w:lang w:eastAsia="en-IN"/>
        </w:rPr>
        <w:t>prealbumin</w:t>
      </w:r>
      <w:r w:rsidR="00355E68" w:rsidRPr="002469C2">
        <w:rPr>
          <w:rFonts w:cs="Calibri"/>
          <w:sz w:val="24"/>
        </w:rPr>
        <w:t xml:space="preserve"> levels. </w:t>
      </w:r>
      <w:bookmarkStart w:id="28" w:name="OLE_LINK38"/>
      <w:r w:rsidR="00355E68" w:rsidRPr="002469C2">
        <w:rPr>
          <w:rFonts w:cs="Calibri"/>
          <w:sz w:val="24"/>
        </w:rPr>
        <w:t xml:space="preserve">Noninferiority was ascertained if the anti-log of the lower limit of the 95 % </w:t>
      </w:r>
      <w:r w:rsidR="004726BA" w:rsidRPr="002469C2">
        <w:rPr>
          <w:rFonts w:cs="Calibri"/>
          <w:sz w:val="24"/>
        </w:rPr>
        <w:t>CI</w:t>
      </w:r>
      <w:r w:rsidR="00355E68" w:rsidRPr="002469C2">
        <w:rPr>
          <w:rFonts w:cs="Calibri"/>
          <w:sz w:val="24"/>
        </w:rPr>
        <w:t xml:space="preserve"> of treatment difference was at least 0.</w:t>
      </w:r>
      <w:bookmarkEnd w:id="28"/>
      <w:r w:rsidR="00355E68" w:rsidRPr="002469C2">
        <w:rPr>
          <w:rFonts w:cs="Calibri"/>
          <w:sz w:val="24"/>
        </w:rPr>
        <w:t>80.</w:t>
      </w:r>
    </w:p>
    <w:p w14:paraId="6D53582D" w14:textId="77777777" w:rsidR="00FD6973" w:rsidRPr="00981557" w:rsidRDefault="00FD6973" w:rsidP="00342AEA">
      <w:pPr>
        <w:pStyle w:val="ListParagraph"/>
        <w:ind w:left="0"/>
        <w:contextualSpacing/>
        <w:jc w:val="left"/>
        <w:rPr>
          <w:rFonts w:cs="Calibri"/>
          <w:sz w:val="24"/>
        </w:rPr>
      </w:pPr>
    </w:p>
    <w:p w14:paraId="316A96C8" w14:textId="77777777" w:rsidR="00857539" w:rsidRDefault="00857539" w:rsidP="00342AEA">
      <w:pPr>
        <w:pStyle w:val="ListParagraph"/>
        <w:numPr>
          <w:ilvl w:val="1"/>
          <w:numId w:val="31"/>
        </w:numPr>
        <w:ind w:left="0" w:firstLine="0"/>
        <w:contextualSpacing/>
        <w:jc w:val="left"/>
        <w:rPr>
          <w:rFonts w:cs="Calibri"/>
          <w:sz w:val="24"/>
        </w:rPr>
      </w:pPr>
      <w:r>
        <w:rPr>
          <w:rFonts w:cs="Calibri"/>
          <w:sz w:val="24"/>
        </w:rPr>
        <w:t>Use the</w:t>
      </w:r>
      <w:r w:rsidR="00355E68" w:rsidRPr="00981557">
        <w:rPr>
          <w:rFonts w:cs="Calibri"/>
          <w:sz w:val="24"/>
        </w:rPr>
        <w:t xml:space="preserve"> Kruskal-Wallis test to analyze differences between treatment groups to determine the preparation time of the study treatment (days 1 to 5). </w:t>
      </w:r>
    </w:p>
    <w:p w14:paraId="612747CD" w14:textId="77777777" w:rsidR="00857539" w:rsidRPr="00857539" w:rsidRDefault="00857539" w:rsidP="00342AEA">
      <w:pPr>
        <w:pStyle w:val="ListParagraph"/>
        <w:ind w:left="0"/>
        <w:rPr>
          <w:rFonts w:cs="Calibri"/>
          <w:sz w:val="24"/>
        </w:rPr>
      </w:pPr>
    </w:p>
    <w:p w14:paraId="3AFA78D0" w14:textId="77777777" w:rsidR="00BE7C3F" w:rsidRDefault="00857539" w:rsidP="00342AEA">
      <w:pPr>
        <w:pStyle w:val="ListParagraph"/>
        <w:numPr>
          <w:ilvl w:val="1"/>
          <w:numId w:val="31"/>
        </w:numPr>
        <w:ind w:left="0" w:firstLine="0"/>
        <w:contextualSpacing/>
        <w:jc w:val="left"/>
        <w:rPr>
          <w:rFonts w:cs="Calibri"/>
          <w:sz w:val="24"/>
        </w:rPr>
      </w:pPr>
      <w:r>
        <w:rPr>
          <w:rFonts w:cs="Calibri"/>
          <w:sz w:val="24"/>
        </w:rPr>
        <w:t>Use the</w:t>
      </w:r>
      <w:r w:rsidR="00355E68" w:rsidRPr="00981557">
        <w:rPr>
          <w:rFonts w:cs="Calibri"/>
          <w:sz w:val="24"/>
        </w:rPr>
        <w:t xml:space="preserve"> Kaplan-Meier method to summarize the time required to achieve tolerability of oral nutrition</w:t>
      </w:r>
      <w:r w:rsidR="003215D6" w:rsidRPr="00981557">
        <w:rPr>
          <w:rFonts w:cs="Calibri"/>
          <w:sz w:val="24"/>
        </w:rPr>
        <w:t>,</w:t>
      </w:r>
      <w:r w:rsidR="00355E68" w:rsidRPr="00981557">
        <w:rPr>
          <w:rFonts w:cs="Calibri"/>
          <w:sz w:val="24"/>
        </w:rPr>
        <w:t xml:space="preserve"> and the parameter was compared using a log-rank test. Fatty acids, such as linoleic and oleic acids; infection and inflammatory markers; markers of oxidative stress; markers of nutrition; and markers of metabolism were analyzed in the same fashion as the primary endpoint</w:t>
      </w:r>
      <w:r w:rsidR="003215D6" w:rsidRPr="00981557">
        <w:rPr>
          <w:rFonts w:cs="Calibri"/>
          <w:sz w:val="24"/>
        </w:rPr>
        <w:t>—</w:t>
      </w:r>
      <w:r w:rsidR="00355E68" w:rsidRPr="00981557">
        <w:rPr>
          <w:rFonts w:cs="Calibri"/>
          <w:sz w:val="24"/>
        </w:rPr>
        <w:t>using the ANCOVA model with the treatment and study site as the main effects. The least squared geometric mean ratio of the treatment differences for olive</w:t>
      </w:r>
      <w:r w:rsidR="003215D6" w:rsidRPr="00981557">
        <w:rPr>
          <w:rFonts w:cs="Calibri"/>
          <w:sz w:val="24"/>
        </w:rPr>
        <w:t>-</w:t>
      </w:r>
      <w:r w:rsidR="00355E68" w:rsidRPr="00981557">
        <w:rPr>
          <w:rFonts w:cs="Calibri"/>
          <w:sz w:val="24"/>
        </w:rPr>
        <w:t>oil-based 3CBs to soybean</w:t>
      </w:r>
      <w:r w:rsidR="003215D6" w:rsidRPr="00981557">
        <w:rPr>
          <w:rFonts w:cs="Calibri"/>
          <w:sz w:val="24"/>
        </w:rPr>
        <w:t>-</w:t>
      </w:r>
      <w:r w:rsidR="00355E68" w:rsidRPr="00981557">
        <w:rPr>
          <w:rFonts w:cs="Calibri"/>
          <w:sz w:val="24"/>
        </w:rPr>
        <w:t xml:space="preserve">oil-based </w:t>
      </w:r>
      <w:proofErr w:type="spellStart"/>
      <w:r w:rsidR="00355E68" w:rsidRPr="00981557">
        <w:rPr>
          <w:rFonts w:cs="Calibri"/>
          <w:sz w:val="24"/>
        </w:rPr>
        <w:t>CoBs</w:t>
      </w:r>
      <w:proofErr w:type="spellEnd"/>
      <w:r w:rsidR="00355E68" w:rsidRPr="00981557">
        <w:rPr>
          <w:rFonts w:cs="Calibri"/>
          <w:sz w:val="24"/>
        </w:rPr>
        <w:t>, as well as the 2-sided 95% CI, was determined.</w:t>
      </w:r>
    </w:p>
    <w:p w14:paraId="35F98846" w14:textId="77777777" w:rsidR="00FD6973" w:rsidRPr="00981557" w:rsidRDefault="00FD6973" w:rsidP="00342AEA">
      <w:pPr>
        <w:pStyle w:val="ListParagraph"/>
        <w:ind w:left="0"/>
        <w:contextualSpacing/>
        <w:jc w:val="left"/>
        <w:rPr>
          <w:rFonts w:cs="Calibri"/>
          <w:sz w:val="24"/>
        </w:rPr>
      </w:pPr>
    </w:p>
    <w:p w14:paraId="40EDAE8F" w14:textId="4BDDD856" w:rsidR="00BE7C3F" w:rsidRDefault="00355E68" w:rsidP="00342AEA">
      <w:pPr>
        <w:pStyle w:val="ListParagraph"/>
        <w:numPr>
          <w:ilvl w:val="1"/>
          <w:numId w:val="31"/>
        </w:numPr>
        <w:ind w:left="0" w:firstLine="0"/>
        <w:contextualSpacing/>
        <w:jc w:val="left"/>
        <w:rPr>
          <w:rFonts w:cs="Calibri"/>
          <w:sz w:val="24"/>
        </w:rPr>
      </w:pPr>
      <w:r w:rsidRPr="00981557">
        <w:rPr>
          <w:rFonts w:cs="Calibri"/>
          <w:sz w:val="24"/>
        </w:rPr>
        <w:t xml:space="preserve">For the safety </w:t>
      </w:r>
      <w:r w:rsidRPr="00981557">
        <w:rPr>
          <w:rFonts w:cs="Calibri"/>
          <w:sz w:val="24"/>
          <w:lang w:eastAsia="en-IN"/>
        </w:rPr>
        <w:t>variables,</w:t>
      </w:r>
      <w:r w:rsidR="002469C2">
        <w:rPr>
          <w:rFonts w:cs="Calibri"/>
          <w:sz w:val="24"/>
          <w:lang w:eastAsia="en-IN"/>
        </w:rPr>
        <w:t xml:space="preserve"> </w:t>
      </w:r>
      <w:r w:rsidR="00857539">
        <w:rPr>
          <w:rFonts w:cs="Calibri"/>
          <w:sz w:val="24"/>
        </w:rPr>
        <w:t xml:space="preserve">make </w:t>
      </w:r>
      <w:r w:rsidRPr="00981557">
        <w:rPr>
          <w:rFonts w:cs="Calibri"/>
          <w:sz w:val="24"/>
        </w:rPr>
        <w:t xml:space="preserve">statistical comparisons between the two treatment groups. </w:t>
      </w:r>
      <w:r w:rsidR="00857539">
        <w:rPr>
          <w:rFonts w:cs="Calibri"/>
          <w:sz w:val="24"/>
        </w:rPr>
        <w:t>Use the</w:t>
      </w:r>
      <w:r w:rsidRPr="00981557">
        <w:rPr>
          <w:rFonts w:cs="Calibri"/>
          <w:sz w:val="24"/>
        </w:rPr>
        <w:t xml:space="preserve"> ANOVA method to compare continuous data; </w:t>
      </w:r>
      <w:r w:rsidR="00857539">
        <w:rPr>
          <w:rFonts w:cs="Calibri"/>
          <w:sz w:val="24"/>
        </w:rPr>
        <w:t xml:space="preserve">use </w:t>
      </w:r>
      <w:r w:rsidRPr="00981557">
        <w:rPr>
          <w:rFonts w:cs="Calibri"/>
          <w:sz w:val="24"/>
        </w:rPr>
        <w:t xml:space="preserve">the chi-square test/Fisher's exact test to compare categorical data. </w:t>
      </w:r>
      <w:r w:rsidR="00857539">
        <w:rPr>
          <w:rFonts w:cs="Calibri"/>
          <w:sz w:val="24"/>
        </w:rPr>
        <w:t>Use the</w:t>
      </w:r>
      <w:r w:rsidRPr="00981557">
        <w:rPr>
          <w:rFonts w:cs="Calibri"/>
          <w:sz w:val="24"/>
        </w:rPr>
        <w:t xml:space="preserve"> Cochran-Mantel-</w:t>
      </w:r>
      <w:proofErr w:type="spellStart"/>
      <w:r w:rsidRPr="00981557">
        <w:rPr>
          <w:rFonts w:cs="Calibri"/>
          <w:sz w:val="24"/>
        </w:rPr>
        <w:t>Haenszel</w:t>
      </w:r>
      <w:proofErr w:type="spellEnd"/>
      <w:r w:rsidRPr="00981557">
        <w:rPr>
          <w:rFonts w:cs="Calibri"/>
          <w:sz w:val="24"/>
        </w:rPr>
        <w:t xml:space="preserve"> test with modified </w:t>
      </w:r>
      <w:r w:rsidRPr="00981557">
        <w:rPr>
          <w:rFonts w:cs="Calibri"/>
          <w:noProof/>
          <w:sz w:val="24"/>
          <w:lang w:eastAsia="en-IN"/>
        </w:rPr>
        <w:t>ridit</w:t>
      </w:r>
      <w:r w:rsidRPr="00981557">
        <w:rPr>
          <w:rFonts w:cs="Calibri"/>
          <w:sz w:val="24"/>
        </w:rPr>
        <w:t xml:space="preserve"> scores to compare the relationship and severity of </w:t>
      </w:r>
      <w:r w:rsidR="004726BA" w:rsidRPr="00981557">
        <w:rPr>
          <w:rFonts w:cs="Calibri"/>
          <w:sz w:val="24"/>
        </w:rPr>
        <w:t>AEs</w:t>
      </w:r>
      <w:r w:rsidRPr="00981557">
        <w:rPr>
          <w:rFonts w:cs="Calibri"/>
          <w:sz w:val="24"/>
        </w:rPr>
        <w:t>.</w:t>
      </w:r>
    </w:p>
    <w:p w14:paraId="794E8893" w14:textId="77777777" w:rsidR="00FD6973" w:rsidRPr="00981557" w:rsidRDefault="00FD6973" w:rsidP="00342AEA">
      <w:pPr>
        <w:pStyle w:val="ListParagraph"/>
        <w:ind w:left="0"/>
        <w:contextualSpacing/>
        <w:jc w:val="left"/>
        <w:rPr>
          <w:rFonts w:cs="Calibri"/>
          <w:sz w:val="24"/>
        </w:rPr>
      </w:pPr>
    </w:p>
    <w:p w14:paraId="54DA6D6E" w14:textId="636A63FC" w:rsidR="00355E68" w:rsidRPr="00981557" w:rsidRDefault="00857539" w:rsidP="00342AEA">
      <w:pPr>
        <w:pStyle w:val="ListParagraph"/>
        <w:numPr>
          <w:ilvl w:val="1"/>
          <w:numId w:val="31"/>
        </w:numPr>
        <w:ind w:left="0" w:firstLine="0"/>
        <w:contextualSpacing/>
        <w:jc w:val="left"/>
        <w:rPr>
          <w:rFonts w:cs="Calibri"/>
          <w:sz w:val="24"/>
        </w:rPr>
      </w:pPr>
      <w:r>
        <w:rPr>
          <w:rFonts w:cs="Calibri"/>
          <w:sz w:val="24"/>
        </w:rPr>
        <w:t>Complete</w:t>
      </w:r>
      <w:r w:rsidR="00355E68" w:rsidRPr="00981557">
        <w:rPr>
          <w:rFonts w:cs="Calibri"/>
          <w:sz w:val="24"/>
        </w:rPr>
        <w:t xml:space="preserve"> statistical analyses using </w:t>
      </w:r>
      <w:r w:rsidR="000F2C0D" w:rsidRPr="00981557">
        <w:rPr>
          <w:rFonts w:cs="Calibri"/>
          <w:sz w:val="24"/>
        </w:rPr>
        <w:t>statistical analysis software.</w:t>
      </w:r>
      <w:r w:rsidR="002469C2">
        <w:rPr>
          <w:rFonts w:cs="Calibri"/>
          <w:sz w:val="24"/>
        </w:rPr>
        <w:t xml:space="preserve"> </w:t>
      </w:r>
      <w:proofErr w:type="gramStart"/>
      <w:r w:rsidR="00355E68" w:rsidRPr="00981557">
        <w:rPr>
          <w:rFonts w:cs="Calibri"/>
          <w:sz w:val="24"/>
        </w:rPr>
        <w:t>A</w:t>
      </w:r>
      <w:proofErr w:type="gramEnd"/>
      <w:r w:rsidR="00355E68" w:rsidRPr="00981557">
        <w:rPr>
          <w:rFonts w:cs="Calibri"/>
          <w:sz w:val="24"/>
        </w:rPr>
        <w:t xml:space="preserve"> p-value &lt;0.05 was considered to be statistically significant.</w:t>
      </w:r>
    </w:p>
    <w:p w14:paraId="5AA502E1" w14:textId="77777777" w:rsidR="00355E68" w:rsidRPr="00981557" w:rsidRDefault="00355E68" w:rsidP="00342AEA">
      <w:pPr>
        <w:contextualSpacing/>
        <w:jc w:val="left"/>
        <w:rPr>
          <w:rFonts w:cs="Calibri"/>
          <w:sz w:val="24"/>
        </w:rPr>
      </w:pPr>
    </w:p>
    <w:p w14:paraId="076C5D7D" w14:textId="77777777" w:rsidR="00355E68" w:rsidRPr="00981557" w:rsidRDefault="00355E68" w:rsidP="00342AEA">
      <w:pPr>
        <w:contextualSpacing/>
        <w:jc w:val="left"/>
        <w:rPr>
          <w:rFonts w:cs="Calibri"/>
          <w:b/>
          <w:bCs/>
          <w:sz w:val="24"/>
        </w:rPr>
      </w:pPr>
      <w:r w:rsidRPr="00981557">
        <w:rPr>
          <w:rFonts w:cs="Calibri"/>
          <w:b/>
          <w:bCs/>
          <w:sz w:val="24"/>
        </w:rPr>
        <w:t>REPRESENTATIVE RESULT</w:t>
      </w:r>
      <w:r w:rsidR="00857539">
        <w:rPr>
          <w:rFonts w:cs="Calibri"/>
          <w:b/>
          <w:bCs/>
          <w:sz w:val="24"/>
        </w:rPr>
        <w:t>:</w:t>
      </w:r>
    </w:p>
    <w:p w14:paraId="634B3F87" w14:textId="77777777" w:rsidR="00355E68" w:rsidRPr="00981557" w:rsidRDefault="00355E68" w:rsidP="00342AEA">
      <w:pPr>
        <w:contextualSpacing/>
        <w:jc w:val="left"/>
        <w:rPr>
          <w:rFonts w:cs="Calibri"/>
          <w:b/>
          <w:bCs/>
          <w:sz w:val="24"/>
        </w:rPr>
      </w:pPr>
      <w:r w:rsidRPr="00981557">
        <w:rPr>
          <w:rFonts w:cs="Calibri"/>
          <w:b/>
          <w:bCs/>
          <w:sz w:val="24"/>
        </w:rPr>
        <w:t>Patient Disposition</w:t>
      </w:r>
    </w:p>
    <w:p w14:paraId="58D103F2" w14:textId="77777777" w:rsidR="00CC01D6" w:rsidRPr="00857539" w:rsidRDefault="00355E68" w:rsidP="00342AEA">
      <w:pPr>
        <w:contextualSpacing/>
        <w:jc w:val="left"/>
        <w:rPr>
          <w:rFonts w:cs="Calibri"/>
          <w:sz w:val="24"/>
        </w:rPr>
      </w:pPr>
      <w:r w:rsidRPr="00857539">
        <w:rPr>
          <w:rFonts w:cs="Calibri"/>
          <w:sz w:val="24"/>
        </w:rPr>
        <w:t xml:space="preserve">Out of the 480 patients who gave their consent, a total of 458 patients were enrolled and randomized in the study. The </w:t>
      </w:r>
      <w:r w:rsidR="004726BA" w:rsidRPr="00857539">
        <w:rPr>
          <w:rFonts w:cs="Calibri"/>
          <w:sz w:val="24"/>
        </w:rPr>
        <w:t>ITT</w:t>
      </w:r>
      <w:r w:rsidRPr="00857539">
        <w:rPr>
          <w:rFonts w:cs="Calibri"/>
          <w:sz w:val="24"/>
        </w:rPr>
        <w:t xml:space="preserve"> population included all randomized patients, of </w:t>
      </w:r>
      <w:r w:rsidR="00E3711E" w:rsidRPr="00857539">
        <w:rPr>
          <w:rFonts w:cs="Calibri"/>
          <w:sz w:val="24"/>
        </w:rPr>
        <w:t xml:space="preserve">whom </w:t>
      </w:r>
      <w:r w:rsidRPr="00857539">
        <w:rPr>
          <w:rFonts w:cs="Calibri"/>
          <w:sz w:val="24"/>
        </w:rPr>
        <w:t xml:space="preserve">226 constituted the test group and 232 the control group. The safety population included a total of 453 patients, </w:t>
      </w:r>
      <w:r w:rsidR="0048066C" w:rsidRPr="00857539">
        <w:rPr>
          <w:rFonts w:cs="Calibri"/>
          <w:sz w:val="24"/>
        </w:rPr>
        <w:t xml:space="preserve">of </w:t>
      </w:r>
      <w:r w:rsidRPr="00857539">
        <w:rPr>
          <w:rFonts w:cs="Calibri"/>
          <w:sz w:val="24"/>
        </w:rPr>
        <w:t>whom 222 belonged to the test group and 231 to the control group. The modified intention-to-treat (</w:t>
      </w:r>
      <w:proofErr w:type="spellStart"/>
      <w:r w:rsidRPr="00857539">
        <w:rPr>
          <w:rFonts w:cs="Calibri"/>
          <w:sz w:val="24"/>
        </w:rPr>
        <w:t>mITT</w:t>
      </w:r>
      <w:proofErr w:type="spellEnd"/>
      <w:r w:rsidRPr="00857539">
        <w:rPr>
          <w:rFonts w:cs="Calibri"/>
          <w:sz w:val="24"/>
        </w:rPr>
        <w:t xml:space="preserve">) population comprised a total of 443 patients, </w:t>
      </w:r>
      <w:r w:rsidR="00E3711E" w:rsidRPr="00857539">
        <w:rPr>
          <w:rFonts w:cs="Calibri"/>
          <w:sz w:val="24"/>
        </w:rPr>
        <w:t xml:space="preserve">of </w:t>
      </w:r>
      <w:r w:rsidRPr="00857539">
        <w:rPr>
          <w:rFonts w:cs="Calibri"/>
          <w:sz w:val="24"/>
        </w:rPr>
        <w:t xml:space="preserve">whom 219 </w:t>
      </w:r>
      <w:r w:rsidRPr="00857539">
        <w:rPr>
          <w:rFonts w:cs="Calibri"/>
          <w:sz w:val="24"/>
        </w:rPr>
        <w:lastRenderedPageBreak/>
        <w:t>were in the test group and 224 in the control group</w:t>
      </w:r>
      <w:r w:rsidR="00CC01D6" w:rsidRPr="00857539">
        <w:rPr>
          <w:rFonts w:cs="Calibri"/>
          <w:sz w:val="24"/>
        </w:rPr>
        <w:t xml:space="preserve"> (</w:t>
      </w:r>
      <w:r w:rsidR="00CC01D6" w:rsidRPr="00857539">
        <w:rPr>
          <w:rFonts w:cs="Calibri"/>
          <w:b/>
          <w:sz w:val="24"/>
        </w:rPr>
        <w:t>Figure 4</w:t>
      </w:r>
      <w:r w:rsidR="00CC01D6" w:rsidRPr="00857539">
        <w:rPr>
          <w:rFonts w:cs="Calibri"/>
          <w:sz w:val="24"/>
        </w:rPr>
        <w:t>)</w:t>
      </w:r>
      <w:r w:rsidRPr="00857539">
        <w:rPr>
          <w:rFonts w:cs="Calibri"/>
          <w:sz w:val="24"/>
        </w:rPr>
        <w:t>.</w:t>
      </w:r>
    </w:p>
    <w:p w14:paraId="659135F3" w14:textId="77777777" w:rsidR="00FD6973" w:rsidRPr="00857539" w:rsidRDefault="00FD6973" w:rsidP="00342AEA">
      <w:pPr>
        <w:contextualSpacing/>
        <w:jc w:val="left"/>
        <w:rPr>
          <w:rFonts w:cs="Calibri"/>
          <w:noProof/>
          <w:sz w:val="24"/>
        </w:rPr>
      </w:pPr>
    </w:p>
    <w:p w14:paraId="0ECF9FB8" w14:textId="77777777" w:rsidR="00355E68" w:rsidRPr="00857539" w:rsidRDefault="00355E68" w:rsidP="00342AEA">
      <w:pPr>
        <w:contextualSpacing/>
        <w:jc w:val="left"/>
        <w:rPr>
          <w:rFonts w:cs="Calibri"/>
          <w:sz w:val="24"/>
        </w:rPr>
      </w:pPr>
      <w:r w:rsidRPr="00857539">
        <w:rPr>
          <w:rFonts w:cs="Calibri"/>
          <w:noProof/>
          <w:sz w:val="24"/>
        </w:rPr>
        <w:t>A</w:t>
      </w:r>
      <w:r w:rsidRPr="00857539">
        <w:rPr>
          <w:rFonts w:cs="Calibri"/>
          <w:sz w:val="24"/>
        </w:rPr>
        <w:t xml:space="preserve"> total of 373 patients </w:t>
      </w:r>
      <w:r w:rsidR="0048066C" w:rsidRPr="00857539">
        <w:rPr>
          <w:rFonts w:cs="Calibri"/>
          <w:noProof/>
          <w:sz w:val="24"/>
        </w:rPr>
        <w:t>comprised</w:t>
      </w:r>
      <w:r w:rsidRPr="00857539">
        <w:rPr>
          <w:rFonts w:cs="Calibri"/>
          <w:sz w:val="24"/>
        </w:rPr>
        <w:t xml:space="preserve"> the per-protocol (PP) population, </w:t>
      </w:r>
      <w:r w:rsidR="00E3711E" w:rsidRPr="00857539">
        <w:rPr>
          <w:rFonts w:cs="Calibri"/>
          <w:sz w:val="24"/>
        </w:rPr>
        <w:t xml:space="preserve">of </w:t>
      </w:r>
      <w:r w:rsidRPr="00857539">
        <w:rPr>
          <w:rFonts w:cs="Calibri"/>
          <w:sz w:val="24"/>
        </w:rPr>
        <w:t>whom 183 were in the test group and 190 in the control group. A comparable percentage of patients discontinued from the study in both the groups. Additionally, for both the groups</w:t>
      </w:r>
      <w:r w:rsidR="007D5B3B" w:rsidRPr="00857539">
        <w:rPr>
          <w:rFonts w:cs="Calibri"/>
          <w:sz w:val="24"/>
        </w:rPr>
        <w:t>,</w:t>
      </w:r>
      <w:r w:rsidRPr="00857539">
        <w:rPr>
          <w:rFonts w:cs="Calibri"/>
          <w:sz w:val="24"/>
        </w:rPr>
        <w:t xml:space="preserve"> the two main reasons for discontinuation were </w:t>
      </w:r>
      <w:r w:rsidR="007D5B3B" w:rsidRPr="00857539">
        <w:rPr>
          <w:rFonts w:cs="Calibri"/>
          <w:sz w:val="24"/>
        </w:rPr>
        <w:t xml:space="preserve">AEs and the </w:t>
      </w:r>
      <w:r w:rsidRPr="00857539">
        <w:rPr>
          <w:rFonts w:cs="Calibri"/>
          <w:sz w:val="24"/>
        </w:rPr>
        <w:t>withdrawal of consent by the patient (</w:t>
      </w:r>
      <w:r w:rsidRPr="00857539">
        <w:rPr>
          <w:rFonts w:cs="Calibri"/>
          <w:b/>
          <w:sz w:val="24"/>
        </w:rPr>
        <w:t>Figure 4</w:t>
      </w:r>
      <w:r w:rsidRPr="00857539">
        <w:rPr>
          <w:rFonts w:cs="Calibri"/>
          <w:sz w:val="24"/>
        </w:rPr>
        <w:t>).</w:t>
      </w:r>
    </w:p>
    <w:p w14:paraId="4E2F13A9" w14:textId="77777777" w:rsidR="00355E68" w:rsidRPr="00857539" w:rsidRDefault="00355E68" w:rsidP="00342AEA">
      <w:pPr>
        <w:contextualSpacing/>
        <w:jc w:val="left"/>
        <w:rPr>
          <w:rFonts w:cs="Calibri"/>
          <w:sz w:val="24"/>
        </w:rPr>
      </w:pPr>
    </w:p>
    <w:p w14:paraId="7F120E9C" w14:textId="77777777" w:rsidR="00355E68" w:rsidRPr="00857539" w:rsidRDefault="00355E68" w:rsidP="00342AEA">
      <w:pPr>
        <w:contextualSpacing/>
        <w:jc w:val="left"/>
        <w:rPr>
          <w:rFonts w:cs="Calibri"/>
          <w:b/>
          <w:bCs/>
          <w:sz w:val="24"/>
        </w:rPr>
      </w:pPr>
      <w:r w:rsidRPr="00857539">
        <w:rPr>
          <w:rFonts w:cs="Calibri"/>
          <w:b/>
          <w:bCs/>
          <w:sz w:val="24"/>
        </w:rPr>
        <w:t>Demographic and Baseline Clinical Characteristics</w:t>
      </w:r>
    </w:p>
    <w:p w14:paraId="72C77D2A" w14:textId="77777777" w:rsidR="00355E68" w:rsidRPr="00857539" w:rsidRDefault="00355E68" w:rsidP="00342AEA">
      <w:pPr>
        <w:contextualSpacing/>
        <w:jc w:val="left"/>
        <w:rPr>
          <w:rFonts w:cs="Calibri"/>
          <w:sz w:val="24"/>
        </w:rPr>
      </w:pPr>
      <w:r w:rsidRPr="00857539">
        <w:rPr>
          <w:rFonts w:cs="Calibri"/>
          <w:sz w:val="24"/>
        </w:rPr>
        <w:t xml:space="preserve">The demographic and baseline clinical characteristics of patients in the two treatment groups (ITT population) were comparable. Sixty-one percent of the total patients were male. </w:t>
      </w:r>
      <w:proofErr w:type="gramStart"/>
      <w:r w:rsidR="007D5B3B" w:rsidRPr="00857539">
        <w:rPr>
          <w:rFonts w:cs="Calibri"/>
          <w:sz w:val="24"/>
        </w:rPr>
        <w:t xml:space="preserve">The majority </w:t>
      </w:r>
      <w:r w:rsidRPr="00857539">
        <w:rPr>
          <w:rFonts w:cs="Calibri"/>
          <w:sz w:val="24"/>
        </w:rPr>
        <w:t>of</w:t>
      </w:r>
      <w:proofErr w:type="gramEnd"/>
      <w:r w:rsidRPr="00857539">
        <w:rPr>
          <w:rFonts w:cs="Calibri"/>
          <w:sz w:val="24"/>
        </w:rPr>
        <w:t xml:space="preserve"> the patient</w:t>
      </w:r>
      <w:r w:rsidR="007D5B3B" w:rsidRPr="00857539">
        <w:rPr>
          <w:rFonts w:cs="Calibri"/>
          <w:sz w:val="24"/>
        </w:rPr>
        <w:t>s</w:t>
      </w:r>
      <w:r w:rsidRPr="00857539">
        <w:rPr>
          <w:rFonts w:cs="Calibri"/>
          <w:sz w:val="24"/>
        </w:rPr>
        <w:t xml:space="preserve"> were identified as Chinese Han (95%</w:t>
      </w:r>
      <w:r w:rsidRPr="00857539">
        <w:rPr>
          <w:rFonts w:cs="Calibri"/>
          <w:noProof/>
          <w:sz w:val="24"/>
        </w:rPr>
        <w:t>)</w:t>
      </w:r>
      <w:r w:rsidRPr="00857539">
        <w:rPr>
          <w:rFonts w:cs="Calibri"/>
          <w:sz w:val="24"/>
        </w:rPr>
        <w:t xml:space="preserve"> and had a mean age of 56 years. A total of 62</w:t>
      </w:r>
      <w:r w:rsidRPr="00857539">
        <w:rPr>
          <w:rFonts w:cs="Calibri"/>
          <w:noProof/>
          <w:sz w:val="24"/>
        </w:rPr>
        <w:t>%</w:t>
      </w:r>
      <w:r w:rsidR="0048066C" w:rsidRPr="00857539">
        <w:rPr>
          <w:rFonts w:cs="Calibri"/>
          <w:noProof/>
          <w:sz w:val="24"/>
        </w:rPr>
        <w:t xml:space="preserve"> of</w:t>
      </w:r>
      <w:r w:rsidRPr="00857539">
        <w:rPr>
          <w:rFonts w:cs="Calibri"/>
          <w:sz w:val="24"/>
        </w:rPr>
        <w:t xml:space="preserve"> patients underwent high-complexity surgery of a mean duration of 3 hours (</w:t>
      </w:r>
      <w:r w:rsidRPr="00857539">
        <w:rPr>
          <w:rFonts w:cs="Calibri"/>
          <w:b/>
          <w:sz w:val="24"/>
        </w:rPr>
        <w:t>Table 2</w:t>
      </w:r>
      <w:r w:rsidRPr="00857539">
        <w:rPr>
          <w:rFonts w:cs="Calibri"/>
          <w:sz w:val="24"/>
        </w:rPr>
        <w:t>).</w:t>
      </w:r>
    </w:p>
    <w:p w14:paraId="6A19B642" w14:textId="77777777" w:rsidR="00FD6973" w:rsidRPr="00857539" w:rsidRDefault="00FD6973" w:rsidP="00342AEA">
      <w:pPr>
        <w:contextualSpacing/>
        <w:jc w:val="left"/>
        <w:rPr>
          <w:rFonts w:cs="Calibri"/>
          <w:sz w:val="24"/>
        </w:rPr>
      </w:pPr>
    </w:p>
    <w:p w14:paraId="7771E182" w14:textId="77777777" w:rsidR="00355E68" w:rsidRPr="00857539" w:rsidRDefault="00355E68" w:rsidP="00342AEA">
      <w:pPr>
        <w:contextualSpacing/>
        <w:jc w:val="left"/>
        <w:rPr>
          <w:rFonts w:cs="Calibri"/>
          <w:b/>
          <w:bCs/>
          <w:sz w:val="24"/>
        </w:rPr>
      </w:pPr>
      <w:r w:rsidRPr="00857539">
        <w:rPr>
          <w:rFonts w:cs="Calibri"/>
          <w:b/>
          <w:bCs/>
          <w:sz w:val="24"/>
        </w:rPr>
        <w:t>Endpoint</w:t>
      </w:r>
      <w:r w:rsidR="0068010D" w:rsidRPr="00857539">
        <w:rPr>
          <w:rFonts w:cs="Calibri"/>
          <w:b/>
          <w:bCs/>
          <w:sz w:val="24"/>
        </w:rPr>
        <w:t>’</w:t>
      </w:r>
      <w:r w:rsidRPr="00857539">
        <w:rPr>
          <w:rFonts w:cs="Calibri"/>
          <w:b/>
          <w:bCs/>
          <w:sz w:val="24"/>
        </w:rPr>
        <w:t>s Result</w:t>
      </w:r>
    </w:p>
    <w:p w14:paraId="66E528C4" w14:textId="7FFBFD17" w:rsidR="00C818A2" w:rsidRPr="00857539" w:rsidRDefault="007D5B3B" w:rsidP="00342AEA">
      <w:pPr>
        <w:contextualSpacing/>
        <w:jc w:val="left"/>
        <w:rPr>
          <w:rFonts w:cs="Calibri"/>
          <w:sz w:val="24"/>
        </w:rPr>
      </w:pPr>
      <w:bookmarkStart w:id="29" w:name="OLE_LINK33"/>
      <w:r w:rsidRPr="00857539">
        <w:rPr>
          <w:rFonts w:cs="Calibri"/>
          <w:sz w:val="24"/>
        </w:rPr>
        <w:t>In relation to</w:t>
      </w:r>
      <w:r w:rsidR="00355E68" w:rsidRPr="00857539">
        <w:rPr>
          <w:rFonts w:cs="Calibri"/>
          <w:sz w:val="24"/>
        </w:rPr>
        <w:t xml:space="preserve"> the primary endpoint of the study</w:t>
      </w:r>
      <w:r w:rsidRPr="00857539">
        <w:rPr>
          <w:rFonts w:cs="Calibri"/>
          <w:sz w:val="24"/>
        </w:rPr>
        <w:t>,</w:t>
      </w:r>
      <w:r w:rsidR="00355E68" w:rsidRPr="00857539">
        <w:rPr>
          <w:rFonts w:cs="Calibri"/>
          <w:sz w:val="24"/>
        </w:rPr>
        <w:t xml:space="preserve"> olive</w:t>
      </w:r>
      <w:r w:rsidRPr="00857539">
        <w:rPr>
          <w:rFonts w:cs="Calibri"/>
          <w:sz w:val="24"/>
        </w:rPr>
        <w:t>-</w:t>
      </w:r>
      <w:r w:rsidR="00355E68" w:rsidRPr="00857539">
        <w:rPr>
          <w:rFonts w:cs="Calibri"/>
          <w:sz w:val="24"/>
        </w:rPr>
        <w:t>oil-based 3CBs</w:t>
      </w:r>
      <w:bookmarkEnd w:id="29"/>
      <w:r w:rsidR="00355E68" w:rsidRPr="00857539">
        <w:rPr>
          <w:rFonts w:cs="Calibri"/>
          <w:sz w:val="24"/>
        </w:rPr>
        <w:t xml:space="preserve"> were found to</w:t>
      </w:r>
      <w:r w:rsidR="00C237DE">
        <w:rPr>
          <w:rFonts w:cs="Calibri"/>
          <w:sz w:val="24"/>
        </w:rPr>
        <w:t xml:space="preserve"> </w:t>
      </w:r>
      <w:r w:rsidR="00355E68" w:rsidRPr="00857539">
        <w:rPr>
          <w:rFonts w:cs="Calibri"/>
          <w:sz w:val="24"/>
        </w:rPr>
        <w:t xml:space="preserve">be non-inferior </w:t>
      </w:r>
      <w:bookmarkStart w:id="30" w:name="OLE_LINK28"/>
      <w:r w:rsidR="00355E68" w:rsidRPr="00857539">
        <w:rPr>
          <w:rFonts w:cs="Calibri"/>
          <w:sz w:val="24"/>
        </w:rPr>
        <w:t>to soybean</w:t>
      </w:r>
      <w:r w:rsidRPr="00857539">
        <w:rPr>
          <w:rFonts w:cs="Calibri"/>
          <w:sz w:val="24"/>
        </w:rPr>
        <w:t>-</w:t>
      </w:r>
      <w:r w:rsidR="00355E68" w:rsidRPr="00857539">
        <w:rPr>
          <w:rFonts w:cs="Calibri"/>
          <w:sz w:val="24"/>
        </w:rPr>
        <w:t xml:space="preserve">oil-based </w:t>
      </w:r>
      <w:proofErr w:type="spellStart"/>
      <w:r w:rsidR="00355E68" w:rsidRPr="00857539">
        <w:rPr>
          <w:rFonts w:cs="Calibri"/>
          <w:sz w:val="24"/>
        </w:rPr>
        <w:t>CoBs</w:t>
      </w:r>
      <w:bookmarkEnd w:id="30"/>
      <w:proofErr w:type="spellEnd"/>
      <w:r w:rsidR="00355E68" w:rsidRPr="00857539">
        <w:rPr>
          <w:rFonts w:cs="Calibri"/>
          <w:sz w:val="24"/>
        </w:rPr>
        <w:t xml:space="preserve"> in increasing or maintaining the levels of serum </w:t>
      </w:r>
      <w:r w:rsidR="00355E68" w:rsidRPr="00857539">
        <w:rPr>
          <w:rFonts w:cs="Calibri"/>
          <w:noProof/>
          <w:sz w:val="24"/>
        </w:rPr>
        <w:t>prealbumin</w:t>
      </w:r>
      <w:r w:rsidR="00355E68" w:rsidRPr="00857539">
        <w:rPr>
          <w:rFonts w:cs="Calibri"/>
          <w:sz w:val="24"/>
        </w:rPr>
        <w:t xml:space="preserve"> at day 5 in both the </w:t>
      </w:r>
      <w:proofErr w:type="spellStart"/>
      <w:r w:rsidR="00355E68" w:rsidRPr="00857539">
        <w:rPr>
          <w:rFonts w:cs="Calibri"/>
          <w:sz w:val="24"/>
        </w:rPr>
        <w:t>mITT</w:t>
      </w:r>
      <w:proofErr w:type="spellEnd"/>
      <w:r w:rsidR="00355E68" w:rsidRPr="00857539">
        <w:rPr>
          <w:rFonts w:cs="Calibri"/>
          <w:sz w:val="24"/>
        </w:rPr>
        <w:t xml:space="preserve"> population (p=0.0002) and the PP population (p=0.0006).</w:t>
      </w:r>
    </w:p>
    <w:p w14:paraId="0059E0D1" w14:textId="77777777" w:rsidR="00FD6973" w:rsidRPr="00857539" w:rsidRDefault="00FD6973" w:rsidP="00342AEA">
      <w:pPr>
        <w:contextualSpacing/>
        <w:jc w:val="left"/>
        <w:rPr>
          <w:rFonts w:cs="Calibri"/>
          <w:sz w:val="24"/>
        </w:rPr>
      </w:pPr>
    </w:p>
    <w:p w14:paraId="13125DD6" w14:textId="77777777" w:rsidR="000C39D5" w:rsidRPr="00857539" w:rsidRDefault="000168D7" w:rsidP="00342AEA">
      <w:pPr>
        <w:contextualSpacing/>
        <w:jc w:val="left"/>
        <w:rPr>
          <w:rFonts w:cs="Calibri"/>
          <w:sz w:val="24"/>
        </w:rPr>
      </w:pPr>
      <w:r w:rsidRPr="00857539">
        <w:rPr>
          <w:rFonts w:cs="Calibri"/>
          <w:sz w:val="24"/>
        </w:rPr>
        <w:t xml:space="preserve">A similar </w:t>
      </w:r>
      <w:r w:rsidR="00355E68" w:rsidRPr="00857539">
        <w:rPr>
          <w:rFonts w:cs="Calibri"/>
          <w:sz w:val="24"/>
        </w:rPr>
        <w:t xml:space="preserve">trend was also observed when the subgroup analyses for age, gender, no surgery, surgery of medium complexity, and surgery of high complexity was performed </w:t>
      </w:r>
      <w:r w:rsidRPr="00857539">
        <w:rPr>
          <w:rFonts w:cs="Calibri"/>
          <w:sz w:val="24"/>
        </w:rPr>
        <w:t xml:space="preserve">for </w:t>
      </w:r>
      <w:r w:rsidR="00355E68" w:rsidRPr="00857539">
        <w:rPr>
          <w:rFonts w:cs="Calibri"/>
          <w:sz w:val="24"/>
        </w:rPr>
        <w:t>the two groups (</w:t>
      </w:r>
      <w:r w:rsidR="00355E68" w:rsidRPr="00857539">
        <w:rPr>
          <w:rFonts w:cs="Calibri"/>
          <w:b/>
          <w:sz w:val="24"/>
        </w:rPr>
        <w:t>Figure 5</w:t>
      </w:r>
      <w:r w:rsidR="00355E68" w:rsidRPr="00857539">
        <w:rPr>
          <w:rFonts w:cs="Calibri"/>
          <w:sz w:val="24"/>
        </w:rPr>
        <w:t>).</w:t>
      </w:r>
    </w:p>
    <w:p w14:paraId="42A69F27" w14:textId="77777777" w:rsidR="00FD6973" w:rsidRPr="00857539" w:rsidRDefault="00FD6973" w:rsidP="00342AEA">
      <w:pPr>
        <w:contextualSpacing/>
        <w:jc w:val="left"/>
        <w:rPr>
          <w:rFonts w:cs="Calibri"/>
          <w:sz w:val="24"/>
        </w:rPr>
      </w:pPr>
    </w:p>
    <w:p w14:paraId="0D347D29" w14:textId="737D229C" w:rsidR="00355E68" w:rsidRPr="00857539" w:rsidRDefault="00355E68" w:rsidP="00342AEA">
      <w:pPr>
        <w:contextualSpacing/>
        <w:jc w:val="left"/>
        <w:rPr>
          <w:rFonts w:cs="Calibri"/>
          <w:sz w:val="24"/>
        </w:rPr>
      </w:pPr>
      <w:r w:rsidRPr="00857539">
        <w:rPr>
          <w:rFonts w:cs="Calibri"/>
          <w:sz w:val="24"/>
        </w:rPr>
        <w:t xml:space="preserve">Increased levels of </w:t>
      </w:r>
      <w:r w:rsidRPr="00857539">
        <w:rPr>
          <w:rFonts w:cs="Calibri"/>
          <w:noProof/>
          <w:sz w:val="24"/>
        </w:rPr>
        <w:t>prealbumin</w:t>
      </w:r>
      <w:r w:rsidRPr="00857539">
        <w:rPr>
          <w:rFonts w:cs="Calibri"/>
          <w:sz w:val="24"/>
        </w:rPr>
        <w:t xml:space="preserve"> and albumin were observed for the test group</w:t>
      </w:r>
      <w:r w:rsidR="00BF143A" w:rsidRPr="00857539">
        <w:rPr>
          <w:rFonts w:cs="Calibri"/>
          <w:sz w:val="24"/>
        </w:rPr>
        <w:t>,</w:t>
      </w:r>
      <w:r w:rsidRPr="00857539">
        <w:rPr>
          <w:rFonts w:cs="Calibri"/>
          <w:sz w:val="24"/>
        </w:rPr>
        <w:t xml:space="preserve"> while the control group showed decreased level</w:t>
      </w:r>
      <w:r w:rsidR="00BF143A" w:rsidRPr="00857539">
        <w:rPr>
          <w:rFonts w:cs="Calibri"/>
          <w:sz w:val="24"/>
        </w:rPr>
        <w:t>s</w:t>
      </w:r>
      <w:r w:rsidRPr="00857539">
        <w:rPr>
          <w:rFonts w:cs="Calibri"/>
          <w:sz w:val="24"/>
        </w:rPr>
        <w:t xml:space="preserve"> of both proteins. Serum </w:t>
      </w:r>
      <w:r w:rsidRPr="00857539">
        <w:rPr>
          <w:rFonts w:cs="Calibri"/>
          <w:noProof/>
          <w:sz w:val="24"/>
        </w:rPr>
        <w:t>prealbumin</w:t>
      </w:r>
      <w:r w:rsidRPr="00857539">
        <w:rPr>
          <w:rFonts w:cs="Calibri"/>
          <w:sz w:val="24"/>
        </w:rPr>
        <w:t xml:space="preserve"> and albumin levels </w:t>
      </w:r>
      <w:r w:rsidR="00BF143A" w:rsidRPr="00857539">
        <w:rPr>
          <w:rFonts w:cs="Calibri"/>
          <w:sz w:val="24"/>
        </w:rPr>
        <w:t xml:space="preserve">on </w:t>
      </w:r>
      <w:r w:rsidRPr="00857539">
        <w:rPr>
          <w:rFonts w:cs="Calibri"/>
          <w:sz w:val="24"/>
        </w:rPr>
        <w:t xml:space="preserve">day 5 of the study were found to be significantly higher in the test group compared to the control group. No statistically significant difference was observed in serum IGF-I levels at day 5 between both the groups. However, at day 14, serum IGF-I levels were found to be significantly higher in the test group compared to the control group. </w:t>
      </w:r>
      <w:r w:rsidRPr="00857539">
        <w:rPr>
          <w:rFonts w:cs="Calibri"/>
          <w:noProof/>
          <w:sz w:val="24"/>
        </w:rPr>
        <w:t>No</w:t>
      </w:r>
      <w:r w:rsidRPr="00857539">
        <w:rPr>
          <w:rFonts w:cs="Calibri"/>
          <w:sz w:val="24"/>
        </w:rPr>
        <w:t xml:space="preserve"> statistically significant differences were observed during the between-group analysis for 6</w:t>
      </w:r>
      <w:r w:rsidR="00752710">
        <w:rPr>
          <w:rFonts w:cs="Calibri"/>
          <w:sz w:val="24"/>
        </w:rPr>
        <w:t xml:space="preserve"> </w:t>
      </w:r>
      <w:r w:rsidRPr="00857539">
        <w:rPr>
          <w:rFonts w:cs="Calibri"/>
          <w:sz w:val="24"/>
        </w:rPr>
        <w:t>h urinary urea nitrogen and 6</w:t>
      </w:r>
      <w:r w:rsidR="00752710">
        <w:rPr>
          <w:rFonts w:cs="Calibri"/>
          <w:sz w:val="24"/>
        </w:rPr>
        <w:t xml:space="preserve"> h</w:t>
      </w:r>
      <w:r w:rsidRPr="00857539">
        <w:rPr>
          <w:rFonts w:cs="Calibri"/>
          <w:sz w:val="24"/>
        </w:rPr>
        <w:t xml:space="preserve"> urinary excretion of 3-methylhistidine.</w:t>
      </w:r>
    </w:p>
    <w:p w14:paraId="31B2395B" w14:textId="77777777" w:rsidR="00355E68" w:rsidRPr="00857539" w:rsidRDefault="00355E68" w:rsidP="00342AEA">
      <w:pPr>
        <w:contextualSpacing/>
        <w:jc w:val="left"/>
        <w:rPr>
          <w:rFonts w:cs="Calibri"/>
          <w:sz w:val="24"/>
        </w:rPr>
      </w:pPr>
    </w:p>
    <w:p w14:paraId="1D4F1906" w14:textId="77777777" w:rsidR="00355E68" w:rsidRPr="00857539" w:rsidRDefault="00355E68" w:rsidP="00342AEA">
      <w:pPr>
        <w:contextualSpacing/>
        <w:jc w:val="left"/>
        <w:rPr>
          <w:rFonts w:cs="Calibri"/>
          <w:b/>
          <w:bCs/>
          <w:sz w:val="24"/>
        </w:rPr>
      </w:pPr>
      <w:r w:rsidRPr="00857539">
        <w:rPr>
          <w:rFonts w:cs="Calibri"/>
          <w:b/>
          <w:bCs/>
          <w:sz w:val="24"/>
        </w:rPr>
        <w:t xml:space="preserve">Lipid </w:t>
      </w:r>
      <w:r w:rsidR="00D445FF" w:rsidRPr="00857539">
        <w:rPr>
          <w:rFonts w:cs="Calibri"/>
          <w:b/>
          <w:bCs/>
          <w:sz w:val="24"/>
        </w:rPr>
        <w:t>E</w:t>
      </w:r>
      <w:r w:rsidRPr="00857539">
        <w:rPr>
          <w:rFonts w:cs="Calibri"/>
          <w:b/>
          <w:bCs/>
          <w:sz w:val="24"/>
        </w:rPr>
        <w:t>ndpoints</w:t>
      </w:r>
    </w:p>
    <w:p w14:paraId="7E7FC129" w14:textId="390E9F13" w:rsidR="00355E68" w:rsidRPr="00857539" w:rsidRDefault="00355E68" w:rsidP="00342AEA">
      <w:pPr>
        <w:contextualSpacing/>
        <w:jc w:val="left"/>
        <w:rPr>
          <w:rFonts w:cs="Calibri"/>
          <w:sz w:val="24"/>
        </w:rPr>
      </w:pPr>
      <w:r w:rsidRPr="00857539">
        <w:rPr>
          <w:rFonts w:cs="Calibri"/>
          <w:sz w:val="24"/>
        </w:rPr>
        <w:t xml:space="preserve">A </w:t>
      </w:r>
      <w:r w:rsidR="00752710">
        <w:rPr>
          <w:rFonts w:cs="Calibri"/>
          <w:sz w:val="24"/>
        </w:rPr>
        <w:t>s</w:t>
      </w:r>
      <w:r w:rsidRPr="00857539">
        <w:rPr>
          <w:rFonts w:cs="Calibri"/>
          <w:sz w:val="24"/>
        </w:rPr>
        <w:t xml:space="preserve">ignificant increase in serum oleic acid levels were observed </w:t>
      </w:r>
      <w:r w:rsidR="003720E3" w:rsidRPr="00857539">
        <w:rPr>
          <w:rFonts w:cs="Calibri"/>
          <w:sz w:val="24"/>
        </w:rPr>
        <w:t xml:space="preserve">in </w:t>
      </w:r>
      <w:r w:rsidRPr="00857539">
        <w:rPr>
          <w:rFonts w:cs="Calibri"/>
          <w:sz w:val="24"/>
        </w:rPr>
        <w:t xml:space="preserve">both the groups; however, the observed increase in the </w:t>
      </w:r>
      <w:r w:rsidR="003720E3" w:rsidRPr="00857539">
        <w:rPr>
          <w:rFonts w:cs="Calibri"/>
          <w:sz w:val="24"/>
        </w:rPr>
        <w:t>olive-</w:t>
      </w:r>
      <w:r w:rsidRPr="00857539">
        <w:rPr>
          <w:rFonts w:cs="Calibri"/>
          <w:sz w:val="24"/>
        </w:rPr>
        <w:t>oil-based 3CB group was greater. There were no statistically significant differences observed at any time point</w:t>
      </w:r>
      <w:r w:rsidR="003720E3" w:rsidRPr="00857539">
        <w:rPr>
          <w:rFonts w:cs="Calibri"/>
          <w:sz w:val="24"/>
        </w:rPr>
        <w:t xml:space="preserve"> between the treatment groups</w:t>
      </w:r>
      <w:r w:rsidRPr="00857539">
        <w:rPr>
          <w:rFonts w:cs="Calibri"/>
          <w:sz w:val="24"/>
        </w:rPr>
        <w:t xml:space="preserve"> for serum levels of linoleic acid, arachidonic acid, and EPA.</w:t>
      </w:r>
    </w:p>
    <w:p w14:paraId="062234C3" w14:textId="77777777" w:rsidR="00355E68" w:rsidRPr="00857539" w:rsidRDefault="00355E68" w:rsidP="00342AEA">
      <w:pPr>
        <w:contextualSpacing/>
        <w:jc w:val="left"/>
        <w:rPr>
          <w:rFonts w:cs="Calibri"/>
          <w:sz w:val="24"/>
        </w:rPr>
      </w:pPr>
    </w:p>
    <w:p w14:paraId="694EE1D9" w14:textId="77777777" w:rsidR="00355E68" w:rsidRPr="00857539" w:rsidRDefault="00355E68" w:rsidP="00342AEA">
      <w:pPr>
        <w:contextualSpacing/>
        <w:jc w:val="left"/>
        <w:rPr>
          <w:rFonts w:cs="Calibri"/>
          <w:b/>
          <w:bCs/>
          <w:sz w:val="24"/>
        </w:rPr>
      </w:pPr>
      <w:r w:rsidRPr="00857539">
        <w:rPr>
          <w:rFonts w:cs="Calibri"/>
          <w:b/>
          <w:bCs/>
          <w:sz w:val="24"/>
        </w:rPr>
        <w:t>Inflammation, Oxidation, and Infections</w:t>
      </w:r>
    </w:p>
    <w:p w14:paraId="123B26D7" w14:textId="77777777" w:rsidR="00A41DA2" w:rsidRPr="00857539" w:rsidRDefault="00355E68" w:rsidP="00342AEA">
      <w:pPr>
        <w:contextualSpacing/>
        <w:jc w:val="left"/>
        <w:rPr>
          <w:rFonts w:cs="Calibri"/>
          <w:sz w:val="24"/>
        </w:rPr>
      </w:pPr>
      <w:r w:rsidRPr="00857539">
        <w:rPr>
          <w:rFonts w:cs="Calibri"/>
          <w:sz w:val="24"/>
        </w:rPr>
        <w:t xml:space="preserve">A small but statistically significant difference was observed </w:t>
      </w:r>
      <w:r w:rsidR="00DA56BB" w:rsidRPr="00857539">
        <w:rPr>
          <w:rFonts w:cs="Calibri"/>
          <w:sz w:val="24"/>
        </w:rPr>
        <w:t xml:space="preserve">on </w:t>
      </w:r>
      <w:r w:rsidRPr="00857539">
        <w:rPr>
          <w:rFonts w:cs="Calibri"/>
          <w:sz w:val="24"/>
        </w:rPr>
        <w:t xml:space="preserve">day 5 in serum levels of interleukin (IL)-6 </w:t>
      </w:r>
      <w:r w:rsidR="009D0547" w:rsidRPr="00857539">
        <w:rPr>
          <w:rFonts w:cs="Calibri"/>
          <w:sz w:val="24"/>
        </w:rPr>
        <w:t xml:space="preserve">between </w:t>
      </w:r>
      <w:r w:rsidRPr="00857539">
        <w:rPr>
          <w:rFonts w:cs="Calibri"/>
          <w:sz w:val="24"/>
        </w:rPr>
        <w:t xml:space="preserve">the two treatment groups. There was a decrease in </w:t>
      </w:r>
      <w:r w:rsidR="0048066C" w:rsidRPr="00857539">
        <w:rPr>
          <w:rFonts w:cs="Calibri"/>
          <w:sz w:val="24"/>
        </w:rPr>
        <w:t xml:space="preserve">the </w:t>
      </w:r>
      <w:r w:rsidRPr="00857539">
        <w:rPr>
          <w:rFonts w:cs="Calibri"/>
          <w:noProof/>
          <w:sz w:val="24"/>
        </w:rPr>
        <w:t>level</w:t>
      </w:r>
      <w:r w:rsidRPr="00857539">
        <w:rPr>
          <w:rFonts w:cs="Calibri"/>
          <w:sz w:val="24"/>
        </w:rPr>
        <w:t xml:space="preserve"> of IL-6 </w:t>
      </w:r>
      <w:r w:rsidR="0048066C" w:rsidRPr="00857539">
        <w:rPr>
          <w:rFonts w:cs="Calibri"/>
          <w:sz w:val="24"/>
        </w:rPr>
        <w:t xml:space="preserve">in </w:t>
      </w:r>
      <w:r w:rsidRPr="00857539">
        <w:rPr>
          <w:rFonts w:cs="Calibri"/>
          <w:sz w:val="24"/>
        </w:rPr>
        <w:t>both the groups.</w:t>
      </w:r>
    </w:p>
    <w:p w14:paraId="024DB3E4" w14:textId="77777777" w:rsidR="00FD6973" w:rsidRPr="00857539" w:rsidRDefault="00FD6973" w:rsidP="00342AEA">
      <w:pPr>
        <w:contextualSpacing/>
        <w:jc w:val="left"/>
        <w:rPr>
          <w:rFonts w:cs="Calibri"/>
          <w:sz w:val="24"/>
        </w:rPr>
      </w:pPr>
    </w:p>
    <w:p w14:paraId="79FAE4A0" w14:textId="77777777" w:rsidR="00A41DA2" w:rsidRPr="00857539" w:rsidRDefault="00355E68" w:rsidP="00342AEA">
      <w:pPr>
        <w:contextualSpacing/>
        <w:jc w:val="left"/>
        <w:rPr>
          <w:rFonts w:cs="Calibri"/>
          <w:sz w:val="24"/>
        </w:rPr>
      </w:pPr>
      <w:r w:rsidRPr="00857539">
        <w:rPr>
          <w:rFonts w:cs="Calibri"/>
          <w:sz w:val="24"/>
        </w:rPr>
        <w:t xml:space="preserve">No significant differences were observed in serum levels of cortisol, procalcitonin, C-reactive </w:t>
      </w:r>
      <w:r w:rsidRPr="00857539">
        <w:rPr>
          <w:rFonts w:cs="Calibri"/>
          <w:sz w:val="24"/>
        </w:rPr>
        <w:lastRenderedPageBreak/>
        <w:t>protein, or ICAM-1 between the two treatment groups. Additionally, for the serum levels of malondialdehyde or F2-isoprostane</w:t>
      </w:r>
      <w:r w:rsidR="005C2C51" w:rsidRPr="00857539">
        <w:rPr>
          <w:rFonts w:cs="Calibri"/>
          <w:sz w:val="24"/>
        </w:rPr>
        <w:t>,</w:t>
      </w:r>
      <w:r w:rsidRPr="00857539">
        <w:rPr>
          <w:rFonts w:cs="Calibri"/>
          <w:sz w:val="24"/>
        </w:rPr>
        <w:t xml:space="preserve"> no significant differences were observed </w:t>
      </w:r>
      <w:r w:rsidR="005C2C51" w:rsidRPr="00857539">
        <w:rPr>
          <w:rFonts w:cs="Calibri"/>
          <w:sz w:val="24"/>
        </w:rPr>
        <w:t xml:space="preserve">on </w:t>
      </w:r>
      <w:r w:rsidRPr="00857539">
        <w:rPr>
          <w:rFonts w:cs="Calibri"/>
          <w:sz w:val="24"/>
        </w:rPr>
        <w:t>day 5 or day 14 of the study between the two treatment groups.</w:t>
      </w:r>
    </w:p>
    <w:p w14:paraId="2921D42D" w14:textId="77777777" w:rsidR="00FD6973" w:rsidRPr="00857539" w:rsidRDefault="00FD6973" w:rsidP="00342AEA">
      <w:pPr>
        <w:contextualSpacing/>
        <w:jc w:val="left"/>
        <w:rPr>
          <w:rFonts w:cs="Calibri"/>
          <w:sz w:val="24"/>
        </w:rPr>
      </w:pPr>
    </w:p>
    <w:p w14:paraId="11D58B1B" w14:textId="77777777" w:rsidR="00355E68" w:rsidRPr="00857539" w:rsidRDefault="00355E68" w:rsidP="00342AEA">
      <w:pPr>
        <w:contextualSpacing/>
        <w:jc w:val="left"/>
        <w:rPr>
          <w:rFonts w:cs="Calibri"/>
          <w:sz w:val="24"/>
        </w:rPr>
      </w:pPr>
      <w:r w:rsidRPr="00857539">
        <w:rPr>
          <w:rFonts w:cs="Calibri"/>
          <w:sz w:val="24"/>
        </w:rPr>
        <w:t xml:space="preserve">The overall incidence rate of infections was found to be low in the study. Patients in the control group had </w:t>
      </w:r>
      <w:r w:rsidR="003721E9" w:rsidRPr="00857539">
        <w:rPr>
          <w:rFonts w:cs="Calibri"/>
          <w:sz w:val="24"/>
        </w:rPr>
        <w:t xml:space="preserve">a </w:t>
      </w:r>
      <w:r w:rsidRPr="00857539">
        <w:rPr>
          <w:rFonts w:cs="Calibri"/>
          <w:sz w:val="24"/>
        </w:rPr>
        <w:t xml:space="preserve">significantly </w:t>
      </w:r>
      <w:r w:rsidR="003721E9" w:rsidRPr="00857539">
        <w:rPr>
          <w:rFonts w:cs="Calibri"/>
          <w:sz w:val="24"/>
        </w:rPr>
        <w:t xml:space="preserve">higher </w:t>
      </w:r>
      <w:r w:rsidRPr="00857539">
        <w:rPr>
          <w:rFonts w:cs="Calibri"/>
          <w:sz w:val="24"/>
        </w:rPr>
        <w:t xml:space="preserve">infection </w:t>
      </w:r>
      <w:r w:rsidR="003721E9" w:rsidRPr="00857539">
        <w:rPr>
          <w:rFonts w:cs="Calibri"/>
          <w:sz w:val="24"/>
        </w:rPr>
        <w:t xml:space="preserve">rate </w:t>
      </w:r>
      <w:r w:rsidRPr="00857539">
        <w:rPr>
          <w:rFonts w:cs="Calibri"/>
          <w:sz w:val="24"/>
        </w:rPr>
        <w:t>compared to the test group (</w:t>
      </w:r>
      <w:r w:rsidRPr="00857539">
        <w:rPr>
          <w:rFonts w:cs="Calibri"/>
          <w:b/>
          <w:sz w:val="24"/>
        </w:rPr>
        <w:t>Table 3</w:t>
      </w:r>
      <w:r w:rsidRPr="00857539">
        <w:rPr>
          <w:rFonts w:cs="Calibri"/>
          <w:sz w:val="24"/>
        </w:rPr>
        <w:t>). The most common infections observed in the study were lung infections, followed by incision/wound infections. No bloodstream infections were reported in the study</w:t>
      </w:r>
      <w:r w:rsidR="00572131" w:rsidRPr="00857539">
        <w:rPr>
          <w:rFonts w:cs="Calibri"/>
          <w:sz w:val="24"/>
          <w:vertAlign w:val="superscript"/>
        </w:rPr>
        <w:t>7</w:t>
      </w:r>
      <w:r w:rsidRPr="00857539">
        <w:rPr>
          <w:rFonts w:cs="Calibri"/>
          <w:sz w:val="24"/>
        </w:rPr>
        <w:t>.</w:t>
      </w:r>
    </w:p>
    <w:p w14:paraId="48464C98" w14:textId="77777777" w:rsidR="00355E68" w:rsidRPr="00857539" w:rsidRDefault="00355E68" w:rsidP="00342AEA">
      <w:pPr>
        <w:contextualSpacing/>
        <w:jc w:val="left"/>
        <w:rPr>
          <w:rFonts w:cs="Calibri"/>
          <w:b/>
          <w:bCs/>
          <w:sz w:val="24"/>
        </w:rPr>
      </w:pPr>
    </w:p>
    <w:p w14:paraId="4BF54F7D" w14:textId="77777777" w:rsidR="00355E68" w:rsidRPr="00857539" w:rsidRDefault="00355E68" w:rsidP="00342AEA">
      <w:pPr>
        <w:contextualSpacing/>
        <w:jc w:val="left"/>
        <w:rPr>
          <w:rFonts w:cs="Calibri"/>
          <w:b/>
          <w:bCs/>
          <w:sz w:val="24"/>
        </w:rPr>
      </w:pPr>
      <w:r w:rsidRPr="00857539">
        <w:rPr>
          <w:rFonts w:cs="Calibri"/>
          <w:b/>
          <w:bCs/>
          <w:sz w:val="24"/>
        </w:rPr>
        <w:t>Preparation Time</w:t>
      </w:r>
    </w:p>
    <w:p w14:paraId="1CF75A4F" w14:textId="77777777" w:rsidR="00355E68" w:rsidRPr="00857539" w:rsidRDefault="00811ED5" w:rsidP="00342AEA">
      <w:pPr>
        <w:contextualSpacing/>
        <w:jc w:val="left"/>
        <w:rPr>
          <w:rFonts w:cs="Calibri"/>
          <w:sz w:val="24"/>
        </w:rPr>
      </w:pPr>
      <w:r w:rsidRPr="00857539">
        <w:rPr>
          <w:rFonts w:cs="Calibri"/>
          <w:sz w:val="24"/>
        </w:rPr>
        <w:t>T</w:t>
      </w:r>
      <w:r w:rsidR="00355E68" w:rsidRPr="00857539">
        <w:rPr>
          <w:rFonts w:cs="Calibri"/>
          <w:sz w:val="24"/>
        </w:rPr>
        <w:t xml:space="preserve">he preparation time for study treatment was found to be significantly </w:t>
      </w:r>
      <w:r w:rsidR="003721E9" w:rsidRPr="00857539">
        <w:rPr>
          <w:rFonts w:cs="Calibri"/>
          <w:sz w:val="24"/>
        </w:rPr>
        <w:t xml:space="preserve">lower </w:t>
      </w:r>
      <w:r w:rsidR="00355E68" w:rsidRPr="00857539">
        <w:rPr>
          <w:rFonts w:cs="Calibri"/>
          <w:sz w:val="24"/>
        </w:rPr>
        <w:t>for the test group</w:t>
      </w:r>
      <w:r w:rsidRPr="00857539">
        <w:rPr>
          <w:rFonts w:cs="Calibri"/>
          <w:sz w:val="24"/>
        </w:rPr>
        <w:t xml:space="preserve"> compared to the control group</w:t>
      </w:r>
      <w:r w:rsidR="00355E68" w:rsidRPr="00857539">
        <w:rPr>
          <w:rFonts w:cs="Calibri"/>
          <w:sz w:val="24"/>
        </w:rPr>
        <w:t xml:space="preserve"> on all assessment days (</w:t>
      </w:r>
      <w:r w:rsidR="00355E68" w:rsidRPr="00857539">
        <w:rPr>
          <w:rFonts w:cs="Calibri"/>
          <w:b/>
          <w:sz w:val="24"/>
        </w:rPr>
        <w:t>Figure 6</w:t>
      </w:r>
      <w:r w:rsidR="00355E68" w:rsidRPr="00857539">
        <w:rPr>
          <w:rFonts w:cs="Calibri"/>
          <w:sz w:val="24"/>
        </w:rPr>
        <w:t>).</w:t>
      </w:r>
    </w:p>
    <w:p w14:paraId="585051C1" w14:textId="77777777" w:rsidR="00FD6973" w:rsidRPr="00857539" w:rsidRDefault="00FD6973" w:rsidP="00342AEA">
      <w:pPr>
        <w:contextualSpacing/>
        <w:jc w:val="left"/>
        <w:rPr>
          <w:rFonts w:cs="Calibri"/>
          <w:sz w:val="24"/>
        </w:rPr>
      </w:pPr>
    </w:p>
    <w:p w14:paraId="1C5D36C7" w14:textId="77777777" w:rsidR="00FD6973" w:rsidRPr="00857539" w:rsidRDefault="00FD6973" w:rsidP="00342AEA">
      <w:pPr>
        <w:contextualSpacing/>
        <w:jc w:val="left"/>
        <w:rPr>
          <w:rFonts w:cs="Calibri"/>
          <w:b/>
          <w:sz w:val="24"/>
        </w:rPr>
      </w:pPr>
      <w:r w:rsidRPr="00857539">
        <w:rPr>
          <w:rFonts w:cs="Calibri"/>
          <w:b/>
          <w:sz w:val="24"/>
        </w:rPr>
        <w:t>FIGURE LEGENDS:</w:t>
      </w:r>
    </w:p>
    <w:p w14:paraId="3F0B25B8" w14:textId="77777777" w:rsidR="00FD6973" w:rsidRPr="00857539" w:rsidRDefault="00FD6973" w:rsidP="00342AEA">
      <w:pPr>
        <w:contextualSpacing/>
        <w:jc w:val="left"/>
        <w:rPr>
          <w:rFonts w:cs="Calibri"/>
          <w:b/>
          <w:bCs/>
          <w:sz w:val="24"/>
        </w:rPr>
      </w:pPr>
    </w:p>
    <w:p w14:paraId="29B2CAE1" w14:textId="77777777" w:rsidR="0093240D" w:rsidRPr="00857539" w:rsidRDefault="0093240D" w:rsidP="00342AEA">
      <w:pPr>
        <w:contextualSpacing/>
        <w:jc w:val="left"/>
        <w:rPr>
          <w:rFonts w:cs="Calibri"/>
          <w:b/>
          <w:bCs/>
          <w:sz w:val="24"/>
        </w:rPr>
      </w:pPr>
      <w:r w:rsidRPr="00857539">
        <w:rPr>
          <w:rFonts w:cs="Calibri"/>
          <w:b/>
          <w:bCs/>
          <w:sz w:val="24"/>
        </w:rPr>
        <w:t xml:space="preserve">Table 1: Schedule of assessment—Pre-study treatment period through </w:t>
      </w:r>
      <w:r w:rsidRPr="00857539">
        <w:rPr>
          <w:rFonts w:cs="Calibri"/>
          <w:b/>
          <w:bCs/>
          <w:noProof/>
          <w:sz w:val="24"/>
        </w:rPr>
        <w:t>study</w:t>
      </w:r>
      <w:r w:rsidRPr="00857539">
        <w:rPr>
          <w:rFonts w:cs="Calibri"/>
          <w:b/>
          <w:bCs/>
          <w:sz w:val="24"/>
        </w:rPr>
        <w:t xml:space="preserve"> treatment period (day 1 through day 14) and end of treatment</w:t>
      </w:r>
    </w:p>
    <w:p w14:paraId="4B1DD4B5" w14:textId="77777777" w:rsidR="0093240D" w:rsidRPr="00857539" w:rsidRDefault="0093240D" w:rsidP="00342AEA">
      <w:pPr>
        <w:contextualSpacing/>
        <w:jc w:val="left"/>
        <w:rPr>
          <w:rFonts w:cs="Calibri"/>
          <w:b/>
          <w:bCs/>
          <w:sz w:val="24"/>
        </w:rPr>
      </w:pPr>
    </w:p>
    <w:p w14:paraId="5275FBB8" w14:textId="77777777" w:rsidR="0093240D" w:rsidRPr="00857539" w:rsidRDefault="0093240D" w:rsidP="00342AEA">
      <w:pPr>
        <w:contextualSpacing/>
        <w:jc w:val="left"/>
        <w:rPr>
          <w:rFonts w:cs="Calibri"/>
          <w:b/>
          <w:bCs/>
          <w:sz w:val="24"/>
        </w:rPr>
      </w:pPr>
      <w:r w:rsidRPr="00857539">
        <w:rPr>
          <w:rFonts w:cs="Calibri"/>
          <w:b/>
          <w:bCs/>
          <w:sz w:val="24"/>
        </w:rPr>
        <w:t>Table 2: Patient demographics and baseline characteristics (Intention-to-treat [ITT] population)</w:t>
      </w:r>
    </w:p>
    <w:p w14:paraId="1346A520" w14:textId="77777777" w:rsidR="0093240D" w:rsidRPr="00857539" w:rsidRDefault="0093240D" w:rsidP="00342AEA">
      <w:pPr>
        <w:contextualSpacing/>
        <w:jc w:val="left"/>
        <w:rPr>
          <w:rFonts w:cs="Calibri"/>
          <w:b/>
          <w:bCs/>
          <w:sz w:val="24"/>
        </w:rPr>
      </w:pPr>
    </w:p>
    <w:p w14:paraId="183989F4" w14:textId="77777777" w:rsidR="0093240D" w:rsidRPr="00857539" w:rsidRDefault="0093240D" w:rsidP="00342AEA">
      <w:pPr>
        <w:contextualSpacing/>
        <w:jc w:val="left"/>
        <w:rPr>
          <w:rFonts w:cs="Calibri"/>
          <w:b/>
          <w:sz w:val="24"/>
        </w:rPr>
      </w:pPr>
      <w:r w:rsidRPr="00857539">
        <w:rPr>
          <w:rFonts w:cs="Calibri"/>
          <w:b/>
          <w:bCs/>
          <w:sz w:val="24"/>
        </w:rPr>
        <w:t>Table 3: Treatment-emergent adverse event infections</w:t>
      </w:r>
      <w:r w:rsidRPr="00857539">
        <w:rPr>
          <w:rFonts w:cs="Calibri"/>
          <w:b/>
          <w:sz w:val="24"/>
        </w:rPr>
        <w:t xml:space="preserve"> in </w:t>
      </w:r>
      <w:r w:rsidRPr="00857539">
        <w:rPr>
          <w:rFonts w:cs="Calibri"/>
          <w:b/>
          <w:noProof/>
          <w:sz w:val="24"/>
        </w:rPr>
        <w:t>safety</w:t>
      </w:r>
      <w:r w:rsidRPr="00857539">
        <w:rPr>
          <w:rFonts w:cs="Calibri"/>
          <w:b/>
          <w:sz w:val="24"/>
        </w:rPr>
        <w:t xml:space="preserve"> population</w:t>
      </w:r>
    </w:p>
    <w:p w14:paraId="726E1A7F" w14:textId="77777777" w:rsidR="0093240D" w:rsidRPr="00857539" w:rsidRDefault="0093240D" w:rsidP="00342AEA">
      <w:pPr>
        <w:contextualSpacing/>
        <w:jc w:val="left"/>
        <w:rPr>
          <w:rFonts w:cs="Calibri"/>
          <w:b/>
          <w:sz w:val="24"/>
        </w:rPr>
      </w:pPr>
    </w:p>
    <w:p w14:paraId="04FB7792" w14:textId="77777777" w:rsidR="0093240D" w:rsidRPr="00857539" w:rsidRDefault="0093240D" w:rsidP="00342AEA">
      <w:pPr>
        <w:contextualSpacing/>
        <w:jc w:val="left"/>
        <w:rPr>
          <w:rFonts w:cs="Calibri"/>
          <w:b/>
          <w:sz w:val="24"/>
        </w:rPr>
      </w:pPr>
      <w:r w:rsidRPr="00857539">
        <w:rPr>
          <w:rFonts w:cs="Calibri"/>
          <w:b/>
          <w:sz w:val="24"/>
        </w:rPr>
        <w:t>Figure 1: Representative schematic for subjects undergoing surgery without preoperative parenteral nutrition (PN).</w:t>
      </w:r>
      <w:r w:rsidRPr="00857539">
        <w:rPr>
          <w:rFonts w:cs="Calibri"/>
          <w:sz w:val="24"/>
        </w:rPr>
        <w:t xml:space="preserve"> (Treatment A (test treatment) is olive oil-based 3CBs; Treatment B (control treatment): Soybean-oil based </w:t>
      </w:r>
      <w:proofErr w:type="spellStart"/>
      <w:r w:rsidRPr="00857539">
        <w:rPr>
          <w:rFonts w:cs="Calibri"/>
          <w:sz w:val="24"/>
        </w:rPr>
        <w:t>CoBs</w:t>
      </w:r>
      <w:proofErr w:type="spellEnd"/>
      <w:r w:rsidRPr="00857539">
        <w:rPr>
          <w:rFonts w:cs="Calibri"/>
          <w:sz w:val="24"/>
        </w:rPr>
        <w:t>)</w:t>
      </w:r>
    </w:p>
    <w:p w14:paraId="3E26D236" w14:textId="77777777" w:rsidR="0093240D" w:rsidRPr="00857539" w:rsidRDefault="0093240D" w:rsidP="00342AEA">
      <w:pPr>
        <w:contextualSpacing/>
        <w:jc w:val="left"/>
        <w:rPr>
          <w:rFonts w:cs="Calibri"/>
          <w:b/>
          <w:sz w:val="24"/>
        </w:rPr>
      </w:pPr>
    </w:p>
    <w:p w14:paraId="725B47F7" w14:textId="77777777" w:rsidR="0093240D" w:rsidRPr="00857539" w:rsidRDefault="0093240D" w:rsidP="00342AEA">
      <w:pPr>
        <w:contextualSpacing/>
        <w:jc w:val="left"/>
        <w:rPr>
          <w:rFonts w:cs="Calibri"/>
          <w:b/>
          <w:sz w:val="24"/>
        </w:rPr>
      </w:pPr>
      <w:r w:rsidRPr="00857539">
        <w:rPr>
          <w:rFonts w:cs="Calibri"/>
          <w:b/>
          <w:sz w:val="24"/>
        </w:rPr>
        <w:t xml:space="preserve">Figure 2: Representative schematic for subjects undergoing surgery with preoperative parenteral nutrition (PN) </w:t>
      </w:r>
      <w:r w:rsidRPr="00857539">
        <w:rPr>
          <w:rFonts w:cs="Calibri"/>
          <w:sz w:val="24"/>
        </w:rPr>
        <w:t xml:space="preserve">(Treatment A (test treatment) is olive oil-based 3CBs; Treatment B (control treatment): Soybean-oil based </w:t>
      </w:r>
      <w:proofErr w:type="spellStart"/>
      <w:r w:rsidRPr="00857539">
        <w:rPr>
          <w:rFonts w:cs="Calibri"/>
          <w:sz w:val="24"/>
        </w:rPr>
        <w:t>CoBs</w:t>
      </w:r>
      <w:proofErr w:type="spellEnd"/>
      <w:r w:rsidRPr="00857539">
        <w:rPr>
          <w:rFonts w:cs="Calibri"/>
          <w:sz w:val="24"/>
        </w:rPr>
        <w:t>)</w:t>
      </w:r>
    </w:p>
    <w:p w14:paraId="32E4D394" w14:textId="77777777" w:rsidR="0093240D" w:rsidRPr="00857539" w:rsidRDefault="0093240D" w:rsidP="00342AEA">
      <w:pPr>
        <w:contextualSpacing/>
        <w:jc w:val="left"/>
        <w:rPr>
          <w:rFonts w:cs="Calibri"/>
          <w:b/>
          <w:sz w:val="24"/>
        </w:rPr>
      </w:pPr>
    </w:p>
    <w:p w14:paraId="0F95B08E" w14:textId="77777777" w:rsidR="0093240D" w:rsidRPr="00857539" w:rsidRDefault="0093240D" w:rsidP="00342AEA">
      <w:pPr>
        <w:contextualSpacing/>
        <w:jc w:val="left"/>
        <w:rPr>
          <w:rFonts w:cs="Calibri"/>
          <w:sz w:val="24"/>
        </w:rPr>
      </w:pPr>
      <w:r w:rsidRPr="00857539">
        <w:rPr>
          <w:rFonts w:cs="Calibri"/>
          <w:b/>
          <w:sz w:val="24"/>
        </w:rPr>
        <w:t>Figure 3: Representative schematic for subjects not undergoing surgery.</w:t>
      </w:r>
      <w:r w:rsidRPr="00857539">
        <w:rPr>
          <w:rFonts w:cs="Calibri"/>
          <w:sz w:val="24"/>
        </w:rPr>
        <w:t xml:space="preserve"> (Treatment A (test treatment) is olive oil-based 3CBs; Treatment B (control treatment): Soybean-oil based </w:t>
      </w:r>
      <w:proofErr w:type="spellStart"/>
      <w:r w:rsidRPr="00857539">
        <w:rPr>
          <w:rFonts w:cs="Calibri"/>
          <w:sz w:val="24"/>
        </w:rPr>
        <w:t>CoBs</w:t>
      </w:r>
      <w:proofErr w:type="spellEnd"/>
      <w:r w:rsidRPr="00857539">
        <w:rPr>
          <w:rFonts w:cs="Calibri"/>
          <w:sz w:val="24"/>
        </w:rPr>
        <w:t>)</w:t>
      </w:r>
    </w:p>
    <w:p w14:paraId="7CA2FE9D" w14:textId="77777777" w:rsidR="0093240D" w:rsidRPr="00857539" w:rsidRDefault="0093240D" w:rsidP="00342AEA">
      <w:pPr>
        <w:contextualSpacing/>
        <w:jc w:val="left"/>
        <w:rPr>
          <w:rFonts w:cs="Calibri"/>
          <w:b/>
          <w:sz w:val="24"/>
        </w:rPr>
      </w:pPr>
    </w:p>
    <w:p w14:paraId="140ED4BC" w14:textId="77777777" w:rsidR="0093240D" w:rsidRPr="00981557" w:rsidRDefault="0093240D" w:rsidP="00342AEA">
      <w:pPr>
        <w:contextualSpacing/>
        <w:jc w:val="left"/>
        <w:rPr>
          <w:rFonts w:cs="Calibri"/>
          <w:sz w:val="24"/>
        </w:rPr>
      </w:pPr>
      <w:r w:rsidRPr="00857539">
        <w:rPr>
          <w:rFonts w:cs="Calibri"/>
          <w:b/>
          <w:sz w:val="24"/>
        </w:rPr>
        <w:t xml:space="preserve">Figure 4: Flowchart for patient disposition in </w:t>
      </w:r>
      <w:r w:rsidRPr="00857539">
        <w:rPr>
          <w:rFonts w:cs="Calibri"/>
          <w:b/>
          <w:noProof/>
          <w:sz w:val="24"/>
        </w:rPr>
        <w:t>study</w:t>
      </w:r>
      <w:r w:rsidRPr="00857539">
        <w:rPr>
          <w:rFonts w:cs="Calibri"/>
          <w:b/>
          <w:sz w:val="24"/>
        </w:rPr>
        <w:t>.</w:t>
      </w:r>
      <w:r w:rsidRPr="00857539">
        <w:rPr>
          <w:rFonts w:cs="Calibri"/>
          <w:sz w:val="24"/>
        </w:rPr>
        <w:t xml:space="preserve"> (Treatment A (test treatment) is olive</w:t>
      </w:r>
      <w:r w:rsidRPr="00981557">
        <w:rPr>
          <w:rFonts w:cs="Calibri"/>
          <w:sz w:val="24"/>
        </w:rPr>
        <w:t xml:space="preserve"> oil-based 3CBs; Treatment B (control treatment): Soybean-oil based </w:t>
      </w:r>
      <w:proofErr w:type="spellStart"/>
      <w:r w:rsidRPr="00981557">
        <w:rPr>
          <w:rFonts w:cs="Calibri"/>
          <w:sz w:val="24"/>
        </w:rPr>
        <w:t>CoBs</w:t>
      </w:r>
      <w:proofErr w:type="spellEnd"/>
      <w:r w:rsidRPr="00981557">
        <w:rPr>
          <w:rFonts w:cs="Calibri"/>
          <w:sz w:val="24"/>
        </w:rPr>
        <w:t>)</w:t>
      </w:r>
    </w:p>
    <w:p w14:paraId="1803E1FA" w14:textId="77777777" w:rsidR="0093240D" w:rsidRPr="00981557" w:rsidRDefault="0093240D" w:rsidP="00342AEA">
      <w:pPr>
        <w:contextualSpacing/>
        <w:jc w:val="left"/>
        <w:rPr>
          <w:rFonts w:cs="Calibri"/>
          <w:b/>
          <w:sz w:val="24"/>
        </w:rPr>
      </w:pPr>
    </w:p>
    <w:p w14:paraId="6800F7B4" w14:textId="77777777" w:rsidR="0093240D" w:rsidRPr="00981557" w:rsidRDefault="0093240D" w:rsidP="00342AEA">
      <w:pPr>
        <w:contextualSpacing/>
        <w:jc w:val="left"/>
        <w:rPr>
          <w:rFonts w:cs="Calibri"/>
          <w:sz w:val="24"/>
        </w:rPr>
      </w:pPr>
      <w:r w:rsidRPr="00981557">
        <w:rPr>
          <w:rFonts w:cs="Calibri"/>
          <w:b/>
          <w:sz w:val="24"/>
        </w:rPr>
        <w:t xml:space="preserve">Figure 5: </w:t>
      </w:r>
      <w:r w:rsidRPr="00FD6973">
        <w:rPr>
          <w:rFonts w:cs="Calibri"/>
          <w:b/>
          <w:sz w:val="24"/>
        </w:rPr>
        <w:t>Representation of efficacy analyses of olive oil in the modified intention-to-treat (</w:t>
      </w:r>
      <w:proofErr w:type="spellStart"/>
      <w:r w:rsidRPr="00FD6973">
        <w:rPr>
          <w:rFonts w:cs="Calibri"/>
          <w:b/>
          <w:sz w:val="24"/>
        </w:rPr>
        <w:t>mITT</w:t>
      </w:r>
      <w:proofErr w:type="spellEnd"/>
      <w:r w:rsidRPr="00FD6973">
        <w:rPr>
          <w:rFonts w:cs="Calibri"/>
          <w:b/>
          <w:sz w:val="24"/>
        </w:rPr>
        <w:t>) population and prespecified patient subgroups.</w:t>
      </w:r>
      <w:r w:rsidRPr="00981557">
        <w:rPr>
          <w:rFonts w:cs="Calibri"/>
          <w:sz w:val="24"/>
        </w:rPr>
        <w:t xml:space="preserve"> (LSGM ratio is the antilog of (log (GM) ± 1.96SE); p&lt;0.05 Abbreviations: CI confidence interval, LSGM least square geometric means, </w:t>
      </w:r>
      <w:r w:rsidRPr="00981557">
        <w:rPr>
          <w:rFonts w:cs="Calibri"/>
          <w:noProof/>
          <w:sz w:val="24"/>
        </w:rPr>
        <w:t>mITT</w:t>
      </w:r>
      <w:r w:rsidRPr="00981557">
        <w:rPr>
          <w:rFonts w:cs="Calibri"/>
          <w:sz w:val="24"/>
        </w:rPr>
        <w:t xml:space="preserve"> modified </w:t>
      </w:r>
      <w:r w:rsidRPr="00981557">
        <w:rPr>
          <w:rFonts w:cs="Calibri"/>
          <w:noProof/>
          <w:sz w:val="24"/>
        </w:rPr>
        <w:t>intention-to-treat</w:t>
      </w:r>
      <w:r w:rsidRPr="00981557">
        <w:rPr>
          <w:rFonts w:cs="Calibri"/>
          <w:sz w:val="24"/>
        </w:rPr>
        <w:t>, PN parenteral nutrition, SD standard deviation, SE standard error)</w:t>
      </w:r>
    </w:p>
    <w:p w14:paraId="082BA3F6" w14:textId="77777777" w:rsidR="0093240D" w:rsidRPr="00981557" w:rsidRDefault="0093240D" w:rsidP="00342AEA">
      <w:pPr>
        <w:contextualSpacing/>
        <w:jc w:val="left"/>
        <w:rPr>
          <w:rFonts w:cs="Calibri"/>
          <w:b/>
          <w:sz w:val="24"/>
        </w:rPr>
      </w:pPr>
    </w:p>
    <w:p w14:paraId="0D3DD99B" w14:textId="77777777" w:rsidR="0093240D" w:rsidRPr="00981557" w:rsidRDefault="0093240D" w:rsidP="00342AEA">
      <w:pPr>
        <w:contextualSpacing/>
        <w:jc w:val="left"/>
        <w:rPr>
          <w:rFonts w:cs="Calibri"/>
          <w:sz w:val="24"/>
        </w:rPr>
      </w:pPr>
      <w:r w:rsidRPr="00981557">
        <w:rPr>
          <w:rFonts w:cs="Calibri"/>
          <w:b/>
          <w:sz w:val="24"/>
        </w:rPr>
        <w:t xml:space="preserve">Figure 6: </w:t>
      </w:r>
      <w:r w:rsidRPr="00FD6973">
        <w:rPr>
          <w:rFonts w:cs="Calibri"/>
          <w:b/>
          <w:sz w:val="24"/>
        </w:rPr>
        <w:t>Preparation time of olive oil-based 3CBs (</w:t>
      </w:r>
      <w:proofErr w:type="spellStart"/>
      <w:r w:rsidRPr="00FD6973">
        <w:rPr>
          <w:rFonts w:cs="Calibri"/>
          <w:b/>
          <w:sz w:val="24"/>
        </w:rPr>
        <w:t>Clinomel</w:t>
      </w:r>
      <w:proofErr w:type="spellEnd"/>
      <w:r w:rsidRPr="00FD6973">
        <w:rPr>
          <w:rFonts w:cs="Calibri"/>
          <w:b/>
          <w:sz w:val="24"/>
        </w:rPr>
        <w:t xml:space="preserve"> N4) and Soybean-oil based </w:t>
      </w:r>
      <w:proofErr w:type="spellStart"/>
      <w:r w:rsidRPr="00FD6973">
        <w:rPr>
          <w:rFonts w:cs="Calibri"/>
          <w:b/>
          <w:sz w:val="24"/>
        </w:rPr>
        <w:t>CoBs</w:t>
      </w:r>
      <w:proofErr w:type="spellEnd"/>
      <w:r w:rsidRPr="00FD6973">
        <w:rPr>
          <w:rFonts w:cs="Calibri"/>
          <w:b/>
          <w:sz w:val="24"/>
        </w:rPr>
        <w:t xml:space="preserve"> </w:t>
      </w:r>
      <w:r w:rsidRPr="00FD6973">
        <w:rPr>
          <w:rFonts w:cs="Calibri"/>
          <w:b/>
          <w:sz w:val="24"/>
        </w:rPr>
        <w:lastRenderedPageBreak/>
        <w:t>(PN admixture) (Day 1 through day 5).</w:t>
      </w:r>
      <w:r w:rsidRPr="00981557">
        <w:rPr>
          <w:rFonts w:cs="Calibri"/>
          <w:sz w:val="24"/>
        </w:rPr>
        <w:t xml:space="preserve"> (*p&lt;0.05 by Kruskal-Wallis was considered statistically significant. Error bars indicate standard deviations.)</w:t>
      </w:r>
    </w:p>
    <w:p w14:paraId="18D1BC7E" w14:textId="77777777" w:rsidR="00355E68" w:rsidRPr="00981557" w:rsidRDefault="00355E68" w:rsidP="00342AEA">
      <w:pPr>
        <w:contextualSpacing/>
        <w:jc w:val="left"/>
        <w:rPr>
          <w:rFonts w:cs="Calibri"/>
          <w:sz w:val="24"/>
        </w:rPr>
      </w:pPr>
    </w:p>
    <w:p w14:paraId="4138F58E" w14:textId="77777777" w:rsidR="00040BDD" w:rsidRPr="00981557" w:rsidRDefault="00FD6973" w:rsidP="00342AEA">
      <w:pPr>
        <w:contextualSpacing/>
        <w:jc w:val="left"/>
        <w:rPr>
          <w:rFonts w:cs="Calibri"/>
          <w:b/>
          <w:bCs/>
          <w:sz w:val="24"/>
        </w:rPr>
      </w:pPr>
      <w:r w:rsidRPr="00981557">
        <w:rPr>
          <w:rFonts w:cs="Calibri"/>
          <w:b/>
          <w:bCs/>
          <w:sz w:val="24"/>
        </w:rPr>
        <w:t>DISCUSSION</w:t>
      </w:r>
      <w:r>
        <w:rPr>
          <w:rFonts w:cs="Calibri"/>
          <w:b/>
          <w:bCs/>
          <w:sz w:val="24"/>
        </w:rPr>
        <w:t>:</w:t>
      </w:r>
    </w:p>
    <w:p w14:paraId="413122E0" w14:textId="447B855E" w:rsidR="00355E68" w:rsidRDefault="00DC65AC" w:rsidP="00342AEA">
      <w:pPr>
        <w:contextualSpacing/>
        <w:jc w:val="left"/>
        <w:rPr>
          <w:rFonts w:cs="Calibri"/>
          <w:sz w:val="24"/>
        </w:rPr>
      </w:pPr>
      <w:r w:rsidRPr="00981557">
        <w:rPr>
          <w:rFonts w:cs="Calibri"/>
          <w:sz w:val="24"/>
        </w:rPr>
        <w:t xml:space="preserve">The randomized </w:t>
      </w:r>
      <w:r w:rsidR="00355E68" w:rsidRPr="00981557">
        <w:rPr>
          <w:rFonts w:cs="Calibri"/>
          <w:sz w:val="24"/>
        </w:rPr>
        <w:t>clinical trial protocol is a multi-purpose document. It not only provides guidance for the conduct of trial to the investigators, but it also make</w:t>
      </w:r>
      <w:r w:rsidR="00752710">
        <w:rPr>
          <w:rFonts w:cs="Calibri"/>
          <w:sz w:val="24"/>
        </w:rPr>
        <w:t>s</w:t>
      </w:r>
      <w:r w:rsidR="00355E68" w:rsidRPr="00981557">
        <w:rPr>
          <w:rFonts w:cs="Calibri"/>
          <w:sz w:val="24"/>
        </w:rPr>
        <w:t xml:space="preserve"> ethics committees and institutional review boards aware of appropriate measures adopted to protect participants’ safety and interests. A proper design </w:t>
      </w:r>
      <w:r w:rsidR="00040BDD" w:rsidRPr="00981557">
        <w:rPr>
          <w:rFonts w:cs="Calibri"/>
          <w:sz w:val="24"/>
        </w:rPr>
        <w:t>is crucial for the success of</w:t>
      </w:r>
      <w:r w:rsidR="00752710">
        <w:rPr>
          <w:rFonts w:cs="Calibri"/>
          <w:sz w:val="24"/>
        </w:rPr>
        <w:t xml:space="preserve"> </w:t>
      </w:r>
      <w:r w:rsidR="00B40ECA" w:rsidRPr="00981557">
        <w:rPr>
          <w:rFonts w:cs="Calibri"/>
          <w:sz w:val="24"/>
        </w:rPr>
        <w:t xml:space="preserve">a </w:t>
      </w:r>
      <w:r w:rsidR="00355E68" w:rsidRPr="00981557">
        <w:rPr>
          <w:rFonts w:cs="Calibri"/>
          <w:sz w:val="24"/>
        </w:rPr>
        <w:t xml:space="preserve">clinical trial. It is often noted that the design of a trial </w:t>
      </w:r>
      <w:proofErr w:type="gramStart"/>
      <w:r w:rsidR="00355E68" w:rsidRPr="00981557">
        <w:rPr>
          <w:rFonts w:cs="Calibri"/>
          <w:sz w:val="24"/>
        </w:rPr>
        <w:t>is connected with</w:t>
      </w:r>
      <w:proofErr w:type="gramEnd"/>
      <w:r w:rsidR="00355E68" w:rsidRPr="00981557">
        <w:rPr>
          <w:rFonts w:cs="Calibri"/>
          <w:sz w:val="24"/>
        </w:rPr>
        <w:t xml:space="preserve"> its successes/failures</w:t>
      </w:r>
      <w:r w:rsidR="00E405DB" w:rsidRPr="00981557">
        <w:rPr>
          <w:rFonts w:cs="Calibri"/>
          <w:sz w:val="24"/>
          <w:vertAlign w:val="superscript"/>
        </w:rPr>
        <w:t>8</w:t>
      </w:r>
      <w:r w:rsidR="00355E68" w:rsidRPr="00981557">
        <w:rPr>
          <w:rFonts w:cs="Calibri"/>
          <w:sz w:val="24"/>
        </w:rPr>
        <w:t>.</w:t>
      </w:r>
    </w:p>
    <w:p w14:paraId="1513C07F" w14:textId="77777777" w:rsidR="00FD6973" w:rsidRPr="00981557" w:rsidRDefault="00FD6973" w:rsidP="00342AEA">
      <w:pPr>
        <w:contextualSpacing/>
        <w:jc w:val="left"/>
        <w:rPr>
          <w:rFonts w:cs="Calibri"/>
          <w:sz w:val="24"/>
          <w:vertAlign w:val="superscript"/>
        </w:rPr>
      </w:pPr>
    </w:p>
    <w:p w14:paraId="31CC88CD" w14:textId="34DB84CC" w:rsidR="00355E68" w:rsidRDefault="004C298D" w:rsidP="00342AEA">
      <w:pPr>
        <w:contextualSpacing/>
        <w:jc w:val="left"/>
        <w:rPr>
          <w:rFonts w:cs="Calibri"/>
          <w:sz w:val="24"/>
        </w:rPr>
      </w:pPr>
      <w:r w:rsidRPr="00981557">
        <w:rPr>
          <w:rFonts w:cs="Calibri"/>
          <w:sz w:val="24"/>
        </w:rPr>
        <w:t>Additionally, s</w:t>
      </w:r>
      <w:r w:rsidR="00355E68" w:rsidRPr="00981557">
        <w:rPr>
          <w:rFonts w:cs="Calibri"/>
          <w:sz w:val="24"/>
        </w:rPr>
        <w:t>election of the intervention and control groups is</w:t>
      </w:r>
      <w:bookmarkStart w:id="31" w:name="OLE_LINK9"/>
      <w:r w:rsidR="00355E68" w:rsidRPr="00981557">
        <w:rPr>
          <w:rFonts w:cs="Calibri"/>
          <w:sz w:val="24"/>
        </w:rPr>
        <w:t xml:space="preserve"> a key step </w:t>
      </w:r>
      <w:bookmarkEnd w:id="31"/>
      <w:r w:rsidR="00355E68" w:rsidRPr="00981557">
        <w:rPr>
          <w:rFonts w:cs="Calibri"/>
          <w:sz w:val="24"/>
        </w:rPr>
        <w:t>in</w:t>
      </w:r>
      <w:bookmarkStart w:id="32" w:name="OLE_LINK10"/>
      <w:r w:rsidR="00355E68" w:rsidRPr="00981557">
        <w:rPr>
          <w:rFonts w:cs="Calibri"/>
          <w:sz w:val="24"/>
        </w:rPr>
        <w:t xml:space="preserve"> protocol</w:t>
      </w:r>
      <w:bookmarkEnd w:id="32"/>
      <w:r w:rsidR="00355E68" w:rsidRPr="00981557">
        <w:rPr>
          <w:rFonts w:cs="Calibri"/>
          <w:sz w:val="24"/>
        </w:rPr>
        <w:t xml:space="preserve"> design. Compounded PN is the current standard for the administration of PN to patients who cannot obtain adequate nutrition intake from diet or enteral nutrition. A placebo would not represent ethical treatment for patients requiring IV nutrition for </w:t>
      </w:r>
      <w:r w:rsidR="00B40ECA" w:rsidRPr="00981557">
        <w:rPr>
          <w:rFonts w:cs="Calibri"/>
          <w:sz w:val="24"/>
        </w:rPr>
        <w:t xml:space="preserve">the </w:t>
      </w:r>
      <w:r w:rsidR="00355E68" w:rsidRPr="00981557">
        <w:rPr>
          <w:rFonts w:cs="Calibri"/>
          <w:sz w:val="24"/>
        </w:rPr>
        <w:t>prevention or treatment of malnutrition. Therefore, active treatment (</w:t>
      </w:r>
      <w:bookmarkStart w:id="33" w:name="OLE_LINK18"/>
      <w:bookmarkStart w:id="34" w:name="OLE_LINK23"/>
      <w:r w:rsidR="00355E68" w:rsidRPr="00981557">
        <w:rPr>
          <w:rFonts w:cs="Calibri"/>
          <w:sz w:val="24"/>
        </w:rPr>
        <w:t>compounded PN</w:t>
      </w:r>
      <w:bookmarkStart w:id="35" w:name="OLE_LINK19"/>
      <w:bookmarkEnd w:id="33"/>
      <w:r w:rsidR="00752710">
        <w:rPr>
          <w:rFonts w:cs="Calibri"/>
          <w:sz w:val="24"/>
        </w:rPr>
        <w:t xml:space="preserve"> </w:t>
      </w:r>
      <w:r w:rsidR="00355E68" w:rsidRPr="00981557">
        <w:rPr>
          <w:rFonts w:cs="Calibri"/>
          <w:sz w:val="24"/>
        </w:rPr>
        <w:t>admixture</w:t>
      </w:r>
      <w:bookmarkEnd w:id="34"/>
      <w:bookmarkEnd w:id="35"/>
      <w:r w:rsidR="00355E68" w:rsidRPr="00981557">
        <w:rPr>
          <w:rFonts w:cs="Calibri"/>
          <w:sz w:val="24"/>
        </w:rPr>
        <w:t xml:space="preserve">) was used as a control instead of </w:t>
      </w:r>
      <w:r w:rsidR="00752710">
        <w:rPr>
          <w:rFonts w:cs="Calibri"/>
          <w:sz w:val="24"/>
        </w:rPr>
        <w:t xml:space="preserve">a </w:t>
      </w:r>
      <w:r w:rsidR="00355E68" w:rsidRPr="00981557">
        <w:rPr>
          <w:rFonts w:cs="Calibri"/>
          <w:sz w:val="24"/>
        </w:rPr>
        <w:t>placebo in this study, to maintain the standard of care that subjects required. Another reason for which the compounded PN admixture was selected</w:t>
      </w:r>
      <w:r w:rsidR="00752710">
        <w:rPr>
          <w:rFonts w:cs="Calibri"/>
          <w:sz w:val="24"/>
        </w:rPr>
        <w:t xml:space="preserve"> </w:t>
      </w:r>
      <w:r w:rsidR="00355E68" w:rsidRPr="00981557">
        <w:rPr>
          <w:rFonts w:cs="Calibri"/>
          <w:sz w:val="24"/>
        </w:rPr>
        <w:t xml:space="preserve">is the stated research objective. This made it possible to </w:t>
      </w:r>
      <w:bookmarkStart w:id="36" w:name="OLE_LINK29"/>
      <w:r w:rsidR="00355E68" w:rsidRPr="00981557">
        <w:rPr>
          <w:rFonts w:cs="Calibri"/>
          <w:sz w:val="24"/>
        </w:rPr>
        <w:t xml:space="preserve">deliver both similar amounts of calories (primarily from dextrose and lipids) and protein to both groups. Furthermore, the </w:t>
      </w:r>
      <w:r w:rsidR="00705A3D" w:rsidRPr="00981557">
        <w:rPr>
          <w:rFonts w:cs="Calibri"/>
          <w:sz w:val="24"/>
        </w:rPr>
        <w:t xml:space="preserve">two </w:t>
      </w:r>
      <w:r w:rsidR="00355E68" w:rsidRPr="00981557">
        <w:rPr>
          <w:rFonts w:cs="Calibri"/>
          <w:sz w:val="24"/>
        </w:rPr>
        <w:t>study treatments contained a similar amino</w:t>
      </w:r>
      <w:r w:rsidR="00B40ECA" w:rsidRPr="00981557">
        <w:rPr>
          <w:rFonts w:cs="Calibri"/>
          <w:sz w:val="24"/>
        </w:rPr>
        <w:t>-</w:t>
      </w:r>
      <w:r w:rsidR="00355E68" w:rsidRPr="00981557">
        <w:rPr>
          <w:rFonts w:cs="Calibri"/>
          <w:sz w:val="24"/>
        </w:rPr>
        <w:t xml:space="preserve">acid component. The only </w:t>
      </w:r>
      <w:r w:rsidR="0068010D" w:rsidRPr="00981557">
        <w:rPr>
          <w:rFonts w:cs="Calibri"/>
          <w:sz w:val="24"/>
        </w:rPr>
        <w:t xml:space="preserve">intentional </w:t>
      </w:r>
      <w:r w:rsidR="00355E68" w:rsidRPr="00981557">
        <w:rPr>
          <w:rFonts w:cs="Calibri"/>
          <w:sz w:val="24"/>
        </w:rPr>
        <w:t xml:space="preserve">difference in the PN formula was lipid </w:t>
      </w:r>
      <w:r w:rsidR="007D1CDD" w:rsidRPr="00981557">
        <w:rPr>
          <w:rFonts w:cs="Calibri"/>
          <w:sz w:val="24"/>
        </w:rPr>
        <w:t>source.</w:t>
      </w:r>
    </w:p>
    <w:p w14:paraId="0EA8F0F3" w14:textId="77777777" w:rsidR="00FD6973" w:rsidRPr="00981557" w:rsidRDefault="00FD6973" w:rsidP="00342AEA">
      <w:pPr>
        <w:contextualSpacing/>
        <w:jc w:val="left"/>
        <w:rPr>
          <w:rFonts w:cs="Calibri"/>
          <w:sz w:val="24"/>
        </w:rPr>
      </w:pPr>
    </w:p>
    <w:bookmarkEnd w:id="36"/>
    <w:p w14:paraId="023050E7" w14:textId="77777777" w:rsidR="00355E68" w:rsidRDefault="00355E68" w:rsidP="00342AEA">
      <w:pPr>
        <w:contextualSpacing/>
        <w:jc w:val="left"/>
        <w:rPr>
          <w:rFonts w:cs="Calibri"/>
          <w:sz w:val="24"/>
        </w:rPr>
      </w:pPr>
      <w:r w:rsidRPr="00981557">
        <w:rPr>
          <w:rFonts w:cs="Calibri"/>
          <w:sz w:val="24"/>
        </w:rPr>
        <w:t>The double-blind design is preferable for a clinical trial. For this study, blinding was not impractical because, as per the basic clinical practice, the clinician or nurse made sure that the integrity of the combined components in the PN formulation was maintained throughout the length of the infusion. Although it was an open-label study, the bias in the reporting of treatment effects was minimized by implementing blinding for the data management personnel, biostatisticians, and researchers at the central laboratory.</w:t>
      </w:r>
    </w:p>
    <w:p w14:paraId="129C715B" w14:textId="77777777" w:rsidR="00FD6973" w:rsidRPr="00981557" w:rsidRDefault="00FD6973" w:rsidP="00342AEA">
      <w:pPr>
        <w:contextualSpacing/>
        <w:jc w:val="left"/>
        <w:rPr>
          <w:rFonts w:cs="Calibri"/>
          <w:sz w:val="24"/>
        </w:rPr>
      </w:pPr>
    </w:p>
    <w:p w14:paraId="16B575D2" w14:textId="77777777" w:rsidR="00355E68" w:rsidRDefault="00355E68" w:rsidP="00342AEA">
      <w:pPr>
        <w:contextualSpacing/>
        <w:jc w:val="left"/>
        <w:rPr>
          <w:rFonts w:cs="Calibri"/>
          <w:sz w:val="24"/>
        </w:rPr>
      </w:pPr>
      <w:r w:rsidRPr="00981557">
        <w:rPr>
          <w:rFonts w:cs="Calibri"/>
          <w:sz w:val="24"/>
        </w:rPr>
        <w:t xml:space="preserve">Inherent in all clinical trials is the issue of </w:t>
      </w:r>
      <w:r w:rsidRPr="00981557">
        <w:rPr>
          <w:rFonts w:cs="Calibri"/>
          <w:noProof/>
          <w:sz w:val="24"/>
        </w:rPr>
        <w:t>con-founder</w:t>
      </w:r>
      <w:r w:rsidRPr="00981557">
        <w:rPr>
          <w:rFonts w:cs="Calibri"/>
          <w:sz w:val="24"/>
        </w:rPr>
        <w:t xml:space="preserve"> of relationship. Randomization is necessary to equally distribute both known and unknown </w:t>
      </w:r>
      <w:r w:rsidRPr="00981557">
        <w:rPr>
          <w:rFonts w:cs="Calibri"/>
          <w:noProof/>
          <w:sz w:val="24"/>
        </w:rPr>
        <w:t>con-founders</w:t>
      </w:r>
      <w:r w:rsidRPr="00981557">
        <w:rPr>
          <w:rFonts w:cs="Calibri"/>
          <w:sz w:val="24"/>
        </w:rPr>
        <w:t xml:space="preserve"> to the study and control groups; this can reduce bias</w:t>
      </w:r>
      <w:r w:rsidR="002F1EE6" w:rsidRPr="00981557">
        <w:rPr>
          <w:rFonts w:cs="Calibri"/>
          <w:sz w:val="24"/>
          <w:vertAlign w:val="superscript"/>
        </w:rPr>
        <w:t>9</w:t>
      </w:r>
      <w:r w:rsidRPr="00981557">
        <w:rPr>
          <w:rFonts w:cs="Calibri"/>
          <w:sz w:val="24"/>
        </w:rPr>
        <w:t xml:space="preserve">. In this study, </w:t>
      </w:r>
      <w:r w:rsidR="008B0471" w:rsidRPr="00981557">
        <w:rPr>
          <w:rFonts w:cs="Calibri"/>
          <w:sz w:val="24"/>
        </w:rPr>
        <w:t xml:space="preserve">an </w:t>
      </w:r>
      <w:r w:rsidR="00705A3D" w:rsidRPr="00981557">
        <w:rPr>
          <w:rFonts w:cs="Calibri"/>
          <w:sz w:val="24"/>
        </w:rPr>
        <w:t>IVRS/IWRS</w:t>
      </w:r>
      <w:r w:rsidRPr="00981557">
        <w:rPr>
          <w:rFonts w:cs="Calibri"/>
          <w:sz w:val="24"/>
        </w:rPr>
        <w:t xml:space="preserve"> system was used by the sponsor to enroll/randomize patients to different treatments arms. It generated a unique enrollment/randomization number for each patient. This configurable-and-customizable system was accessible via telephone or the Web from anywhere in the world. It empowered </w:t>
      </w:r>
      <w:r w:rsidR="007714E8" w:rsidRPr="00981557">
        <w:rPr>
          <w:rFonts w:cs="Calibri"/>
          <w:sz w:val="24"/>
        </w:rPr>
        <w:t xml:space="preserve">the </w:t>
      </w:r>
      <w:r w:rsidRPr="00981557">
        <w:rPr>
          <w:rFonts w:cs="Calibri"/>
          <w:sz w:val="24"/>
        </w:rPr>
        <w:t>sponsor to proactively manage key aspects of their clinical trials, including enrollment/randomization, dosing/drug dispensation, clinical supplies, and unbinding, etc. In addition, it has eliminated the risk of bias at sites by automated randomization, dispensation, and unbinding. Furthermore, the system also has the potential to decrease the work burden of research staff</w:t>
      </w:r>
      <w:r w:rsidR="002F1EE6" w:rsidRPr="00981557">
        <w:rPr>
          <w:rFonts w:cs="Calibri"/>
          <w:sz w:val="24"/>
          <w:vertAlign w:val="superscript"/>
        </w:rPr>
        <w:t>10</w:t>
      </w:r>
      <w:r w:rsidRPr="00981557">
        <w:rPr>
          <w:rFonts w:cs="Calibri"/>
          <w:sz w:val="24"/>
        </w:rPr>
        <w:t>. Stratified randomization includes construction of strata based on various variables</w:t>
      </w:r>
      <w:r w:rsidR="008B0471" w:rsidRPr="00981557">
        <w:rPr>
          <w:rFonts w:cs="Calibri"/>
          <w:sz w:val="24"/>
        </w:rPr>
        <w:t>,</w:t>
      </w:r>
      <w:r w:rsidRPr="00981557">
        <w:rPr>
          <w:rFonts w:cs="Calibri"/>
          <w:sz w:val="24"/>
        </w:rPr>
        <w:t xml:space="preserve"> such as age groups, race, or practice and randomizing within these developed strata. In this study, randomization was stratified by study site to maintain approximately equal proportions of patients randomized to each study treatment at each study site. Randomization within each study site was further stratified by the surgical category. This approach reduced the </w:t>
      </w:r>
      <w:r w:rsidRPr="00981557">
        <w:rPr>
          <w:rFonts w:cs="Calibri"/>
          <w:sz w:val="24"/>
        </w:rPr>
        <w:lastRenderedPageBreak/>
        <w:t xml:space="preserve">impact of operational differences between study sites on statistical comparisons. </w:t>
      </w:r>
      <w:r w:rsidR="008B0471" w:rsidRPr="00981557">
        <w:rPr>
          <w:rFonts w:cs="Calibri"/>
          <w:sz w:val="24"/>
        </w:rPr>
        <w:t>S</w:t>
      </w:r>
      <w:r w:rsidRPr="00981557">
        <w:rPr>
          <w:rFonts w:cs="Calibri"/>
          <w:sz w:val="24"/>
        </w:rPr>
        <w:t xml:space="preserve">tratified randomization ensures that randomization is achieved in a balanced </w:t>
      </w:r>
      <w:r w:rsidR="008B0471" w:rsidRPr="00981557">
        <w:rPr>
          <w:rFonts w:cs="Calibri"/>
          <w:sz w:val="24"/>
        </w:rPr>
        <w:t xml:space="preserve">manner </w:t>
      </w:r>
      <w:r w:rsidRPr="00981557">
        <w:rPr>
          <w:rFonts w:cs="Calibri"/>
          <w:sz w:val="24"/>
        </w:rPr>
        <w:t xml:space="preserve">for </w:t>
      </w:r>
      <w:r w:rsidR="008B0471" w:rsidRPr="00981557">
        <w:rPr>
          <w:rFonts w:cs="Calibri"/>
          <w:sz w:val="24"/>
        </w:rPr>
        <w:t xml:space="preserve">the important </w:t>
      </w:r>
      <w:r w:rsidRPr="00981557">
        <w:rPr>
          <w:rFonts w:cs="Calibri"/>
          <w:sz w:val="24"/>
        </w:rPr>
        <w:t>predefined confounder variables. It further helps in allowing researchers to analyze various subgroups</w:t>
      </w:r>
      <w:r w:rsidR="002F1EE6" w:rsidRPr="00981557">
        <w:rPr>
          <w:rFonts w:cs="Calibri"/>
          <w:sz w:val="24"/>
          <w:vertAlign w:val="superscript"/>
        </w:rPr>
        <w:t>11</w:t>
      </w:r>
      <w:r w:rsidRPr="00981557">
        <w:rPr>
          <w:rFonts w:cs="Calibri"/>
          <w:sz w:val="24"/>
        </w:rPr>
        <w:t>.</w:t>
      </w:r>
    </w:p>
    <w:p w14:paraId="4A75C7E3" w14:textId="77777777" w:rsidR="00FD6973" w:rsidRPr="00981557" w:rsidRDefault="00FD6973" w:rsidP="00342AEA">
      <w:pPr>
        <w:contextualSpacing/>
        <w:jc w:val="left"/>
        <w:rPr>
          <w:rFonts w:cs="Calibri"/>
          <w:sz w:val="24"/>
        </w:rPr>
      </w:pPr>
    </w:p>
    <w:p w14:paraId="23823E10" w14:textId="77777777" w:rsidR="00355E68" w:rsidRDefault="00355E68" w:rsidP="00342AEA">
      <w:pPr>
        <w:contextualSpacing/>
        <w:jc w:val="left"/>
        <w:rPr>
          <w:rFonts w:cs="Calibri"/>
          <w:sz w:val="24"/>
        </w:rPr>
      </w:pPr>
      <w:r w:rsidRPr="00981557">
        <w:rPr>
          <w:rFonts w:cs="Calibri"/>
          <w:sz w:val="24"/>
        </w:rPr>
        <w:t>Block randomization divides randomized participants within different subgroups</w:t>
      </w:r>
      <w:r w:rsidR="0061479A" w:rsidRPr="00981557">
        <w:rPr>
          <w:rFonts w:cs="Calibri"/>
          <w:sz w:val="24"/>
        </w:rPr>
        <w:t>,</w:t>
      </w:r>
      <w:r w:rsidRPr="00981557">
        <w:rPr>
          <w:rFonts w:cs="Calibri"/>
          <w:sz w:val="24"/>
        </w:rPr>
        <w:t xml:space="preserve"> termed as </w:t>
      </w:r>
      <w:r w:rsidR="0061479A" w:rsidRPr="00981557">
        <w:rPr>
          <w:rFonts w:cs="Calibri"/>
          <w:sz w:val="24"/>
        </w:rPr>
        <w:t>‘</w:t>
      </w:r>
      <w:r w:rsidRPr="00981557">
        <w:rPr>
          <w:rFonts w:cs="Calibri"/>
          <w:sz w:val="24"/>
        </w:rPr>
        <w:t>blocks,</w:t>
      </w:r>
      <w:r w:rsidR="0061479A" w:rsidRPr="00981557">
        <w:rPr>
          <w:rFonts w:cs="Calibri"/>
          <w:sz w:val="24"/>
        </w:rPr>
        <w:t>’</w:t>
      </w:r>
      <w:r w:rsidRPr="00981557">
        <w:rPr>
          <w:rFonts w:cs="Calibri"/>
          <w:sz w:val="24"/>
        </w:rPr>
        <w:t xml:space="preserve"> in order to ensure equal distribution of participants to each group. </w:t>
      </w:r>
      <w:r w:rsidR="00D60FA8" w:rsidRPr="00981557">
        <w:rPr>
          <w:rFonts w:cs="Calibri"/>
          <w:sz w:val="24"/>
        </w:rPr>
        <w:t>T</w:t>
      </w:r>
      <w:r w:rsidRPr="00981557">
        <w:rPr>
          <w:rFonts w:cs="Calibri"/>
          <w:sz w:val="24"/>
        </w:rPr>
        <w:t xml:space="preserve">he </w:t>
      </w:r>
      <w:r w:rsidR="006F1476" w:rsidRPr="00981557">
        <w:rPr>
          <w:rFonts w:cs="Calibri"/>
          <w:sz w:val="24"/>
        </w:rPr>
        <w:t>limitation</w:t>
      </w:r>
      <w:r w:rsidRPr="00981557">
        <w:rPr>
          <w:rFonts w:cs="Calibri"/>
          <w:sz w:val="24"/>
        </w:rPr>
        <w:t xml:space="preserve"> of the block randomization approach is the predictable distribution of participants</w:t>
      </w:r>
      <w:r w:rsidR="0061479A" w:rsidRPr="00981557">
        <w:rPr>
          <w:rFonts w:cs="Calibri"/>
          <w:sz w:val="24"/>
        </w:rPr>
        <w:t>,</w:t>
      </w:r>
      <w:r w:rsidRPr="00981557">
        <w:rPr>
          <w:rFonts w:cs="Calibri"/>
          <w:sz w:val="24"/>
        </w:rPr>
        <w:t xml:space="preserve"> leading to </w:t>
      </w:r>
      <w:r w:rsidR="0061479A" w:rsidRPr="00981557">
        <w:rPr>
          <w:rFonts w:cs="Calibri"/>
          <w:sz w:val="24"/>
        </w:rPr>
        <w:t xml:space="preserve">a </w:t>
      </w:r>
      <w:r w:rsidRPr="00981557">
        <w:rPr>
          <w:rFonts w:cs="Calibri"/>
          <w:sz w:val="24"/>
        </w:rPr>
        <w:t xml:space="preserve">selection bias in unmasked study groups. </w:t>
      </w:r>
      <w:r w:rsidR="0061479A" w:rsidRPr="00981557">
        <w:rPr>
          <w:rFonts w:cs="Calibri"/>
          <w:sz w:val="24"/>
        </w:rPr>
        <w:t>S</w:t>
      </w:r>
      <w:r w:rsidRPr="00981557">
        <w:rPr>
          <w:rFonts w:cs="Calibri"/>
          <w:sz w:val="24"/>
        </w:rPr>
        <w:t xml:space="preserve">election bias in the block randomization approach can be reduced by ensuring random block sizes and </w:t>
      </w:r>
      <w:r w:rsidR="001405A5" w:rsidRPr="00981557">
        <w:rPr>
          <w:rFonts w:cs="Calibri"/>
          <w:sz w:val="24"/>
        </w:rPr>
        <w:t xml:space="preserve">by </w:t>
      </w:r>
      <w:r w:rsidRPr="00981557">
        <w:rPr>
          <w:rFonts w:cs="Calibri"/>
          <w:sz w:val="24"/>
        </w:rPr>
        <w:t>blinding the investigator with respect to the size of the block</w:t>
      </w:r>
      <w:r w:rsidR="009C0BA8" w:rsidRPr="00981557">
        <w:rPr>
          <w:rFonts w:cs="Calibri"/>
          <w:sz w:val="24"/>
          <w:vertAlign w:val="superscript"/>
        </w:rPr>
        <w:t>12</w:t>
      </w:r>
      <w:r w:rsidRPr="00981557">
        <w:rPr>
          <w:rFonts w:cs="Calibri"/>
          <w:sz w:val="24"/>
        </w:rPr>
        <w:t>.</w:t>
      </w:r>
      <w:r w:rsidR="00B4470B" w:rsidRPr="00981557">
        <w:rPr>
          <w:rFonts w:cs="Calibri"/>
          <w:sz w:val="24"/>
        </w:rPr>
        <w:t>T</w:t>
      </w:r>
      <w:r w:rsidRPr="00981557">
        <w:rPr>
          <w:rFonts w:cs="Calibri"/>
          <w:sz w:val="24"/>
        </w:rPr>
        <w:t>he block size was specified in the randomization code algorithm in this study.</w:t>
      </w:r>
    </w:p>
    <w:p w14:paraId="5693A32F" w14:textId="77777777" w:rsidR="00FD6973" w:rsidRPr="00981557" w:rsidRDefault="00FD6973" w:rsidP="00342AEA">
      <w:pPr>
        <w:contextualSpacing/>
        <w:jc w:val="left"/>
        <w:rPr>
          <w:rFonts w:cs="Calibri"/>
          <w:sz w:val="24"/>
        </w:rPr>
      </w:pPr>
    </w:p>
    <w:p w14:paraId="78E824D4" w14:textId="7AA29821" w:rsidR="00355E68" w:rsidRDefault="00652F06" w:rsidP="00342AEA">
      <w:pPr>
        <w:contextualSpacing/>
        <w:jc w:val="left"/>
        <w:rPr>
          <w:rFonts w:cs="Calibri"/>
          <w:sz w:val="24"/>
        </w:rPr>
      </w:pPr>
      <w:bookmarkStart w:id="37" w:name="OLE_LINK31"/>
      <w:bookmarkStart w:id="38" w:name="OLE_LINK34"/>
      <w:r w:rsidRPr="00981557">
        <w:rPr>
          <w:rFonts w:cs="Calibri"/>
          <w:sz w:val="24"/>
        </w:rPr>
        <w:t xml:space="preserve">The eligibility </w:t>
      </w:r>
      <w:r w:rsidR="00355E68" w:rsidRPr="00981557">
        <w:rPr>
          <w:rFonts w:cs="Calibri"/>
          <w:sz w:val="24"/>
        </w:rPr>
        <w:t>criteria</w:t>
      </w:r>
      <w:bookmarkEnd w:id="37"/>
      <w:bookmarkEnd w:id="38"/>
      <w:r w:rsidR="00752710">
        <w:rPr>
          <w:rFonts w:cs="Calibri"/>
          <w:sz w:val="24"/>
        </w:rPr>
        <w:t xml:space="preserve"> </w:t>
      </w:r>
      <w:r w:rsidRPr="00981557">
        <w:rPr>
          <w:rFonts w:cs="Calibri"/>
          <w:sz w:val="24"/>
        </w:rPr>
        <w:t xml:space="preserve">of </w:t>
      </w:r>
      <w:r w:rsidR="00355E68" w:rsidRPr="00981557">
        <w:rPr>
          <w:rFonts w:cs="Calibri"/>
          <w:sz w:val="24"/>
        </w:rPr>
        <w:t xml:space="preserve">a clinical trial protocol should ensure that the enrolled participants in the trial are alike to the maximum extent and </w:t>
      </w:r>
      <w:r w:rsidRPr="00981557">
        <w:rPr>
          <w:rFonts w:cs="Calibri"/>
          <w:sz w:val="24"/>
        </w:rPr>
        <w:t xml:space="preserve">that </w:t>
      </w:r>
      <w:r w:rsidR="00355E68" w:rsidRPr="00981557">
        <w:rPr>
          <w:rFonts w:cs="Calibri"/>
          <w:sz w:val="24"/>
        </w:rPr>
        <w:t>the results obtained from them are applicable to the general populations as well</w:t>
      </w:r>
      <w:r w:rsidR="00355E68" w:rsidRPr="00981557">
        <w:rPr>
          <w:rFonts w:cs="Calibri"/>
          <w:sz w:val="24"/>
          <w:vertAlign w:val="superscript"/>
        </w:rPr>
        <w:t>9</w:t>
      </w:r>
      <w:r w:rsidR="007D1CDD" w:rsidRPr="00981557">
        <w:rPr>
          <w:rFonts w:cs="Calibri"/>
          <w:sz w:val="24"/>
        </w:rPr>
        <w:t>.</w:t>
      </w:r>
      <w:r w:rsidR="00355E68" w:rsidRPr="00981557">
        <w:rPr>
          <w:rFonts w:cs="Calibri"/>
          <w:sz w:val="24"/>
        </w:rPr>
        <w:t xml:space="preserve"> In this study, we selected surgical </w:t>
      </w:r>
      <w:proofErr w:type="gramStart"/>
      <w:r w:rsidR="00692272" w:rsidRPr="00981557">
        <w:rPr>
          <w:rFonts w:cs="Calibri"/>
          <w:sz w:val="24"/>
        </w:rPr>
        <w:t>patients</w:t>
      </w:r>
      <w:proofErr w:type="gramEnd"/>
      <w:r w:rsidR="00355E68" w:rsidRPr="00981557">
        <w:rPr>
          <w:rFonts w:cs="Calibri"/>
          <w:sz w:val="24"/>
        </w:rPr>
        <w:t xml:space="preserve"> incapable </w:t>
      </w:r>
      <w:r w:rsidRPr="00981557">
        <w:rPr>
          <w:rFonts w:cs="Calibri"/>
          <w:sz w:val="24"/>
        </w:rPr>
        <w:t xml:space="preserve">of receiving the required </w:t>
      </w:r>
      <w:r w:rsidR="00355E68" w:rsidRPr="00981557">
        <w:rPr>
          <w:rFonts w:cs="Calibri"/>
          <w:sz w:val="24"/>
        </w:rPr>
        <w:t xml:space="preserve">nutrition via the enteral or oral route, representing a population that may benefit from PN therapy when enteral nutrition is not feasible, insufficient, or challenging. We also enrolled non-surgery patients, aiming to make the results applicable to the nonsurgical population as well. The purpose of the exclusion criteria was to reduce noise and ensure the safety of the trial. To fulfill these, we excluded severely ill and dying patients, patients with contraindication to PN or allergic to PN components, and patients with a medical history that would interfere </w:t>
      </w:r>
      <w:r w:rsidRPr="00981557">
        <w:rPr>
          <w:rFonts w:cs="Calibri"/>
          <w:sz w:val="24"/>
        </w:rPr>
        <w:t xml:space="preserve">with </w:t>
      </w:r>
      <w:r w:rsidR="00355E68" w:rsidRPr="00981557">
        <w:rPr>
          <w:rFonts w:cs="Calibri"/>
          <w:sz w:val="24"/>
        </w:rPr>
        <w:t>metabolism.</w:t>
      </w:r>
    </w:p>
    <w:p w14:paraId="7CD9C249" w14:textId="77777777" w:rsidR="00FD6973" w:rsidRPr="00981557" w:rsidRDefault="00FD6973" w:rsidP="00342AEA">
      <w:pPr>
        <w:contextualSpacing/>
        <w:jc w:val="left"/>
        <w:rPr>
          <w:rFonts w:cs="Calibri"/>
          <w:sz w:val="24"/>
        </w:rPr>
      </w:pPr>
    </w:p>
    <w:p w14:paraId="48FF72AA" w14:textId="3E1C2228" w:rsidR="00355E68" w:rsidRDefault="00355E68" w:rsidP="00342AEA">
      <w:pPr>
        <w:contextualSpacing/>
        <w:jc w:val="left"/>
        <w:rPr>
          <w:rFonts w:cs="Calibri"/>
          <w:sz w:val="24"/>
        </w:rPr>
      </w:pPr>
      <w:r w:rsidRPr="00981557">
        <w:rPr>
          <w:rFonts w:cs="Calibri"/>
          <w:sz w:val="24"/>
        </w:rPr>
        <w:t>The primary study endpoint must correlate directly to the investigational study product, should be clinically accordant, and assessable conveniently in a clinical trial. Endpoints are usually a biomarker or a patient-specific structural or functional endpoint</w:t>
      </w:r>
      <w:r w:rsidR="00B76CC5" w:rsidRPr="00981557">
        <w:rPr>
          <w:rFonts w:cs="Calibri"/>
          <w:sz w:val="24"/>
          <w:vertAlign w:val="superscript"/>
        </w:rPr>
        <w:t>13</w:t>
      </w:r>
      <w:r w:rsidRPr="00981557">
        <w:rPr>
          <w:rFonts w:cs="Calibri"/>
          <w:sz w:val="24"/>
        </w:rPr>
        <w:t xml:space="preserve">. In this study, </w:t>
      </w:r>
      <w:r w:rsidR="00652F06" w:rsidRPr="00981557">
        <w:rPr>
          <w:rFonts w:cs="Calibri"/>
          <w:sz w:val="24"/>
        </w:rPr>
        <w:t xml:space="preserve">the </w:t>
      </w:r>
      <w:r w:rsidRPr="00981557">
        <w:rPr>
          <w:rFonts w:cs="Calibri"/>
          <w:noProof/>
          <w:sz w:val="24"/>
        </w:rPr>
        <w:t>prealbumin</w:t>
      </w:r>
      <w:r w:rsidRPr="00981557">
        <w:rPr>
          <w:rFonts w:cs="Calibri"/>
          <w:sz w:val="24"/>
        </w:rPr>
        <w:t xml:space="preserve"> level was selected as the primary endpoint, following a discussion involving various experts. Serum </w:t>
      </w:r>
      <w:r w:rsidRPr="00981557">
        <w:rPr>
          <w:rFonts w:cs="Calibri"/>
          <w:noProof/>
          <w:sz w:val="24"/>
        </w:rPr>
        <w:t>prealbumin</w:t>
      </w:r>
      <w:r w:rsidRPr="00981557">
        <w:rPr>
          <w:rFonts w:cs="Calibri"/>
          <w:sz w:val="24"/>
        </w:rPr>
        <w:t xml:space="preserve"> level, one of the commonly used nutritional endpoint</w:t>
      </w:r>
      <w:r w:rsidR="00652F06" w:rsidRPr="00981557">
        <w:rPr>
          <w:rFonts w:cs="Calibri"/>
          <w:sz w:val="24"/>
        </w:rPr>
        <w:t>s,</w:t>
      </w:r>
      <w:r w:rsidRPr="00981557">
        <w:rPr>
          <w:rFonts w:cs="Calibri"/>
          <w:sz w:val="24"/>
        </w:rPr>
        <w:t xml:space="preserve"> serves as a composite pointer for the amino acid supply, </w:t>
      </w:r>
      <w:r w:rsidR="00652F06" w:rsidRPr="00981557">
        <w:rPr>
          <w:rFonts w:cs="Calibri"/>
          <w:sz w:val="24"/>
        </w:rPr>
        <w:t>protein-</w:t>
      </w:r>
      <w:r w:rsidRPr="00981557">
        <w:rPr>
          <w:rFonts w:cs="Calibri"/>
          <w:sz w:val="24"/>
        </w:rPr>
        <w:t xml:space="preserve">synthesizing extent, </w:t>
      </w:r>
      <w:bookmarkStart w:id="39" w:name="OLE_LINK35"/>
      <w:r w:rsidRPr="00981557">
        <w:rPr>
          <w:rFonts w:cs="Calibri"/>
          <w:sz w:val="24"/>
        </w:rPr>
        <w:t>inflammation</w:t>
      </w:r>
      <w:bookmarkEnd w:id="39"/>
      <w:r w:rsidR="00652F06" w:rsidRPr="00981557">
        <w:rPr>
          <w:rFonts w:cs="Calibri"/>
          <w:sz w:val="24"/>
        </w:rPr>
        <w:t>,</w:t>
      </w:r>
      <w:r w:rsidRPr="00981557">
        <w:rPr>
          <w:rFonts w:cs="Calibri"/>
          <w:sz w:val="24"/>
        </w:rPr>
        <w:t xml:space="preserve"> and catabolism. However, several confounding variables affect this endpoint, includ</w:t>
      </w:r>
      <w:r w:rsidR="00652F06" w:rsidRPr="00981557">
        <w:rPr>
          <w:rFonts w:cs="Calibri"/>
          <w:sz w:val="24"/>
        </w:rPr>
        <w:t>ing</w:t>
      </w:r>
      <w:r w:rsidRPr="00981557">
        <w:rPr>
          <w:rFonts w:cs="Calibri"/>
          <w:sz w:val="24"/>
        </w:rPr>
        <w:t xml:space="preserve"> synthesis and degradation status and inflammation level. Thus, for the secondary endpoints, albumin and IGF-1 levels were selected to assess anabolism; excretion of nitrogen and 3-methylhistidine helped in assessing catabolism. </w:t>
      </w:r>
      <w:r w:rsidR="00652F06" w:rsidRPr="00981557">
        <w:rPr>
          <w:rFonts w:cs="Calibri"/>
          <w:sz w:val="24"/>
        </w:rPr>
        <w:t>O</w:t>
      </w:r>
      <w:r w:rsidRPr="00981557">
        <w:rPr>
          <w:rFonts w:cs="Calibri"/>
          <w:sz w:val="24"/>
        </w:rPr>
        <w:t xml:space="preserve">xidation, lipid profile, glucose levels, insulin, and electrolytes levels helped in assessing the metabolic status; </w:t>
      </w:r>
      <w:r w:rsidRPr="00981557">
        <w:rPr>
          <w:rFonts w:cs="Calibri"/>
          <w:noProof/>
          <w:sz w:val="24"/>
        </w:rPr>
        <w:t>clinical</w:t>
      </w:r>
      <w:r w:rsidRPr="00981557">
        <w:rPr>
          <w:rFonts w:cs="Calibri"/>
          <w:sz w:val="24"/>
        </w:rPr>
        <w:t xml:space="preserve"> outcome</w:t>
      </w:r>
      <w:r w:rsidR="00712B60" w:rsidRPr="00981557">
        <w:rPr>
          <w:rFonts w:cs="Calibri"/>
          <w:sz w:val="24"/>
        </w:rPr>
        <w:t>s</w:t>
      </w:r>
      <w:r w:rsidR="00752710">
        <w:rPr>
          <w:rFonts w:cs="Calibri"/>
          <w:sz w:val="24"/>
        </w:rPr>
        <w:t xml:space="preserve"> </w:t>
      </w:r>
      <w:r w:rsidR="00712B60" w:rsidRPr="00981557">
        <w:rPr>
          <w:rFonts w:cs="Calibri"/>
          <w:sz w:val="24"/>
        </w:rPr>
        <w:t xml:space="preserve">are </w:t>
      </w:r>
      <w:r w:rsidRPr="00981557">
        <w:rPr>
          <w:rFonts w:cs="Calibri"/>
          <w:sz w:val="24"/>
        </w:rPr>
        <w:t xml:space="preserve">assessed </w:t>
      </w:r>
      <w:r w:rsidR="00712B60" w:rsidRPr="00981557">
        <w:rPr>
          <w:rFonts w:cs="Calibri"/>
          <w:sz w:val="24"/>
        </w:rPr>
        <w:t xml:space="preserve">based on </w:t>
      </w:r>
      <w:r w:rsidRPr="00981557">
        <w:rPr>
          <w:rFonts w:cs="Calibri"/>
          <w:sz w:val="24"/>
        </w:rPr>
        <w:t>infections, hospital stay, morbidities, mortality, and preparation time. In addition to establishing the efficacy of 3CBs and lipids in supporting the claim, the trial should also prove the safety profile, which includes the assessment of lab parameters, vital signs, and injection-site reactions.</w:t>
      </w:r>
    </w:p>
    <w:p w14:paraId="0ADEBF40" w14:textId="77777777" w:rsidR="00FD6973" w:rsidRPr="00981557" w:rsidRDefault="00FD6973" w:rsidP="00342AEA">
      <w:pPr>
        <w:contextualSpacing/>
        <w:jc w:val="left"/>
        <w:rPr>
          <w:rFonts w:cs="Calibri"/>
          <w:sz w:val="24"/>
        </w:rPr>
      </w:pPr>
    </w:p>
    <w:p w14:paraId="1E5BA569" w14:textId="77777777" w:rsidR="00355E68" w:rsidRDefault="00355E68" w:rsidP="00342AEA">
      <w:pPr>
        <w:contextualSpacing/>
        <w:jc w:val="left"/>
        <w:rPr>
          <w:rFonts w:cs="Calibri"/>
          <w:sz w:val="24"/>
        </w:rPr>
      </w:pPr>
      <w:r w:rsidRPr="00981557">
        <w:rPr>
          <w:rFonts w:cs="Calibri"/>
          <w:sz w:val="24"/>
        </w:rPr>
        <w:t xml:space="preserve">More and more clinical trials are being </w:t>
      </w:r>
      <w:r w:rsidR="00712B60" w:rsidRPr="00981557">
        <w:rPr>
          <w:rFonts w:cs="Calibri"/>
          <w:sz w:val="24"/>
        </w:rPr>
        <w:t xml:space="preserve">undertaken </w:t>
      </w:r>
      <w:r w:rsidRPr="00981557">
        <w:rPr>
          <w:rFonts w:cs="Calibri"/>
          <w:sz w:val="24"/>
        </w:rPr>
        <w:t xml:space="preserve">in order to evaluate whether the new treatment is as efficacious as standard treatment. The new treatment possesses various advantages such as </w:t>
      </w:r>
      <w:r w:rsidR="00CC72F1" w:rsidRPr="00981557">
        <w:rPr>
          <w:rFonts w:cs="Calibri"/>
          <w:sz w:val="24"/>
        </w:rPr>
        <w:t xml:space="preserve">a </w:t>
      </w:r>
      <w:r w:rsidRPr="00981557">
        <w:rPr>
          <w:rFonts w:cs="Calibri"/>
          <w:sz w:val="24"/>
        </w:rPr>
        <w:t>good safety profile, ease of administration</w:t>
      </w:r>
      <w:r w:rsidR="00191C6A" w:rsidRPr="00981557">
        <w:rPr>
          <w:rFonts w:cs="Calibri"/>
          <w:sz w:val="24"/>
        </w:rPr>
        <w:t>,</w:t>
      </w:r>
      <w:r w:rsidRPr="00981557">
        <w:rPr>
          <w:rFonts w:cs="Calibri"/>
          <w:sz w:val="24"/>
        </w:rPr>
        <w:t xml:space="preserve"> and </w:t>
      </w:r>
      <w:r w:rsidR="00191C6A" w:rsidRPr="00981557">
        <w:rPr>
          <w:rFonts w:cs="Calibri"/>
          <w:sz w:val="24"/>
        </w:rPr>
        <w:t xml:space="preserve">is </w:t>
      </w:r>
      <w:r w:rsidRPr="00981557">
        <w:rPr>
          <w:rFonts w:cs="Calibri"/>
          <w:sz w:val="24"/>
        </w:rPr>
        <w:t xml:space="preserve">economical, making it fruitful to establish noninferiority </w:t>
      </w:r>
      <w:proofErr w:type="gramStart"/>
      <w:r w:rsidRPr="00981557">
        <w:rPr>
          <w:rFonts w:cs="Calibri"/>
          <w:sz w:val="24"/>
        </w:rPr>
        <w:t>with regard to</w:t>
      </w:r>
      <w:proofErr w:type="gramEnd"/>
      <w:r w:rsidRPr="00981557">
        <w:rPr>
          <w:rFonts w:cs="Calibri"/>
          <w:sz w:val="24"/>
        </w:rPr>
        <w:t xml:space="preserve"> </w:t>
      </w:r>
      <w:r w:rsidR="00191C6A" w:rsidRPr="00981557">
        <w:rPr>
          <w:rFonts w:cs="Calibri"/>
          <w:sz w:val="24"/>
        </w:rPr>
        <w:t xml:space="preserve">the </w:t>
      </w:r>
      <w:r w:rsidRPr="00981557">
        <w:rPr>
          <w:rFonts w:cs="Calibri"/>
          <w:sz w:val="24"/>
        </w:rPr>
        <w:t xml:space="preserve">efficacy parameter. The noninferiority trial </w:t>
      </w:r>
      <w:r w:rsidRPr="00981557">
        <w:rPr>
          <w:rFonts w:cs="Calibri"/>
          <w:sz w:val="24"/>
        </w:rPr>
        <w:lastRenderedPageBreak/>
        <w:t>offers the advantage of statistical significance to be only 1 tailed</w:t>
      </w:r>
      <w:r w:rsidR="00191C6A" w:rsidRPr="00981557">
        <w:rPr>
          <w:rFonts w:cs="Calibri"/>
          <w:sz w:val="24"/>
        </w:rPr>
        <w:t>,</w:t>
      </w:r>
      <w:r w:rsidRPr="00981557">
        <w:rPr>
          <w:rFonts w:cs="Calibri"/>
          <w:sz w:val="24"/>
        </w:rPr>
        <w:t xml:space="preserve"> as there is no assumption that the analysis addresses whether the treatment is better. The predefining of a noninferiority margin for the primary outcome measure is of prime importance while designing a noninferiority trial</w:t>
      </w:r>
      <w:r w:rsidR="00B76CC5" w:rsidRPr="00981557">
        <w:rPr>
          <w:rFonts w:cs="Calibri"/>
          <w:sz w:val="24"/>
          <w:vertAlign w:val="superscript"/>
        </w:rPr>
        <w:t>14</w:t>
      </w:r>
      <w:r w:rsidRPr="00981557">
        <w:rPr>
          <w:rFonts w:cs="Calibri"/>
          <w:sz w:val="24"/>
        </w:rPr>
        <w:t>. In this study, the noninferiority margin was defined as −20%. The noninferiority in the trial was justified if the anti-log of the lower limit of the treatment difference 95% CI was at least 0.80.</w:t>
      </w:r>
    </w:p>
    <w:p w14:paraId="3CE57899" w14:textId="77777777" w:rsidR="00FD6973" w:rsidRPr="00981557" w:rsidRDefault="00FD6973" w:rsidP="00342AEA">
      <w:pPr>
        <w:contextualSpacing/>
        <w:jc w:val="left"/>
        <w:rPr>
          <w:rFonts w:cs="Calibri"/>
          <w:sz w:val="24"/>
        </w:rPr>
      </w:pPr>
    </w:p>
    <w:p w14:paraId="4A505C0D" w14:textId="0C7C5649" w:rsidR="00355E68" w:rsidRDefault="00355E68" w:rsidP="00342AEA">
      <w:pPr>
        <w:contextualSpacing/>
        <w:jc w:val="left"/>
        <w:rPr>
          <w:rFonts w:cs="Calibri"/>
          <w:sz w:val="24"/>
        </w:rPr>
      </w:pPr>
      <w:r w:rsidRPr="00981557">
        <w:rPr>
          <w:rFonts w:cs="Calibri"/>
          <w:sz w:val="24"/>
        </w:rPr>
        <w:t xml:space="preserve">In </w:t>
      </w:r>
      <w:proofErr w:type="gramStart"/>
      <w:r w:rsidRPr="00981557">
        <w:rPr>
          <w:rFonts w:cs="Calibri"/>
          <w:sz w:val="24"/>
        </w:rPr>
        <w:t>the majority of</w:t>
      </w:r>
      <w:proofErr w:type="gramEnd"/>
      <w:r w:rsidRPr="00981557">
        <w:rPr>
          <w:rFonts w:cs="Calibri"/>
          <w:sz w:val="24"/>
        </w:rPr>
        <w:t xml:space="preserve"> hospitalized patients, the ability to absorb nutrients via the gastrointestinal route will return to normal levels within 1 to 2 weeks of the medical/surgical event that caused a disruption in feeding. It is</w:t>
      </w:r>
      <w:r w:rsidR="00191C6A" w:rsidRPr="00981557">
        <w:rPr>
          <w:rFonts w:cs="Calibri"/>
          <w:sz w:val="24"/>
        </w:rPr>
        <w:t>,</w:t>
      </w:r>
      <w:r w:rsidRPr="00981557">
        <w:rPr>
          <w:rFonts w:cs="Calibri"/>
          <w:sz w:val="24"/>
        </w:rPr>
        <w:t xml:space="preserve"> therefore</w:t>
      </w:r>
      <w:r w:rsidR="00191C6A" w:rsidRPr="00981557">
        <w:rPr>
          <w:rFonts w:cs="Calibri"/>
          <w:sz w:val="24"/>
        </w:rPr>
        <w:t>,</w:t>
      </w:r>
      <w:r w:rsidRPr="00981557">
        <w:rPr>
          <w:rFonts w:cs="Calibri"/>
          <w:sz w:val="24"/>
        </w:rPr>
        <w:t xml:space="preserve"> practical to compare olive</w:t>
      </w:r>
      <w:r w:rsidR="00191C6A" w:rsidRPr="00981557">
        <w:rPr>
          <w:rFonts w:cs="Calibri"/>
          <w:sz w:val="24"/>
        </w:rPr>
        <w:t>-</w:t>
      </w:r>
      <w:r w:rsidRPr="00981557">
        <w:rPr>
          <w:rFonts w:cs="Calibri"/>
          <w:sz w:val="24"/>
        </w:rPr>
        <w:t xml:space="preserve">oil-based 3CB to a </w:t>
      </w:r>
      <w:proofErr w:type="spellStart"/>
      <w:r w:rsidRPr="00981557">
        <w:rPr>
          <w:rFonts w:cs="Calibri"/>
          <w:sz w:val="24"/>
        </w:rPr>
        <w:t>CoB</w:t>
      </w:r>
      <w:proofErr w:type="spellEnd"/>
      <w:r w:rsidRPr="00981557">
        <w:rPr>
          <w:rFonts w:cs="Calibri"/>
          <w:sz w:val="24"/>
        </w:rPr>
        <w:t xml:space="preserve"> (soybean</w:t>
      </w:r>
      <w:r w:rsidR="00191C6A" w:rsidRPr="00981557">
        <w:rPr>
          <w:rFonts w:cs="Calibri"/>
          <w:sz w:val="24"/>
        </w:rPr>
        <w:t>-</w:t>
      </w:r>
      <w:r w:rsidRPr="00981557">
        <w:rPr>
          <w:rFonts w:cs="Calibri"/>
          <w:sz w:val="24"/>
        </w:rPr>
        <w:t xml:space="preserve">oil-based) for a course of therapy that is long enough to evaluate a signal of the comparative efficacy and </w:t>
      </w:r>
      <w:proofErr w:type="gramStart"/>
      <w:r w:rsidRPr="00981557">
        <w:rPr>
          <w:rFonts w:cs="Calibri"/>
          <w:sz w:val="24"/>
        </w:rPr>
        <w:t>safety, yet</w:t>
      </w:r>
      <w:proofErr w:type="gramEnd"/>
      <w:r w:rsidRPr="00981557">
        <w:rPr>
          <w:rFonts w:cs="Calibri"/>
          <w:sz w:val="24"/>
        </w:rPr>
        <w:t xml:space="preserve"> does not</w:t>
      </w:r>
      <w:r w:rsidR="00752710">
        <w:rPr>
          <w:rFonts w:cs="Calibri"/>
          <w:sz w:val="24"/>
        </w:rPr>
        <w:t xml:space="preserve"> </w:t>
      </w:r>
      <w:r w:rsidRPr="00981557">
        <w:rPr>
          <w:rFonts w:cs="Calibri"/>
          <w:sz w:val="24"/>
        </w:rPr>
        <w:t>delay the re-administration of oral or enteral feeding. It is always a critical decision to specify the duration of follow</w:t>
      </w:r>
      <w:r w:rsidR="00191C6A" w:rsidRPr="00981557">
        <w:rPr>
          <w:rFonts w:cs="Calibri"/>
          <w:sz w:val="24"/>
        </w:rPr>
        <w:t>-</w:t>
      </w:r>
      <w:r w:rsidRPr="00981557">
        <w:rPr>
          <w:rFonts w:cs="Calibri"/>
          <w:sz w:val="24"/>
        </w:rPr>
        <w:t>up, to come to a meaningful result. The relatively short duration of follow</w:t>
      </w:r>
      <w:r w:rsidR="00191C6A" w:rsidRPr="00981557">
        <w:rPr>
          <w:rFonts w:cs="Calibri"/>
          <w:sz w:val="24"/>
        </w:rPr>
        <w:t>-</w:t>
      </w:r>
      <w:r w:rsidRPr="00981557">
        <w:rPr>
          <w:rFonts w:cs="Calibri"/>
          <w:sz w:val="24"/>
        </w:rPr>
        <w:t>up</w:t>
      </w:r>
      <w:r w:rsidR="00191C6A" w:rsidRPr="00981557">
        <w:rPr>
          <w:rFonts w:cs="Calibri"/>
          <w:sz w:val="24"/>
        </w:rPr>
        <w:t>,</w:t>
      </w:r>
      <w:r w:rsidRPr="00981557">
        <w:rPr>
          <w:rFonts w:cs="Calibri"/>
          <w:sz w:val="24"/>
        </w:rPr>
        <w:t xml:space="preserve"> i.e. a maximum of 14 days</w:t>
      </w:r>
      <w:r w:rsidR="00191C6A" w:rsidRPr="00981557">
        <w:rPr>
          <w:rFonts w:cs="Calibri"/>
          <w:sz w:val="24"/>
        </w:rPr>
        <w:t>,</w:t>
      </w:r>
      <w:r w:rsidRPr="00981557">
        <w:rPr>
          <w:rFonts w:cs="Calibri"/>
          <w:sz w:val="24"/>
        </w:rPr>
        <w:t xml:space="preserve"> may be considered as the main limitation of this study. Despite the short duration of follow</w:t>
      </w:r>
      <w:r w:rsidR="00191C6A" w:rsidRPr="00981557">
        <w:rPr>
          <w:rFonts w:cs="Calibri"/>
          <w:sz w:val="24"/>
        </w:rPr>
        <w:t>-</w:t>
      </w:r>
      <w:r w:rsidRPr="00981557">
        <w:rPr>
          <w:rFonts w:cs="Calibri"/>
          <w:sz w:val="24"/>
        </w:rPr>
        <w:t>up, it is possible that with a longer duration of PN</w:t>
      </w:r>
      <w:r w:rsidR="007D18E3" w:rsidRPr="00981557">
        <w:rPr>
          <w:rFonts w:cs="Calibri"/>
          <w:sz w:val="24"/>
        </w:rPr>
        <w:t>,</w:t>
      </w:r>
      <w:r w:rsidRPr="00981557">
        <w:rPr>
          <w:rFonts w:cs="Calibri"/>
          <w:sz w:val="24"/>
        </w:rPr>
        <w:t xml:space="preserve"> additional differences </w:t>
      </w:r>
      <w:r w:rsidR="007D18E3" w:rsidRPr="00981557">
        <w:rPr>
          <w:rFonts w:cs="Calibri"/>
          <w:sz w:val="24"/>
        </w:rPr>
        <w:t xml:space="preserve">may have been noted </w:t>
      </w:r>
      <w:r w:rsidRPr="00981557">
        <w:rPr>
          <w:rFonts w:cs="Calibri"/>
          <w:sz w:val="24"/>
        </w:rPr>
        <w:t>between treatment groups.</w:t>
      </w:r>
    </w:p>
    <w:p w14:paraId="07E829BB" w14:textId="77777777" w:rsidR="00FD6973" w:rsidRPr="00981557" w:rsidRDefault="00FD6973" w:rsidP="00342AEA">
      <w:pPr>
        <w:contextualSpacing/>
        <w:jc w:val="left"/>
        <w:rPr>
          <w:rFonts w:cs="Calibri"/>
          <w:sz w:val="24"/>
        </w:rPr>
      </w:pPr>
    </w:p>
    <w:p w14:paraId="70959797" w14:textId="77777777" w:rsidR="005E7616" w:rsidRPr="00981557" w:rsidRDefault="00355E68" w:rsidP="00342AEA">
      <w:pPr>
        <w:contextualSpacing/>
        <w:jc w:val="left"/>
        <w:rPr>
          <w:rFonts w:cs="Calibri"/>
          <w:sz w:val="24"/>
        </w:rPr>
      </w:pPr>
      <w:r w:rsidRPr="00981557">
        <w:rPr>
          <w:rFonts w:cs="Calibri"/>
          <w:sz w:val="24"/>
        </w:rPr>
        <w:t>To sum up, several aspects of the trial design are appropriately selected to ensure the value of the study is duly considered for this standard protocol involving lipid emulsion and 3CBs. This study may be used as a reference for future research.</w:t>
      </w:r>
    </w:p>
    <w:p w14:paraId="35E55F96" w14:textId="77777777" w:rsidR="00355E68" w:rsidRPr="00981557" w:rsidRDefault="00355E68" w:rsidP="00342AEA">
      <w:pPr>
        <w:contextualSpacing/>
        <w:jc w:val="left"/>
        <w:rPr>
          <w:rFonts w:cs="Calibri"/>
          <w:b/>
          <w:bCs/>
          <w:sz w:val="24"/>
        </w:rPr>
      </w:pPr>
    </w:p>
    <w:p w14:paraId="3B90CE57" w14:textId="77777777" w:rsidR="00355E68" w:rsidRPr="00981557" w:rsidRDefault="00FD6973" w:rsidP="00342AEA">
      <w:pPr>
        <w:contextualSpacing/>
        <w:jc w:val="left"/>
        <w:rPr>
          <w:rFonts w:cs="Calibri"/>
          <w:b/>
          <w:bCs/>
          <w:sz w:val="24"/>
        </w:rPr>
      </w:pPr>
      <w:r w:rsidRPr="00981557">
        <w:rPr>
          <w:rFonts w:cs="Calibri"/>
          <w:b/>
          <w:bCs/>
          <w:sz w:val="24"/>
        </w:rPr>
        <w:t>DISCLOSURES</w:t>
      </w:r>
    </w:p>
    <w:p w14:paraId="3D48B912" w14:textId="77777777" w:rsidR="00355E68" w:rsidRPr="00981557" w:rsidRDefault="00355E68" w:rsidP="00342AEA">
      <w:pPr>
        <w:contextualSpacing/>
        <w:jc w:val="left"/>
        <w:rPr>
          <w:rFonts w:cs="Calibri"/>
          <w:sz w:val="24"/>
        </w:rPr>
      </w:pPr>
      <w:r w:rsidRPr="00981557">
        <w:rPr>
          <w:rFonts w:cs="Calibri"/>
          <w:sz w:val="24"/>
        </w:rPr>
        <w:t>The authors have nothing to disclose.</w:t>
      </w:r>
    </w:p>
    <w:p w14:paraId="29F0BCBC" w14:textId="77777777" w:rsidR="00355E68" w:rsidRPr="00981557" w:rsidRDefault="00355E68" w:rsidP="00342AEA">
      <w:pPr>
        <w:contextualSpacing/>
        <w:jc w:val="left"/>
        <w:rPr>
          <w:rFonts w:cs="Calibri"/>
          <w:b/>
          <w:bCs/>
          <w:sz w:val="24"/>
        </w:rPr>
      </w:pPr>
    </w:p>
    <w:p w14:paraId="13853FEE" w14:textId="77777777" w:rsidR="00355E68" w:rsidRPr="00981557" w:rsidRDefault="00FD6973" w:rsidP="00342AEA">
      <w:pPr>
        <w:contextualSpacing/>
        <w:jc w:val="left"/>
        <w:rPr>
          <w:rFonts w:cs="Calibri"/>
          <w:b/>
          <w:bCs/>
          <w:sz w:val="24"/>
        </w:rPr>
      </w:pPr>
      <w:r w:rsidRPr="00981557">
        <w:rPr>
          <w:rFonts w:cs="Calibri"/>
          <w:b/>
          <w:bCs/>
          <w:sz w:val="24"/>
        </w:rPr>
        <w:t>ACKNOWLEDGMENT</w:t>
      </w:r>
    </w:p>
    <w:p w14:paraId="79F259CF" w14:textId="2F1D5E69" w:rsidR="00355E68" w:rsidRPr="00981557" w:rsidRDefault="00355E68" w:rsidP="00342AEA">
      <w:pPr>
        <w:contextualSpacing/>
        <w:jc w:val="left"/>
        <w:rPr>
          <w:rFonts w:cs="Calibri"/>
          <w:sz w:val="24"/>
        </w:rPr>
      </w:pPr>
      <w:r w:rsidRPr="00981557">
        <w:rPr>
          <w:rFonts w:cs="Calibri"/>
          <w:sz w:val="24"/>
        </w:rPr>
        <w:t>The study was sponsored and funded by Baxter Healthcare, manufacturer</w:t>
      </w:r>
      <w:r w:rsidR="002469C2">
        <w:rPr>
          <w:rFonts w:cs="Calibri"/>
          <w:sz w:val="24"/>
        </w:rPr>
        <w:t>/L</w:t>
      </w:r>
      <w:r w:rsidRPr="00981557">
        <w:rPr>
          <w:rFonts w:cs="Calibri"/>
          <w:sz w:val="24"/>
        </w:rPr>
        <w:t xml:space="preserve">icensee of </w:t>
      </w:r>
      <w:proofErr w:type="spellStart"/>
      <w:r w:rsidRPr="00981557">
        <w:rPr>
          <w:rFonts w:cs="Calibri"/>
          <w:sz w:val="24"/>
        </w:rPr>
        <w:t>OliClinomel</w:t>
      </w:r>
      <w:proofErr w:type="spellEnd"/>
      <w:r w:rsidRPr="00981557">
        <w:rPr>
          <w:rFonts w:cs="Calibri"/>
          <w:sz w:val="24"/>
        </w:rPr>
        <w:t xml:space="preserve"> N4. </w:t>
      </w:r>
      <w:proofErr w:type="spellStart"/>
      <w:r w:rsidRPr="00981557">
        <w:rPr>
          <w:rFonts w:cs="Calibri"/>
          <w:sz w:val="24"/>
        </w:rPr>
        <w:t>ProScribe</w:t>
      </w:r>
      <w:proofErr w:type="spellEnd"/>
      <w:r w:rsidR="00857539">
        <w:rPr>
          <w:rFonts w:cs="Calibri"/>
          <w:noProof/>
          <w:sz w:val="24"/>
        </w:rPr>
        <w:t xml:space="preserve"> was used</w:t>
      </w:r>
      <w:r w:rsidRPr="00981557">
        <w:rPr>
          <w:rFonts w:cs="Calibri"/>
          <w:sz w:val="24"/>
        </w:rPr>
        <w:t xml:space="preserve"> in compliance with global guidelines for good publication practice.</w:t>
      </w:r>
    </w:p>
    <w:p w14:paraId="616C5DEC" w14:textId="77777777" w:rsidR="005E7616" w:rsidRPr="00981557" w:rsidRDefault="005E7616" w:rsidP="00342AEA">
      <w:pPr>
        <w:contextualSpacing/>
        <w:jc w:val="left"/>
        <w:rPr>
          <w:rFonts w:cs="Calibri"/>
          <w:b/>
          <w:bCs/>
          <w:sz w:val="24"/>
        </w:rPr>
      </w:pPr>
    </w:p>
    <w:p w14:paraId="155C0D2A" w14:textId="77777777" w:rsidR="00355E68" w:rsidRPr="00981557" w:rsidRDefault="00FD6973" w:rsidP="00342AEA">
      <w:pPr>
        <w:contextualSpacing/>
        <w:jc w:val="left"/>
        <w:rPr>
          <w:rFonts w:cs="Calibri"/>
          <w:b/>
          <w:bCs/>
          <w:sz w:val="24"/>
        </w:rPr>
      </w:pPr>
      <w:r w:rsidRPr="00981557">
        <w:rPr>
          <w:rFonts w:cs="Calibri"/>
          <w:b/>
          <w:bCs/>
          <w:sz w:val="24"/>
        </w:rPr>
        <w:t>REFERENCES</w:t>
      </w:r>
    </w:p>
    <w:p w14:paraId="0771C35A" w14:textId="74A552B8" w:rsidR="00355E68" w:rsidRPr="00981557" w:rsidRDefault="00355E68" w:rsidP="00342AEA">
      <w:pPr>
        <w:numPr>
          <w:ilvl w:val="0"/>
          <w:numId w:val="9"/>
        </w:numPr>
        <w:ind w:left="0" w:firstLine="0"/>
        <w:contextualSpacing/>
        <w:jc w:val="left"/>
        <w:rPr>
          <w:rFonts w:cs="Calibri"/>
          <w:sz w:val="24"/>
        </w:rPr>
      </w:pPr>
      <w:proofErr w:type="spellStart"/>
      <w:r w:rsidRPr="00981557">
        <w:rPr>
          <w:rFonts w:cs="Calibri"/>
          <w:sz w:val="24"/>
        </w:rPr>
        <w:t>Jeejeebhoy</w:t>
      </w:r>
      <w:proofErr w:type="spellEnd"/>
      <w:r w:rsidR="00752710">
        <w:rPr>
          <w:rFonts w:cs="Calibri"/>
          <w:sz w:val="24"/>
        </w:rPr>
        <w:t>,</w:t>
      </w:r>
      <w:r w:rsidRPr="00981557">
        <w:rPr>
          <w:rFonts w:cs="Calibri"/>
          <w:sz w:val="24"/>
        </w:rPr>
        <w:t xml:space="preserve"> K</w:t>
      </w:r>
      <w:r w:rsidR="00752710">
        <w:rPr>
          <w:rFonts w:cs="Calibri"/>
          <w:sz w:val="24"/>
        </w:rPr>
        <w:t>.</w:t>
      </w:r>
      <w:r w:rsidRPr="00981557">
        <w:rPr>
          <w:rFonts w:cs="Calibri"/>
          <w:sz w:val="24"/>
        </w:rPr>
        <w:t xml:space="preserve">N. Parenteral nutrition in the intensive care unit. </w:t>
      </w:r>
      <w:r w:rsidR="00A42807" w:rsidRPr="00981557">
        <w:rPr>
          <w:rFonts w:cs="Calibri"/>
          <w:i/>
          <w:sz w:val="24"/>
        </w:rPr>
        <w:t>Nutrition Reviews</w:t>
      </w:r>
      <w:r w:rsidR="00752710">
        <w:rPr>
          <w:rFonts w:cs="Calibri"/>
          <w:i/>
          <w:sz w:val="24"/>
        </w:rPr>
        <w:t xml:space="preserve">. </w:t>
      </w:r>
      <w:r w:rsidRPr="00752710">
        <w:rPr>
          <w:rFonts w:cs="Calibri"/>
          <w:b/>
          <w:sz w:val="24"/>
        </w:rPr>
        <w:t>70</w:t>
      </w:r>
      <w:r w:rsidR="00752710">
        <w:rPr>
          <w:rFonts w:cs="Calibri"/>
          <w:sz w:val="24"/>
        </w:rPr>
        <w:t xml:space="preserve"> </w:t>
      </w:r>
      <w:r w:rsidRPr="00981557">
        <w:rPr>
          <w:rFonts w:cs="Calibri"/>
          <w:sz w:val="24"/>
        </w:rPr>
        <w:t>(11)</w:t>
      </w:r>
      <w:r w:rsidR="00752710">
        <w:rPr>
          <w:rFonts w:cs="Calibri"/>
          <w:sz w:val="24"/>
        </w:rPr>
        <w:t xml:space="preserve">, </w:t>
      </w:r>
      <w:r w:rsidRPr="00981557">
        <w:rPr>
          <w:rFonts w:cs="Calibri"/>
          <w:sz w:val="24"/>
        </w:rPr>
        <w:t>623-</w:t>
      </w:r>
      <w:r w:rsidR="00A42807" w:rsidRPr="00981557">
        <w:rPr>
          <w:rFonts w:cs="Calibri"/>
          <w:sz w:val="24"/>
        </w:rPr>
        <w:t>6</w:t>
      </w:r>
      <w:r w:rsidRPr="00981557">
        <w:rPr>
          <w:rFonts w:cs="Calibri"/>
          <w:sz w:val="24"/>
        </w:rPr>
        <w:t>30</w:t>
      </w:r>
      <w:r w:rsidR="00752710">
        <w:rPr>
          <w:rFonts w:cs="Calibri"/>
          <w:sz w:val="24"/>
        </w:rPr>
        <w:t xml:space="preserve"> </w:t>
      </w:r>
      <w:r w:rsidR="00857539">
        <w:rPr>
          <w:rFonts w:cs="Calibri"/>
          <w:sz w:val="24"/>
        </w:rPr>
        <w:t>(2012).</w:t>
      </w:r>
    </w:p>
    <w:p w14:paraId="326004ED" w14:textId="50DED0F1" w:rsidR="00355E68" w:rsidRPr="00981557" w:rsidRDefault="00355E68" w:rsidP="00342AEA">
      <w:pPr>
        <w:numPr>
          <w:ilvl w:val="0"/>
          <w:numId w:val="9"/>
        </w:numPr>
        <w:ind w:left="0" w:firstLine="0"/>
        <w:contextualSpacing/>
        <w:jc w:val="left"/>
        <w:rPr>
          <w:rFonts w:cs="Calibri"/>
          <w:sz w:val="24"/>
        </w:rPr>
      </w:pPr>
      <w:r w:rsidRPr="00981557">
        <w:rPr>
          <w:rFonts w:cs="Calibri"/>
          <w:sz w:val="24"/>
        </w:rPr>
        <w:t>Simmer</w:t>
      </w:r>
      <w:r w:rsidR="00752710">
        <w:rPr>
          <w:rFonts w:cs="Calibri"/>
          <w:sz w:val="24"/>
        </w:rPr>
        <w:t>,</w:t>
      </w:r>
      <w:r w:rsidRPr="00981557">
        <w:rPr>
          <w:rFonts w:cs="Calibri"/>
          <w:sz w:val="24"/>
        </w:rPr>
        <w:t xml:space="preserve"> K</w:t>
      </w:r>
      <w:r w:rsidR="00752710">
        <w:rPr>
          <w:rFonts w:cs="Calibri"/>
          <w:sz w:val="24"/>
        </w:rPr>
        <w:t>.</w:t>
      </w:r>
      <w:r w:rsidRPr="00981557">
        <w:rPr>
          <w:rFonts w:cs="Calibri"/>
          <w:sz w:val="24"/>
        </w:rPr>
        <w:t xml:space="preserve">, </w:t>
      </w:r>
      <w:proofErr w:type="spellStart"/>
      <w:r w:rsidRPr="00981557">
        <w:rPr>
          <w:rFonts w:cs="Calibri"/>
          <w:sz w:val="24"/>
        </w:rPr>
        <w:t>Rakshasbhuvankar</w:t>
      </w:r>
      <w:proofErr w:type="spellEnd"/>
      <w:r w:rsidR="00752710">
        <w:rPr>
          <w:rFonts w:cs="Calibri"/>
          <w:sz w:val="24"/>
        </w:rPr>
        <w:t>,</w:t>
      </w:r>
      <w:r w:rsidRPr="00981557">
        <w:rPr>
          <w:rFonts w:cs="Calibri"/>
          <w:sz w:val="24"/>
        </w:rPr>
        <w:t xml:space="preserve"> A</w:t>
      </w:r>
      <w:r w:rsidR="00752710">
        <w:rPr>
          <w:rFonts w:cs="Calibri"/>
          <w:sz w:val="24"/>
        </w:rPr>
        <w:t>.</w:t>
      </w:r>
      <w:r w:rsidRPr="00981557">
        <w:rPr>
          <w:rFonts w:cs="Calibri"/>
          <w:sz w:val="24"/>
        </w:rPr>
        <w:t>, Deshpande</w:t>
      </w:r>
      <w:r w:rsidR="00752710">
        <w:rPr>
          <w:rFonts w:cs="Calibri"/>
          <w:sz w:val="24"/>
        </w:rPr>
        <w:t>,</w:t>
      </w:r>
      <w:r w:rsidRPr="00981557">
        <w:rPr>
          <w:rFonts w:cs="Calibri"/>
          <w:sz w:val="24"/>
        </w:rPr>
        <w:t xml:space="preserve"> G. </w:t>
      </w:r>
      <w:proofErr w:type="spellStart"/>
      <w:r w:rsidRPr="00981557">
        <w:rPr>
          <w:rFonts w:cs="Calibri"/>
          <w:sz w:val="24"/>
        </w:rPr>
        <w:t>Standardised</w:t>
      </w:r>
      <w:proofErr w:type="spellEnd"/>
      <w:r w:rsidRPr="00981557">
        <w:rPr>
          <w:rFonts w:cs="Calibri"/>
          <w:sz w:val="24"/>
        </w:rPr>
        <w:t xml:space="preserve"> parenteral nutrition. </w:t>
      </w:r>
      <w:r w:rsidRPr="00981557">
        <w:rPr>
          <w:rFonts w:cs="Calibri"/>
          <w:i/>
          <w:sz w:val="24"/>
        </w:rPr>
        <w:t>Nutrients.</w:t>
      </w:r>
      <w:r w:rsidRPr="00981557">
        <w:rPr>
          <w:rFonts w:cs="Calibri"/>
          <w:sz w:val="24"/>
        </w:rPr>
        <w:t xml:space="preserve"> </w:t>
      </w:r>
      <w:r w:rsidRPr="00752710">
        <w:rPr>
          <w:rFonts w:cs="Calibri"/>
          <w:b/>
          <w:sz w:val="24"/>
        </w:rPr>
        <w:t>5</w:t>
      </w:r>
      <w:r w:rsidR="00752710">
        <w:rPr>
          <w:rFonts w:cs="Calibri"/>
          <w:sz w:val="24"/>
        </w:rPr>
        <w:t xml:space="preserve"> </w:t>
      </w:r>
      <w:r w:rsidRPr="00981557">
        <w:rPr>
          <w:rFonts w:cs="Calibri"/>
          <w:sz w:val="24"/>
        </w:rPr>
        <w:t>(4)</w:t>
      </w:r>
      <w:r w:rsidR="00752710">
        <w:rPr>
          <w:rFonts w:cs="Calibri"/>
          <w:sz w:val="24"/>
        </w:rPr>
        <w:t xml:space="preserve">, </w:t>
      </w:r>
      <w:r w:rsidRPr="00981557">
        <w:rPr>
          <w:rFonts w:cs="Calibri"/>
          <w:sz w:val="24"/>
        </w:rPr>
        <w:t>1058</w:t>
      </w:r>
      <w:r w:rsidR="0068010D" w:rsidRPr="00981557">
        <w:rPr>
          <w:rFonts w:cs="Calibri"/>
          <w:sz w:val="24"/>
        </w:rPr>
        <w:t>-</w:t>
      </w:r>
      <w:r w:rsidRPr="00981557">
        <w:rPr>
          <w:rFonts w:cs="Calibri"/>
          <w:sz w:val="24"/>
        </w:rPr>
        <w:t>70</w:t>
      </w:r>
      <w:r w:rsidR="00752710">
        <w:rPr>
          <w:rFonts w:cs="Calibri"/>
          <w:sz w:val="24"/>
        </w:rPr>
        <w:t xml:space="preserve"> (2013).</w:t>
      </w:r>
    </w:p>
    <w:p w14:paraId="28A9B88A" w14:textId="1038E83C" w:rsidR="00355E68" w:rsidRPr="00981557" w:rsidRDefault="0005472B" w:rsidP="00342AEA">
      <w:pPr>
        <w:numPr>
          <w:ilvl w:val="0"/>
          <w:numId w:val="9"/>
        </w:numPr>
        <w:ind w:left="0" w:firstLine="0"/>
        <w:contextualSpacing/>
        <w:jc w:val="left"/>
        <w:rPr>
          <w:rFonts w:cs="Calibri"/>
          <w:i/>
          <w:sz w:val="24"/>
        </w:rPr>
      </w:pPr>
      <w:r w:rsidRPr="00981557">
        <w:rPr>
          <w:rFonts w:cs="Calibri"/>
          <w:sz w:val="24"/>
        </w:rPr>
        <w:t>Vanek</w:t>
      </w:r>
      <w:r w:rsidR="00752710">
        <w:rPr>
          <w:rFonts w:cs="Calibri"/>
          <w:sz w:val="24"/>
        </w:rPr>
        <w:t>,</w:t>
      </w:r>
      <w:r w:rsidRPr="00981557">
        <w:rPr>
          <w:rFonts w:cs="Calibri"/>
          <w:sz w:val="24"/>
        </w:rPr>
        <w:t xml:space="preserve"> V</w:t>
      </w:r>
      <w:r w:rsidR="00752710">
        <w:rPr>
          <w:rFonts w:cs="Calibri"/>
          <w:sz w:val="24"/>
        </w:rPr>
        <w:t>.</w:t>
      </w:r>
      <w:r w:rsidRPr="00981557">
        <w:rPr>
          <w:rFonts w:cs="Calibri"/>
          <w:sz w:val="24"/>
        </w:rPr>
        <w:t>W</w:t>
      </w:r>
      <w:r w:rsidR="00752710" w:rsidRPr="00752710">
        <w:rPr>
          <w:rFonts w:cs="Calibri"/>
          <w:sz w:val="24"/>
        </w:rPr>
        <w:t xml:space="preserve">. et al. </w:t>
      </w:r>
      <w:r w:rsidR="00355E68" w:rsidRPr="00981557">
        <w:rPr>
          <w:rFonts w:cs="Calibri"/>
          <w:sz w:val="24"/>
        </w:rPr>
        <w:t xml:space="preserve">A.S.P.E.N. position paper: Clinical role for alternative intravenous fat emulsions. </w:t>
      </w:r>
      <w:r w:rsidRPr="00981557">
        <w:rPr>
          <w:rFonts w:cs="Calibri"/>
          <w:i/>
          <w:sz w:val="24"/>
        </w:rPr>
        <w:t>Nutrition in Clinical Practice</w:t>
      </w:r>
      <w:r w:rsidR="00355E68" w:rsidRPr="00981557">
        <w:rPr>
          <w:rFonts w:cs="Calibri"/>
          <w:sz w:val="24"/>
        </w:rPr>
        <w:t>.</w:t>
      </w:r>
      <w:r w:rsidR="00752710">
        <w:rPr>
          <w:rFonts w:cs="Calibri"/>
          <w:sz w:val="24"/>
        </w:rPr>
        <w:t xml:space="preserve"> </w:t>
      </w:r>
      <w:r w:rsidR="00355E68" w:rsidRPr="00752710">
        <w:rPr>
          <w:rFonts w:cs="Calibri"/>
          <w:b/>
          <w:sz w:val="24"/>
        </w:rPr>
        <w:t>27</w:t>
      </w:r>
      <w:r w:rsidR="00752710">
        <w:rPr>
          <w:rFonts w:cs="Calibri"/>
          <w:sz w:val="24"/>
        </w:rPr>
        <w:t xml:space="preserve"> </w:t>
      </w:r>
      <w:r w:rsidR="00355E68" w:rsidRPr="00981557">
        <w:rPr>
          <w:rFonts w:cs="Calibri"/>
          <w:sz w:val="24"/>
        </w:rPr>
        <w:t>(2)</w:t>
      </w:r>
      <w:r w:rsidR="00752710">
        <w:rPr>
          <w:rFonts w:cs="Calibri"/>
          <w:sz w:val="24"/>
        </w:rPr>
        <w:t xml:space="preserve">, </w:t>
      </w:r>
      <w:r w:rsidR="00355E68" w:rsidRPr="00981557">
        <w:rPr>
          <w:rFonts w:cs="Calibri"/>
          <w:sz w:val="24"/>
        </w:rPr>
        <w:t>150-</w:t>
      </w:r>
      <w:r w:rsidRPr="00981557">
        <w:rPr>
          <w:rFonts w:cs="Calibri"/>
          <w:sz w:val="24"/>
        </w:rPr>
        <w:t>1</w:t>
      </w:r>
      <w:r w:rsidR="00355E68" w:rsidRPr="00981557">
        <w:rPr>
          <w:rFonts w:cs="Calibri"/>
          <w:sz w:val="24"/>
        </w:rPr>
        <w:t>92</w:t>
      </w:r>
      <w:r w:rsidR="00752710">
        <w:rPr>
          <w:rFonts w:cs="Calibri"/>
          <w:sz w:val="24"/>
        </w:rPr>
        <w:t xml:space="preserve"> (2012).</w:t>
      </w:r>
    </w:p>
    <w:p w14:paraId="121941B4" w14:textId="1D3A2653" w:rsidR="00355E68" w:rsidRPr="00981557" w:rsidRDefault="001A6DF0" w:rsidP="00342AEA">
      <w:pPr>
        <w:numPr>
          <w:ilvl w:val="0"/>
          <w:numId w:val="9"/>
        </w:numPr>
        <w:ind w:left="0" w:firstLine="0"/>
        <w:contextualSpacing/>
        <w:jc w:val="left"/>
        <w:rPr>
          <w:rFonts w:cs="Calibri"/>
          <w:sz w:val="24"/>
        </w:rPr>
      </w:pPr>
      <w:r w:rsidRPr="00981557">
        <w:rPr>
          <w:rFonts w:cs="Calibri"/>
          <w:sz w:val="24"/>
        </w:rPr>
        <w:t>Singer</w:t>
      </w:r>
      <w:r w:rsidR="00752710">
        <w:rPr>
          <w:rFonts w:cs="Calibri"/>
          <w:sz w:val="24"/>
        </w:rPr>
        <w:t>,</w:t>
      </w:r>
      <w:r w:rsidRPr="00981557">
        <w:rPr>
          <w:rFonts w:cs="Calibri"/>
          <w:sz w:val="24"/>
        </w:rPr>
        <w:t xml:space="preserve"> P</w:t>
      </w:r>
      <w:r w:rsidR="00E511DA" w:rsidRPr="00981557">
        <w:rPr>
          <w:rFonts w:cs="Calibri"/>
          <w:sz w:val="24"/>
        </w:rPr>
        <w:t>.</w:t>
      </w:r>
      <w:r w:rsidR="00752710">
        <w:rPr>
          <w:rFonts w:cs="Calibri"/>
          <w:sz w:val="24"/>
        </w:rPr>
        <w:t xml:space="preserve"> </w:t>
      </w:r>
      <w:r w:rsidR="00355E68" w:rsidRPr="00752710">
        <w:rPr>
          <w:rFonts w:cs="Calibri"/>
          <w:sz w:val="24"/>
        </w:rPr>
        <w:t>et al.</w:t>
      </w:r>
      <w:r w:rsidR="00355E68" w:rsidRPr="00981557">
        <w:rPr>
          <w:rFonts w:cs="Calibri"/>
          <w:sz w:val="24"/>
        </w:rPr>
        <w:t xml:space="preserve"> ESPEN guidelines on parenteral nutrition: Intensive care. </w:t>
      </w:r>
      <w:r w:rsidR="00355E68" w:rsidRPr="00981557">
        <w:rPr>
          <w:rFonts w:cs="Calibri"/>
          <w:i/>
          <w:sz w:val="24"/>
        </w:rPr>
        <w:t>Clin</w:t>
      </w:r>
      <w:r w:rsidR="00E511DA" w:rsidRPr="00981557">
        <w:rPr>
          <w:rFonts w:cs="Calibri"/>
          <w:i/>
          <w:sz w:val="24"/>
        </w:rPr>
        <w:t>ical</w:t>
      </w:r>
      <w:r w:rsidR="00355E68" w:rsidRPr="00981557">
        <w:rPr>
          <w:rFonts w:cs="Calibri"/>
          <w:i/>
          <w:sz w:val="24"/>
        </w:rPr>
        <w:t xml:space="preserve"> Nutr</w:t>
      </w:r>
      <w:r w:rsidR="00E511DA" w:rsidRPr="00981557">
        <w:rPr>
          <w:rFonts w:cs="Calibri"/>
          <w:i/>
          <w:sz w:val="24"/>
        </w:rPr>
        <w:t>ition</w:t>
      </w:r>
      <w:r w:rsidR="00355E68" w:rsidRPr="00981557">
        <w:rPr>
          <w:rFonts w:cs="Calibri"/>
          <w:sz w:val="24"/>
        </w:rPr>
        <w:t xml:space="preserve">. </w:t>
      </w:r>
      <w:r w:rsidR="00355E68" w:rsidRPr="00752710">
        <w:rPr>
          <w:rFonts w:cs="Calibri"/>
          <w:b/>
          <w:sz w:val="24"/>
        </w:rPr>
        <w:t>28</w:t>
      </w:r>
      <w:r w:rsidR="00752710">
        <w:rPr>
          <w:rFonts w:cs="Calibri"/>
          <w:sz w:val="24"/>
        </w:rPr>
        <w:t xml:space="preserve"> </w:t>
      </w:r>
      <w:r w:rsidR="00355E68" w:rsidRPr="00981557">
        <w:rPr>
          <w:rFonts w:cs="Calibri"/>
          <w:sz w:val="24"/>
        </w:rPr>
        <w:t>(4)</w:t>
      </w:r>
      <w:r w:rsidR="00752710">
        <w:rPr>
          <w:rFonts w:cs="Calibri"/>
          <w:sz w:val="24"/>
        </w:rPr>
        <w:t xml:space="preserve">, </w:t>
      </w:r>
      <w:r w:rsidR="00355E68" w:rsidRPr="00981557">
        <w:rPr>
          <w:rFonts w:cs="Calibri"/>
          <w:sz w:val="24"/>
        </w:rPr>
        <w:t>387-400</w:t>
      </w:r>
      <w:r w:rsidR="00752710">
        <w:rPr>
          <w:rFonts w:cs="Calibri"/>
          <w:sz w:val="24"/>
        </w:rPr>
        <w:t xml:space="preserve"> (2009).</w:t>
      </w:r>
    </w:p>
    <w:p w14:paraId="6DFA5960" w14:textId="22EA7AE7" w:rsidR="00355E68" w:rsidRPr="00981557" w:rsidRDefault="00497892" w:rsidP="00342AEA">
      <w:pPr>
        <w:numPr>
          <w:ilvl w:val="0"/>
          <w:numId w:val="9"/>
        </w:numPr>
        <w:ind w:left="0" w:firstLine="0"/>
        <w:contextualSpacing/>
        <w:jc w:val="left"/>
        <w:rPr>
          <w:rFonts w:cs="Calibri"/>
          <w:sz w:val="24"/>
        </w:rPr>
      </w:pPr>
      <w:r w:rsidRPr="00981557">
        <w:rPr>
          <w:rFonts w:cs="Calibri"/>
          <w:sz w:val="24"/>
        </w:rPr>
        <w:t>Calder</w:t>
      </w:r>
      <w:r w:rsidR="00752710">
        <w:rPr>
          <w:rFonts w:cs="Calibri"/>
          <w:sz w:val="24"/>
        </w:rPr>
        <w:t>,</w:t>
      </w:r>
      <w:r w:rsidRPr="00981557">
        <w:rPr>
          <w:rFonts w:cs="Calibri"/>
          <w:sz w:val="24"/>
        </w:rPr>
        <w:t xml:space="preserve"> P</w:t>
      </w:r>
      <w:r w:rsidR="00752710">
        <w:rPr>
          <w:rFonts w:cs="Calibri"/>
          <w:sz w:val="24"/>
        </w:rPr>
        <w:t>.</w:t>
      </w:r>
      <w:r w:rsidRPr="00981557">
        <w:rPr>
          <w:rFonts w:cs="Calibri"/>
          <w:sz w:val="24"/>
        </w:rPr>
        <w:t>C</w:t>
      </w:r>
      <w:r w:rsidR="00752710">
        <w:rPr>
          <w:rFonts w:cs="Calibri"/>
          <w:sz w:val="24"/>
        </w:rPr>
        <w:t>.</w:t>
      </w:r>
      <w:r w:rsidRPr="00981557">
        <w:rPr>
          <w:rFonts w:cs="Calibri"/>
          <w:sz w:val="24"/>
        </w:rPr>
        <w:t>, Jensen</w:t>
      </w:r>
      <w:r w:rsidR="00752710">
        <w:rPr>
          <w:rFonts w:cs="Calibri"/>
          <w:sz w:val="24"/>
        </w:rPr>
        <w:t>,</w:t>
      </w:r>
      <w:r w:rsidRPr="00981557">
        <w:rPr>
          <w:rFonts w:cs="Calibri"/>
          <w:sz w:val="24"/>
        </w:rPr>
        <w:t xml:space="preserve"> G</w:t>
      </w:r>
      <w:r w:rsidR="00752710">
        <w:rPr>
          <w:rFonts w:cs="Calibri"/>
          <w:sz w:val="24"/>
        </w:rPr>
        <w:t>.</w:t>
      </w:r>
      <w:r w:rsidRPr="00981557">
        <w:rPr>
          <w:rFonts w:cs="Calibri"/>
          <w:sz w:val="24"/>
        </w:rPr>
        <w:t>L</w:t>
      </w:r>
      <w:r w:rsidR="00752710">
        <w:rPr>
          <w:rFonts w:cs="Calibri"/>
          <w:sz w:val="24"/>
        </w:rPr>
        <w:t>.</w:t>
      </w:r>
      <w:r w:rsidRPr="00981557">
        <w:rPr>
          <w:rFonts w:cs="Calibri"/>
          <w:sz w:val="24"/>
        </w:rPr>
        <w:t xml:space="preserve">, </w:t>
      </w:r>
      <w:proofErr w:type="spellStart"/>
      <w:r w:rsidRPr="00981557">
        <w:rPr>
          <w:rFonts w:cs="Calibri"/>
          <w:sz w:val="24"/>
        </w:rPr>
        <w:t>Koletzko</w:t>
      </w:r>
      <w:proofErr w:type="spellEnd"/>
      <w:r w:rsidR="00752710">
        <w:rPr>
          <w:rFonts w:cs="Calibri"/>
          <w:sz w:val="24"/>
        </w:rPr>
        <w:t>,</w:t>
      </w:r>
      <w:r w:rsidRPr="00981557">
        <w:rPr>
          <w:rFonts w:cs="Calibri"/>
          <w:sz w:val="24"/>
        </w:rPr>
        <w:t xml:space="preserve"> B</w:t>
      </w:r>
      <w:r w:rsidR="00752710">
        <w:rPr>
          <w:rFonts w:cs="Calibri"/>
          <w:sz w:val="24"/>
        </w:rPr>
        <w:t>.</w:t>
      </w:r>
      <w:r w:rsidRPr="00981557">
        <w:rPr>
          <w:rFonts w:cs="Calibri"/>
          <w:sz w:val="24"/>
        </w:rPr>
        <w:t>V</w:t>
      </w:r>
      <w:r w:rsidR="00752710">
        <w:rPr>
          <w:rFonts w:cs="Calibri"/>
          <w:sz w:val="24"/>
        </w:rPr>
        <w:t>.</w:t>
      </w:r>
      <w:r w:rsidRPr="00981557">
        <w:rPr>
          <w:rFonts w:cs="Calibri"/>
          <w:sz w:val="24"/>
        </w:rPr>
        <w:t>, Singer</w:t>
      </w:r>
      <w:r w:rsidR="00752710">
        <w:rPr>
          <w:rFonts w:cs="Calibri"/>
          <w:sz w:val="24"/>
        </w:rPr>
        <w:t>,</w:t>
      </w:r>
      <w:r w:rsidRPr="00981557">
        <w:rPr>
          <w:rFonts w:cs="Calibri"/>
          <w:sz w:val="24"/>
        </w:rPr>
        <w:t xml:space="preserve"> P</w:t>
      </w:r>
      <w:r w:rsidR="00752710">
        <w:rPr>
          <w:rFonts w:cs="Calibri"/>
          <w:sz w:val="24"/>
        </w:rPr>
        <w:t>.</w:t>
      </w:r>
      <w:r w:rsidRPr="00981557">
        <w:rPr>
          <w:rFonts w:cs="Calibri"/>
          <w:sz w:val="24"/>
        </w:rPr>
        <w:t xml:space="preserve">, </w:t>
      </w:r>
      <w:proofErr w:type="spellStart"/>
      <w:r w:rsidRPr="00981557">
        <w:rPr>
          <w:rFonts w:cs="Calibri"/>
          <w:sz w:val="24"/>
        </w:rPr>
        <w:t>Wanten</w:t>
      </w:r>
      <w:proofErr w:type="spellEnd"/>
      <w:r w:rsidR="00752710">
        <w:rPr>
          <w:rFonts w:cs="Calibri"/>
          <w:sz w:val="24"/>
        </w:rPr>
        <w:t>,</w:t>
      </w:r>
      <w:r w:rsidRPr="00981557">
        <w:rPr>
          <w:rFonts w:cs="Calibri"/>
          <w:sz w:val="24"/>
        </w:rPr>
        <w:t xml:space="preserve"> G</w:t>
      </w:r>
      <w:r w:rsidR="00752710">
        <w:rPr>
          <w:rFonts w:cs="Calibri"/>
          <w:sz w:val="24"/>
        </w:rPr>
        <w:t>.</w:t>
      </w:r>
      <w:r w:rsidRPr="00981557">
        <w:rPr>
          <w:rFonts w:cs="Calibri"/>
          <w:sz w:val="24"/>
        </w:rPr>
        <w:t>J</w:t>
      </w:r>
      <w:r w:rsidR="00355E68" w:rsidRPr="00981557">
        <w:rPr>
          <w:rFonts w:cs="Calibri"/>
          <w:i/>
          <w:sz w:val="24"/>
        </w:rPr>
        <w:t>.</w:t>
      </w:r>
      <w:r w:rsidR="00355E68" w:rsidRPr="00981557">
        <w:rPr>
          <w:rFonts w:cs="Calibri"/>
          <w:sz w:val="24"/>
        </w:rPr>
        <w:t xml:space="preserve"> Lipid emulsions in parenteral nutrition of intensive care patients: Current thinking and future directions. </w:t>
      </w:r>
      <w:r w:rsidR="00355E68" w:rsidRPr="00981557">
        <w:rPr>
          <w:rFonts w:cs="Calibri"/>
          <w:i/>
          <w:sz w:val="24"/>
        </w:rPr>
        <w:t>Intensive Care Med</w:t>
      </w:r>
      <w:r w:rsidR="00AB29DB" w:rsidRPr="00981557">
        <w:rPr>
          <w:rFonts w:cs="Calibri"/>
          <w:i/>
          <w:sz w:val="24"/>
        </w:rPr>
        <w:t>icine</w:t>
      </w:r>
      <w:r w:rsidR="00355E68" w:rsidRPr="00981557">
        <w:rPr>
          <w:rFonts w:cs="Calibri"/>
          <w:i/>
          <w:sz w:val="24"/>
        </w:rPr>
        <w:t>.</w:t>
      </w:r>
      <w:r w:rsidR="00355E68" w:rsidRPr="00981557">
        <w:rPr>
          <w:rFonts w:cs="Calibri"/>
          <w:sz w:val="24"/>
        </w:rPr>
        <w:t xml:space="preserve"> </w:t>
      </w:r>
      <w:r w:rsidR="00355E68" w:rsidRPr="00752710">
        <w:rPr>
          <w:rFonts w:cs="Calibri"/>
          <w:b/>
          <w:sz w:val="24"/>
        </w:rPr>
        <w:t>36</w:t>
      </w:r>
      <w:r w:rsidR="00752710">
        <w:rPr>
          <w:rFonts w:cs="Calibri"/>
          <w:sz w:val="24"/>
        </w:rPr>
        <w:t xml:space="preserve"> </w:t>
      </w:r>
      <w:r w:rsidR="00355E68" w:rsidRPr="00981557">
        <w:rPr>
          <w:rFonts w:cs="Calibri"/>
          <w:sz w:val="24"/>
        </w:rPr>
        <w:t>(5)</w:t>
      </w:r>
      <w:r w:rsidR="00752710">
        <w:rPr>
          <w:rFonts w:cs="Calibri"/>
          <w:sz w:val="24"/>
        </w:rPr>
        <w:t xml:space="preserve">, </w:t>
      </w:r>
      <w:r w:rsidR="00355E68" w:rsidRPr="00981557">
        <w:rPr>
          <w:rFonts w:cs="Calibri"/>
          <w:sz w:val="24"/>
        </w:rPr>
        <w:t>735-</w:t>
      </w:r>
      <w:r w:rsidR="00286265" w:rsidRPr="00981557">
        <w:rPr>
          <w:rFonts w:cs="Calibri"/>
          <w:sz w:val="24"/>
        </w:rPr>
        <w:t>7</w:t>
      </w:r>
      <w:r w:rsidR="00355E68" w:rsidRPr="00981557">
        <w:rPr>
          <w:rFonts w:cs="Calibri"/>
          <w:sz w:val="24"/>
        </w:rPr>
        <w:t>49</w:t>
      </w:r>
      <w:r w:rsidR="00752710">
        <w:rPr>
          <w:rFonts w:cs="Calibri"/>
          <w:sz w:val="24"/>
        </w:rPr>
        <w:t xml:space="preserve"> (2010).</w:t>
      </w:r>
    </w:p>
    <w:p w14:paraId="3843A08D" w14:textId="084E3AFA" w:rsidR="00355E68" w:rsidRPr="00981557" w:rsidRDefault="00355E68" w:rsidP="00342AEA">
      <w:pPr>
        <w:numPr>
          <w:ilvl w:val="0"/>
          <w:numId w:val="9"/>
        </w:numPr>
        <w:ind w:left="0" w:firstLine="0"/>
        <w:contextualSpacing/>
        <w:jc w:val="left"/>
        <w:rPr>
          <w:rFonts w:cs="Calibri"/>
          <w:sz w:val="24"/>
        </w:rPr>
      </w:pPr>
      <w:proofErr w:type="spellStart"/>
      <w:r w:rsidRPr="00981557">
        <w:rPr>
          <w:rFonts w:cs="Calibri"/>
          <w:sz w:val="24"/>
        </w:rPr>
        <w:t>Umpierrez</w:t>
      </w:r>
      <w:proofErr w:type="spellEnd"/>
      <w:r w:rsidR="00752710">
        <w:rPr>
          <w:rFonts w:cs="Calibri"/>
          <w:sz w:val="24"/>
        </w:rPr>
        <w:t>,</w:t>
      </w:r>
      <w:r w:rsidRPr="00981557">
        <w:rPr>
          <w:rFonts w:cs="Calibri"/>
          <w:sz w:val="24"/>
        </w:rPr>
        <w:t xml:space="preserve"> G</w:t>
      </w:r>
      <w:r w:rsidR="00752710">
        <w:rPr>
          <w:rFonts w:cs="Calibri"/>
          <w:sz w:val="24"/>
        </w:rPr>
        <w:t>.</w:t>
      </w:r>
      <w:r w:rsidRPr="00981557">
        <w:rPr>
          <w:rFonts w:cs="Calibri"/>
          <w:sz w:val="24"/>
        </w:rPr>
        <w:t>E</w:t>
      </w:r>
      <w:r w:rsidR="00752710" w:rsidRPr="00752710">
        <w:rPr>
          <w:rFonts w:cs="Calibri"/>
          <w:sz w:val="24"/>
        </w:rPr>
        <w:t xml:space="preserve">. et al. </w:t>
      </w:r>
      <w:r w:rsidRPr="00981557">
        <w:rPr>
          <w:rFonts w:cs="Calibri"/>
          <w:sz w:val="24"/>
        </w:rPr>
        <w:t xml:space="preserve">A double-blind, randomized clinical trial comparing soybean oil-based versus olive oil-based lipid emulsions in adult medical-surgical intensive care unit patients </w:t>
      </w:r>
      <w:r w:rsidRPr="00981557">
        <w:rPr>
          <w:rFonts w:cs="Calibri"/>
          <w:sz w:val="24"/>
        </w:rPr>
        <w:lastRenderedPageBreak/>
        <w:t xml:space="preserve">requiring parenteral nutrition. </w:t>
      </w:r>
      <w:r w:rsidRPr="00981557">
        <w:rPr>
          <w:rFonts w:cs="Calibri"/>
          <w:i/>
          <w:sz w:val="24"/>
        </w:rPr>
        <w:t>Crit</w:t>
      </w:r>
      <w:r w:rsidR="00AB29DB" w:rsidRPr="00981557">
        <w:rPr>
          <w:rFonts w:cs="Calibri"/>
          <w:i/>
          <w:sz w:val="24"/>
        </w:rPr>
        <w:t>ical</w:t>
      </w:r>
      <w:r w:rsidRPr="00981557">
        <w:rPr>
          <w:rFonts w:cs="Calibri"/>
          <w:i/>
          <w:sz w:val="24"/>
        </w:rPr>
        <w:t xml:space="preserve"> Care Med</w:t>
      </w:r>
      <w:r w:rsidR="00AB29DB" w:rsidRPr="00981557">
        <w:rPr>
          <w:rFonts w:cs="Calibri"/>
          <w:i/>
          <w:sz w:val="24"/>
        </w:rPr>
        <w:t>icine</w:t>
      </w:r>
      <w:r w:rsidRPr="00981557">
        <w:rPr>
          <w:rFonts w:cs="Calibri"/>
          <w:sz w:val="24"/>
        </w:rPr>
        <w:t xml:space="preserve">. </w:t>
      </w:r>
      <w:r w:rsidRPr="00752710">
        <w:rPr>
          <w:rFonts w:cs="Calibri"/>
          <w:b/>
          <w:sz w:val="24"/>
        </w:rPr>
        <w:t>40</w:t>
      </w:r>
      <w:r w:rsidR="00752710">
        <w:rPr>
          <w:rFonts w:cs="Calibri"/>
          <w:sz w:val="24"/>
        </w:rPr>
        <w:t xml:space="preserve"> </w:t>
      </w:r>
      <w:r w:rsidRPr="00981557">
        <w:rPr>
          <w:rFonts w:cs="Calibri"/>
          <w:sz w:val="24"/>
        </w:rPr>
        <w:t>(6)</w:t>
      </w:r>
      <w:r w:rsidR="00752710">
        <w:rPr>
          <w:rFonts w:cs="Calibri"/>
          <w:sz w:val="24"/>
        </w:rPr>
        <w:t xml:space="preserve">, </w:t>
      </w:r>
      <w:r w:rsidRPr="00981557">
        <w:rPr>
          <w:rFonts w:cs="Calibri"/>
          <w:sz w:val="24"/>
        </w:rPr>
        <w:t>1792-</w:t>
      </w:r>
      <w:r w:rsidR="00953CEA" w:rsidRPr="00981557">
        <w:rPr>
          <w:rFonts w:cs="Calibri"/>
          <w:sz w:val="24"/>
        </w:rPr>
        <w:t>179</w:t>
      </w:r>
      <w:r w:rsidRPr="00981557">
        <w:rPr>
          <w:rFonts w:cs="Calibri"/>
          <w:sz w:val="24"/>
        </w:rPr>
        <w:t>8</w:t>
      </w:r>
      <w:r w:rsidR="00752710">
        <w:rPr>
          <w:rFonts w:cs="Calibri"/>
          <w:sz w:val="24"/>
        </w:rPr>
        <w:t xml:space="preserve"> (2012).</w:t>
      </w:r>
    </w:p>
    <w:p w14:paraId="157311A0" w14:textId="5D722678" w:rsidR="00355E68" w:rsidRPr="00981557" w:rsidRDefault="00355E68" w:rsidP="00342AEA">
      <w:pPr>
        <w:numPr>
          <w:ilvl w:val="0"/>
          <w:numId w:val="9"/>
        </w:numPr>
        <w:ind w:left="0" w:firstLine="0"/>
        <w:contextualSpacing/>
        <w:jc w:val="left"/>
        <w:rPr>
          <w:rFonts w:cs="Calibri"/>
          <w:sz w:val="24"/>
        </w:rPr>
      </w:pPr>
      <w:r w:rsidRPr="00981557">
        <w:rPr>
          <w:rFonts w:cs="Calibri"/>
          <w:sz w:val="24"/>
        </w:rPr>
        <w:t>Jia</w:t>
      </w:r>
      <w:r w:rsidR="00752710">
        <w:rPr>
          <w:rFonts w:cs="Calibri"/>
          <w:sz w:val="24"/>
        </w:rPr>
        <w:t>,</w:t>
      </w:r>
      <w:r w:rsidRPr="00981557">
        <w:rPr>
          <w:rFonts w:cs="Calibri"/>
          <w:sz w:val="24"/>
        </w:rPr>
        <w:t xml:space="preserve"> Z</w:t>
      </w:r>
      <w:r w:rsidR="00752710">
        <w:rPr>
          <w:rFonts w:cs="Calibri"/>
          <w:sz w:val="24"/>
        </w:rPr>
        <w:t>.</w:t>
      </w:r>
      <w:r w:rsidRPr="00981557">
        <w:rPr>
          <w:rFonts w:cs="Calibri"/>
          <w:sz w:val="24"/>
        </w:rPr>
        <w:t>Y</w:t>
      </w:r>
      <w:r w:rsidR="00752710" w:rsidRPr="00752710">
        <w:rPr>
          <w:rFonts w:cs="Calibri"/>
          <w:sz w:val="24"/>
        </w:rPr>
        <w:t xml:space="preserve">. et al. </w:t>
      </w:r>
      <w:r w:rsidRPr="00981557">
        <w:rPr>
          <w:rFonts w:cs="Calibri"/>
          <w:sz w:val="24"/>
        </w:rPr>
        <w:t xml:space="preserve">Safety and efficacy of an olive oil-based triple-chamber bag for parenteral nutrition: A prospective, randomized, multi-center clinical trial in China. </w:t>
      </w:r>
      <w:r w:rsidR="00775F07" w:rsidRPr="00981557">
        <w:rPr>
          <w:rFonts w:cs="Calibri"/>
          <w:i/>
          <w:sz w:val="24"/>
        </w:rPr>
        <w:t xml:space="preserve">Nutrition </w:t>
      </w:r>
      <w:r w:rsidR="00752710">
        <w:rPr>
          <w:rFonts w:cs="Calibri"/>
          <w:i/>
          <w:sz w:val="24"/>
        </w:rPr>
        <w:t>J</w:t>
      </w:r>
      <w:r w:rsidR="00775F07" w:rsidRPr="00981557">
        <w:rPr>
          <w:rFonts w:cs="Calibri"/>
          <w:i/>
          <w:sz w:val="24"/>
        </w:rPr>
        <w:t>ournal</w:t>
      </w:r>
      <w:r w:rsidRPr="00981557">
        <w:rPr>
          <w:rFonts w:cs="Calibri"/>
          <w:i/>
          <w:sz w:val="24"/>
        </w:rPr>
        <w:t>.</w:t>
      </w:r>
      <w:r w:rsidRPr="00981557">
        <w:rPr>
          <w:rFonts w:cs="Calibri"/>
          <w:sz w:val="24"/>
        </w:rPr>
        <w:t xml:space="preserve"> </w:t>
      </w:r>
      <w:r w:rsidRPr="00752710">
        <w:rPr>
          <w:rFonts w:cs="Calibri"/>
          <w:b/>
          <w:sz w:val="24"/>
        </w:rPr>
        <w:t>14</w:t>
      </w:r>
      <w:r w:rsidR="00752710">
        <w:rPr>
          <w:rFonts w:cs="Calibri"/>
          <w:sz w:val="24"/>
        </w:rPr>
        <w:t xml:space="preserve">, </w:t>
      </w:r>
      <w:r w:rsidRPr="00981557">
        <w:rPr>
          <w:rFonts w:cs="Calibri"/>
          <w:sz w:val="24"/>
        </w:rPr>
        <w:t>119</w:t>
      </w:r>
      <w:r w:rsidR="00752710">
        <w:rPr>
          <w:rFonts w:cs="Calibri"/>
          <w:sz w:val="24"/>
        </w:rPr>
        <w:t xml:space="preserve"> (2015).</w:t>
      </w:r>
    </w:p>
    <w:p w14:paraId="7A77D6C7" w14:textId="32840CD5" w:rsidR="00355E68" w:rsidRPr="00981557" w:rsidRDefault="00355E68" w:rsidP="00342AEA">
      <w:pPr>
        <w:numPr>
          <w:ilvl w:val="0"/>
          <w:numId w:val="9"/>
        </w:numPr>
        <w:ind w:left="0" w:firstLine="0"/>
        <w:contextualSpacing/>
        <w:jc w:val="left"/>
        <w:rPr>
          <w:rFonts w:cs="Calibri"/>
          <w:sz w:val="24"/>
        </w:rPr>
      </w:pPr>
      <w:proofErr w:type="spellStart"/>
      <w:r w:rsidRPr="00981557">
        <w:rPr>
          <w:rFonts w:cs="Calibri"/>
          <w:sz w:val="24"/>
        </w:rPr>
        <w:t>Tetzlaff</w:t>
      </w:r>
      <w:proofErr w:type="spellEnd"/>
      <w:r w:rsidR="00752710">
        <w:rPr>
          <w:rFonts w:cs="Calibri"/>
          <w:sz w:val="24"/>
        </w:rPr>
        <w:t>,</w:t>
      </w:r>
      <w:r w:rsidRPr="00981557">
        <w:rPr>
          <w:rFonts w:cs="Calibri"/>
          <w:sz w:val="24"/>
        </w:rPr>
        <w:t xml:space="preserve"> J</w:t>
      </w:r>
      <w:r w:rsidR="00752710">
        <w:rPr>
          <w:rFonts w:cs="Calibri"/>
          <w:sz w:val="24"/>
        </w:rPr>
        <w:t>.</w:t>
      </w:r>
      <w:r w:rsidRPr="00981557">
        <w:rPr>
          <w:rFonts w:cs="Calibri"/>
          <w:sz w:val="24"/>
        </w:rPr>
        <w:t>M</w:t>
      </w:r>
      <w:r w:rsidR="00752710">
        <w:rPr>
          <w:rFonts w:cs="Calibri"/>
          <w:sz w:val="24"/>
        </w:rPr>
        <w:t>.</w:t>
      </w:r>
      <w:r w:rsidRPr="00981557">
        <w:rPr>
          <w:rFonts w:cs="Calibri"/>
          <w:sz w:val="24"/>
        </w:rPr>
        <w:t>, Moher</w:t>
      </w:r>
      <w:r w:rsidR="00752710">
        <w:rPr>
          <w:rFonts w:cs="Calibri"/>
          <w:sz w:val="24"/>
        </w:rPr>
        <w:t>,</w:t>
      </w:r>
      <w:r w:rsidRPr="00981557">
        <w:rPr>
          <w:rFonts w:cs="Calibri"/>
          <w:sz w:val="24"/>
        </w:rPr>
        <w:t xml:space="preserve"> D</w:t>
      </w:r>
      <w:r w:rsidR="00752710">
        <w:rPr>
          <w:rFonts w:cs="Calibri"/>
          <w:sz w:val="24"/>
        </w:rPr>
        <w:t>.</w:t>
      </w:r>
      <w:r w:rsidRPr="00981557">
        <w:rPr>
          <w:rFonts w:cs="Calibri"/>
          <w:sz w:val="24"/>
        </w:rPr>
        <w:t>, Chan</w:t>
      </w:r>
      <w:r w:rsidR="00752710">
        <w:rPr>
          <w:rFonts w:cs="Calibri"/>
          <w:sz w:val="24"/>
        </w:rPr>
        <w:t>,</w:t>
      </w:r>
      <w:r w:rsidRPr="00981557">
        <w:rPr>
          <w:rFonts w:cs="Calibri"/>
          <w:sz w:val="24"/>
        </w:rPr>
        <w:t xml:space="preserve"> A</w:t>
      </w:r>
      <w:r w:rsidR="00752710">
        <w:rPr>
          <w:rFonts w:cs="Calibri"/>
          <w:sz w:val="24"/>
        </w:rPr>
        <w:t>.</w:t>
      </w:r>
      <w:r w:rsidRPr="00981557">
        <w:rPr>
          <w:rFonts w:cs="Calibri"/>
          <w:sz w:val="24"/>
        </w:rPr>
        <w:t xml:space="preserve">W. Developing a guideline for clinical trial protocol content: Delphi consensus survey. </w:t>
      </w:r>
      <w:r w:rsidRPr="00981557">
        <w:rPr>
          <w:rFonts w:cs="Calibri"/>
          <w:i/>
          <w:sz w:val="24"/>
        </w:rPr>
        <w:t>Trials.</w:t>
      </w:r>
      <w:r w:rsidRPr="00981557">
        <w:rPr>
          <w:rFonts w:cs="Calibri"/>
          <w:sz w:val="24"/>
        </w:rPr>
        <w:t xml:space="preserve"> </w:t>
      </w:r>
      <w:r w:rsidRPr="00752710">
        <w:rPr>
          <w:rFonts w:cs="Calibri"/>
          <w:b/>
          <w:sz w:val="24"/>
        </w:rPr>
        <w:t>24</w:t>
      </w:r>
      <w:r w:rsidR="00752710">
        <w:rPr>
          <w:rFonts w:cs="Calibri"/>
          <w:sz w:val="24"/>
        </w:rPr>
        <w:t xml:space="preserve"> </w:t>
      </w:r>
      <w:r w:rsidRPr="00981557">
        <w:rPr>
          <w:rFonts w:cs="Calibri"/>
          <w:sz w:val="24"/>
        </w:rPr>
        <w:t>(13)</w:t>
      </w:r>
      <w:r w:rsidR="00752710">
        <w:rPr>
          <w:rFonts w:cs="Calibri"/>
          <w:sz w:val="24"/>
        </w:rPr>
        <w:t xml:space="preserve">, </w:t>
      </w:r>
      <w:r w:rsidRPr="00981557">
        <w:rPr>
          <w:rFonts w:cs="Calibri"/>
          <w:sz w:val="24"/>
        </w:rPr>
        <w:t>176</w:t>
      </w:r>
      <w:r w:rsidR="00752710">
        <w:rPr>
          <w:rFonts w:cs="Calibri"/>
          <w:sz w:val="24"/>
        </w:rPr>
        <w:t xml:space="preserve"> (2012).</w:t>
      </w:r>
    </w:p>
    <w:p w14:paraId="62777E36" w14:textId="62924AFF" w:rsidR="00355E68" w:rsidRPr="00981557" w:rsidRDefault="00355E68" w:rsidP="00342AEA">
      <w:pPr>
        <w:numPr>
          <w:ilvl w:val="0"/>
          <w:numId w:val="9"/>
        </w:numPr>
        <w:ind w:left="0" w:firstLine="0"/>
        <w:contextualSpacing/>
        <w:jc w:val="left"/>
        <w:rPr>
          <w:rFonts w:cs="Calibri"/>
          <w:sz w:val="24"/>
        </w:rPr>
      </w:pPr>
      <w:r w:rsidRPr="00981557">
        <w:rPr>
          <w:rFonts w:cs="Calibri"/>
          <w:sz w:val="24"/>
        </w:rPr>
        <w:t>Glasser</w:t>
      </w:r>
      <w:r w:rsidR="00752710">
        <w:rPr>
          <w:rFonts w:cs="Calibri"/>
          <w:sz w:val="24"/>
        </w:rPr>
        <w:t>,</w:t>
      </w:r>
      <w:r w:rsidRPr="00981557">
        <w:rPr>
          <w:rFonts w:cs="Calibri"/>
          <w:sz w:val="24"/>
        </w:rPr>
        <w:t xml:space="preserve"> S</w:t>
      </w:r>
      <w:r w:rsidR="00752710">
        <w:rPr>
          <w:rFonts w:cs="Calibri"/>
          <w:sz w:val="24"/>
        </w:rPr>
        <w:t>.</w:t>
      </w:r>
      <w:r w:rsidRPr="00981557">
        <w:rPr>
          <w:rFonts w:cs="Calibri"/>
          <w:sz w:val="24"/>
        </w:rPr>
        <w:t>P</w:t>
      </w:r>
      <w:r w:rsidR="00752710">
        <w:rPr>
          <w:rFonts w:cs="Calibri"/>
          <w:sz w:val="24"/>
        </w:rPr>
        <w:t>.</w:t>
      </w:r>
      <w:r w:rsidRPr="00981557">
        <w:rPr>
          <w:rFonts w:cs="Calibri"/>
          <w:sz w:val="24"/>
        </w:rPr>
        <w:t>, Howard</w:t>
      </w:r>
      <w:r w:rsidR="00752710">
        <w:rPr>
          <w:rFonts w:cs="Calibri"/>
          <w:sz w:val="24"/>
        </w:rPr>
        <w:t>,</w:t>
      </w:r>
      <w:r w:rsidRPr="00981557">
        <w:rPr>
          <w:rFonts w:cs="Calibri"/>
          <w:sz w:val="24"/>
        </w:rPr>
        <w:t xml:space="preserve"> G. Clinical trial design issues: At least 10 things you should look for in clinical trials. </w:t>
      </w:r>
      <w:r w:rsidR="00335A6A" w:rsidRPr="00981557">
        <w:rPr>
          <w:rFonts w:cs="Calibri"/>
          <w:i/>
          <w:sz w:val="24"/>
        </w:rPr>
        <w:t>Journal of Clinical Pharmacology</w:t>
      </w:r>
      <w:r w:rsidRPr="00981557">
        <w:rPr>
          <w:rFonts w:cs="Calibri"/>
          <w:sz w:val="24"/>
        </w:rPr>
        <w:t xml:space="preserve">. </w:t>
      </w:r>
      <w:r w:rsidRPr="00752710">
        <w:rPr>
          <w:rFonts w:cs="Calibri"/>
          <w:b/>
          <w:sz w:val="24"/>
        </w:rPr>
        <w:t>46</w:t>
      </w:r>
      <w:r w:rsidR="00752710">
        <w:rPr>
          <w:rFonts w:cs="Calibri"/>
          <w:sz w:val="24"/>
        </w:rPr>
        <w:t xml:space="preserve"> </w:t>
      </w:r>
      <w:r w:rsidRPr="00981557">
        <w:rPr>
          <w:rFonts w:cs="Calibri"/>
          <w:sz w:val="24"/>
        </w:rPr>
        <w:t>(10)</w:t>
      </w:r>
      <w:r w:rsidR="00752710">
        <w:rPr>
          <w:rFonts w:cs="Calibri"/>
          <w:sz w:val="24"/>
        </w:rPr>
        <w:t xml:space="preserve">, </w:t>
      </w:r>
      <w:r w:rsidRPr="00981557">
        <w:rPr>
          <w:rFonts w:cs="Calibri"/>
          <w:sz w:val="24"/>
        </w:rPr>
        <w:t>1106-1</w:t>
      </w:r>
      <w:r w:rsidR="000E18CF" w:rsidRPr="00981557">
        <w:rPr>
          <w:rFonts w:cs="Calibri"/>
          <w:sz w:val="24"/>
        </w:rPr>
        <w:t>11</w:t>
      </w:r>
      <w:r w:rsidRPr="00981557">
        <w:rPr>
          <w:rFonts w:cs="Calibri"/>
          <w:sz w:val="24"/>
        </w:rPr>
        <w:t>5</w:t>
      </w:r>
      <w:r w:rsidR="00752710">
        <w:rPr>
          <w:rFonts w:cs="Calibri"/>
          <w:sz w:val="24"/>
        </w:rPr>
        <w:t xml:space="preserve"> (2006).</w:t>
      </w:r>
    </w:p>
    <w:p w14:paraId="1D31C971" w14:textId="451726B0" w:rsidR="00355E68" w:rsidRPr="00981557" w:rsidRDefault="00355E68" w:rsidP="00342AEA">
      <w:pPr>
        <w:numPr>
          <w:ilvl w:val="0"/>
          <w:numId w:val="9"/>
        </w:numPr>
        <w:ind w:left="0" w:firstLine="0"/>
        <w:contextualSpacing/>
        <w:jc w:val="left"/>
        <w:rPr>
          <w:rFonts w:cs="Calibri"/>
          <w:sz w:val="24"/>
        </w:rPr>
      </w:pPr>
      <w:proofErr w:type="spellStart"/>
      <w:r w:rsidRPr="00981557">
        <w:rPr>
          <w:rFonts w:cs="Calibri"/>
          <w:sz w:val="24"/>
        </w:rPr>
        <w:t>Ruikar</w:t>
      </w:r>
      <w:proofErr w:type="spellEnd"/>
      <w:r w:rsidR="00752710">
        <w:rPr>
          <w:rFonts w:cs="Calibri"/>
          <w:sz w:val="24"/>
        </w:rPr>
        <w:t>,</w:t>
      </w:r>
      <w:r w:rsidRPr="00981557">
        <w:rPr>
          <w:rFonts w:cs="Calibri"/>
          <w:sz w:val="24"/>
        </w:rPr>
        <w:t xml:space="preserve"> V. Interactive voice/Web response system in clinical research. </w:t>
      </w:r>
      <w:r w:rsidR="00C85794" w:rsidRPr="00981557">
        <w:rPr>
          <w:rFonts w:cs="Calibri"/>
          <w:i/>
          <w:sz w:val="24"/>
        </w:rPr>
        <w:t xml:space="preserve">Perspectives in </w:t>
      </w:r>
      <w:r w:rsidR="00752710" w:rsidRPr="00981557">
        <w:rPr>
          <w:rFonts w:cs="Calibri"/>
          <w:i/>
          <w:sz w:val="24"/>
        </w:rPr>
        <w:t>Clinical Research</w:t>
      </w:r>
      <w:r w:rsidRPr="00981557">
        <w:rPr>
          <w:rFonts w:cs="Calibri"/>
          <w:i/>
          <w:sz w:val="24"/>
        </w:rPr>
        <w:t>.</w:t>
      </w:r>
      <w:r w:rsidRPr="00981557">
        <w:rPr>
          <w:rFonts w:cs="Calibri"/>
          <w:sz w:val="24"/>
        </w:rPr>
        <w:t xml:space="preserve"> </w:t>
      </w:r>
      <w:r w:rsidRPr="00752710">
        <w:rPr>
          <w:rFonts w:cs="Calibri"/>
          <w:b/>
          <w:sz w:val="24"/>
        </w:rPr>
        <w:t>7</w:t>
      </w:r>
      <w:r w:rsidR="00752710">
        <w:rPr>
          <w:rFonts w:cs="Calibri"/>
          <w:sz w:val="24"/>
        </w:rPr>
        <w:t xml:space="preserve"> </w:t>
      </w:r>
      <w:r w:rsidRPr="00981557">
        <w:rPr>
          <w:rFonts w:cs="Calibri"/>
          <w:sz w:val="24"/>
        </w:rPr>
        <w:t>(1)</w:t>
      </w:r>
      <w:r w:rsidR="00752710">
        <w:rPr>
          <w:rFonts w:cs="Calibri"/>
          <w:sz w:val="24"/>
        </w:rPr>
        <w:t xml:space="preserve">, </w:t>
      </w:r>
      <w:r w:rsidRPr="00981557">
        <w:rPr>
          <w:rFonts w:cs="Calibri"/>
          <w:sz w:val="24"/>
        </w:rPr>
        <w:t>15-20</w:t>
      </w:r>
      <w:r w:rsidR="00752710">
        <w:rPr>
          <w:rFonts w:cs="Calibri"/>
          <w:sz w:val="24"/>
        </w:rPr>
        <w:t xml:space="preserve"> (2016).</w:t>
      </w:r>
    </w:p>
    <w:p w14:paraId="1A09B624" w14:textId="5D2FE26C" w:rsidR="00355E68" w:rsidRPr="00981557" w:rsidRDefault="001C01F3" w:rsidP="00342AEA">
      <w:pPr>
        <w:numPr>
          <w:ilvl w:val="0"/>
          <w:numId w:val="9"/>
        </w:numPr>
        <w:ind w:left="0" w:firstLine="0"/>
        <w:contextualSpacing/>
        <w:jc w:val="left"/>
        <w:rPr>
          <w:rFonts w:cs="Calibri"/>
          <w:sz w:val="24"/>
        </w:rPr>
      </w:pPr>
      <w:r w:rsidRPr="00981557">
        <w:rPr>
          <w:rFonts w:cs="Calibri"/>
          <w:sz w:val="24"/>
        </w:rPr>
        <w:t>Kulkarni</w:t>
      </w:r>
      <w:r w:rsidR="00752710">
        <w:rPr>
          <w:rFonts w:cs="Calibri"/>
          <w:sz w:val="24"/>
        </w:rPr>
        <w:t>,</w:t>
      </w:r>
      <w:r w:rsidRPr="00981557">
        <w:rPr>
          <w:rFonts w:cs="Calibri"/>
          <w:sz w:val="24"/>
        </w:rPr>
        <w:t xml:space="preserve"> P</w:t>
      </w:r>
      <w:r w:rsidR="00752710">
        <w:rPr>
          <w:rFonts w:cs="Calibri"/>
          <w:sz w:val="24"/>
        </w:rPr>
        <w:t>.</w:t>
      </w:r>
      <w:r w:rsidRPr="00981557">
        <w:rPr>
          <w:rFonts w:cs="Calibri"/>
          <w:sz w:val="24"/>
        </w:rPr>
        <w:t>M</w:t>
      </w:r>
      <w:r w:rsidR="00752710">
        <w:rPr>
          <w:rFonts w:cs="Calibri"/>
          <w:sz w:val="24"/>
        </w:rPr>
        <w:t>.</w:t>
      </w:r>
      <w:r w:rsidRPr="00981557">
        <w:rPr>
          <w:rFonts w:cs="Calibri"/>
          <w:sz w:val="24"/>
        </w:rPr>
        <w:t>, Meadows</w:t>
      </w:r>
      <w:r w:rsidR="00752710">
        <w:rPr>
          <w:rFonts w:cs="Calibri"/>
          <w:sz w:val="24"/>
        </w:rPr>
        <w:t>,</w:t>
      </w:r>
      <w:r w:rsidRPr="00981557">
        <w:rPr>
          <w:rFonts w:cs="Calibri"/>
          <w:sz w:val="24"/>
        </w:rPr>
        <w:t xml:space="preserve"> E</w:t>
      </w:r>
      <w:r w:rsidR="00752710">
        <w:rPr>
          <w:rFonts w:cs="Calibri"/>
          <w:sz w:val="24"/>
        </w:rPr>
        <w:t>.</w:t>
      </w:r>
      <w:r w:rsidRPr="00981557">
        <w:rPr>
          <w:rFonts w:cs="Calibri"/>
          <w:sz w:val="24"/>
        </w:rPr>
        <w:t>S</w:t>
      </w:r>
      <w:r w:rsidR="00752710">
        <w:rPr>
          <w:rFonts w:cs="Calibri"/>
          <w:sz w:val="24"/>
        </w:rPr>
        <w:t>.</w:t>
      </w:r>
      <w:r w:rsidRPr="00981557">
        <w:rPr>
          <w:rFonts w:cs="Calibri"/>
          <w:sz w:val="24"/>
        </w:rPr>
        <w:t>, Ahuja</w:t>
      </w:r>
      <w:r w:rsidR="00752710">
        <w:rPr>
          <w:rFonts w:cs="Calibri"/>
          <w:sz w:val="24"/>
        </w:rPr>
        <w:t>,</w:t>
      </w:r>
      <w:r w:rsidRPr="00981557">
        <w:rPr>
          <w:rFonts w:cs="Calibri"/>
          <w:sz w:val="24"/>
        </w:rPr>
        <w:t xml:space="preserve"> S</w:t>
      </w:r>
      <w:r w:rsidR="00752710">
        <w:rPr>
          <w:rFonts w:cs="Calibri"/>
          <w:sz w:val="24"/>
        </w:rPr>
        <w:t>.</w:t>
      </w:r>
      <w:r w:rsidRPr="00981557">
        <w:rPr>
          <w:rFonts w:cs="Calibri"/>
          <w:sz w:val="24"/>
        </w:rPr>
        <w:t xml:space="preserve">, </w:t>
      </w:r>
      <w:proofErr w:type="spellStart"/>
      <w:r w:rsidRPr="00981557">
        <w:rPr>
          <w:rFonts w:cs="Calibri"/>
          <w:sz w:val="24"/>
        </w:rPr>
        <w:t>Muram</w:t>
      </w:r>
      <w:proofErr w:type="spellEnd"/>
      <w:r w:rsidR="00752710">
        <w:rPr>
          <w:rFonts w:cs="Calibri"/>
          <w:sz w:val="24"/>
        </w:rPr>
        <w:t>,</w:t>
      </w:r>
      <w:r w:rsidRPr="00981557">
        <w:rPr>
          <w:rFonts w:cs="Calibri"/>
          <w:sz w:val="24"/>
        </w:rPr>
        <w:t xml:space="preserve"> D</w:t>
      </w:r>
      <w:r w:rsidR="00752710">
        <w:rPr>
          <w:rFonts w:cs="Calibri"/>
          <w:sz w:val="24"/>
        </w:rPr>
        <w:t>.</w:t>
      </w:r>
      <w:r w:rsidRPr="00981557">
        <w:rPr>
          <w:rFonts w:cs="Calibri"/>
          <w:sz w:val="24"/>
        </w:rPr>
        <w:t>, Plouffe</w:t>
      </w:r>
      <w:r w:rsidR="00752710">
        <w:rPr>
          <w:rFonts w:cs="Calibri"/>
          <w:sz w:val="24"/>
        </w:rPr>
        <w:t>,</w:t>
      </w:r>
      <w:r w:rsidRPr="00981557">
        <w:rPr>
          <w:rFonts w:cs="Calibri"/>
          <w:sz w:val="24"/>
        </w:rPr>
        <w:t xml:space="preserve"> L. </w:t>
      </w:r>
      <w:r w:rsidR="00355E68" w:rsidRPr="00981557">
        <w:rPr>
          <w:rFonts w:cs="Calibri"/>
          <w:sz w:val="24"/>
        </w:rPr>
        <w:t xml:space="preserve">Rationale for a non-inferiority clinical trial design focused on subpopulations. </w:t>
      </w:r>
      <w:r w:rsidRPr="00981557">
        <w:rPr>
          <w:rFonts w:cs="Calibri"/>
          <w:i/>
          <w:sz w:val="24"/>
        </w:rPr>
        <w:t xml:space="preserve">Current </w:t>
      </w:r>
      <w:r w:rsidR="00752710" w:rsidRPr="00981557">
        <w:rPr>
          <w:rFonts w:cs="Calibri"/>
          <w:i/>
          <w:sz w:val="24"/>
        </w:rPr>
        <w:t xml:space="preserve">Medical Research </w:t>
      </w:r>
      <w:r w:rsidR="00752710">
        <w:rPr>
          <w:rFonts w:cs="Calibri"/>
          <w:i/>
          <w:sz w:val="24"/>
        </w:rPr>
        <w:t>a</w:t>
      </w:r>
      <w:r w:rsidR="00752710" w:rsidRPr="00981557">
        <w:rPr>
          <w:rFonts w:cs="Calibri"/>
          <w:i/>
          <w:sz w:val="24"/>
        </w:rPr>
        <w:t>nd Opinion</w:t>
      </w:r>
      <w:r w:rsidR="00355E68" w:rsidRPr="00981557">
        <w:rPr>
          <w:rFonts w:cs="Calibri"/>
          <w:sz w:val="24"/>
        </w:rPr>
        <w:t xml:space="preserve">. </w:t>
      </w:r>
      <w:r w:rsidR="00355E68" w:rsidRPr="00752710">
        <w:rPr>
          <w:rFonts w:cs="Calibri"/>
          <w:b/>
          <w:sz w:val="24"/>
        </w:rPr>
        <w:t>20</w:t>
      </w:r>
      <w:r w:rsidR="00752710">
        <w:rPr>
          <w:rFonts w:cs="Calibri"/>
          <w:sz w:val="24"/>
        </w:rPr>
        <w:t xml:space="preserve"> </w:t>
      </w:r>
      <w:r w:rsidR="00355E68" w:rsidRPr="00981557">
        <w:rPr>
          <w:rFonts w:cs="Calibri"/>
          <w:sz w:val="24"/>
        </w:rPr>
        <w:t>(10)</w:t>
      </w:r>
      <w:r w:rsidR="00752710">
        <w:rPr>
          <w:rFonts w:cs="Calibri"/>
          <w:sz w:val="24"/>
        </w:rPr>
        <w:t xml:space="preserve">, </w:t>
      </w:r>
      <w:r w:rsidR="00355E68" w:rsidRPr="00981557">
        <w:rPr>
          <w:rFonts w:cs="Calibri"/>
          <w:sz w:val="24"/>
        </w:rPr>
        <w:t>1641-</w:t>
      </w:r>
      <w:r w:rsidR="00C64AA0" w:rsidRPr="00981557">
        <w:rPr>
          <w:rFonts w:cs="Calibri"/>
          <w:sz w:val="24"/>
        </w:rPr>
        <w:t>164</w:t>
      </w:r>
      <w:r w:rsidR="00355E68" w:rsidRPr="00981557">
        <w:rPr>
          <w:rFonts w:cs="Calibri"/>
          <w:sz w:val="24"/>
        </w:rPr>
        <w:t>7</w:t>
      </w:r>
      <w:r w:rsidR="00752710">
        <w:rPr>
          <w:rFonts w:cs="Calibri"/>
          <w:sz w:val="24"/>
        </w:rPr>
        <w:t xml:space="preserve"> (2004).</w:t>
      </w:r>
    </w:p>
    <w:p w14:paraId="019D3E80" w14:textId="3ABB69D0" w:rsidR="00355E68" w:rsidRPr="00981557" w:rsidRDefault="00355E68" w:rsidP="00342AEA">
      <w:pPr>
        <w:numPr>
          <w:ilvl w:val="0"/>
          <w:numId w:val="9"/>
        </w:numPr>
        <w:ind w:left="0" w:firstLine="0"/>
        <w:contextualSpacing/>
        <w:jc w:val="left"/>
        <w:rPr>
          <w:rFonts w:cs="Calibri"/>
          <w:sz w:val="24"/>
        </w:rPr>
      </w:pPr>
      <w:proofErr w:type="spellStart"/>
      <w:r w:rsidRPr="00981557">
        <w:rPr>
          <w:rFonts w:cs="Calibri"/>
          <w:sz w:val="24"/>
        </w:rPr>
        <w:t>Efird</w:t>
      </w:r>
      <w:proofErr w:type="spellEnd"/>
      <w:r w:rsidR="00752710">
        <w:rPr>
          <w:rFonts w:cs="Calibri"/>
          <w:sz w:val="24"/>
        </w:rPr>
        <w:t>,</w:t>
      </w:r>
      <w:r w:rsidRPr="00981557">
        <w:rPr>
          <w:rFonts w:cs="Calibri"/>
          <w:sz w:val="24"/>
        </w:rPr>
        <w:t xml:space="preserve"> J. Blocked randomization with randomly selected block sizes. </w:t>
      </w:r>
      <w:r w:rsidR="003E23CF" w:rsidRPr="00981557">
        <w:rPr>
          <w:rFonts w:cs="Calibri"/>
          <w:i/>
          <w:sz w:val="24"/>
        </w:rPr>
        <w:t>International Journal of Environmental Research and Public Health</w:t>
      </w:r>
      <w:r w:rsidRPr="00981557">
        <w:rPr>
          <w:rFonts w:cs="Calibri"/>
          <w:i/>
          <w:sz w:val="24"/>
        </w:rPr>
        <w:t>.</w:t>
      </w:r>
      <w:r w:rsidRPr="00981557">
        <w:rPr>
          <w:rFonts w:cs="Calibri"/>
          <w:sz w:val="24"/>
        </w:rPr>
        <w:t xml:space="preserve"> </w:t>
      </w:r>
      <w:r w:rsidRPr="00752710">
        <w:rPr>
          <w:rFonts w:cs="Calibri"/>
          <w:b/>
          <w:sz w:val="24"/>
        </w:rPr>
        <w:t>8</w:t>
      </w:r>
      <w:r w:rsidR="00752710">
        <w:rPr>
          <w:rFonts w:cs="Calibri"/>
          <w:sz w:val="24"/>
        </w:rPr>
        <w:t xml:space="preserve"> </w:t>
      </w:r>
      <w:r w:rsidRPr="00981557">
        <w:rPr>
          <w:rFonts w:cs="Calibri"/>
          <w:sz w:val="24"/>
        </w:rPr>
        <w:t>(1)</w:t>
      </w:r>
      <w:r w:rsidR="00752710">
        <w:rPr>
          <w:rFonts w:cs="Calibri"/>
          <w:sz w:val="24"/>
        </w:rPr>
        <w:t xml:space="preserve">, </w:t>
      </w:r>
      <w:r w:rsidRPr="00981557">
        <w:rPr>
          <w:rFonts w:cs="Calibri"/>
          <w:sz w:val="24"/>
        </w:rPr>
        <w:t>15-20</w:t>
      </w:r>
      <w:r w:rsidR="00752710">
        <w:rPr>
          <w:rFonts w:cs="Calibri"/>
          <w:sz w:val="24"/>
        </w:rPr>
        <w:t xml:space="preserve"> (2011).</w:t>
      </w:r>
    </w:p>
    <w:p w14:paraId="0873698E" w14:textId="307E6460" w:rsidR="00355E68" w:rsidRPr="00981557" w:rsidRDefault="00355E68" w:rsidP="00342AEA">
      <w:pPr>
        <w:numPr>
          <w:ilvl w:val="0"/>
          <w:numId w:val="9"/>
        </w:numPr>
        <w:ind w:left="0" w:firstLine="0"/>
        <w:contextualSpacing/>
        <w:jc w:val="left"/>
        <w:rPr>
          <w:rFonts w:cs="Calibri"/>
          <w:sz w:val="24"/>
        </w:rPr>
      </w:pPr>
      <w:r w:rsidRPr="00981557">
        <w:rPr>
          <w:rFonts w:cs="Calibri"/>
          <w:sz w:val="24"/>
        </w:rPr>
        <w:t>Teitelbaum</w:t>
      </w:r>
      <w:r w:rsidR="00752710">
        <w:rPr>
          <w:rFonts w:cs="Calibri"/>
          <w:sz w:val="24"/>
        </w:rPr>
        <w:t>,</w:t>
      </w:r>
      <w:r w:rsidRPr="00981557">
        <w:rPr>
          <w:rFonts w:cs="Calibri"/>
          <w:sz w:val="24"/>
        </w:rPr>
        <w:t xml:space="preserve"> D</w:t>
      </w:r>
      <w:r w:rsidR="00752710">
        <w:rPr>
          <w:rFonts w:cs="Calibri"/>
          <w:sz w:val="24"/>
        </w:rPr>
        <w:t>.</w:t>
      </w:r>
      <w:r w:rsidRPr="00981557">
        <w:rPr>
          <w:rFonts w:cs="Calibri"/>
          <w:sz w:val="24"/>
        </w:rPr>
        <w:t>H</w:t>
      </w:r>
      <w:r w:rsidR="00752710" w:rsidRPr="00752710">
        <w:rPr>
          <w:rFonts w:cs="Calibri"/>
          <w:sz w:val="24"/>
        </w:rPr>
        <w:t xml:space="preserve">. et al. </w:t>
      </w:r>
      <w:r w:rsidRPr="00981557">
        <w:rPr>
          <w:rFonts w:cs="Calibri"/>
          <w:sz w:val="24"/>
        </w:rPr>
        <w:t xml:space="preserve">Proceedings From FDA/A.S.P.E.N. Public Workshop: Clinical Trial Design for Intravenous Fat Emulsion Products, October 29, 2013. </w:t>
      </w:r>
      <w:r w:rsidR="001A7543" w:rsidRPr="00981557">
        <w:rPr>
          <w:rFonts w:cs="Calibri"/>
          <w:i/>
          <w:sz w:val="24"/>
        </w:rPr>
        <w:t xml:space="preserve">Journal of </w:t>
      </w:r>
      <w:r w:rsidR="00752710" w:rsidRPr="00981557">
        <w:rPr>
          <w:rFonts w:cs="Calibri"/>
          <w:i/>
          <w:sz w:val="24"/>
        </w:rPr>
        <w:t xml:space="preserve">Parenteral </w:t>
      </w:r>
      <w:r w:rsidR="00752710">
        <w:rPr>
          <w:rFonts w:cs="Calibri"/>
          <w:i/>
          <w:sz w:val="24"/>
        </w:rPr>
        <w:t>a</w:t>
      </w:r>
      <w:r w:rsidR="00752710" w:rsidRPr="00981557">
        <w:rPr>
          <w:rFonts w:cs="Calibri"/>
          <w:i/>
          <w:sz w:val="24"/>
        </w:rPr>
        <w:t>nd Enteral Nutrition</w:t>
      </w:r>
      <w:r w:rsidR="00752710">
        <w:rPr>
          <w:rFonts w:cs="Calibri"/>
          <w:sz w:val="24"/>
        </w:rPr>
        <w:t xml:space="preserve">. </w:t>
      </w:r>
      <w:r w:rsidRPr="00752710">
        <w:rPr>
          <w:rFonts w:cs="Calibri"/>
          <w:b/>
          <w:sz w:val="24"/>
        </w:rPr>
        <w:t>39</w:t>
      </w:r>
      <w:r w:rsidR="00752710">
        <w:rPr>
          <w:rFonts w:cs="Calibri"/>
          <w:sz w:val="24"/>
        </w:rPr>
        <w:t xml:space="preserve"> </w:t>
      </w:r>
      <w:r w:rsidRPr="00981557">
        <w:rPr>
          <w:rFonts w:cs="Calibri"/>
          <w:sz w:val="24"/>
        </w:rPr>
        <w:t>(7)</w:t>
      </w:r>
      <w:r w:rsidR="00752710">
        <w:rPr>
          <w:rFonts w:cs="Calibri"/>
          <w:sz w:val="24"/>
        </w:rPr>
        <w:t xml:space="preserve">, </w:t>
      </w:r>
      <w:r w:rsidRPr="00981557">
        <w:rPr>
          <w:rFonts w:cs="Calibri"/>
          <w:sz w:val="24"/>
        </w:rPr>
        <w:t>768-</w:t>
      </w:r>
      <w:r w:rsidR="00A54A10" w:rsidRPr="00981557">
        <w:rPr>
          <w:rFonts w:cs="Calibri"/>
          <w:sz w:val="24"/>
        </w:rPr>
        <w:t>7</w:t>
      </w:r>
      <w:r w:rsidRPr="00981557">
        <w:rPr>
          <w:rFonts w:cs="Calibri"/>
          <w:sz w:val="24"/>
        </w:rPr>
        <w:t>86</w:t>
      </w:r>
      <w:r w:rsidR="00752710">
        <w:rPr>
          <w:rFonts w:cs="Calibri"/>
          <w:sz w:val="24"/>
        </w:rPr>
        <w:t xml:space="preserve"> (2015).</w:t>
      </w:r>
    </w:p>
    <w:p w14:paraId="4EA510C7" w14:textId="7D6E2819" w:rsidR="00355E68" w:rsidRPr="00981557" w:rsidRDefault="00355E68" w:rsidP="00342AEA">
      <w:pPr>
        <w:numPr>
          <w:ilvl w:val="0"/>
          <w:numId w:val="9"/>
        </w:numPr>
        <w:ind w:left="0" w:firstLine="0"/>
        <w:contextualSpacing/>
        <w:jc w:val="left"/>
        <w:rPr>
          <w:rFonts w:cs="Calibri"/>
          <w:sz w:val="24"/>
        </w:rPr>
      </w:pPr>
      <w:r w:rsidRPr="00981557">
        <w:rPr>
          <w:rFonts w:cs="Calibri"/>
          <w:sz w:val="24"/>
        </w:rPr>
        <w:t>Pocock</w:t>
      </w:r>
      <w:r w:rsidR="00752710">
        <w:rPr>
          <w:rFonts w:cs="Calibri"/>
          <w:sz w:val="24"/>
        </w:rPr>
        <w:t>,</w:t>
      </w:r>
      <w:r w:rsidRPr="00981557">
        <w:rPr>
          <w:rFonts w:cs="Calibri"/>
          <w:sz w:val="24"/>
        </w:rPr>
        <w:t xml:space="preserve"> S</w:t>
      </w:r>
      <w:r w:rsidR="00752710">
        <w:rPr>
          <w:rFonts w:cs="Calibri"/>
          <w:sz w:val="24"/>
        </w:rPr>
        <w:t>.</w:t>
      </w:r>
      <w:r w:rsidRPr="00981557">
        <w:rPr>
          <w:rFonts w:cs="Calibri"/>
          <w:sz w:val="24"/>
        </w:rPr>
        <w:t>J</w:t>
      </w:r>
      <w:r w:rsidR="00752710">
        <w:rPr>
          <w:rFonts w:cs="Calibri"/>
          <w:sz w:val="24"/>
        </w:rPr>
        <w:t>.</w:t>
      </w:r>
      <w:r w:rsidRPr="00981557">
        <w:rPr>
          <w:rFonts w:cs="Calibri"/>
          <w:sz w:val="24"/>
        </w:rPr>
        <w:t>, Clayton</w:t>
      </w:r>
      <w:r w:rsidR="00752710">
        <w:rPr>
          <w:rFonts w:cs="Calibri"/>
          <w:sz w:val="24"/>
        </w:rPr>
        <w:t>,</w:t>
      </w:r>
      <w:r w:rsidRPr="00981557">
        <w:rPr>
          <w:rFonts w:cs="Calibri"/>
          <w:sz w:val="24"/>
        </w:rPr>
        <w:t xml:space="preserve"> T</w:t>
      </w:r>
      <w:r w:rsidR="00752710">
        <w:rPr>
          <w:rFonts w:cs="Calibri"/>
          <w:sz w:val="24"/>
        </w:rPr>
        <w:t>.</w:t>
      </w:r>
      <w:r w:rsidRPr="00981557">
        <w:rPr>
          <w:rFonts w:cs="Calibri"/>
          <w:sz w:val="24"/>
        </w:rPr>
        <w:t>C</w:t>
      </w:r>
      <w:r w:rsidR="00752710">
        <w:rPr>
          <w:rFonts w:cs="Calibri"/>
          <w:sz w:val="24"/>
        </w:rPr>
        <w:t>.</w:t>
      </w:r>
      <w:r w:rsidRPr="00981557">
        <w:rPr>
          <w:rFonts w:cs="Calibri"/>
          <w:sz w:val="24"/>
        </w:rPr>
        <w:t>, Stone</w:t>
      </w:r>
      <w:r w:rsidR="00752710">
        <w:rPr>
          <w:rFonts w:cs="Calibri"/>
          <w:sz w:val="24"/>
        </w:rPr>
        <w:t>,</w:t>
      </w:r>
      <w:r w:rsidRPr="00981557">
        <w:rPr>
          <w:rFonts w:cs="Calibri"/>
          <w:sz w:val="24"/>
        </w:rPr>
        <w:t xml:space="preserve"> G</w:t>
      </w:r>
      <w:r w:rsidR="00752710">
        <w:rPr>
          <w:rFonts w:cs="Calibri"/>
          <w:sz w:val="24"/>
        </w:rPr>
        <w:t>.</w:t>
      </w:r>
      <w:r w:rsidRPr="00981557">
        <w:rPr>
          <w:rFonts w:cs="Calibri"/>
          <w:sz w:val="24"/>
        </w:rPr>
        <w:t xml:space="preserve">W. Challenging issues in clinical trial design: Part 4 of a 4-Part series on statistics for clinical trials. </w:t>
      </w:r>
      <w:r w:rsidR="001D5514" w:rsidRPr="00981557">
        <w:rPr>
          <w:rFonts w:cs="Calibri"/>
          <w:i/>
          <w:sz w:val="24"/>
        </w:rPr>
        <w:t>Journal of the American College of Cardiology</w:t>
      </w:r>
      <w:r w:rsidRPr="00981557">
        <w:rPr>
          <w:rFonts w:cs="Calibri"/>
          <w:sz w:val="24"/>
        </w:rPr>
        <w:t xml:space="preserve">. </w:t>
      </w:r>
      <w:r w:rsidRPr="00752710">
        <w:rPr>
          <w:rFonts w:cs="Calibri"/>
          <w:b/>
          <w:sz w:val="24"/>
        </w:rPr>
        <w:t>66</w:t>
      </w:r>
      <w:r w:rsidR="00752710">
        <w:rPr>
          <w:rFonts w:cs="Calibri"/>
          <w:sz w:val="24"/>
        </w:rPr>
        <w:t xml:space="preserve"> </w:t>
      </w:r>
      <w:r w:rsidRPr="00981557">
        <w:rPr>
          <w:rFonts w:cs="Calibri"/>
          <w:sz w:val="24"/>
        </w:rPr>
        <w:t>(25)</w:t>
      </w:r>
      <w:r w:rsidR="00752710">
        <w:rPr>
          <w:rFonts w:cs="Calibri"/>
          <w:sz w:val="24"/>
        </w:rPr>
        <w:t xml:space="preserve">, </w:t>
      </w:r>
      <w:r w:rsidRPr="00981557">
        <w:rPr>
          <w:rFonts w:cs="Calibri"/>
          <w:sz w:val="24"/>
        </w:rPr>
        <w:t>2886-2898</w:t>
      </w:r>
      <w:r w:rsidR="00752710">
        <w:rPr>
          <w:rFonts w:cs="Calibri"/>
          <w:sz w:val="24"/>
        </w:rPr>
        <w:t xml:space="preserve"> (2015).</w:t>
      </w:r>
    </w:p>
    <w:sectPr w:rsidR="00355E68" w:rsidRPr="00981557" w:rsidSect="00FD6973">
      <w:pgSz w:w="12240" w:h="15840"/>
      <w:pgMar w:top="1440" w:right="1440" w:bottom="1440" w:left="1440" w:header="851" w:footer="992" w:gutter="0"/>
      <w:lnNumType w:countBy="1" w:restart="continuous"/>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37567" w14:textId="77777777" w:rsidR="00B0316C" w:rsidRDefault="00B0316C" w:rsidP="00B47142">
      <w:r>
        <w:separator/>
      </w:r>
    </w:p>
  </w:endnote>
  <w:endnote w:type="continuationSeparator" w:id="0">
    <w:p w14:paraId="7BC138CF" w14:textId="77777777" w:rsidR="00B0316C" w:rsidRDefault="00B0316C" w:rsidP="00B4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vltchRwqrwqAdvTT1b53b5fb . I">
    <w:altName w:val="Segoe Print"/>
    <w:charset w:val="00"/>
    <w:family w:val="auto"/>
    <w:pitch w:val="default"/>
    <w:sig w:usb0="00000000" w:usb1="00000000" w:usb2="00000000" w:usb3="00000000" w:csb0="00040001" w:csb1="00000000"/>
  </w:font>
  <w:font w:name="NxjwppYrsdshAdvTTb5929f4c">
    <w:altName w:val="Segoe Print"/>
    <w:charset w:val="00"/>
    <w:family w:val="auto"/>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A805D" w14:textId="77777777" w:rsidR="00B0316C" w:rsidRDefault="00B0316C" w:rsidP="00B47142">
      <w:r>
        <w:separator/>
      </w:r>
    </w:p>
  </w:footnote>
  <w:footnote w:type="continuationSeparator" w:id="0">
    <w:p w14:paraId="7A95093C" w14:textId="77777777" w:rsidR="00B0316C" w:rsidRDefault="00B0316C" w:rsidP="00B47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4949"/>
    <w:multiLevelType w:val="hybridMultilevel"/>
    <w:tmpl w:val="724437C6"/>
    <w:lvl w:ilvl="0" w:tplc="BDE80A0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857DD"/>
    <w:multiLevelType w:val="multilevel"/>
    <w:tmpl w:val="13888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FE19E4"/>
    <w:multiLevelType w:val="multilevel"/>
    <w:tmpl w:val="02FE382A"/>
    <w:lvl w:ilvl="0">
      <w:start w:val="3"/>
      <w:numFmt w:val="decimal"/>
      <w:lvlText w:val="%1"/>
      <w:lvlJc w:val="left"/>
      <w:pPr>
        <w:ind w:left="420" w:hanging="420"/>
      </w:pPr>
      <w:rPr>
        <w:rFonts w:hint="default"/>
      </w:rPr>
    </w:lvl>
    <w:lvl w:ilvl="1">
      <w:start w:val="2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C40606"/>
    <w:multiLevelType w:val="multilevel"/>
    <w:tmpl w:val="0FC406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6400CF"/>
    <w:multiLevelType w:val="multilevel"/>
    <w:tmpl w:val="5DE0C21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124737"/>
    <w:multiLevelType w:val="multilevel"/>
    <w:tmpl w:val="8916AE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F6327D"/>
    <w:multiLevelType w:val="multilevel"/>
    <w:tmpl w:val="19F6327D"/>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E87CA8"/>
    <w:multiLevelType w:val="multilevel"/>
    <w:tmpl w:val="775268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0D24ECA"/>
    <w:multiLevelType w:val="hybridMultilevel"/>
    <w:tmpl w:val="CAF48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897E30"/>
    <w:multiLevelType w:val="multilevel"/>
    <w:tmpl w:val="26897E3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B2232B"/>
    <w:multiLevelType w:val="multilevel"/>
    <w:tmpl w:val="D9DE96F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BC4DBE"/>
    <w:multiLevelType w:val="multilevel"/>
    <w:tmpl w:val="29BC4D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E27D90"/>
    <w:multiLevelType w:val="hybridMultilevel"/>
    <w:tmpl w:val="0A663360"/>
    <w:lvl w:ilvl="0" w:tplc="8FAC22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92717D"/>
    <w:multiLevelType w:val="hybridMultilevel"/>
    <w:tmpl w:val="30F0EA5A"/>
    <w:lvl w:ilvl="0" w:tplc="BDE80A0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AF5306"/>
    <w:multiLevelType w:val="hybridMultilevel"/>
    <w:tmpl w:val="95CC5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105663"/>
    <w:multiLevelType w:val="multilevel"/>
    <w:tmpl w:val="3D105663"/>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506798"/>
    <w:multiLevelType w:val="multilevel"/>
    <w:tmpl w:val="EEA49E86"/>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965737"/>
    <w:multiLevelType w:val="multilevel"/>
    <w:tmpl w:val="1388886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E110D7"/>
    <w:multiLevelType w:val="multilevel"/>
    <w:tmpl w:val="3D105663"/>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E7106D9"/>
    <w:multiLevelType w:val="multilevel"/>
    <w:tmpl w:val="D9FA03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A1223D"/>
    <w:multiLevelType w:val="hybridMultilevel"/>
    <w:tmpl w:val="602E4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057A63"/>
    <w:multiLevelType w:val="multilevel"/>
    <w:tmpl w:val="0ECAD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9B3549"/>
    <w:multiLevelType w:val="multilevel"/>
    <w:tmpl w:val="1388886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42172E"/>
    <w:multiLevelType w:val="multilevel"/>
    <w:tmpl w:val="13888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0E4513"/>
    <w:multiLevelType w:val="multilevel"/>
    <w:tmpl w:val="13888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36E4FD"/>
    <w:multiLevelType w:val="multilevel"/>
    <w:tmpl w:val="5A36E4FD"/>
    <w:lvl w:ilvl="0">
      <w:start w:val="5"/>
      <w:numFmt w:val="decimal"/>
      <w:suff w:val="space"/>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580DB7"/>
    <w:multiLevelType w:val="multilevel"/>
    <w:tmpl w:val="3D105663"/>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F8512DB"/>
    <w:multiLevelType w:val="multilevel"/>
    <w:tmpl w:val="6F8512D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3B5D94"/>
    <w:multiLevelType w:val="multilevel"/>
    <w:tmpl w:val="743B5D9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526856"/>
    <w:multiLevelType w:val="multilevel"/>
    <w:tmpl w:val="EEA49E86"/>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B8D3690"/>
    <w:multiLevelType w:val="multilevel"/>
    <w:tmpl w:val="775268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6"/>
  </w:num>
  <w:num w:numId="3">
    <w:abstractNumId w:val="29"/>
  </w:num>
  <w:num w:numId="4">
    <w:abstractNumId w:val="9"/>
  </w:num>
  <w:num w:numId="5">
    <w:abstractNumId w:val="11"/>
  </w:num>
  <w:num w:numId="6">
    <w:abstractNumId w:val="28"/>
  </w:num>
  <w:num w:numId="7">
    <w:abstractNumId w:val="25"/>
  </w:num>
  <w:num w:numId="8">
    <w:abstractNumId w:val="3"/>
  </w:num>
  <w:num w:numId="9">
    <w:abstractNumId w:val="27"/>
  </w:num>
  <w:num w:numId="10">
    <w:abstractNumId w:val="14"/>
  </w:num>
  <w:num w:numId="11">
    <w:abstractNumId w:val="8"/>
  </w:num>
  <w:num w:numId="12">
    <w:abstractNumId w:val="0"/>
  </w:num>
  <w:num w:numId="13">
    <w:abstractNumId w:val="12"/>
  </w:num>
  <w:num w:numId="14">
    <w:abstractNumId w:val="13"/>
  </w:num>
  <w:num w:numId="15">
    <w:abstractNumId w:val="18"/>
  </w:num>
  <w:num w:numId="16">
    <w:abstractNumId w:val="2"/>
  </w:num>
  <w:num w:numId="17">
    <w:abstractNumId w:val="30"/>
  </w:num>
  <w:num w:numId="18">
    <w:abstractNumId w:val="7"/>
  </w:num>
  <w:num w:numId="19">
    <w:abstractNumId w:val="16"/>
  </w:num>
  <w:num w:numId="20">
    <w:abstractNumId w:val="26"/>
  </w:num>
  <w:num w:numId="21">
    <w:abstractNumId w:val="1"/>
  </w:num>
  <w:num w:numId="22">
    <w:abstractNumId w:val="24"/>
  </w:num>
  <w:num w:numId="23">
    <w:abstractNumId w:val="23"/>
  </w:num>
  <w:num w:numId="24">
    <w:abstractNumId w:val="22"/>
  </w:num>
  <w:num w:numId="25">
    <w:abstractNumId w:val="20"/>
  </w:num>
  <w:num w:numId="26">
    <w:abstractNumId w:val="17"/>
  </w:num>
  <w:num w:numId="27">
    <w:abstractNumId w:val="21"/>
  </w:num>
  <w:num w:numId="28">
    <w:abstractNumId w:val="4"/>
  </w:num>
  <w:num w:numId="29">
    <w:abstractNumId w:val="10"/>
  </w:num>
  <w:num w:numId="30">
    <w:abstractNumId w:val="19"/>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18"/>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A0MjU0MDIzNTQyMTNS0lEKTi0uzszPAykwqwUAar21+iwAAAA="/>
  </w:docVars>
  <w:rsids>
    <w:rsidRoot w:val="00172A27"/>
    <w:rsid w:val="000003A6"/>
    <w:rsid w:val="000006E2"/>
    <w:rsid w:val="00001009"/>
    <w:rsid w:val="0000188B"/>
    <w:rsid w:val="0000190E"/>
    <w:rsid w:val="00001983"/>
    <w:rsid w:val="000042E7"/>
    <w:rsid w:val="00004C17"/>
    <w:rsid w:val="00006E24"/>
    <w:rsid w:val="000117EC"/>
    <w:rsid w:val="00012CDD"/>
    <w:rsid w:val="000139DC"/>
    <w:rsid w:val="00013BB9"/>
    <w:rsid w:val="000142DF"/>
    <w:rsid w:val="00015EEF"/>
    <w:rsid w:val="000168D7"/>
    <w:rsid w:val="00021349"/>
    <w:rsid w:val="000224ED"/>
    <w:rsid w:val="00024D17"/>
    <w:rsid w:val="00026463"/>
    <w:rsid w:val="00027FB3"/>
    <w:rsid w:val="00032AED"/>
    <w:rsid w:val="00032CF1"/>
    <w:rsid w:val="0003415B"/>
    <w:rsid w:val="00034824"/>
    <w:rsid w:val="00036A12"/>
    <w:rsid w:val="00037389"/>
    <w:rsid w:val="00040BDD"/>
    <w:rsid w:val="0004130C"/>
    <w:rsid w:val="00041868"/>
    <w:rsid w:val="000477CC"/>
    <w:rsid w:val="00050167"/>
    <w:rsid w:val="00053D2A"/>
    <w:rsid w:val="0005472B"/>
    <w:rsid w:val="00054963"/>
    <w:rsid w:val="000625F0"/>
    <w:rsid w:val="000627FE"/>
    <w:rsid w:val="000651D4"/>
    <w:rsid w:val="00066851"/>
    <w:rsid w:val="000704CB"/>
    <w:rsid w:val="00071FE0"/>
    <w:rsid w:val="00080377"/>
    <w:rsid w:val="00080537"/>
    <w:rsid w:val="00080E37"/>
    <w:rsid w:val="00081C6D"/>
    <w:rsid w:val="00082B3D"/>
    <w:rsid w:val="00082EDE"/>
    <w:rsid w:val="000845D2"/>
    <w:rsid w:val="00090128"/>
    <w:rsid w:val="0009051F"/>
    <w:rsid w:val="00092FB9"/>
    <w:rsid w:val="00093483"/>
    <w:rsid w:val="0009568F"/>
    <w:rsid w:val="000A2545"/>
    <w:rsid w:val="000A5A89"/>
    <w:rsid w:val="000A6A4F"/>
    <w:rsid w:val="000A6D2C"/>
    <w:rsid w:val="000A7C72"/>
    <w:rsid w:val="000B0FF3"/>
    <w:rsid w:val="000B3CED"/>
    <w:rsid w:val="000B5E3E"/>
    <w:rsid w:val="000B6232"/>
    <w:rsid w:val="000C3846"/>
    <w:rsid w:val="000C39D5"/>
    <w:rsid w:val="000C50C9"/>
    <w:rsid w:val="000C5A3F"/>
    <w:rsid w:val="000C6DC9"/>
    <w:rsid w:val="000C7075"/>
    <w:rsid w:val="000D05FF"/>
    <w:rsid w:val="000D16A2"/>
    <w:rsid w:val="000D1A60"/>
    <w:rsid w:val="000D1E7E"/>
    <w:rsid w:val="000D2F1E"/>
    <w:rsid w:val="000D3E8C"/>
    <w:rsid w:val="000D5929"/>
    <w:rsid w:val="000E03FC"/>
    <w:rsid w:val="000E0B69"/>
    <w:rsid w:val="000E0D5A"/>
    <w:rsid w:val="000E1365"/>
    <w:rsid w:val="000E18CF"/>
    <w:rsid w:val="000E4400"/>
    <w:rsid w:val="000E4DEA"/>
    <w:rsid w:val="000E5E0E"/>
    <w:rsid w:val="000F2C0D"/>
    <w:rsid w:val="000F2F52"/>
    <w:rsid w:val="000F3091"/>
    <w:rsid w:val="000F5BF9"/>
    <w:rsid w:val="00100D95"/>
    <w:rsid w:val="0010136C"/>
    <w:rsid w:val="00104C2A"/>
    <w:rsid w:val="00104E03"/>
    <w:rsid w:val="001074D1"/>
    <w:rsid w:val="00111D2F"/>
    <w:rsid w:val="00116E2F"/>
    <w:rsid w:val="0011738B"/>
    <w:rsid w:val="00120648"/>
    <w:rsid w:val="00121804"/>
    <w:rsid w:val="00121F7D"/>
    <w:rsid w:val="00122F76"/>
    <w:rsid w:val="00123F2D"/>
    <w:rsid w:val="0012558F"/>
    <w:rsid w:val="0012729B"/>
    <w:rsid w:val="00127905"/>
    <w:rsid w:val="0013116C"/>
    <w:rsid w:val="00131951"/>
    <w:rsid w:val="00131C69"/>
    <w:rsid w:val="001405A5"/>
    <w:rsid w:val="00141E9E"/>
    <w:rsid w:val="001466A7"/>
    <w:rsid w:val="00150BD0"/>
    <w:rsid w:val="00151362"/>
    <w:rsid w:val="001528BC"/>
    <w:rsid w:val="00155401"/>
    <w:rsid w:val="0015568E"/>
    <w:rsid w:val="0015605D"/>
    <w:rsid w:val="00160178"/>
    <w:rsid w:val="00162CF7"/>
    <w:rsid w:val="0017113D"/>
    <w:rsid w:val="0017219E"/>
    <w:rsid w:val="00172A27"/>
    <w:rsid w:val="00173EE0"/>
    <w:rsid w:val="001746E0"/>
    <w:rsid w:val="001756F7"/>
    <w:rsid w:val="001764A6"/>
    <w:rsid w:val="001807B1"/>
    <w:rsid w:val="00180859"/>
    <w:rsid w:val="00183723"/>
    <w:rsid w:val="00183DE7"/>
    <w:rsid w:val="00187876"/>
    <w:rsid w:val="00191C6A"/>
    <w:rsid w:val="00192796"/>
    <w:rsid w:val="00192C39"/>
    <w:rsid w:val="00194FC0"/>
    <w:rsid w:val="001956B9"/>
    <w:rsid w:val="00196729"/>
    <w:rsid w:val="00196A05"/>
    <w:rsid w:val="00196D65"/>
    <w:rsid w:val="001A3F4B"/>
    <w:rsid w:val="001A44FE"/>
    <w:rsid w:val="001A6365"/>
    <w:rsid w:val="001A6DF0"/>
    <w:rsid w:val="001A7543"/>
    <w:rsid w:val="001A7E04"/>
    <w:rsid w:val="001B3FEC"/>
    <w:rsid w:val="001B4633"/>
    <w:rsid w:val="001B4C5D"/>
    <w:rsid w:val="001B5762"/>
    <w:rsid w:val="001B717D"/>
    <w:rsid w:val="001B76CD"/>
    <w:rsid w:val="001B779D"/>
    <w:rsid w:val="001C01F3"/>
    <w:rsid w:val="001C07E9"/>
    <w:rsid w:val="001C1A3A"/>
    <w:rsid w:val="001C1F6C"/>
    <w:rsid w:val="001C2823"/>
    <w:rsid w:val="001C28B8"/>
    <w:rsid w:val="001C466F"/>
    <w:rsid w:val="001C4A11"/>
    <w:rsid w:val="001C5835"/>
    <w:rsid w:val="001C5C42"/>
    <w:rsid w:val="001C678A"/>
    <w:rsid w:val="001C6E0A"/>
    <w:rsid w:val="001D216F"/>
    <w:rsid w:val="001D3BAC"/>
    <w:rsid w:val="001D5514"/>
    <w:rsid w:val="001E1CFB"/>
    <w:rsid w:val="001E264B"/>
    <w:rsid w:val="001E34D5"/>
    <w:rsid w:val="001E3F92"/>
    <w:rsid w:val="001F082F"/>
    <w:rsid w:val="001F13C0"/>
    <w:rsid w:val="001F17D8"/>
    <w:rsid w:val="001F19A7"/>
    <w:rsid w:val="001F2C0C"/>
    <w:rsid w:val="001F4394"/>
    <w:rsid w:val="001F7272"/>
    <w:rsid w:val="0020003A"/>
    <w:rsid w:val="00200854"/>
    <w:rsid w:val="002008D0"/>
    <w:rsid w:val="00201742"/>
    <w:rsid w:val="00203174"/>
    <w:rsid w:val="002034D9"/>
    <w:rsid w:val="0020495A"/>
    <w:rsid w:val="00206961"/>
    <w:rsid w:val="00210968"/>
    <w:rsid w:val="00211068"/>
    <w:rsid w:val="002131D7"/>
    <w:rsid w:val="002131F8"/>
    <w:rsid w:val="0021408D"/>
    <w:rsid w:val="00214D92"/>
    <w:rsid w:val="00215B39"/>
    <w:rsid w:val="0021601D"/>
    <w:rsid w:val="0022203A"/>
    <w:rsid w:val="00224683"/>
    <w:rsid w:val="00226060"/>
    <w:rsid w:val="00226355"/>
    <w:rsid w:val="00227B90"/>
    <w:rsid w:val="00227E1B"/>
    <w:rsid w:val="002325CF"/>
    <w:rsid w:val="00235D66"/>
    <w:rsid w:val="00240C13"/>
    <w:rsid w:val="00243BB3"/>
    <w:rsid w:val="002446C8"/>
    <w:rsid w:val="00245EFA"/>
    <w:rsid w:val="002469C2"/>
    <w:rsid w:val="00252EAB"/>
    <w:rsid w:val="00253F76"/>
    <w:rsid w:val="002567E8"/>
    <w:rsid w:val="0026221B"/>
    <w:rsid w:val="002624AA"/>
    <w:rsid w:val="002626C1"/>
    <w:rsid w:val="002628E9"/>
    <w:rsid w:val="002642B3"/>
    <w:rsid w:val="00270DD6"/>
    <w:rsid w:val="00271C9C"/>
    <w:rsid w:val="0027375E"/>
    <w:rsid w:val="00273EE1"/>
    <w:rsid w:val="00275EF7"/>
    <w:rsid w:val="00276D8B"/>
    <w:rsid w:val="0027773B"/>
    <w:rsid w:val="00280A29"/>
    <w:rsid w:val="00283FED"/>
    <w:rsid w:val="00286265"/>
    <w:rsid w:val="002869D2"/>
    <w:rsid w:val="0028701B"/>
    <w:rsid w:val="00287323"/>
    <w:rsid w:val="00290C6A"/>
    <w:rsid w:val="002916C4"/>
    <w:rsid w:val="00291F93"/>
    <w:rsid w:val="0029299A"/>
    <w:rsid w:val="00294874"/>
    <w:rsid w:val="00294FCC"/>
    <w:rsid w:val="00295CF9"/>
    <w:rsid w:val="00295EB3"/>
    <w:rsid w:val="00296B15"/>
    <w:rsid w:val="002A3074"/>
    <w:rsid w:val="002A3527"/>
    <w:rsid w:val="002A4C79"/>
    <w:rsid w:val="002B28CA"/>
    <w:rsid w:val="002B2BA9"/>
    <w:rsid w:val="002B5FBD"/>
    <w:rsid w:val="002C344D"/>
    <w:rsid w:val="002C58D5"/>
    <w:rsid w:val="002C6C4D"/>
    <w:rsid w:val="002C7A0C"/>
    <w:rsid w:val="002D516E"/>
    <w:rsid w:val="002D5E72"/>
    <w:rsid w:val="002D7964"/>
    <w:rsid w:val="002E3E25"/>
    <w:rsid w:val="002E4122"/>
    <w:rsid w:val="002E6DC5"/>
    <w:rsid w:val="002E6E20"/>
    <w:rsid w:val="002F044E"/>
    <w:rsid w:val="002F0B78"/>
    <w:rsid w:val="002F1EE6"/>
    <w:rsid w:val="002F2C72"/>
    <w:rsid w:val="002F3D4D"/>
    <w:rsid w:val="002F4F4A"/>
    <w:rsid w:val="002F5712"/>
    <w:rsid w:val="002F6501"/>
    <w:rsid w:val="002F7556"/>
    <w:rsid w:val="002F77FC"/>
    <w:rsid w:val="0030034C"/>
    <w:rsid w:val="00303371"/>
    <w:rsid w:val="003045D9"/>
    <w:rsid w:val="00305A15"/>
    <w:rsid w:val="00306F8C"/>
    <w:rsid w:val="003072B8"/>
    <w:rsid w:val="00312E29"/>
    <w:rsid w:val="003138A3"/>
    <w:rsid w:val="00315334"/>
    <w:rsid w:val="0031740C"/>
    <w:rsid w:val="003215D6"/>
    <w:rsid w:val="00321675"/>
    <w:rsid w:val="00321B30"/>
    <w:rsid w:val="00323741"/>
    <w:rsid w:val="00323A57"/>
    <w:rsid w:val="00327056"/>
    <w:rsid w:val="00330545"/>
    <w:rsid w:val="0033120C"/>
    <w:rsid w:val="00331CBE"/>
    <w:rsid w:val="00331EC6"/>
    <w:rsid w:val="00331F75"/>
    <w:rsid w:val="003355BB"/>
    <w:rsid w:val="00335666"/>
    <w:rsid w:val="00335A6A"/>
    <w:rsid w:val="003378B8"/>
    <w:rsid w:val="00337D11"/>
    <w:rsid w:val="00341641"/>
    <w:rsid w:val="00341AEA"/>
    <w:rsid w:val="00342A18"/>
    <w:rsid w:val="00342AEA"/>
    <w:rsid w:val="003475D5"/>
    <w:rsid w:val="00355597"/>
    <w:rsid w:val="00355E68"/>
    <w:rsid w:val="00356BD9"/>
    <w:rsid w:val="00356EBD"/>
    <w:rsid w:val="00361BC9"/>
    <w:rsid w:val="003626CD"/>
    <w:rsid w:val="00363EBE"/>
    <w:rsid w:val="00366475"/>
    <w:rsid w:val="0037068B"/>
    <w:rsid w:val="00370851"/>
    <w:rsid w:val="00371AD1"/>
    <w:rsid w:val="003720E3"/>
    <w:rsid w:val="003721E9"/>
    <w:rsid w:val="003723F0"/>
    <w:rsid w:val="0037276B"/>
    <w:rsid w:val="003739FD"/>
    <w:rsid w:val="00374F1F"/>
    <w:rsid w:val="00375854"/>
    <w:rsid w:val="003813E1"/>
    <w:rsid w:val="00382F22"/>
    <w:rsid w:val="00383737"/>
    <w:rsid w:val="003855C0"/>
    <w:rsid w:val="00385A94"/>
    <w:rsid w:val="00393E2E"/>
    <w:rsid w:val="003947ED"/>
    <w:rsid w:val="00394D01"/>
    <w:rsid w:val="003A0264"/>
    <w:rsid w:val="003A09BD"/>
    <w:rsid w:val="003A0C04"/>
    <w:rsid w:val="003A1AEE"/>
    <w:rsid w:val="003A2D6C"/>
    <w:rsid w:val="003A3C24"/>
    <w:rsid w:val="003A3CDA"/>
    <w:rsid w:val="003A525D"/>
    <w:rsid w:val="003A6E88"/>
    <w:rsid w:val="003A78BB"/>
    <w:rsid w:val="003B12B6"/>
    <w:rsid w:val="003B246C"/>
    <w:rsid w:val="003B4FEE"/>
    <w:rsid w:val="003B5613"/>
    <w:rsid w:val="003B5B0B"/>
    <w:rsid w:val="003B7364"/>
    <w:rsid w:val="003C4AB3"/>
    <w:rsid w:val="003C4EBC"/>
    <w:rsid w:val="003C5B4A"/>
    <w:rsid w:val="003C7BAD"/>
    <w:rsid w:val="003D05AE"/>
    <w:rsid w:val="003D3101"/>
    <w:rsid w:val="003D338F"/>
    <w:rsid w:val="003D3E6D"/>
    <w:rsid w:val="003E1DC1"/>
    <w:rsid w:val="003E23CF"/>
    <w:rsid w:val="003E495C"/>
    <w:rsid w:val="003E5E2A"/>
    <w:rsid w:val="003E6F2B"/>
    <w:rsid w:val="003E764C"/>
    <w:rsid w:val="003F0184"/>
    <w:rsid w:val="003F0272"/>
    <w:rsid w:val="003F08DC"/>
    <w:rsid w:val="003F09BB"/>
    <w:rsid w:val="003F1420"/>
    <w:rsid w:val="003F2610"/>
    <w:rsid w:val="003F5884"/>
    <w:rsid w:val="003F7280"/>
    <w:rsid w:val="003F7C3F"/>
    <w:rsid w:val="003F7DC7"/>
    <w:rsid w:val="0040400C"/>
    <w:rsid w:val="0040625D"/>
    <w:rsid w:val="00406345"/>
    <w:rsid w:val="00407552"/>
    <w:rsid w:val="004113B5"/>
    <w:rsid w:val="00411591"/>
    <w:rsid w:val="00411D85"/>
    <w:rsid w:val="0041356D"/>
    <w:rsid w:val="0041509D"/>
    <w:rsid w:val="00415DB7"/>
    <w:rsid w:val="0042031A"/>
    <w:rsid w:val="004207BD"/>
    <w:rsid w:val="00423724"/>
    <w:rsid w:val="0042499A"/>
    <w:rsid w:val="004258EA"/>
    <w:rsid w:val="00431CD2"/>
    <w:rsid w:val="00432A4D"/>
    <w:rsid w:val="00435937"/>
    <w:rsid w:val="00436C30"/>
    <w:rsid w:val="004414DA"/>
    <w:rsid w:val="00443ACF"/>
    <w:rsid w:val="00444BFE"/>
    <w:rsid w:val="0044626A"/>
    <w:rsid w:val="00447734"/>
    <w:rsid w:val="004503FD"/>
    <w:rsid w:val="0045309A"/>
    <w:rsid w:val="004544CF"/>
    <w:rsid w:val="004616CA"/>
    <w:rsid w:val="00461D60"/>
    <w:rsid w:val="0046213C"/>
    <w:rsid w:val="0046477B"/>
    <w:rsid w:val="00466F46"/>
    <w:rsid w:val="00467F1A"/>
    <w:rsid w:val="00470711"/>
    <w:rsid w:val="004718E1"/>
    <w:rsid w:val="004726BA"/>
    <w:rsid w:val="00472D1C"/>
    <w:rsid w:val="00473371"/>
    <w:rsid w:val="00473419"/>
    <w:rsid w:val="004750B7"/>
    <w:rsid w:val="00477715"/>
    <w:rsid w:val="0048066C"/>
    <w:rsid w:val="00481E8A"/>
    <w:rsid w:val="00482803"/>
    <w:rsid w:val="00482D37"/>
    <w:rsid w:val="00483D1D"/>
    <w:rsid w:val="0048457A"/>
    <w:rsid w:val="00485E5C"/>
    <w:rsid w:val="00486743"/>
    <w:rsid w:val="0048684C"/>
    <w:rsid w:val="00486C1F"/>
    <w:rsid w:val="00487E29"/>
    <w:rsid w:val="004916F8"/>
    <w:rsid w:val="00493F0F"/>
    <w:rsid w:val="004949CE"/>
    <w:rsid w:val="00494BA6"/>
    <w:rsid w:val="00495A1B"/>
    <w:rsid w:val="004968D9"/>
    <w:rsid w:val="004973B5"/>
    <w:rsid w:val="00497892"/>
    <w:rsid w:val="00497E98"/>
    <w:rsid w:val="004A06C7"/>
    <w:rsid w:val="004A06FA"/>
    <w:rsid w:val="004A6C0D"/>
    <w:rsid w:val="004A74A2"/>
    <w:rsid w:val="004A77DD"/>
    <w:rsid w:val="004B30DF"/>
    <w:rsid w:val="004B404E"/>
    <w:rsid w:val="004B74E3"/>
    <w:rsid w:val="004C298D"/>
    <w:rsid w:val="004D074A"/>
    <w:rsid w:val="004D4D39"/>
    <w:rsid w:val="004D5462"/>
    <w:rsid w:val="004E3F9A"/>
    <w:rsid w:val="004E4703"/>
    <w:rsid w:val="004E6A07"/>
    <w:rsid w:val="004F3C6F"/>
    <w:rsid w:val="004F3F0B"/>
    <w:rsid w:val="004F410A"/>
    <w:rsid w:val="004F6B4F"/>
    <w:rsid w:val="005115A0"/>
    <w:rsid w:val="00511CAB"/>
    <w:rsid w:val="00511E58"/>
    <w:rsid w:val="005144F4"/>
    <w:rsid w:val="005159CE"/>
    <w:rsid w:val="00515E49"/>
    <w:rsid w:val="005210B8"/>
    <w:rsid w:val="00521C89"/>
    <w:rsid w:val="00522A29"/>
    <w:rsid w:val="00527F97"/>
    <w:rsid w:val="005301B4"/>
    <w:rsid w:val="005303C1"/>
    <w:rsid w:val="00530843"/>
    <w:rsid w:val="00533052"/>
    <w:rsid w:val="00533805"/>
    <w:rsid w:val="00537281"/>
    <w:rsid w:val="005379F9"/>
    <w:rsid w:val="005404E3"/>
    <w:rsid w:val="00541F51"/>
    <w:rsid w:val="00542377"/>
    <w:rsid w:val="005423CA"/>
    <w:rsid w:val="00542C00"/>
    <w:rsid w:val="00542E21"/>
    <w:rsid w:val="00545452"/>
    <w:rsid w:val="0054636C"/>
    <w:rsid w:val="005517AE"/>
    <w:rsid w:val="00552F26"/>
    <w:rsid w:val="00553E6A"/>
    <w:rsid w:val="00554190"/>
    <w:rsid w:val="00554C15"/>
    <w:rsid w:val="00554EAD"/>
    <w:rsid w:val="00555177"/>
    <w:rsid w:val="00555859"/>
    <w:rsid w:val="00555C74"/>
    <w:rsid w:val="00556D46"/>
    <w:rsid w:val="00557723"/>
    <w:rsid w:val="00560AC3"/>
    <w:rsid w:val="00562214"/>
    <w:rsid w:val="00563676"/>
    <w:rsid w:val="00565C01"/>
    <w:rsid w:val="00565F66"/>
    <w:rsid w:val="00566A09"/>
    <w:rsid w:val="005702FD"/>
    <w:rsid w:val="00571B78"/>
    <w:rsid w:val="00572131"/>
    <w:rsid w:val="00572C97"/>
    <w:rsid w:val="00573342"/>
    <w:rsid w:val="00574006"/>
    <w:rsid w:val="00575906"/>
    <w:rsid w:val="00576770"/>
    <w:rsid w:val="00580E7F"/>
    <w:rsid w:val="005811F9"/>
    <w:rsid w:val="00584437"/>
    <w:rsid w:val="00585F10"/>
    <w:rsid w:val="00586FBA"/>
    <w:rsid w:val="0059125A"/>
    <w:rsid w:val="005930DF"/>
    <w:rsid w:val="00593FF6"/>
    <w:rsid w:val="00595BB3"/>
    <w:rsid w:val="0059741F"/>
    <w:rsid w:val="00597715"/>
    <w:rsid w:val="005A1619"/>
    <w:rsid w:val="005A28DF"/>
    <w:rsid w:val="005A4028"/>
    <w:rsid w:val="005B102F"/>
    <w:rsid w:val="005B33B7"/>
    <w:rsid w:val="005B670F"/>
    <w:rsid w:val="005B6D36"/>
    <w:rsid w:val="005C0F6B"/>
    <w:rsid w:val="005C196D"/>
    <w:rsid w:val="005C2C51"/>
    <w:rsid w:val="005C4F03"/>
    <w:rsid w:val="005D0892"/>
    <w:rsid w:val="005D0C5F"/>
    <w:rsid w:val="005D0E0D"/>
    <w:rsid w:val="005D288B"/>
    <w:rsid w:val="005D4A7E"/>
    <w:rsid w:val="005D5507"/>
    <w:rsid w:val="005D55BC"/>
    <w:rsid w:val="005E0CE2"/>
    <w:rsid w:val="005E0FFD"/>
    <w:rsid w:val="005E1180"/>
    <w:rsid w:val="005E365B"/>
    <w:rsid w:val="005E3F26"/>
    <w:rsid w:val="005E4B77"/>
    <w:rsid w:val="005E73ED"/>
    <w:rsid w:val="005E7616"/>
    <w:rsid w:val="005F3427"/>
    <w:rsid w:val="005F391B"/>
    <w:rsid w:val="005F4047"/>
    <w:rsid w:val="005F5C9D"/>
    <w:rsid w:val="005F6D99"/>
    <w:rsid w:val="005F735A"/>
    <w:rsid w:val="005F7AD5"/>
    <w:rsid w:val="00600DDA"/>
    <w:rsid w:val="00601DC5"/>
    <w:rsid w:val="006052FE"/>
    <w:rsid w:val="006065B4"/>
    <w:rsid w:val="00606D43"/>
    <w:rsid w:val="00612677"/>
    <w:rsid w:val="0061479A"/>
    <w:rsid w:val="00621AE9"/>
    <w:rsid w:val="00621E0B"/>
    <w:rsid w:val="006224F0"/>
    <w:rsid w:val="00625AE7"/>
    <w:rsid w:val="00625CAD"/>
    <w:rsid w:val="00630C0B"/>
    <w:rsid w:val="00634A8E"/>
    <w:rsid w:val="00635EC2"/>
    <w:rsid w:val="0063709F"/>
    <w:rsid w:val="006401A3"/>
    <w:rsid w:val="00640807"/>
    <w:rsid w:val="0065129E"/>
    <w:rsid w:val="00652F06"/>
    <w:rsid w:val="00653176"/>
    <w:rsid w:val="00653530"/>
    <w:rsid w:val="00655BD9"/>
    <w:rsid w:val="006564E0"/>
    <w:rsid w:val="006564F6"/>
    <w:rsid w:val="00656DA4"/>
    <w:rsid w:val="00660EB8"/>
    <w:rsid w:val="00664288"/>
    <w:rsid w:val="0066575D"/>
    <w:rsid w:val="006700E5"/>
    <w:rsid w:val="006716DF"/>
    <w:rsid w:val="006766CE"/>
    <w:rsid w:val="00677423"/>
    <w:rsid w:val="006777EF"/>
    <w:rsid w:val="0068010D"/>
    <w:rsid w:val="00680CD5"/>
    <w:rsid w:val="00683293"/>
    <w:rsid w:val="0068341D"/>
    <w:rsid w:val="00683638"/>
    <w:rsid w:val="0069210A"/>
    <w:rsid w:val="00692272"/>
    <w:rsid w:val="00692F8E"/>
    <w:rsid w:val="00693314"/>
    <w:rsid w:val="0069473D"/>
    <w:rsid w:val="00694745"/>
    <w:rsid w:val="00694DFD"/>
    <w:rsid w:val="00694E27"/>
    <w:rsid w:val="006952A7"/>
    <w:rsid w:val="00695A8A"/>
    <w:rsid w:val="00695D16"/>
    <w:rsid w:val="006977CD"/>
    <w:rsid w:val="00697996"/>
    <w:rsid w:val="00697B66"/>
    <w:rsid w:val="006A1362"/>
    <w:rsid w:val="006A24BB"/>
    <w:rsid w:val="006A6A62"/>
    <w:rsid w:val="006A7E3E"/>
    <w:rsid w:val="006B0CB2"/>
    <w:rsid w:val="006B409C"/>
    <w:rsid w:val="006B7A01"/>
    <w:rsid w:val="006C3178"/>
    <w:rsid w:val="006C3E61"/>
    <w:rsid w:val="006C421C"/>
    <w:rsid w:val="006C4507"/>
    <w:rsid w:val="006C49FE"/>
    <w:rsid w:val="006C4CD3"/>
    <w:rsid w:val="006D3A5E"/>
    <w:rsid w:val="006D4479"/>
    <w:rsid w:val="006D53E2"/>
    <w:rsid w:val="006D5A26"/>
    <w:rsid w:val="006E09D7"/>
    <w:rsid w:val="006E19B1"/>
    <w:rsid w:val="006E5F2F"/>
    <w:rsid w:val="006E74F4"/>
    <w:rsid w:val="006F1476"/>
    <w:rsid w:val="006F1952"/>
    <w:rsid w:val="006F24FD"/>
    <w:rsid w:val="006F3C19"/>
    <w:rsid w:val="006F4165"/>
    <w:rsid w:val="006F5378"/>
    <w:rsid w:val="006F5D53"/>
    <w:rsid w:val="006F7B4C"/>
    <w:rsid w:val="007010D7"/>
    <w:rsid w:val="007012CA"/>
    <w:rsid w:val="0070184D"/>
    <w:rsid w:val="00704442"/>
    <w:rsid w:val="007049DB"/>
    <w:rsid w:val="00704A76"/>
    <w:rsid w:val="007053A9"/>
    <w:rsid w:val="00705A3D"/>
    <w:rsid w:val="007102F3"/>
    <w:rsid w:val="00710540"/>
    <w:rsid w:val="00710DB2"/>
    <w:rsid w:val="00712B60"/>
    <w:rsid w:val="00713B42"/>
    <w:rsid w:val="00714F1B"/>
    <w:rsid w:val="00716063"/>
    <w:rsid w:val="007170D6"/>
    <w:rsid w:val="007222FA"/>
    <w:rsid w:val="00722CD3"/>
    <w:rsid w:val="00723683"/>
    <w:rsid w:val="007248D2"/>
    <w:rsid w:val="007267AC"/>
    <w:rsid w:val="00727976"/>
    <w:rsid w:val="0073190A"/>
    <w:rsid w:val="00731F04"/>
    <w:rsid w:val="007333F3"/>
    <w:rsid w:val="007335DB"/>
    <w:rsid w:val="00733617"/>
    <w:rsid w:val="00735EE5"/>
    <w:rsid w:val="00741B97"/>
    <w:rsid w:val="00741D0F"/>
    <w:rsid w:val="0074700B"/>
    <w:rsid w:val="00750E2A"/>
    <w:rsid w:val="0075178C"/>
    <w:rsid w:val="00752388"/>
    <w:rsid w:val="007525E0"/>
    <w:rsid w:val="00752710"/>
    <w:rsid w:val="0075299B"/>
    <w:rsid w:val="00754A30"/>
    <w:rsid w:val="00754BCA"/>
    <w:rsid w:val="00755DD4"/>
    <w:rsid w:val="007572D6"/>
    <w:rsid w:val="00757566"/>
    <w:rsid w:val="0075797A"/>
    <w:rsid w:val="00757A38"/>
    <w:rsid w:val="00757BB5"/>
    <w:rsid w:val="00764ACF"/>
    <w:rsid w:val="0076644D"/>
    <w:rsid w:val="007708C8"/>
    <w:rsid w:val="007714E8"/>
    <w:rsid w:val="00772228"/>
    <w:rsid w:val="007755AD"/>
    <w:rsid w:val="00775F07"/>
    <w:rsid w:val="00782C92"/>
    <w:rsid w:val="00784B91"/>
    <w:rsid w:val="00787CF9"/>
    <w:rsid w:val="00790BA5"/>
    <w:rsid w:val="00793323"/>
    <w:rsid w:val="00793E36"/>
    <w:rsid w:val="00795359"/>
    <w:rsid w:val="00797A13"/>
    <w:rsid w:val="007A16CA"/>
    <w:rsid w:val="007A21E1"/>
    <w:rsid w:val="007A31F1"/>
    <w:rsid w:val="007A3454"/>
    <w:rsid w:val="007A3D12"/>
    <w:rsid w:val="007A4BE3"/>
    <w:rsid w:val="007A5311"/>
    <w:rsid w:val="007A579C"/>
    <w:rsid w:val="007A5BE3"/>
    <w:rsid w:val="007A7B76"/>
    <w:rsid w:val="007B0CE4"/>
    <w:rsid w:val="007B1A74"/>
    <w:rsid w:val="007B3ACA"/>
    <w:rsid w:val="007B3C22"/>
    <w:rsid w:val="007B6036"/>
    <w:rsid w:val="007C4144"/>
    <w:rsid w:val="007D18E3"/>
    <w:rsid w:val="007D1CDD"/>
    <w:rsid w:val="007D4370"/>
    <w:rsid w:val="007D5581"/>
    <w:rsid w:val="007D5B3B"/>
    <w:rsid w:val="007E159A"/>
    <w:rsid w:val="007E1C4B"/>
    <w:rsid w:val="007E251C"/>
    <w:rsid w:val="007E7482"/>
    <w:rsid w:val="007F13C1"/>
    <w:rsid w:val="007F18DD"/>
    <w:rsid w:val="007F1B52"/>
    <w:rsid w:val="007F2608"/>
    <w:rsid w:val="007F3431"/>
    <w:rsid w:val="0080003C"/>
    <w:rsid w:val="008058BC"/>
    <w:rsid w:val="00807591"/>
    <w:rsid w:val="00810B6F"/>
    <w:rsid w:val="00811ED5"/>
    <w:rsid w:val="00812B4D"/>
    <w:rsid w:val="00813623"/>
    <w:rsid w:val="00814C7D"/>
    <w:rsid w:val="00815F32"/>
    <w:rsid w:val="00816434"/>
    <w:rsid w:val="008166DF"/>
    <w:rsid w:val="0081783B"/>
    <w:rsid w:val="00817D1D"/>
    <w:rsid w:val="0082017A"/>
    <w:rsid w:val="00823AD7"/>
    <w:rsid w:val="00823C09"/>
    <w:rsid w:val="00823D3E"/>
    <w:rsid w:val="0082501B"/>
    <w:rsid w:val="008253AD"/>
    <w:rsid w:val="008254FA"/>
    <w:rsid w:val="008354FE"/>
    <w:rsid w:val="00837583"/>
    <w:rsid w:val="00837744"/>
    <w:rsid w:val="00837772"/>
    <w:rsid w:val="00841B18"/>
    <w:rsid w:val="00842646"/>
    <w:rsid w:val="00843279"/>
    <w:rsid w:val="0084327F"/>
    <w:rsid w:val="0084441D"/>
    <w:rsid w:val="00844D1D"/>
    <w:rsid w:val="008467A2"/>
    <w:rsid w:val="00846946"/>
    <w:rsid w:val="008501F0"/>
    <w:rsid w:val="00850437"/>
    <w:rsid w:val="00851EF0"/>
    <w:rsid w:val="00857539"/>
    <w:rsid w:val="008608C0"/>
    <w:rsid w:val="00861D0C"/>
    <w:rsid w:val="00861E5B"/>
    <w:rsid w:val="00862AFF"/>
    <w:rsid w:val="008637F1"/>
    <w:rsid w:val="00865D81"/>
    <w:rsid w:val="008679AE"/>
    <w:rsid w:val="008726A1"/>
    <w:rsid w:val="0087732D"/>
    <w:rsid w:val="00877F9C"/>
    <w:rsid w:val="00881363"/>
    <w:rsid w:val="00881687"/>
    <w:rsid w:val="0088409D"/>
    <w:rsid w:val="00885F62"/>
    <w:rsid w:val="008877F8"/>
    <w:rsid w:val="00890219"/>
    <w:rsid w:val="008932DC"/>
    <w:rsid w:val="00894C5B"/>
    <w:rsid w:val="00896F70"/>
    <w:rsid w:val="008970F4"/>
    <w:rsid w:val="00897791"/>
    <w:rsid w:val="008A0288"/>
    <w:rsid w:val="008A0FE3"/>
    <w:rsid w:val="008A158A"/>
    <w:rsid w:val="008A21C3"/>
    <w:rsid w:val="008A38F3"/>
    <w:rsid w:val="008A3D50"/>
    <w:rsid w:val="008A4556"/>
    <w:rsid w:val="008A4990"/>
    <w:rsid w:val="008A4BE6"/>
    <w:rsid w:val="008A5729"/>
    <w:rsid w:val="008A6A83"/>
    <w:rsid w:val="008B0471"/>
    <w:rsid w:val="008B27F0"/>
    <w:rsid w:val="008B4787"/>
    <w:rsid w:val="008B5214"/>
    <w:rsid w:val="008B7470"/>
    <w:rsid w:val="008C08A4"/>
    <w:rsid w:val="008C27E5"/>
    <w:rsid w:val="008C3AA5"/>
    <w:rsid w:val="008C7524"/>
    <w:rsid w:val="008D3C72"/>
    <w:rsid w:val="008D4274"/>
    <w:rsid w:val="008D5A3C"/>
    <w:rsid w:val="008D6C8E"/>
    <w:rsid w:val="008D6D2F"/>
    <w:rsid w:val="008D7796"/>
    <w:rsid w:val="008E1470"/>
    <w:rsid w:val="008E468F"/>
    <w:rsid w:val="008F0613"/>
    <w:rsid w:val="008F0800"/>
    <w:rsid w:val="008F10A4"/>
    <w:rsid w:val="008F12A0"/>
    <w:rsid w:val="008F3EE3"/>
    <w:rsid w:val="008F509C"/>
    <w:rsid w:val="008F542E"/>
    <w:rsid w:val="008F6D55"/>
    <w:rsid w:val="008F7284"/>
    <w:rsid w:val="0090120E"/>
    <w:rsid w:val="00904CED"/>
    <w:rsid w:val="00904DA2"/>
    <w:rsid w:val="00905EA9"/>
    <w:rsid w:val="00905EDE"/>
    <w:rsid w:val="00907622"/>
    <w:rsid w:val="00911609"/>
    <w:rsid w:val="00911A6E"/>
    <w:rsid w:val="00911A82"/>
    <w:rsid w:val="009126D1"/>
    <w:rsid w:val="00914430"/>
    <w:rsid w:val="00914996"/>
    <w:rsid w:val="00915116"/>
    <w:rsid w:val="00915347"/>
    <w:rsid w:val="00916CF9"/>
    <w:rsid w:val="00917520"/>
    <w:rsid w:val="00920D5A"/>
    <w:rsid w:val="0092268E"/>
    <w:rsid w:val="009246A0"/>
    <w:rsid w:val="00932341"/>
    <w:rsid w:val="0093240D"/>
    <w:rsid w:val="00935C88"/>
    <w:rsid w:val="00935C9A"/>
    <w:rsid w:val="00936689"/>
    <w:rsid w:val="00940411"/>
    <w:rsid w:val="009406D0"/>
    <w:rsid w:val="00940BE2"/>
    <w:rsid w:val="00945845"/>
    <w:rsid w:val="00950A93"/>
    <w:rsid w:val="00952790"/>
    <w:rsid w:val="00953CEA"/>
    <w:rsid w:val="00957A77"/>
    <w:rsid w:val="009610EB"/>
    <w:rsid w:val="00961C88"/>
    <w:rsid w:val="0096236D"/>
    <w:rsid w:val="00964784"/>
    <w:rsid w:val="00964B46"/>
    <w:rsid w:val="0096583B"/>
    <w:rsid w:val="0096608F"/>
    <w:rsid w:val="0096703E"/>
    <w:rsid w:val="0097217E"/>
    <w:rsid w:val="00973695"/>
    <w:rsid w:val="00974B61"/>
    <w:rsid w:val="00974C78"/>
    <w:rsid w:val="00974DA9"/>
    <w:rsid w:val="00977901"/>
    <w:rsid w:val="00980A5F"/>
    <w:rsid w:val="00980BF7"/>
    <w:rsid w:val="00981557"/>
    <w:rsid w:val="009821BE"/>
    <w:rsid w:val="00983AC8"/>
    <w:rsid w:val="00985683"/>
    <w:rsid w:val="00986D8B"/>
    <w:rsid w:val="00986E64"/>
    <w:rsid w:val="0099033E"/>
    <w:rsid w:val="00990764"/>
    <w:rsid w:val="00993C30"/>
    <w:rsid w:val="00994D59"/>
    <w:rsid w:val="00996572"/>
    <w:rsid w:val="00997308"/>
    <w:rsid w:val="009A3EE2"/>
    <w:rsid w:val="009A52CC"/>
    <w:rsid w:val="009A58D6"/>
    <w:rsid w:val="009A7297"/>
    <w:rsid w:val="009B1A7C"/>
    <w:rsid w:val="009B3AFB"/>
    <w:rsid w:val="009B3FBE"/>
    <w:rsid w:val="009B5586"/>
    <w:rsid w:val="009C0BA8"/>
    <w:rsid w:val="009D0547"/>
    <w:rsid w:val="009E22C2"/>
    <w:rsid w:val="009E35C0"/>
    <w:rsid w:val="009E4A38"/>
    <w:rsid w:val="009E5539"/>
    <w:rsid w:val="009E6FB8"/>
    <w:rsid w:val="009F35F9"/>
    <w:rsid w:val="009F4D9C"/>
    <w:rsid w:val="009F6139"/>
    <w:rsid w:val="009F7C3A"/>
    <w:rsid w:val="00A00559"/>
    <w:rsid w:val="00A00A65"/>
    <w:rsid w:val="00A017F1"/>
    <w:rsid w:val="00A0298D"/>
    <w:rsid w:val="00A03435"/>
    <w:rsid w:val="00A0480A"/>
    <w:rsid w:val="00A04D88"/>
    <w:rsid w:val="00A101E9"/>
    <w:rsid w:val="00A10614"/>
    <w:rsid w:val="00A11A25"/>
    <w:rsid w:val="00A12131"/>
    <w:rsid w:val="00A12919"/>
    <w:rsid w:val="00A13704"/>
    <w:rsid w:val="00A17A81"/>
    <w:rsid w:val="00A20B0C"/>
    <w:rsid w:val="00A22FB7"/>
    <w:rsid w:val="00A24CDC"/>
    <w:rsid w:val="00A255DD"/>
    <w:rsid w:val="00A31394"/>
    <w:rsid w:val="00A322EA"/>
    <w:rsid w:val="00A3258A"/>
    <w:rsid w:val="00A352B9"/>
    <w:rsid w:val="00A35582"/>
    <w:rsid w:val="00A356C6"/>
    <w:rsid w:val="00A358FC"/>
    <w:rsid w:val="00A40332"/>
    <w:rsid w:val="00A418B0"/>
    <w:rsid w:val="00A41DA2"/>
    <w:rsid w:val="00A422EC"/>
    <w:rsid w:val="00A42807"/>
    <w:rsid w:val="00A429A3"/>
    <w:rsid w:val="00A42D4E"/>
    <w:rsid w:val="00A42DB7"/>
    <w:rsid w:val="00A442FB"/>
    <w:rsid w:val="00A4432B"/>
    <w:rsid w:val="00A46A89"/>
    <w:rsid w:val="00A479E5"/>
    <w:rsid w:val="00A47B51"/>
    <w:rsid w:val="00A52A9D"/>
    <w:rsid w:val="00A52B54"/>
    <w:rsid w:val="00A531B2"/>
    <w:rsid w:val="00A544E4"/>
    <w:rsid w:val="00A54994"/>
    <w:rsid w:val="00A54A10"/>
    <w:rsid w:val="00A57B6D"/>
    <w:rsid w:val="00A641F2"/>
    <w:rsid w:val="00A65C76"/>
    <w:rsid w:val="00A71DD4"/>
    <w:rsid w:val="00A73235"/>
    <w:rsid w:val="00A77C42"/>
    <w:rsid w:val="00A8323E"/>
    <w:rsid w:val="00A8581B"/>
    <w:rsid w:val="00A873B1"/>
    <w:rsid w:val="00A92778"/>
    <w:rsid w:val="00A935F6"/>
    <w:rsid w:val="00A93776"/>
    <w:rsid w:val="00A93C54"/>
    <w:rsid w:val="00A94342"/>
    <w:rsid w:val="00AA0154"/>
    <w:rsid w:val="00AA143F"/>
    <w:rsid w:val="00AA235C"/>
    <w:rsid w:val="00AA4A20"/>
    <w:rsid w:val="00AA4AB2"/>
    <w:rsid w:val="00AA4B58"/>
    <w:rsid w:val="00AB29DB"/>
    <w:rsid w:val="00AB4C71"/>
    <w:rsid w:val="00AB5701"/>
    <w:rsid w:val="00AC1D00"/>
    <w:rsid w:val="00AC309E"/>
    <w:rsid w:val="00AC3E2D"/>
    <w:rsid w:val="00AC48CF"/>
    <w:rsid w:val="00AC5699"/>
    <w:rsid w:val="00AC6A49"/>
    <w:rsid w:val="00AD1C77"/>
    <w:rsid w:val="00AD2E17"/>
    <w:rsid w:val="00AD49CB"/>
    <w:rsid w:val="00AD4F29"/>
    <w:rsid w:val="00AD6AD0"/>
    <w:rsid w:val="00AD7ABD"/>
    <w:rsid w:val="00AE0252"/>
    <w:rsid w:val="00AE0A02"/>
    <w:rsid w:val="00AE1F35"/>
    <w:rsid w:val="00AE256E"/>
    <w:rsid w:val="00AE2FC6"/>
    <w:rsid w:val="00AE4BC1"/>
    <w:rsid w:val="00AF3ACD"/>
    <w:rsid w:val="00AF4482"/>
    <w:rsid w:val="00B00276"/>
    <w:rsid w:val="00B00327"/>
    <w:rsid w:val="00B01AA7"/>
    <w:rsid w:val="00B0316C"/>
    <w:rsid w:val="00B033F9"/>
    <w:rsid w:val="00B037E6"/>
    <w:rsid w:val="00B03A30"/>
    <w:rsid w:val="00B04A8E"/>
    <w:rsid w:val="00B04EF1"/>
    <w:rsid w:val="00B05F5F"/>
    <w:rsid w:val="00B129CA"/>
    <w:rsid w:val="00B142E1"/>
    <w:rsid w:val="00B14C00"/>
    <w:rsid w:val="00B21108"/>
    <w:rsid w:val="00B212A9"/>
    <w:rsid w:val="00B254E3"/>
    <w:rsid w:val="00B33353"/>
    <w:rsid w:val="00B35E83"/>
    <w:rsid w:val="00B37EFC"/>
    <w:rsid w:val="00B40ECA"/>
    <w:rsid w:val="00B420F5"/>
    <w:rsid w:val="00B4470B"/>
    <w:rsid w:val="00B47142"/>
    <w:rsid w:val="00B50430"/>
    <w:rsid w:val="00B5311E"/>
    <w:rsid w:val="00B548C4"/>
    <w:rsid w:val="00B5509F"/>
    <w:rsid w:val="00B55999"/>
    <w:rsid w:val="00B55BD3"/>
    <w:rsid w:val="00B60105"/>
    <w:rsid w:val="00B64BA3"/>
    <w:rsid w:val="00B74990"/>
    <w:rsid w:val="00B75473"/>
    <w:rsid w:val="00B7597E"/>
    <w:rsid w:val="00B75C6C"/>
    <w:rsid w:val="00B7643E"/>
    <w:rsid w:val="00B76CC5"/>
    <w:rsid w:val="00B76D7F"/>
    <w:rsid w:val="00B773EB"/>
    <w:rsid w:val="00B77CA5"/>
    <w:rsid w:val="00B80933"/>
    <w:rsid w:val="00B80BCF"/>
    <w:rsid w:val="00B8132C"/>
    <w:rsid w:val="00B81CC1"/>
    <w:rsid w:val="00B8325B"/>
    <w:rsid w:val="00B87288"/>
    <w:rsid w:val="00B9423E"/>
    <w:rsid w:val="00B94CC5"/>
    <w:rsid w:val="00B95198"/>
    <w:rsid w:val="00B97380"/>
    <w:rsid w:val="00BA14FE"/>
    <w:rsid w:val="00BA21E0"/>
    <w:rsid w:val="00BA2610"/>
    <w:rsid w:val="00BA33DD"/>
    <w:rsid w:val="00BA54D6"/>
    <w:rsid w:val="00BA5A66"/>
    <w:rsid w:val="00BB13A9"/>
    <w:rsid w:val="00BB18BF"/>
    <w:rsid w:val="00BB33AA"/>
    <w:rsid w:val="00BB7F52"/>
    <w:rsid w:val="00BC2065"/>
    <w:rsid w:val="00BC2CE7"/>
    <w:rsid w:val="00BC3149"/>
    <w:rsid w:val="00BC4C38"/>
    <w:rsid w:val="00BC7924"/>
    <w:rsid w:val="00BC7F6A"/>
    <w:rsid w:val="00BD0728"/>
    <w:rsid w:val="00BD3506"/>
    <w:rsid w:val="00BD38FF"/>
    <w:rsid w:val="00BD3D4B"/>
    <w:rsid w:val="00BD49F1"/>
    <w:rsid w:val="00BD5025"/>
    <w:rsid w:val="00BD5419"/>
    <w:rsid w:val="00BE0123"/>
    <w:rsid w:val="00BE06A6"/>
    <w:rsid w:val="00BE2401"/>
    <w:rsid w:val="00BE54ED"/>
    <w:rsid w:val="00BE6541"/>
    <w:rsid w:val="00BE7C3F"/>
    <w:rsid w:val="00BF143A"/>
    <w:rsid w:val="00BF1A5F"/>
    <w:rsid w:val="00BF6A84"/>
    <w:rsid w:val="00C00621"/>
    <w:rsid w:val="00C00DF9"/>
    <w:rsid w:val="00C0384F"/>
    <w:rsid w:val="00C05227"/>
    <w:rsid w:val="00C07042"/>
    <w:rsid w:val="00C1439F"/>
    <w:rsid w:val="00C14F1F"/>
    <w:rsid w:val="00C1592A"/>
    <w:rsid w:val="00C17C4B"/>
    <w:rsid w:val="00C21233"/>
    <w:rsid w:val="00C21D86"/>
    <w:rsid w:val="00C22233"/>
    <w:rsid w:val="00C2335C"/>
    <w:rsid w:val="00C237DE"/>
    <w:rsid w:val="00C24817"/>
    <w:rsid w:val="00C27743"/>
    <w:rsid w:val="00C310B4"/>
    <w:rsid w:val="00C31BD5"/>
    <w:rsid w:val="00C31FA0"/>
    <w:rsid w:val="00C35BF8"/>
    <w:rsid w:val="00C35E9F"/>
    <w:rsid w:val="00C35ED5"/>
    <w:rsid w:val="00C35F9F"/>
    <w:rsid w:val="00C36DF6"/>
    <w:rsid w:val="00C40EDC"/>
    <w:rsid w:val="00C42CC0"/>
    <w:rsid w:val="00C43D2C"/>
    <w:rsid w:val="00C44BF2"/>
    <w:rsid w:val="00C50119"/>
    <w:rsid w:val="00C52197"/>
    <w:rsid w:val="00C53B70"/>
    <w:rsid w:val="00C54F8A"/>
    <w:rsid w:val="00C568E1"/>
    <w:rsid w:val="00C63007"/>
    <w:rsid w:val="00C64AA0"/>
    <w:rsid w:val="00C64BED"/>
    <w:rsid w:val="00C75539"/>
    <w:rsid w:val="00C75F41"/>
    <w:rsid w:val="00C818A2"/>
    <w:rsid w:val="00C854EF"/>
    <w:rsid w:val="00C85794"/>
    <w:rsid w:val="00C875E4"/>
    <w:rsid w:val="00C93950"/>
    <w:rsid w:val="00C94E83"/>
    <w:rsid w:val="00CA0C6E"/>
    <w:rsid w:val="00CA237C"/>
    <w:rsid w:val="00CA2B4F"/>
    <w:rsid w:val="00CA3564"/>
    <w:rsid w:val="00CA3A5A"/>
    <w:rsid w:val="00CA6053"/>
    <w:rsid w:val="00CA6191"/>
    <w:rsid w:val="00CA71D2"/>
    <w:rsid w:val="00CB3C0E"/>
    <w:rsid w:val="00CB6223"/>
    <w:rsid w:val="00CC01D6"/>
    <w:rsid w:val="00CC3D1A"/>
    <w:rsid w:val="00CC462A"/>
    <w:rsid w:val="00CC4746"/>
    <w:rsid w:val="00CC4B76"/>
    <w:rsid w:val="00CC72F1"/>
    <w:rsid w:val="00CD5E44"/>
    <w:rsid w:val="00CD7B92"/>
    <w:rsid w:val="00CE0BB4"/>
    <w:rsid w:val="00CE21C7"/>
    <w:rsid w:val="00CE4000"/>
    <w:rsid w:val="00CE456C"/>
    <w:rsid w:val="00CE6BDD"/>
    <w:rsid w:val="00CE6C8E"/>
    <w:rsid w:val="00CE7927"/>
    <w:rsid w:val="00CF1DA0"/>
    <w:rsid w:val="00CF2AB2"/>
    <w:rsid w:val="00CF2D90"/>
    <w:rsid w:val="00CF392D"/>
    <w:rsid w:val="00CF4110"/>
    <w:rsid w:val="00CF66F7"/>
    <w:rsid w:val="00D013A0"/>
    <w:rsid w:val="00D03D6D"/>
    <w:rsid w:val="00D045DF"/>
    <w:rsid w:val="00D05A21"/>
    <w:rsid w:val="00D06505"/>
    <w:rsid w:val="00D102BA"/>
    <w:rsid w:val="00D11AD4"/>
    <w:rsid w:val="00D121DF"/>
    <w:rsid w:val="00D14654"/>
    <w:rsid w:val="00D154CF"/>
    <w:rsid w:val="00D229E7"/>
    <w:rsid w:val="00D22F05"/>
    <w:rsid w:val="00D30AD3"/>
    <w:rsid w:val="00D30E90"/>
    <w:rsid w:val="00D31926"/>
    <w:rsid w:val="00D32CF5"/>
    <w:rsid w:val="00D340BD"/>
    <w:rsid w:val="00D3504C"/>
    <w:rsid w:val="00D35DF1"/>
    <w:rsid w:val="00D376B9"/>
    <w:rsid w:val="00D445FF"/>
    <w:rsid w:val="00D44E19"/>
    <w:rsid w:val="00D45375"/>
    <w:rsid w:val="00D50A63"/>
    <w:rsid w:val="00D54357"/>
    <w:rsid w:val="00D56440"/>
    <w:rsid w:val="00D568A7"/>
    <w:rsid w:val="00D6070A"/>
    <w:rsid w:val="00D60FA8"/>
    <w:rsid w:val="00D60FE0"/>
    <w:rsid w:val="00D64103"/>
    <w:rsid w:val="00D64901"/>
    <w:rsid w:val="00D65A8E"/>
    <w:rsid w:val="00D65CDB"/>
    <w:rsid w:val="00D66E52"/>
    <w:rsid w:val="00D71BFD"/>
    <w:rsid w:val="00D72B08"/>
    <w:rsid w:val="00D74A7C"/>
    <w:rsid w:val="00D75AD6"/>
    <w:rsid w:val="00D76675"/>
    <w:rsid w:val="00D77F95"/>
    <w:rsid w:val="00D8108A"/>
    <w:rsid w:val="00D82108"/>
    <w:rsid w:val="00D82FC3"/>
    <w:rsid w:val="00D83CA6"/>
    <w:rsid w:val="00D85890"/>
    <w:rsid w:val="00D85C5C"/>
    <w:rsid w:val="00D9510D"/>
    <w:rsid w:val="00DA12DC"/>
    <w:rsid w:val="00DA2E04"/>
    <w:rsid w:val="00DA55F5"/>
    <w:rsid w:val="00DA56BB"/>
    <w:rsid w:val="00DA6EAF"/>
    <w:rsid w:val="00DA7E06"/>
    <w:rsid w:val="00DB29D7"/>
    <w:rsid w:val="00DB2C8E"/>
    <w:rsid w:val="00DB3A60"/>
    <w:rsid w:val="00DB3BB6"/>
    <w:rsid w:val="00DB4C7A"/>
    <w:rsid w:val="00DC151D"/>
    <w:rsid w:val="00DC2CA6"/>
    <w:rsid w:val="00DC65AC"/>
    <w:rsid w:val="00DC6839"/>
    <w:rsid w:val="00DC68DB"/>
    <w:rsid w:val="00DC7F0D"/>
    <w:rsid w:val="00DD40BE"/>
    <w:rsid w:val="00DD4D90"/>
    <w:rsid w:val="00DD514E"/>
    <w:rsid w:val="00DD7E30"/>
    <w:rsid w:val="00DE5CF6"/>
    <w:rsid w:val="00DF019E"/>
    <w:rsid w:val="00DF21D3"/>
    <w:rsid w:val="00DF24B4"/>
    <w:rsid w:val="00DF43FA"/>
    <w:rsid w:val="00E03A17"/>
    <w:rsid w:val="00E050D7"/>
    <w:rsid w:val="00E12BFE"/>
    <w:rsid w:val="00E13378"/>
    <w:rsid w:val="00E17217"/>
    <w:rsid w:val="00E20065"/>
    <w:rsid w:val="00E2355B"/>
    <w:rsid w:val="00E25C8C"/>
    <w:rsid w:val="00E3018D"/>
    <w:rsid w:val="00E31C2D"/>
    <w:rsid w:val="00E36170"/>
    <w:rsid w:val="00E36368"/>
    <w:rsid w:val="00E36A8B"/>
    <w:rsid w:val="00E3711E"/>
    <w:rsid w:val="00E37D47"/>
    <w:rsid w:val="00E405DB"/>
    <w:rsid w:val="00E408F5"/>
    <w:rsid w:val="00E41838"/>
    <w:rsid w:val="00E44659"/>
    <w:rsid w:val="00E44FA9"/>
    <w:rsid w:val="00E45D9E"/>
    <w:rsid w:val="00E47726"/>
    <w:rsid w:val="00E47BC6"/>
    <w:rsid w:val="00E511DA"/>
    <w:rsid w:val="00E51523"/>
    <w:rsid w:val="00E523E6"/>
    <w:rsid w:val="00E52464"/>
    <w:rsid w:val="00E559E3"/>
    <w:rsid w:val="00E56EFB"/>
    <w:rsid w:val="00E576B6"/>
    <w:rsid w:val="00E62A5C"/>
    <w:rsid w:val="00E64713"/>
    <w:rsid w:val="00E67D15"/>
    <w:rsid w:val="00E706CE"/>
    <w:rsid w:val="00E73656"/>
    <w:rsid w:val="00E73972"/>
    <w:rsid w:val="00E73BBF"/>
    <w:rsid w:val="00E7493B"/>
    <w:rsid w:val="00E74CA0"/>
    <w:rsid w:val="00E74DC5"/>
    <w:rsid w:val="00E77E06"/>
    <w:rsid w:val="00E80D9A"/>
    <w:rsid w:val="00E82B9B"/>
    <w:rsid w:val="00E845F0"/>
    <w:rsid w:val="00E84885"/>
    <w:rsid w:val="00E87E82"/>
    <w:rsid w:val="00E90EC3"/>
    <w:rsid w:val="00E91FAE"/>
    <w:rsid w:val="00E92663"/>
    <w:rsid w:val="00E963B2"/>
    <w:rsid w:val="00E9798D"/>
    <w:rsid w:val="00EA0C1D"/>
    <w:rsid w:val="00EA2F9F"/>
    <w:rsid w:val="00EB02D7"/>
    <w:rsid w:val="00EB0430"/>
    <w:rsid w:val="00EB7CC4"/>
    <w:rsid w:val="00EC18B9"/>
    <w:rsid w:val="00EC1A75"/>
    <w:rsid w:val="00EC1FF6"/>
    <w:rsid w:val="00EC4ABE"/>
    <w:rsid w:val="00EC6A41"/>
    <w:rsid w:val="00EC6AFF"/>
    <w:rsid w:val="00EC77C3"/>
    <w:rsid w:val="00ED1124"/>
    <w:rsid w:val="00ED3C7D"/>
    <w:rsid w:val="00ED559C"/>
    <w:rsid w:val="00ED7BBE"/>
    <w:rsid w:val="00EE03FD"/>
    <w:rsid w:val="00EE3D9D"/>
    <w:rsid w:val="00EE40BF"/>
    <w:rsid w:val="00EE5C58"/>
    <w:rsid w:val="00EE6A87"/>
    <w:rsid w:val="00EF1C30"/>
    <w:rsid w:val="00EF2D40"/>
    <w:rsid w:val="00EF6AD1"/>
    <w:rsid w:val="00EF747D"/>
    <w:rsid w:val="00F0191B"/>
    <w:rsid w:val="00F03927"/>
    <w:rsid w:val="00F06730"/>
    <w:rsid w:val="00F076EE"/>
    <w:rsid w:val="00F123C6"/>
    <w:rsid w:val="00F1603B"/>
    <w:rsid w:val="00F16CD7"/>
    <w:rsid w:val="00F17F5D"/>
    <w:rsid w:val="00F21112"/>
    <w:rsid w:val="00F222CC"/>
    <w:rsid w:val="00F24AF5"/>
    <w:rsid w:val="00F30837"/>
    <w:rsid w:val="00F31A61"/>
    <w:rsid w:val="00F31B48"/>
    <w:rsid w:val="00F32397"/>
    <w:rsid w:val="00F3495D"/>
    <w:rsid w:val="00F37982"/>
    <w:rsid w:val="00F40A16"/>
    <w:rsid w:val="00F4433E"/>
    <w:rsid w:val="00F44593"/>
    <w:rsid w:val="00F51903"/>
    <w:rsid w:val="00F54A6F"/>
    <w:rsid w:val="00F560A0"/>
    <w:rsid w:val="00F56701"/>
    <w:rsid w:val="00F5767D"/>
    <w:rsid w:val="00F60C99"/>
    <w:rsid w:val="00F61A88"/>
    <w:rsid w:val="00F72884"/>
    <w:rsid w:val="00F74288"/>
    <w:rsid w:val="00F76C6A"/>
    <w:rsid w:val="00F777E4"/>
    <w:rsid w:val="00F77D13"/>
    <w:rsid w:val="00F80450"/>
    <w:rsid w:val="00F83E68"/>
    <w:rsid w:val="00F906F6"/>
    <w:rsid w:val="00F9111A"/>
    <w:rsid w:val="00F9163A"/>
    <w:rsid w:val="00F91690"/>
    <w:rsid w:val="00F95D82"/>
    <w:rsid w:val="00F96F9F"/>
    <w:rsid w:val="00FA1035"/>
    <w:rsid w:val="00FA1450"/>
    <w:rsid w:val="00FA153A"/>
    <w:rsid w:val="00FA1843"/>
    <w:rsid w:val="00FA1CCA"/>
    <w:rsid w:val="00FA20E3"/>
    <w:rsid w:val="00FA2415"/>
    <w:rsid w:val="00FA26CC"/>
    <w:rsid w:val="00FA4D4E"/>
    <w:rsid w:val="00FA6FEF"/>
    <w:rsid w:val="00FB3A02"/>
    <w:rsid w:val="00FB7ABF"/>
    <w:rsid w:val="00FC0EC5"/>
    <w:rsid w:val="00FC1012"/>
    <w:rsid w:val="00FC2327"/>
    <w:rsid w:val="00FC300F"/>
    <w:rsid w:val="00FC3400"/>
    <w:rsid w:val="00FC37E0"/>
    <w:rsid w:val="00FD3201"/>
    <w:rsid w:val="00FD3E2D"/>
    <w:rsid w:val="00FD551D"/>
    <w:rsid w:val="00FD5AA3"/>
    <w:rsid w:val="00FD6973"/>
    <w:rsid w:val="00FE0435"/>
    <w:rsid w:val="00FE09E7"/>
    <w:rsid w:val="00FE3207"/>
    <w:rsid w:val="00FE48A1"/>
    <w:rsid w:val="00FE4E56"/>
    <w:rsid w:val="00FE57B8"/>
    <w:rsid w:val="00FE5FB3"/>
    <w:rsid w:val="00FE79CA"/>
    <w:rsid w:val="00FE7DDD"/>
    <w:rsid w:val="00FF09EF"/>
    <w:rsid w:val="00FF10DD"/>
    <w:rsid w:val="00FF17F9"/>
    <w:rsid w:val="00FF1D43"/>
    <w:rsid w:val="00FF5871"/>
    <w:rsid w:val="00FF5929"/>
    <w:rsid w:val="00FF75CB"/>
    <w:rsid w:val="014700C9"/>
    <w:rsid w:val="01DD353B"/>
    <w:rsid w:val="0207548D"/>
    <w:rsid w:val="02546EFF"/>
    <w:rsid w:val="02A30202"/>
    <w:rsid w:val="02D200D1"/>
    <w:rsid w:val="033D1C3F"/>
    <w:rsid w:val="05D46900"/>
    <w:rsid w:val="0662438C"/>
    <w:rsid w:val="068E3EA2"/>
    <w:rsid w:val="0695068D"/>
    <w:rsid w:val="06A96309"/>
    <w:rsid w:val="06DE4A39"/>
    <w:rsid w:val="06E6261A"/>
    <w:rsid w:val="0735231C"/>
    <w:rsid w:val="074B219D"/>
    <w:rsid w:val="08EB6511"/>
    <w:rsid w:val="08EF78FF"/>
    <w:rsid w:val="08F71AE1"/>
    <w:rsid w:val="091D4BF4"/>
    <w:rsid w:val="09D77BFD"/>
    <w:rsid w:val="0AF74856"/>
    <w:rsid w:val="0B0C2548"/>
    <w:rsid w:val="0B116F37"/>
    <w:rsid w:val="0B273EC4"/>
    <w:rsid w:val="0BA253A6"/>
    <w:rsid w:val="0BD1199F"/>
    <w:rsid w:val="0C5A2622"/>
    <w:rsid w:val="0CF27553"/>
    <w:rsid w:val="0D5360C0"/>
    <w:rsid w:val="0E1A7C56"/>
    <w:rsid w:val="0E72044B"/>
    <w:rsid w:val="0E9C351B"/>
    <w:rsid w:val="0EC47C11"/>
    <w:rsid w:val="0ED00E80"/>
    <w:rsid w:val="0ED13D90"/>
    <w:rsid w:val="0F0D2923"/>
    <w:rsid w:val="10123405"/>
    <w:rsid w:val="10270CC4"/>
    <w:rsid w:val="11747F7D"/>
    <w:rsid w:val="11DC1BB5"/>
    <w:rsid w:val="11E57370"/>
    <w:rsid w:val="121861B3"/>
    <w:rsid w:val="12B374ED"/>
    <w:rsid w:val="13864D99"/>
    <w:rsid w:val="14993A3C"/>
    <w:rsid w:val="14BA6F1E"/>
    <w:rsid w:val="16C1200C"/>
    <w:rsid w:val="16CF660C"/>
    <w:rsid w:val="16DC750E"/>
    <w:rsid w:val="17087C4B"/>
    <w:rsid w:val="173636AB"/>
    <w:rsid w:val="175479A3"/>
    <w:rsid w:val="1766629D"/>
    <w:rsid w:val="18154930"/>
    <w:rsid w:val="181C2AAD"/>
    <w:rsid w:val="182F2A5B"/>
    <w:rsid w:val="19CA1098"/>
    <w:rsid w:val="1A4E08C2"/>
    <w:rsid w:val="1A5D07E2"/>
    <w:rsid w:val="1AE46C40"/>
    <w:rsid w:val="1B5655AE"/>
    <w:rsid w:val="1C1C0384"/>
    <w:rsid w:val="1C2A48EB"/>
    <w:rsid w:val="1C3462B6"/>
    <w:rsid w:val="1C88023A"/>
    <w:rsid w:val="1E1E2E24"/>
    <w:rsid w:val="1E463A4B"/>
    <w:rsid w:val="1E96592F"/>
    <w:rsid w:val="1ED84B45"/>
    <w:rsid w:val="1F5E4283"/>
    <w:rsid w:val="1FAD6507"/>
    <w:rsid w:val="20575FE6"/>
    <w:rsid w:val="206C4626"/>
    <w:rsid w:val="209B79E9"/>
    <w:rsid w:val="209D3815"/>
    <w:rsid w:val="20D861B9"/>
    <w:rsid w:val="212A5456"/>
    <w:rsid w:val="21901ADD"/>
    <w:rsid w:val="2199432D"/>
    <w:rsid w:val="21B93080"/>
    <w:rsid w:val="223E5B24"/>
    <w:rsid w:val="229A5885"/>
    <w:rsid w:val="235467BB"/>
    <w:rsid w:val="23E813D3"/>
    <w:rsid w:val="23EB7CEC"/>
    <w:rsid w:val="242E233F"/>
    <w:rsid w:val="24F83AD0"/>
    <w:rsid w:val="24F87EF4"/>
    <w:rsid w:val="25016940"/>
    <w:rsid w:val="250B42AD"/>
    <w:rsid w:val="25216FCA"/>
    <w:rsid w:val="2538160D"/>
    <w:rsid w:val="26192CF2"/>
    <w:rsid w:val="26853A8D"/>
    <w:rsid w:val="26AD7C21"/>
    <w:rsid w:val="26C3088E"/>
    <w:rsid w:val="273006E2"/>
    <w:rsid w:val="27743324"/>
    <w:rsid w:val="28406793"/>
    <w:rsid w:val="2894726A"/>
    <w:rsid w:val="289B799A"/>
    <w:rsid w:val="289F6F49"/>
    <w:rsid w:val="28AF1CAA"/>
    <w:rsid w:val="29DA42D2"/>
    <w:rsid w:val="2A3F52FF"/>
    <w:rsid w:val="2B0912C5"/>
    <w:rsid w:val="2B452A0E"/>
    <w:rsid w:val="2BB6453E"/>
    <w:rsid w:val="2BBF1E97"/>
    <w:rsid w:val="2BE57C40"/>
    <w:rsid w:val="2C110184"/>
    <w:rsid w:val="2CAD6921"/>
    <w:rsid w:val="2D4A4135"/>
    <w:rsid w:val="2DBA53C1"/>
    <w:rsid w:val="2E047AB2"/>
    <w:rsid w:val="2E6121D5"/>
    <w:rsid w:val="2EDF7CFD"/>
    <w:rsid w:val="2EE54593"/>
    <w:rsid w:val="2F673501"/>
    <w:rsid w:val="30674D0F"/>
    <w:rsid w:val="30B10055"/>
    <w:rsid w:val="318B051C"/>
    <w:rsid w:val="31BD1B48"/>
    <w:rsid w:val="3264640B"/>
    <w:rsid w:val="32A916F8"/>
    <w:rsid w:val="331E78A1"/>
    <w:rsid w:val="33A74B3A"/>
    <w:rsid w:val="33B57AB8"/>
    <w:rsid w:val="33E601CF"/>
    <w:rsid w:val="3402474C"/>
    <w:rsid w:val="34256ADD"/>
    <w:rsid w:val="34A14B71"/>
    <w:rsid w:val="34C829BE"/>
    <w:rsid w:val="35B3018D"/>
    <w:rsid w:val="36514352"/>
    <w:rsid w:val="372042E0"/>
    <w:rsid w:val="37454813"/>
    <w:rsid w:val="37A652AF"/>
    <w:rsid w:val="37E27ABF"/>
    <w:rsid w:val="384F626A"/>
    <w:rsid w:val="385C05B5"/>
    <w:rsid w:val="39A127BF"/>
    <w:rsid w:val="39EC7974"/>
    <w:rsid w:val="3A3435B5"/>
    <w:rsid w:val="3A363FBE"/>
    <w:rsid w:val="3A770C8A"/>
    <w:rsid w:val="3ACF2E2F"/>
    <w:rsid w:val="3B351131"/>
    <w:rsid w:val="3B9F4401"/>
    <w:rsid w:val="3C3709CE"/>
    <w:rsid w:val="3C8E0C87"/>
    <w:rsid w:val="3D9F2876"/>
    <w:rsid w:val="3DCA5047"/>
    <w:rsid w:val="3E6D4E42"/>
    <w:rsid w:val="3EB7245D"/>
    <w:rsid w:val="3EE31EEB"/>
    <w:rsid w:val="3F1612F4"/>
    <w:rsid w:val="3F357979"/>
    <w:rsid w:val="3F814625"/>
    <w:rsid w:val="41BF71E6"/>
    <w:rsid w:val="42271C3E"/>
    <w:rsid w:val="42574FF1"/>
    <w:rsid w:val="42640093"/>
    <w:rsid w:val="42F1165E"/>
    <w:rsid w:val="431A3DCD"/>
    <w:rsid w:val="43973F25"/>
    <w:rsid w:val="43AB270F"/>
    <w:rsid w:val="43B80B43"/>
    <w:rsid w:val="447A6AC5"/>
    <w:rsid w:val="449F7B69"/>
    <w:rsid w:val="44A731E3"/>
    <w:rsid w:val="44EE7D27"/>
    <w:rsid w:val="44F276AA"/>
    <w:rsid w:val="45511663"/>
    <w:rsid w:val="45FC1A04"/>
    <w:rsid w:val="46C005C3"/>
    <w:rsid w:val="47463D27"/>
    <w:rsid w:val="476E63C9"/>
    <w:rsid w:val="47A42F38"/>
    <w:rsid w:val="47A97CCA"/>
    <w:rsid w:val="47C80F2B"/>
    <w:rsid w:val="47DB6188"/>
    <w:rsid w:val="49330978"/>
    <w:rsid w:val="49665558"/>
    <w:rsid w:val="49BF4099"/>
    <w:rsid w:val="4AF66735"/>
    <w:rsid w:val="4B051CA9"/>
    <w:rsid w:val="4B5C23EC"/>
    <w:rsid w:val="4B8D09C0"/>
    <w:rsid w:val="4BD00F26"/>
    <w:rsid w:val="4D1F10F1"/>
    <w:rsid w:val="4DB01407"/>
    <w:rsid w:val="4DEF3DBC"/>
    <w:rsid w:val="4E034367"/>
    <w:rsid w:val="4E0C4B40"/>
    <w:rsid w:val="4ED061C1"/>
    <w:rsid w:val="4F21500D"/>
    <w:rsid w:val="4F83183D"/>
    <w:rsid w:val="4FC868F5"/>
    <w:rsid w:val="4FFB018E"/>
    <w:rsid w:val="509B2156"/>
    <w:rsid w:val="50B22106"/>
    <w:rsid w:val="50B243DE"/>
    <w:rsid w:val="512B6603"/>
    <w:rsid w:val="51A67CE3"/>
    <w:rsid w:val="52987C0E"/>
    <w:rsid w:val="52BB008A"/>
    <w:rsid w:val="52C15C9B"/>
    <w:rsid w:val="533F5C0C"/>
    <w:rsid w:val="544B010D"/>
    <w:rsid w:val="557C7D77"/>
    <w:rsid w:val="55ED552A"/>
    <w:rsid w:val="55FE5917"/>
    <w:rsid w:val="560B45F6"/>
    <w:rsid w:val="5639623A"/>
    <w:rsid w:val="569C78D4"/>
    <w:rsid w:val="56C02CFB"/>
    <w:rsid w:val="57FC22AC"/>
    <w:rsid w:val="586C67AC"/>
    <w:rsid w:val="58C40700"/>
    <w:rsid w:val="58DD665F"/>
    <w:rsid w:val="59B5300E"/>
    <w:rsid w:val="59CE1D85"/>
    <w:rsid w:val="59CF513B"/>
    <w:rsid w:val="5A18276C"/>
    <w:rsid w:val="5A1D36C7"/>
    <w:rsid w:val="5B393E8D"/>
    <w:rsid w:val="5B4210B9"/>
    <w:rsid w:val="5B5B4EA1"/>
    <w:rsid w:val="5B5E6925"/>
    <w:rsid w:val="5BE1538C"/>
    <w:rsid w:val="5BEE1152"/>
    <w:rsid w:val="5CDC63B0"/>
    <w:rsid w:val="5D846ECD"/>
    <w:rsid w:val="5DEB3878"/>
    <w:rsid w:val="5EDC6A2C"/>
    <w:rsid w:val="5F414C36"/>
    <w:rsid w:val="5F6406C4"/>
    <w:rsid w:val="6024012F"/>
    <w:rsid w:val="60410415"/>
    <w:rsid w:val="60612D7B"/>
    <w:rsid w:val="619D3396"/>
    <w:rsid w:val="627B34E9"/>
    <w:rsid w:val="62A333B5"/>
    <w:rsid w:val="62D070F9"/>
    <w:rsid w:val="62D62189"/>
    <w:rsid w:val="634A7A12"/>
    <w:rsid w:val="63C60952"/>
    <w:rsid w:val="64F41851"/>
    <w:rsid w:val="653529B1"/>
    <w:rsid w:val="65A53CA3"/>
    <w:rsid w:val="66232408"/>
    <w:rsid w:val="6655377C"/>
    <w:rsid w:val="665855E5"/>
    <w:rsid w:val="667D72E8"/>
    <w:rsid w:val="674D6205"/>
    <w:rsid w:val="67695EF9"/>
    <w:rsid w:val="68F35F94"/>
    <w:rsid w:val="693C5C12"/>
    <w:rsid w:val="69A81ACB"/>
    <w:rsid w:val="69C551DF"/>
    <w:rsid w:val="6AD216DB"/>
    <w:rsid w:val="6AFA49B3"/>
    <w:rsid w:val="6B223562"/>
    <w:rsid w:val="6B73318B"/>
    <w:rsid w:val="6B82112E"/>
    <w:rsid w:val="6BBE0434"/>
    <w:rsid w:val="6C24588E"/>
    <w:rsid w:val="6CA71045"/>
    <w:rsid w:val="6CD26F8D"/>
    <w:rsid w:val="6D09718B"/>
    <w:rsid w:val="6D567272"/>
    <w:rsid w:val="6DA96840"/>
    <w:rsid w:val="6DF1623B"/>
    <w:rsid w:val="6E135976"/>
    <w:rsid w:val="6E867B9F"/>
    <w:rsid w:val="6FE629DC"/>
    <w:rsid w:val="70AF233C"/>
    <w:rsid w:val="70E86975"/>
    <w:rsid w:val="71787A1E"/>
    <w:rsid w:val="71CA4EFF"/>
    <w:rsid w:val="72050404"/>
    <w:rsid w:val="72634A87"/>
    <w:rsid w:val="72CA44AF"/>
    <w:rsid w:val="73566472"/>
    <w:rsid w:val="73CB7161"/>
    <w:rsid w:val="74030465"/>
    <w:rsid w:val="74184052"/>
    <w:rsid w:val="74233839"/>
    <w:rsid w:val="74357B61"/>
    <w:rsid w:val="74410788"/>
    <w:rsid w:val="74D76A93"/>
    <w:rsid w:val="74E47493"/>
    <w:rsid w:val="74EF75BD"/>
    <w:rsid w:val="75AF6659"/>
    <w:rsid w:val="76523628"/>
    <w:rsid w:val="766F3D26"/>
    <w:rsid w:val="77404693"/>
    <w:rsid w:val="77572441"/>
    <w:rsid w:val="777C5B0D"/>
    <w:rsid w:val="77E654DB"/>
    <w:rsid w:val="78714F54"/>
    <w:rsid w:val="78D924B9"/>
    <w:rsid w:val="792211A3"/>
    <w:rsid w:val="79674294"/>
    <w:rsid w:val="7A172636"/>
    <w:rsid w:val="7A681028"/>
    <w:rsid w:val="7AF57081"/>
    <w:rsid w:val="7BAD3FDB"/>
    <w:rsid w:val="7CD0540E"/>
    <w:rsid w:val="7D0C7465"/>
    <w:rsid w:val="7E536711"/>
    <w:rsid w:val="7FFD15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71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3E36"/>
    <w:pPr>
      <w:widowControl w:val="0"/>
      <w:jc w:val="both"/>
    </w:pPr>
    <w:rPr>
      <w:rFonts w:ascii="Calibri" w:hAnsi="Calibr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793E36"/>
    <w:rPr>
      <w:sz w:val="16"/>
      <w:szCs w:val="16"/>
    </w:rPr>
  </w:style>
  <w:style w:type="character" w:customStyle="1" w:styleId="CommentSubjectChar">
    <w:name w:val="Comment Subject Char"/>
    <w:link w:val="CommentSubject"/>
    <w:rsid w:val="00793E36"/>
    <w:rPr>
      <w:rFonts w:ascii="Calibri" w:hAnsi="Calibri"/>
      <w:b/>
      <w:bCs/>
      <w:kern w:val="2"/>
      <w:lang w:val="en-US" w:eastAsia="zh-CN"/>
    </w:rPr>
  </w:style>
  <w:style w:type="character" w:customStyle="1" w:styleId="fontstyle11">
    <w:name w:val="fontstyle11"/>
    <w:rsid w:val="00793E36"/>
    <w:rPr>
      <w:rFonts w:ascii="CvltchRwqrwqAdvTT1b53b5fb . I" w:eastAsia="CvltchRwqrwqAdvTT1b53b5fb . I" w:hAnsi="CvltchRwqrwqAdvTT1b53b5fb . I" w:cs="CvltchRwqrwqAdvTT1b53b5fb . I"/>
      <w:b w:val="0"/>
      <w:i w:val="0"/>
      <w:color w:val="000000"/>
      <w:sz w:val="16"/>
      <w:szCs w:val="16"/>
    </w:rPr>
  </w:style>
  <w:style w:type="character" w:styleId="Hyperlink">
    <w:name w:val="Hyperlink"/>
    <w:rsid w:val="00793E36"/>
    <w:rPr>
      <w:color w:val="0563C1"/>
      <w:u w:val="single"/>
    </w:rPr>
  </w:style>
  <w:style w:type="character" w:customStyle="1" w:styleId="a">
    <w:name w:val="未处理的提及"/>
    <w:uiPriority w:val="99"/>
    <w:unhideWhenUsed/>
    <w:rsid w:val="00793E36"/>
    <w:rPr>
      <w:color w:val="808080"/>
      <w:shd w:val="clear" w:color="auto" w:fill="E6E6E6"/>
    </w:rPr>
  </w:style>
  <w:style w:type="character" w:customStyle="1" w:styleId="CommentTextChar">
    <w:name w:val="Comment Text Char"/>
    <w:link w:val="CommentText"/>
    <w:rsid w:val="00793E36"/>
    <w:rPr>
      <w:rFonts w:ascii="Calibri" w:hAnsi="Calibri"/>
      <w:kern w:val="2"/>
      <w:lang w:val="en-US" w:eastAsia="zh-CN"/>
    </w:rPr>
  </w:style>
  <w:style w:type="character" w:customStyle="1" w:styleId="fontstyle01">
    <w:name w:val="fontstyle01"/>
    <w:rsid w:val="00793E36"/>
    <w:rPr>
      <w:rFonts w:ascii="NxjwppYrsdshAdvTTb5929f4c" w:eastAsia="NxjwppYrsdshAdvTTb5929f4c" w:hAnsi="NxjwppYrsdshAdvTTb5929f4c" w:cs="NxjwppYrsdshAdvTTb5929f4c"/>
      <w:b w:val="0"/>
      <w:i w:val="0"/>
      <w:color w:val="000000"/>
      <w:sz w:val="16"/>
      <w:szCs w:val="16"/>
    </w:rPr>
  </w:style>
  <w:style w:type="character" w:customStyle="1" w:styleId="fontstyle21">
    <w:name w:val="fontstyle21"/>
    <w:rsid w:val="00793E36"/>
    <w:rPr>
      <w:rFonts w:ascii="CvltchRwqrwqAdvTT1b53b5fb . I" w:eastAsia="CvltchRwqrwqAdvTT1b53b5fb . I" w:hAnsi="CvltchRwqrwqAdvTT1b53b5fb . I" w:cs="CvltchRwqrwqAdvTT1b53b5fb . I"/>
      <w:b w:val="0"/>
      <w:i w:val="0"/>
      <w:color w:val="000000"/>
      <w:sz w:val="16"/>
      <w:szCs w:val="16"/>
    </w:rPr>
  </w:style>
  <w:style w:type="character" w:customStyle="1" w:styleId="BalloonTextChar">
    <w:name w:val="Balloon Text Char"/>
    <w:link w:val="BalloonText"/>
    <w:rsid w:val="00793E36"/>
    <w:rPr>
      <w:rFonts w:ascii="Segoe UI" w:hAnsi="Segoe UI" w:cs="Segoe UI"/>
      <w:kern w:val="2"/>
      <w:sz w:val="18"/>
      <w:szCs w:val="18"/>
      <w:lang w:val="en-US" w:eastAsia="zh-CN"/>
    </w:rPr>
  </w:style>
  <w:style w:type="paragraph" w:styleId="BalloonText">
    <w:name w:val="Balloon Text"/>
    <w:basedOn w:val="Normal"/>
    <w:link w:val="BalloonTextChar"/>
    <w:rsid w:val="00793E36"/>
    <w:rPr>
      <w:rFonts w:ascii="Segoe UI" w:hAnsi="Segoe UI" w:cs="Segoe UI"/>
      <w:sz w:val="18"/>
      <w:szCs w:val="18"/>
    </w:rPr>
  </w:style>
  <w:style w:type="paragraph" w:styleId="CommentText">
    <w:name w:val="annotation text"/>
    <w:basedOn w:val="Normal"/>
    <w:link w:val="CommentTextChar"/>
    <w:rsid w:val="00793E36"/>
    <w:rPr>
      <w:sz w:val="20"/>
      <w:szCs w:val="20"/>
    </w:rPr>
  </w:style>
  <w:style w:type="paragraph" w:styleId="CommentSubject">
    <w:name w:val="annotation subject"/>
    <w:basedOn w:val="CommentText"/>
    <w:next w:val="CommentText"/>
    <w:link w:val="CommentSubjectChar"/>
    <w:rsid w:val="00793E36"/>
    <w:rPr>
      <w:b/>
      <w:bCs/>
    </w:rPr>
  </w:style>
  <w:style w:type="paragraph" w:styleId="Revision">
    <w:name w:val="Revision"/>
    <w:uiPriority w:val="99"/>
    <w:unhideWhenUsed/>
    <w:rsid w:val="00793E36"/>
    <w:rPr>
      <w:rFonts w:ascii="Calibri" w:hAnsi="Calibri"/>
      <w:kern w:val="2"/>
      <w:sz w:val="21"/>
      <w:szCs w:val="24"/>
    </w:rPr>
  </w:style>
  <w:style w:type="paragraph" w:styleId="ListParagraph">
    <w:name w:val="List Paragraph"/>
    <w:basedOn w:val="Normal"/>
    <w:uiPriority w:val="99"/>
    <w:qFormat/>
    <w:rsid w:val="00793E36"/>
    <w:pPr>
      <w:ind w:left="720"/>
    </w:pPr>
  </w:style>
  <w:style w:type="table" w:styleId="TableGrid">
    <w:name w:val="Table Grid"/>
    <w:basedOn w:val="TableNormal"/>
    <w:rsid w:val="00793E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793E3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LineNumber">
    <w:name w:val="line number"/>
    <w:rsid w:val="001B76CD"/>
  </w:style>
  <w:style w:type="paragraph" w:styleId="Header">
    <w:name w:val="header"/>
    <w:basedOn w:val="Normal"/>
    <w:link w:val="HeaderChar"/>
    <w:rsid w:val="00B4714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B47142"/>
    <w:rPr>
      <w:rFonts w:ascii="Calibri" w:hAnsi="Calibri"/>
      <w:kern w:val="2"/>
      <w:sz w:val="18"/>
      <w:szCs w:val="18"/>
    </w:rPr>
  </w:style>
  <w:style w:type="paragraph" w:styleId="Footer">
    <w:name w:val="footer"/>
    <w:basedOn w:val="Normal"/>
    <w:link w:val="FooterChar"/>
    <w:rsid w:val="00B47142"/>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B47142"/>
    <w:rPr>
      <w:rFonts w:ascii="Calibri" w:hAnsi="Calibri"/>
      <w:kern w:val="2"/>
      <w:sz w:val="18"/>
      <w:szCs w:val="18"/>
    </w:rPr>
  </w:style>
  <w:style w:type="character" w:styleId="PlaceholderText">
    <w:name w:val="Placeholder Text"/>
    <w:basedOn w:val="DefaultParagraphFont"/>
    <w:uiPriority w:val="99"/>
    <w:unhideWhenUsed/>
    <w:rsid w:val="002469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hyjia@163.com" TargetMode="External"/><Relationship Id="rId3" Type="http://schemas.openxmlformats.org/officeDocument/2006/relationships/settings" Target="settings.xml"/><Relationship Id="rId7" Type="http://schemas.openxmlformats.org/officeDocument/2006/relationships/hyperlink" Target="mailto:jzhyjia@163.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lqin65@163.com" TargetMode="External"/><Relationship Id="rId4" Type="http://schemas.openxmlformats.org/officeDocument/2006/relationships/webSettings" Target="webSettings.xml"/><Relationship Id="rId9" Type="http://schemas.openxmlformats.org/officeDocument/2006/relationships/hyperlink" Target="mailto:hlqin65@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5732</Words>
  <Characters>32675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38331</CharactersWithSpaces>
  <SharedDoc>false</SharedDoc>
  <HLinks>
    <vt:vector size="24" baseType="variant">
      <vt:variant>
        <vt:i4>2883662</vt:i4>
      </vt:variant>
      <vt:variant>
        <vt:i4>9</vt:i4>
      </vt:variant>
      <vt:variant>
        <vt:i4>0</vt:i4>
      </vt:variant>
      <vt:variant>
        <vt:i4>5</vt:i4>
      </vt:variant>
      <vt:variant>
        <vt:lpwstr>mailto:hlqin65@163.com</vt:lpwstr>
      </vt:variant>
      <vt:variant>
        <vt:lpwstr/>
      </vt:variant>
      <vt:variant>
        <vt:i4>6750231</vt:i4>
      </vt:variant>
      <vt:variant>
        <vt:i4>6</vt:i4>
      </vt:variant>
      <vt:variant>
        <vt:i4>0</vt:i4>
      </vt:variant>
      <vt:variant>
        <vt:i4>5</vt:i4>
      </vt:variant>
      <vt:variant>
        <vt:lpwstr>mailto:jzhyjia@163.com</vt:lpwstr>
      </vt:variant>
      <vt:variant>
        <vt:lpwstr/>
      </vt:variant>
      <vt:variant>
        <vt:i4>6750231</vt:i4>
      </vt:variant>
      <vt:variant>
        <vt:i4>3</vt:i4>
      </vt:variant>
      <vt:variant>
        <vt:i4>0</vt:i4>
      </vt:variant>
      <vt:variant>
        <vt:i4>5</vt:i4>
      </vt:variant>
      <vt:variant>
        <vt:lpwstr>mailto:jzhyjia@163.com</vt:lpwstr>
      </vt:variant>
      <vt:variant>
        <vt:lpwstr/>
      </vt:variant>
      <vt:variant>
        <vt:i4>2883662</vt:i4>
      </vt:variant>
      <vt:variant>
        <vt:i4>0</vt:i4>
      </vt:variant>
      <vt:variant>
        <vt:i4>0</vt:i4>
      </vt:variant>
      <vt:variant>
        <vt:i4>5</vt:i4>
      </vt:variant>
      <vt:variant>
        <vt:lpwstr>mailto:hlqin65@163.com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2019-01-16T10:27:00Z</dcterms:created>
  <dcterms:modified xsi:type="dcterms:W3CDTF">2019-02-04T20:53:00Z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