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04302" w14:textId="77777777" w:rsidR="005E0E0C" w:rsidRPr="004D48D4" w:rsidRDefault="001F61BC">
      <w:pPr>
        <w:rPr>
          <w:rFonts w:ascii="Times New Roman" w:hAnsi="Times New Roman" w:cs="Times New Roman"/>
          <w:lang w:val="en-US"/>
        </w:rPr>
      </w:pPr>
      <w:r w:rsidRPr="004D48D4">
        <w:rPr>
          <w:rFonts w:ascii="Times New Roman" w:hAnsi="Times New Roman" w:cs="Times New Roman"/>
          <w:lang w:val="en-US"/>
        </w:rPr>
        <w:t xml:space="preserve">Ms. Ref. No. </w:t>
      </w:r>
      <w:r w:rsidR="00EC40E4">
        <w:rPr>
          <w:rStyle w:val="highlight"/>
          <w:rFonts w:ascii="Calibri" w:hAnsi="Calibri"/>
          <w:lang w:val="en-US"/>
        </w:rPr>
        <w:t>JoVE</w:t>
      </w:r>
      <w:r w:rsidR="00EC40E4">
        <w:rPr>
          <w:rFonts w:ascii="Calibri" w:hAnsi="Calibri"/>
          <w:lang w:val="en-US"/>
        </w:rPr>
        <w:t>57823</w:t>
      </w:r>
      <w:r w:rsidR="004D48D4">
        <w:rPr>
          <w:rFonts w:ascii="Times New Roman" w:hAnsi="Times New Roman" w:cs="Times New Roman"/>
          <w:lang w:val="en-US"/>
        </w:rPr>
        <w:t> </w:t>
      </w:r>
      <w:r w:rsidR="00022AD6" w:rsidRPr="004D48D4">
        <w:rPr>
          <w:rFonts w:ascii="Times New Roman" w:hAnsi="Times New Roman" w:cs="Times New Roman"/>
          <w:lang w:val="en-US"/>
        </w:rPr>
        <w:br/>
        <w:t xml:space="preserve">Title: </w:t>
      </w:r>
      <w:r w:rsidR="00EC40E4" w:rsidRPr="00EC40E4">
        <w:rPr>
          <w:rFonts w:ascii="Calibri" w:hAnsi="Calibri"/>
          <w:i/>
          <w:lang w:val="en-US"/>
        </w:rPr>
        <w:t>In situ</w:t>
      </w:r>
      <w:r w:rsidR="00EC40E4">
        <w:rPr>
          <w:rFonts w:ascii="Calibri" w:hAnsi="Calibri"/>
          <w:lang w:val="en-US"/>
        </w:rPr>
        <w:t xml:space="preserve"> microscopy for real-time determination of single-cell morphology in bioprocesses</w:t>
      </w:r>
      <w:r w:rsidR="00022AD6" w:rsidRPr="004D48D4">
        <w:rPr>
          <w:rFonts w:ascii="Times New Roman" w:hAnsi="Times New Roman" w:cs="Times New Roman"/>
          <w:lang w:val="en-US"/>
        </w:rPr>
        <w:br/>
      </w:r>
      <w:proofErr w:type="spellStart"/>
      <w:r w:rsidR="00EC40E4">
        <w:rPr>
          <w:rFonts w:ascii="Times New Roman" w:hAnsi="Times New Roman" w:cs="Times New Roman"/>
          <w:lang w:val="en-US"/>
        </w:rPr>
        <w:t>JoVE</w:t>
      </w:r>
      <w:proofErr w:type="spellEnd"/>
      <w:r w:rsidR="00022AD6" w:rsidRPr="004D48D4">
        <w:rPr>
          <w:rFonts w:ascii="Times New Roman" w:hAnsi="Times New Roman" w:cs="Times New Roman"/>
          <w:lang w:val="en-US"/>
        </w:rPr>
        <w:br/>
      </w:r>
    </w:p>
    <w:tbl>
      <w:tblPr>
        <w:tblStyle w:val="TableGrid"/>
        <w:tblW w:w="14755" w:type="dxa"/>
        <w:tblLook w:val="04A0" w:firstRow="1" w:lastRow="0" w:firstColumn="1" w:lastColumn="0" w:noHBand="0" w:noVBand="1"/>
      </w:tblPr>
      <w:tblGrid>
        <w:gridCol w:w="6655"/>
        <w:gridCol w:w="8100"/>
      </w:tblGrid>
      <w:tr w:rsidR="00022AD6" w:rsidRPr="00315FCC" w14:paraId="74A4FD6C" w14:textId="77777777" w:rsidTr="0062272D">
        <w:tc>
          <w:tcPr>
            <w:tcW w:w="6655" w:type="dxa"/>
          </w:tcPr>
          <w:p w14:paraId="47279B3D" w14:textId="77777777" w:rsidR="00022AD6" w:rsidRPr="00315FCC" w:rsidRDefault="00EC40E4" w:rsidP="00EC40E4">
            <w:pPr>
              <w:pStyle w:val="NoSpacing"/>
              <w:rPr>
                <w:b/>
              </w:rPr>
            </w:pPr>
            <w:r>
              <w:rPr>
                <w:b/>
              </w:rPr>
              <w:t>Editorial</w:t>
            </w:r>
            <w:r w:rsidR="00022AD6" w:rsidRPr="00315FCC">
              <w:rPr>
                <w:b/>
              </w:rPr>
              <w:t>' comments</w:t>
            </w:r>
          </w:p>
        </w:tc>
        <w:tc>
          <w:tcPr>
            <w:tcW w:w="8100" w:type="dxa"/>
          </w:tcPr>
          <w:p w14:paraId="557B4222" w14:textId="77777777" w:rsidR="00022AD6" w:rsidRPr="00315FCC" w:rsidRDefault="00022AD6" w:rsidP="0011159E">
            <w:pPr>
              <w:pStyle w:val="NoSpacing"/>
              <w:rPr>
                <w:b/>
              </w:rPr>
            </w:pPr>
            <w:r w:rsidRPr="00315FCC">
              <w:rPr>
                <w:b/>
              </w:rPr>
              <w:t>Author’s comments</w:t>
            </w:r>
          </w:p>
        </w:tc>
      </w:tr>
      <w:tr w:rsidR="00022AD6" w:rsidRPr="002336A7" w14:paraId="64DF2F44" w14:textId="77777777" w:rsidTr="0062272D">
        <w:tc>
          <w:tcPr>
            <w:tcW w:w="6655" w:type="dxa"/>
          </w:tcPr>
          <w:p w14:paraId="789B07B9" w14:textId="77777777" w:rsidR="00022AD6" w:rsidRPr="0062272D" w:rsidRDefault="00E25051" w:rsidP="00211E0B">
            <w:pPr>
              <w:pStyle w:val="body"/>
            </w:pPr>
            <w:r>
              <w:t xml:space="preserve">1. Please take this opportunity to thoroughly proofread the manuscript to ensure that there are no spelling or grammar issues. The </w:t>
            </w:r>
            <w:proofErr w:type="spellStart"/>
            <w:r>
              <w:rPr>
                <w:rStyle w:val="highlight"/>
                <w:rFonts w:ascii="Calibri" w:hAnsi="Calibri"/>
              </w:rPr>
              <w:t>JoVE</w:t>
            </w:r>
            <w:proofErr w:type="spellEnd"/>
            <w:r>
              <w:t xml:space="preserve"> editor will not copy-edit your manuscript and any errors in the submitted revision may be present in the published version.</w:t>
            </w:r>
          </w:p>
        </w:tc>
        <w:tc>
          <w:tcPr>
            <w:tcW w:w="8100" w:type="dxa"/>
          </w:tcPr>
          <w:p w14:paraId="6E844F32" w14:textId="77777777" w:rsidR="00F6669F" w:rsidRPr="00F6669F" w:rsidRDefault="000F7B33" w:rsidP="00211E0B">
            <w:pPr>
              <w:pStyle w:val="body"/>
            </w:pPr>
            <w:r>
              <w:t>The manuscript was thoroughly checked for spelling mistakes and partly checked for grammar by a native speaker.</w:t>
            </w:r>
          </w:p>
        </w:tc>
      </w:tr>
      <w:tr w:rsidR="00022AD6" w:rsidRPr="00FA1AB5" w14:paraId="578246A6" w14:textId="77777777" w:rsidTr="0062272D">
        <w:tc>
          <w:tcPr>
            <w:tcW w:w="6655" w:type="dxa"/>
          </w:tcPr>
          <w:p w14:paraId="61253884" w14:textId="77777777" w:rsidR="00022AD6" w:rsidRPr="000369ED" w:rsidRDefault="003734CE" w:rsidP="00211E0B">
            <w:pPr>
              <w:pStyle w:val="body"/>
            </w:pPr>
            <w:r>
              <w:t>2. Figure 4/5/6: Please increase the size of the scale bar for visibility.</w:t>
            </w:r>
          </w:p>
        </w:tc>
        <w:tc>
          <w:tcPr>
            <w:tcW w:w="8100" w:type="dxa"/>
          </w:tcPr>
          <w:p w14:paraId="6BF6009C" w14:textId="77777777" w:rsidR="00022AD6" w:rsidRPr="000369ED" w:rsidRDefault="000F7B33" w:rsidP="00211E0B">
            <w:pPr>
              <w:pStyle w:val="body"/>
            </w:pPr>
            <w:r>
              <w:t>This was changed.</w:t>
            </w:r>
          </w:p>
        </w:tc>
      </w:tr>
      <w:tr w:rsidR="00022AD6" w:rsidRPr="003356AC" w14:paraId="2BF8E2E6" w14:textId="77777777" w:rsidTr="0062272D">
        <w:tc>
          <w:tcPr>
            <w:tcW w:w="6655" w:type="dxa"/>
          </w:tcPr>
          <w:p w14:paraId="3BDD3063" w14:textId="77777777" w:rsidR="00022AD6" w:rsidRPr="000369ED" w:rsidRDefault="002E66C2" w:rsidP="00211E0B">
            <w:pPr>
              <w:pStyle w:val="body"/>
            </w:pPr>
            <w:r>
              <w:t>3. Figure 5: Is the unit for MG correct? This figure is not very clear.</w:t>
            </w:r>
          </w:p>
        </w:tc>
        <w:tc>
          <w:tcPr>
            <w:tcW w:w="8100" w:type="dxa"/>
          </w:tcPr>
          <w:p w14:paraId="2F9616E4" w14:textId="77777777" w:rsidR="00022AD6" w:rsidRPr="000369ED" w:rsidRDefault="00211E0B" w:rsidP="00211E0B">
            <w:pPr>
              <w:pStyle w:val="body"/>
            </w:pPr>
            <w:r>
              <w:t>Yes, it is correct.</w:t>
            </w:r>
          </w:p>
        </w:tc>
      </w:tr>
      <w:tr w:rsidR="00022AD6" w:rsidRPr="000F7B33" w14:paraId="7CAC0AF7" w14:textId="77777777" w:rsidTr="0062272D">
        <w:tc>
          <w:tcPr>
            <w:tcW w:w="6655" w:type="dxa"/>
          </w:tcPr>
          <w:p w14:paraId="062562A2" w14:textId="77777777" w:rsidR="00022AD6" w:rsidRPr="000369ED" w:rsidRDefault="002E66C2" w:rsidP="00211E0B">
            <w:pPr>
              <w:pStyle w:val="body"/>
            </w:pPr>
            <w:r>
              <w:t>4. Figure 7: Why is panel C to the right of Panel A when in prior figures, it is Panel B? Please be consistent.</w:t>
            </w:r>
          </w:p>
        </w:tc>
        <w:tc>
          <w:tcPr>
            <w:tcW w:w="8100" w:type="dxa"/>
          </w:tcPr>
          <w:p w14:paraId="6345827E" w14:textId="77777777" w:rsidR="00022AD6" w:rsidRPr="000369ED" w:rsidRDefault="000F7B33" w:rsidP="00211E0B">
            <w:pPr>
              <w:pStyle w:val="body"/>
            </w:pPr>
            <w:r>
              <w:t>This was changed</w:t>
            </w:r>
            <w:r w:rsidR="00211E0B">
              <w:t>.</w:t>
            </w:r>
          </w:p>
        </w:tc>
      </w:tr>
      <w:tr w:rsidR="00022AD6" w:rsidRPr="002336A7" w14:paraId="15CAD967" w14:textId="77777777" w:rsidTr="0062272D">
        <w:tc>
          <w:tcPr>
            <w:tcW w:w="6655" w:type="dxa"/>
          </w:tcPr>
          <w:p w14:paraId="6F2D94D9" w14:textId="77777777" w:rsidR="00022AD6" w:rsidRPr="000369ED" w:rsidRDefault="002E66C2" w:rsidP="00211E0B">
            <w:pPr>
              <w:pStyle w:val="body"/>
            </w:pPr>
            <w:r>
              <w:t xml:space="preserve">5. Please revise the table of the essential supplies, reagents, and equipment. The table should include the name, company, and catalog number of all relevant materials in separate columns in an </w:t>
            </w:r>
            <w:proofErr w:type="spellStart"/>
            <w:r>
              <w:t>xls</w:t>
            </w:r>
            <w:proofErr w:type="spellEnd"/>
            <w:r>
              <w:t>/</w:t>
            </w:r>
            <w:proofErr w:type="spellStart"/>
            <w:r>
              <w:t>xlsx</w:t>
            </w:r>
            <w:proofErr w:type="spellEnd"/>
            <w:r>
              <w:t xml:space="preserve"> file.</w:t>
            </w:r>
          </w:p>
        </w:tc>
        <w:tc>
          <w:tcPr>
            <w:tcW w:w="8100" w:type="dxa"/>
          </w:tcPr>
          <w:p w14:paraId="42B4310F" w14:textId="77777777" w:rsidR="00022AD6" w:rsidRPr="000369ED" w:rsidRDefault="000F7B33" w:rsidP="00211E0B">
            <w:pPr>
              <w:pStyle w:val="body"/>
            </w:pPr>
            <w:r>
              <w:t xml:space="preserve">The </w:t>
            </w:r>
            <w:r w:rsidR="00211E0B">
              <w:t xml:space="preserve">Fiji </w:t>
            </w:r>
            <w:r>
              <w:t xml:space="preserve">tool </w:t>
            </w:r>
            <w:r w:rsidR="00211E0B">
              <w:t xml:space="preserve">from ImageJ software and </w:t>
            </w:r>
            <w:r w:rsidR="00211E0B" w:rsidRPr="00211E0B">
              <w:t>50 mL conical centrifuge tubes</w:t>
            </w:r>
            <w:r w:rsidR="00211E0B">
              <w:t xml:space="preserve"> have been added to the list. </w:t>
            </w:r>
          </w:p>
        </w:tc>
      </w:tr>
      <w:tr w:rsidR="00022AD6" w:rsidRPr="002336A7" w14:paraId="56C5A82B" w14:textId="77777777" w:rsidTr="0062272D">
        <w:tc>
          <w:tcPr>
            <w:tcW w:w="6655" w:type="dxa"/>
          </w:tcPr>
          <w:p w14:paraId="22030CCD" w14:textId="77777777" w:rsidR="00022AD6" w:rsidRPr="000369ED" w:rsidRDefault="002E66C2" w:rsidP="00211E0B">
            <w:pPr>
              <w:pStyle w:val="body"/>
            </w:pPr>
            <w:r>
              <w:t>6. Please print and sign the attached Author License Agreement (ALA). Please then scan and upload the signed ALA with the manuscript files to your Editorial Manager account.</w:t>
            </w:r>
          </w:p>
        </w:tc>
        <w:tc>
          <w:tcPr>
            <w:tcW w:w="8100" w:type="dxa"/>
          </w:tcPr>
          <w:p w14:paraId="6A0ED9C7" w14:textId="77777777" w:rsidR="000369ED" w:rsidRPr="000369ED" w:rsidRDefault="000F7B33" w:rsidP="00211E0B">
            <w:pPr>
              <w:pStyle w:val="body"/>
            </w:pPr>
            <w:r>
              <w:t>The signed ALA was uploaded.</w:t>
            </w:r>
          </w:p>
        </w:tc>
      </w:tr>
      <w:tr w:rsidR="00022AD6" w:rsidRPr="002336A7" w14:paraId="12408B0F" w14:textId="77777777" w:rsidTr="0062272D">
        <w:tc>
          <w:tcPr>
            <w:tcW w:w="6655" w:type="dxa"/>
          </w:tcPr>
          <w:p w14:paraId="77D163A4" w14:textId="77777777" w:rsidR="00022AD6" w:rsidRPr="000369ED" w:rsidRDefault="002E66C2" w:rsidP="00211E0B">
            <w:pPr>
              <w:pStyle w:val="body"/>
            </w:pPr>
            <w: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tc>
        <w:tc>
          <w:tcPr>
            <w:tcW w:w="8100" w:type="dxa"/>
          </w:tcPr>
          <w:p w14:paraId="36E88B9B" w14:textId="77777777" w:rsidR="00022AD6" w:rsidRPr="000369ED" w:rsidRDefault="000F7B33" w:rsidP="00211E0B">
            <w:pPr>
              <w:pStyle w:val="body"/>
            </w:pPr>
            <w:r>
              <w:t>This was c</w:t>
            </w:r>
            <w:r w:rsidR="00211E0B">
              <w:t>hecked</w:t>
            </w:r>
            <w:r>
              <w:t xml:space="preserve"> throughout the manuscript</w:t>
            </w:r>
            <w:r w:rsidR="00211E0B">
              <w:t>. Several notes have been added when necessary.</w:t>
            </w:r>
          </w:p>
        </w:tc>
      </w:tr>
      <w:tr w:rsidR="002E66C2" w:rsidRPr="002336A7" w14:paraId="5085F571" w14:textId="77777777" w:rsidTr="0062272D">
        <w:tc>
          <w:tcPr>
            <w:tcW w:w="6655" w:type="dxa"/>
          </w:tcPr>
          <w:p w14:paraId="51237871" w14:textId="77777777" w:rsidR="002E66C2" w:rsidRDefault="002E66C2" w:rsidP="00211E0B">
            <w:pPr>
              <w:pStyle w:val="body"/>
            </w:pPr>
            <w:r>
              <w:lastRenderedPageBreak/>
              <w:t>8. The Protocol should contain only action items that direct the reader to do something. Please move the discussion about the protocol to the Discussion.</w:t>
            </w:r>
          </w:p>
        </w:tc>
        <w:tc>
          <w:tcPr>
            <w:tcW w:w="8100" w:type="dxa"/>
          </w:tcPr>
          <w:p w14:paraId="58D07784" w14:textId="77777777" w:rsidR="002E66C2" w:rsidRPr="000369ED" w:rsidRDefault="000F7B33" w:rsidP="00B1494A">
            <w:pPr>
              <w:pStyle w:val="body"/>
            </w:pPr>
            <w:r>
              <w:t xml:space="preserve">The manuscript was checked and discussions </w:t>
            </w:r>
            <w:r w:rsidR="00B1494A">
              <w:t>sections in</w:t>
            </w:r>
            <w:r>
              <w:t xml:space="preserve"> the method part were removed.</w:t>
            </w:r>
          </w:p>
        </w:tc>
      </w:tr>
      <w:tr w:rsidR="002E66C2" w:rsidRPr="002336A7" w14:paraId="39AD3647" w14:textId="77777777" w:rsidTr="0062272D">
        <w:tc>
          <w:tcPr>
            <w:tcW w:w="6655" w:type="dxa"/>
          </w:tcPr>
          <w:p w14:paraId="3E25DEDF" w14:textId="77777777" w:rsidR="002E66C2" w:rsidRDefault="002E66C2" w:rsidP="00211E0B">
            <w:pPr>
              <w:pStyle w:val="body"/>
              <w:rPr>
                <w:rFonts w:ascii="Calibri" w:hAnsi="Calibri"/>
              </w:rPr>
            </w:pPr>
            <w:r>
              <w:rPr>
                <w:rFonts w:ascii="Calibri" w:hAnsi="Calibri"/>
              </w:rPr>
              <w:t>9. Please add more details to your protocol steps. Please ensure you answer the “how” question, i.e., how is the step performed? Alternatively, add references to published material specifying how to perform the protocol action.</w:t>
            </w:r>
          </w:p>
        </w:tc>
        <w:tc>
          <w:tcPr>
            <w:tcW w:w="8100" w:type="dxa"/>
          </w:tcPr>
          <w:p w14:paraId="4DE3DD4A" w14:textId="4D3D6013" w:rsidR="002E66C2" w:rsidRPr="000369ED" w:rsidRDefault="000F7B33" w:rsidP="00CF07C9">
            <w:pPr>
              <w:pStyle w:val="body"/>
            </w:pPr>
            <w:r>
              <w:t>We think we provided exactly the information that is needed to conduct the method w/o mentioning all potential additional steps</w:t>
            </w:r>
            <w:r w:rsidR="00CF07C9">
              <w:t>,</w:t>
            </w:r>
            <w:r>
              <w:t xml:space="preserve"> w</w:t>
            </w:r>
            <w:r w:rsidR="0007581A">
              <w:t>h</w:t>
            </w:r>
            <w:r>
              <w:t>ere we refer to the handbook</w:t>
            </w:r>
            <w:r w:rsidR="00CF07C9">
              <w:t>. O</w:t>
            </w:r>
            <w:r>
              <w:t>therwise the idea of a protocol, which is applicable for lab work</w:t>
            </w:r>
            <w:r w:rsidR="00B1494A">
              <w:t>,</w:t>
            </w:r>
            <w:r>
              <w:t xml:space="preserve"> is not </w:t>
            </w:r>
            <w:r w:rsidR="00B1494A">
              <w:t>achieved</w:t>
            </w:r>
            <w:r w:rsidR="00FC4AB8">
              <w:t>.</w:t>
            </w:r>
          </w:p>
        </w:tc>
      </w:tr>
      <w:tr w:rsidR="002E66C2" w:rsidRPr="002336A7" w14:paraId="736C7AE2" w14:textId="77777777" w:rsidTr="0062272D">
        <w:tc>
          <w:tcPr>
            <w:tcW w:w="6655" w:type="dxa"/>
          </w:tcPr>
          <w:p w14:paraId="450805D4" w14:textId="77777777" w:rsidR="002E66C2" w:rsidRDefault="002E66C2" w:rsidP="00211E0B">
            <w:pPr>
              <w:pStyle w:val="body"/>
              <w:rPr>
                <w:rFonts w:ascii="Calibri" w:hAnsi="Calibri"/>
              </w:rPr>
            </w:pPr>
            <w:r>
              <w:rPr>
                <w:rFonts w:ascii="Calibri" w:hAnsi="Calibri"/>
              </w:rPr>
              <w:t>10. Section 1 of the protocol: Please provide specific values to be used here as we need them in order to be filmed. We cannot film a generalized protocol; we need specific values of a specific experiment.</w:t>
            </w:r>
          </w:p>
        </w:tc>
        <w:tc>
          <w:tcPr>
            <w:tcW w:w="8100" w:type="dxa"/>
          </w:tcPr>
          <w:p w14:paraId="725A92F4" w14:textId="77777777" w:rsidR="00CF07C9" w:rsidRDefault="001938A4" w:rsidP="00CF07C9">
            <w:pPr>
              <w:pStyle w:val="body"/>
            </w:pPr>
            <w:r>
              <w:t xml:space="preserve">We are explaining a general protocol, since the technology can be used for </w:t>
            </w:r>
            <w:r w:rsidR="00B1494A">
              <w:t>various</w:t>
            </w:r>
            <w:r>
              <w:t xml:space="preserve"> </w:t>
            </w:r>
            <w:r w:rsidR="00113297">
              <w:t>organisms</w:t>
            </w:r>
            <w:r>
              <w:t>, as well as for different processes.</w:t>
            </w:r>
            <w:r w:rsidR="00FC4AB8">
              <w:t xml:space="preserve"> </w:t>
            </w:r>
          </w:p>
          <w:p w14:paraId="5FD46D28" w14:textId="17C4A1D0" w:rsidR="002E66C2" w:rsidRPr="000369ED" w:rsidRDefault="00FC4AB8" w:rsidP="00CF07C9">
            <w:pPr>
              <w:pStyle w:val="body"/>
            </w:pPr>
            <w:r>
              <w:t xml:space="preserve">We therefore added “in case of </w:t>
            </w:r>
            <w:r w:rsidR="001938A4" w:rsidRPr="001938A4">
              <w:rPr>
                <w:rStyle w:val="bodyChar"/>
                <w:i/>
              </w:rPr>
              <w:t>Saccharomyces cerevisiae</w:t>
            </w:r>
            <w:r>
              <w:rPr>
                <w:rStyle w:val="bodyChar"/>
                <w:i/>
              </w:rPr>
              <w:t xml:space="preserve">…” </w:t>
            </w:r>
            <w:r w:rsidRPr="00FC4AB8">
              <w:rPr>
                <w:rStyle w:val="bodyChar"/>
              </w:rPr>
              <w:t>phrases</w:t>
            </w:r>
            <w:r>
              <w:rPr>
                <w:rStyle w:val="bodyChar"/>
              </w:rPr>
              <w:t xml:space="preserve"> to add specific information to the protocol, which is related to the content of the film.</w:t>
            </w:r>
          </w:p>
        </w:tc>
      </w:tr>
      <w:tr w:rsidR="002E66C2" w:rsidRPr="000F7B33" w14:paraId="58095414" w14:textId="77777777" w:rsidTr="0062272D">
        <w:tc>
          <w:tcPr>
            <w:tcW w:w="6655" w:type="dxa"/>
          </w:tcPr>
          <w:p w14:paraId="23B32AC3" w14:textId="77777777" w:rsidR="002E66C2" w:rsidRDefault="002E66C2" w:rsidP="00211E0B">
            <w:pPr>
              <w:pStyle w:val="body"/>
              <w:rPr>
                <w:rFonts w:ascii="Calibri" w:hAnsi="Calibri"/>
              </w:rPr>
            </w:pPr>
            <w:r>
              <w:rPr>
                <w:rFonts w:ascii="Calibri" w:hAnsi="Calibri"/>
              </w:rPr>
              <w:t>11. What is the sample?</w:t>
            </w:r>
          </w:p>
        </w:tc>
        <w:tc>
          <w:tcPr>
            <w:tcW w:w="8100" w:type="dxa"/>
          </w:tcPr>
          <w:p w14:paraId="2B7C3BA8" w14:textId="77777777" w:rsidR="002E66C2" w:rsidRPr="000F3589" w:rsidRDefault="001938A4" w:rsidP="00211E0B">
            <w:pPr>
              <w:pStyle w:val="body"/>
            </w:pPr>
            <w:r>
              <w:t xml:space="preserve">As pointed out above, the sample is </w:t>
            </w:r>
            <w:r w:rsidR="00FC4AB8">
              <w:t>culture broth containing any yeast or larger cells. This was specified in the manuscript.</w:t>
            </w:r>
          </w:p>
        </w:tc>
      </w:tr>
      <w:tr w:rsidR="002E66C2" w:rsidRPr="002336A7" w14:paraId="3DCE75A9" w14:textId="77777777" w:rsidTr="0062272D">
        <w:tc>
          <w:tcPr>
            <w:tcW w:w="6655" w:type="dxa"/>
          </w:tcPr>
          <w:p w14:paraId="78EB5802" w14:textId="77777777" w:rsidR="002E66C2" w:rsidRDefault="002E66C2" w:rsidP="00211E0B">
            <w:pPr>
              <w:pStyle w:val="body"/>
              <w:rPr>
                <w:rFonts w:ascii="Calibri" w:hAnsi="Calibri"/>
              </w:rPr>
            </w:pPr>
            <w:r>
              <w:rPr>
                <w:rFonts w:ascii="Calibri" w:hAnsi="Calibri"/>
              </w:rPr>
              <w:t>12. Please provide all experimental parameters.</w:t>
            </w:r>
          </w:p>
        </w:tc>
        <w:tc>
          <w:tcPr>
            <w:tcW w:w="8100" w:type="dxa"/>
          </w:tcPr>
          <w:p w14:paraId="779C2F46" w14:textId="6D80761C" w:rsidR="002E66C2" w:rsidRPr="000369ED" w:rsidRDefault="00FC4AB8" w:rsidP="00211E0B">
            <w:pPr>
              <w:pStyle w:val="body"/>
            </w:pPr>
            <w:r>
              <w:t xml:space="preserve">This is part of the method itself and cannot be pre-defined. </w:t>
            </w:r>
            <w:r w:rsidR="00AA64C3">
              <w:t xml:space="preserve">The first two sections </w:t>
            </w:r>
            <w:r w:rsidR="00CF07C9">
              <w:t xml:space="preserve">of the protocol </w:t>
            </w:r>
            <w:r w:rsidR="00AA64C3">
              <w:t>are covering this issue.</w:t>
            </w:r>
          </w:p>
        </w:tc>
      </w:tr>
      <w:tr w:rsidR="002E66C2" w:rsidRPr="002336A7" w14:paraId="78870451" w14:textId="77777777" w:rsidTr="0062272D">
        <w:tc>
          <w:tcPr>
            <w:tcW w:w="6655" w:type="dxa"/>
          </w:tcPr>
          <w:p w14:paraId="34849728" w14:textId="77777777" w:rsidR="002E66C2" w:rsidRDefault="002E66C2" w:rsidP="00211E0B">
            <w:pPr>
              <w:pStyle w:val="body"/>
              <w:rPr>
                <w:rFonts w:ascii="Calibri" w:hAnsi="Calibri"/>
              </w:rPr>
            </w:pPr>
            <w:r>
              <w:rPr>
                <w:rFonts w:ascii="Calibri" w:hAnsi="Calibri"/>
              </w:rPr>
              <w:t>13. Please provide all volumes and concentrations used throughout.</w:t>
            </w:r>
          </w:p>
        </w:tc>
        <w:tc>
          <w:tcPr>
            <w:tcW w:w="8100" w:type="dxa"/>
          </w:tcPr>
          <w:p w14:paraId="5DA7AD4D" w14:textId="77777777" w:rsidR="002E66C2" w:rsidRDefault="00113297" w:rsidP="00211E0B">
            <w:pPr>
              <w:pStyle w:val="body"/>
            </w:pPr>
            <w:r>
              <w:t xml:space="preserve">For </w:t>
            </w:r>
            <w:r w:rsidR="00882A30" w:rsidRPr="00113297">
              <w:rPr>
                <w:i/>
              </w:rPr>
              <w:t xml:space="preserve">off </w:t>
            </w:r>
            <w:r w:rsidR="00E31F1D">
              <w:rPr>
                <w:i/>
              </w:rPr>
              <w:t>line</w:t>
            </w:r>
            <w:r w:rsidR="00882A30">
              <w:t xml:space="preserve"> test </w:t>
            </w:r>
            <w:r>
              <w:t xml:space="preserve">5-6 mL are necessary. </w:t>
            </w:r>
            <w:r w:rsidR="008365AA">
              <w:t>Afte</w:t>
            </w:r>
            <w:r w:rsidR="00FC4AB8">
              <w:t xml:space="preserve">rwards, the measurement can be </w:t>
            </w:r>
            <w:r w:rsidR="00B1494A">
              <w:t>performed</w:t>
            </w:r>
            <w:r w:rsidR="008365AA">
              <w:t xml:space="preserve"> </w:t>
            </w:r>
            <w:r w:rsidR="00882A30">
              <w:t xml:space="preserve">directly in the bioreactor </w:t>
            </w:r>
            <w:r w:rsidR="008365AA">
              <w:t>or through a by-pass.</w:t>
            </w:r>
          </w:p>
          <w:p w14:paraId="04B03FAA" w14:textId="0BD56E09" w:rsidR="00307EA0" w:rsidRPr="000369ED" w:rsidRDefault="00FC4AB8" w:rsidP="006354CA">
            <w:pPr>
              <w:pStyle w:val="body"/>
            </w:pPr>
            <w:r>
              <w:t xml:space="preserve">This was added in </w:t>
            </w:r>
            <w:r w:rsidR="00E31F1D">
              <w:t>line</w:t>
            </w:r>
            <w:r w:rsidR="00884C3F">
              <w:t xml:space="preserve"> </w:t>
            </w:r>
            <w:r w:rsidR="00161DA2">
              <w:t>19</w:t>
            </w:r>
            <w:r w:rsidR="006354CA">
              <w:t>6</w:t>
            </w:r>
            <w:r w:rsidR="00884C3F">
              <w:t xml:space="preserve">: </w:t>
            </w:r>
            <w:r>
              <w:t xml:space="preserve">“Note: 5-6 mL </w:t>
            </w:r>
            <w:r w:rsidR="000953C9">
              <w:t xml:space="preserve">are </w:t>
            </w:r>
            <w:r>
              <w:t>added to a 50 mL conical centrifugal</w:t>
            </w:r>
            <w:r w:rsidR="000953C9">
              <w:t xml:space="preserve"> tube</w:t>
            </w:r>
            <w:r w:rsidR="008365AA">
              <w:t xml:space="preserve"> to </w:t>
            </w:r>
            <w:r w:rsidR="000953C9">
              <w:t>float the</w:t>
            </w:r>
            <w:r w:rsidR="008365AA">
              <w:t xml:space="preserve"> measuring gap</w:t>
            </w:r>
            <w:r w:rsidR="000953C9">
              <w:t xml:space="preserve"> sufficiently</w:t>
            </w:r>
            <w:r w:rsidR="008365AA">
              <w:t>”.</w:t>
            </w:r>
          </w:p>
        </w:tc>
      </w:tr>
      <w:tr w:rsidR="002E66C2" w:rsidRPr="002336A7" w14:paraId="5A907C7A" w14:textId="77777777" w:rsidTr="0062272D">
        <w:tc>
          <w:tcPr>
            <w:tcW w:w="6655" w:type="dxa"/>
          </w:tcPr>
          <w:p w14:paraId="6EBD9407" w14:textId="77777777" w:rsidR="002E66C2" w:rsidRDefault="002E66C2" w:rsidP="008365AA">
            <w:pPr>
              <w:pStyle w:val="body"/>
            </w:pPr>
            <w:r>
              <w:t>14. 1.4: How are these measurements made?</w:t>
            </w:r>
          </w:p>
        </w:tc>
        <w:tc>
          <w:tcPr>
            <w:tcW w:w="8100" w:type="dxa"/>
          </w:tcPr>
          <w:p w14:paraId="79E4D371" w14:textId="37A44637" w:rsidR="002E66C2" w:rsidRPr="000369ED" w:rsidRDefault="008365AA" w:rsidP="008365AA">
            <w:pPr>
              <w:pStyle w:val="body"/>
            </w:pPr>
            <w:r>
              <w:t xml:space="preserve">Each step </w:t>
            </w:r>
            <w:r w:rsidR="000953C9">
              <w:t>was</w:t>
            </w:r>
            <w:r>
              <w:t xml:space="preserve"> specified in section 2: “</w:t>
            </w:r>
            <w:r w:rsidRPr="008365AA">
              <w:rPr>
                <w:i/>
              </w:rPr>
              <w:t>Off</w:t>
            </w:r>
            <w:r w:rsidR="00E31F1D">
              <w:rPr>
                <w:i/>
              </w:rPr>
              <w:t>line</w:t>
            </w:r>
            <w:r w:rsidRPr="008365AA">
              <w:t xml:space="preserve"> measurement</w:t>
            </w:r>
            <w:r>
              <w:t>”.</w:t>
            </w:r>
          </w:p>
        </w:tc>
      </w:tr>
      <w:tr w:rsidR="002E66C2" w:rsidRPr="002336A7" w14:paraId="44EDF283" w14:textId="77777777" w:rsidTr="0062272D">
        <w:tc>
          <w:tcPr>
            <w:tcW w:w="6655" w:type="dxa"/>
          </w:tcPr>
          <w:p w14:paraId="740439D8" w14:textId="77777777" w:rsidR="002E66C2" w:rsidRDefault="002E66C2" w:rsidP="00211E0B">
            <w:pPr>
              <w:pStyle w:val="body"/>
              <w:rPr>
                <w:rFonts w:ascii="Calibri" w:hAnsi="Calibri"/>
              </w:rPr>
            </w:pPr>
            <w:r>
              <w:rPr>
                <w:rFonts w:ascii="Calibri" w:hAnsi="Calibri"/>
              </w:rPr>
              <w:t>15. 2.2: What is this cleaning procedure?</w:t>
            </w:r>
          </w:p>
        </w:tc>
        <w:tc>
          <w:tcPr>
            <w:tcW w:w="8100" w:type="dxa"/>
          </w:tcPr>
          <w:p w14:paraId="612C1864" w14:textId="76EC78A0" w:rsidR="00D7501E" w:rsidRDefault="000953C9" w:rsidP="00211E0B">
            <w:pPr>
              <w:pStyle w:val="body"/>
            </w:pPr>
            <w:r>
              <w:t>The</w:t>
            </w:r>
            <w:r w:rsidR="00030B0F">
              <w:t xml:space="preserve"> cleaning procedure is to ensure that the measurement gap is free of </w:t>
            </w:r>
            <w:r w:rsidR="0007581A">
              <w:t xml:space="preserve">visible </w:t>
            </w:r>
            <w:r w:rsidR="00030B0F">
              <w:t xml:space="preserve">particles. </w:t>
            </w:r>
          </w:p>
          <w:p w14:paraId="73B09728" w14:textId="77777777" w:rsidR="008365AA" w:rsidRDefault="008365AA" w:rsidP="00211E0B">
            <w:pPr>
              <w:pStyle w:val="body"/>
            </w:pPr>
            <w:r>
              <w:t>The following information has been added.</w:t>
            </w:r>
          </w:p>
          <w:p w14:paraId="066603E2" w14:textId="4F741F1C" w:rsidR="00754211" w:rsidRDefault="00E31F1D" w:rsidP="001F5D33">
            <w:pPr>
              <w:pStyle w:val="body"/>
            </w:pPr>
            <w:r>
              <w:lastRenderedPageBreak/>
              <w:t>Line</w:t>
            </w:r>
            <w:r w:rsidR="003C67DE">
              <w:t xml:space="preserve"> 1</w:t>
            </w:r>
            <w:r w:rsidR="00161DA2">
              <w:t>8</w:t>
            </w:r>
            <w:r w:rsidR="006354CA">
              <w:t>7</w:t>
            </w:r>
            <w:r w:rsidR="00884C3F">
              <w:t>:</w:t>
            </w:r>
            <w:r w:rsidR="00030B0F">
              <w:t xml:space="preserve"> </w:t>
            </w:r>
            <w:r w:rsidR="008365AA">
              <w:t>“</w:t>
            </w:r>
            <w:r w:rsidR="00754211" w:rsidRPr="00231778">
              <w:t>Clean the measurement gap by spraying ethanol into the gap and carefully wipe any dust or dirt with an optical paper. Check that the glass of the sensor is free of particles with the “Live View</w:t>
            </w:r>
            <w:r w:rsidR="00754211" w:rsidRPr="00A53E32">
              <w:t>”</w:t>
            </w:r>
            <w:r w:rsidR="00645C4F">
              <w:t xml:space="preserve"> in the </w:t>
            </w:r>
            <w:proofErr w:type="spellStart"/>
            <w:r w:rsidR="00645C4F">
              <w:t>CamControl</w:t>
            </w:r>
            <w:proofErr w:type="spellEnd"/>
            <w:r w:rsidR="00754211" w:rsidRPr="00A53E32">
              <w:t>.”</w:t>
            </w:r>
          </w:p>
          <w:p w14:paraId="1E808EAB" w14:textId="2FC7DFDA" w:rsidR="00D7501E" w:rsidRPr="00D7501E" w:rsidRDefault="00E31F1D" w:rsidP="00161DA2">
            <w:pPr>
              <w:pStyle w:val="body"/>
            </w:pPr>
            <w:r>
              <w:t>Line</w:t>
            </w:r>
            <w:r w:rsidR="003C67DE">
              <w:t xml:space="preserve"> 1</w:t>
            </w:r>
            <w:r w:rsidR="006354CA">
              <w:t>90</w:t>
            </w:r>
            <w:r w:rsidR="008365AA">
              <w:t>: “</w:t>
            </w:r>
            <w:r w:rsidR="00D7501E">
              <w:t xml:space="preserve">Note: </w:t>
            </w:r>
            <w:r w:rsidR="00D7501E" w:rsidRPr="00D7501E">
              <w:t xml:space="preserve">Particles and dust </w:t>
            </w:r>
            <w:r w:rsidR="000953C9">
              <w:t>disturb measurements and</w:t>
            </w:r>
            <w:r w:rsidR="00D7501E" w:rsidRPr="00D7501E">
              <w:t xml:space="preserve"> the automatic</w:t>
            </w:r>
            <w:r w:rsidR="008365AA">
              <w:t xml:space="preserve"> cell identification.”</w:t>
            </w:r>
          </w:p>
        </w:tc>
      </w:tr>
      <w:tr w:rsidR="002E66C2" w:rsidRPr="00B1494A" w14:paraId="4AE69BB8" w14:textId="77777777" w:rsidTr="0062272D">
        <w:tc>
          <w:tcPr>
            <w:tcW w:w="6655" w:type="dxa"/>
          </w:tcPr>
          <w:p w14:paraId="777D74DC" w14:textId="77777777" w:rsidR="002E66C2" w:rsidRDefault="002E66C2" w:rsidP="00211E0B">
            <w:pPr>
              <w:pStyle w:val="body"/>
            </w:pPr>
            <w:r>
              <w:lastRenderedPageBreak/>
              <w:t>16. 2.4: How many cells are used to fill the tube?</w:t>
            </w:r>
          </w:p>
        </w:tc>
        <w:tc>
          <w:tcPr>
            <w:tcW w:w="8100" w:type="dxa"/>
          </w:tcPr>
          <w:p w14:paraId="22F923FE" w14:textId="77777777" w:rsidR="002E66C2" w:rsidRPr="00884C3F" w:rsidRDefault="00884C3F" w:rsidP="00B1494A">
            <w:pPr>
              <w:pStyle w:val="body"/>
            </w:pPr>
            <w:r w:rsidRPr="00161DA2">
              <w:t xml:space="preserve">The cells are suspended in the </w:t>
            </w:r>
            <w:r w:rsidR="000953C9" w:rsidRPr="00161DA2">
              <w:t>culture</w:t>
            </w:r>
            <w:r w:rsidRPr="00161DA2">
              <w:t xml:space="preserve"> broth. A maximum concentration of 65 g L of </w:t>
            </w:r>
            <w:r w:rsidRPr="00161DA2">
              <w:rPr>
                <w:rStyle w:val="bodyChar"/>
                <w:i/>
              </w:rPr>
              <w:t>Saccharomyces cerevisiae</w:t>
            </w:r>
            <w:r w:rsidRPr="00161DA2">
              <w:rPr>
                <w:rStyle w:val="bodyChar"/>
                <w:rFonts w:eastAsiaTheme="minorHAnsi"/>
                <w:i/>
              </w:rPr>
              <w:t xml:space="preserve"> </w:t>
            </w:r>
            <w:r w:rsidR="000953C9" w:rsidRPr="00161DA2">
              <w:rPr>
                <w:rStyle w:val="bodyChar"/>
                <w:rFonts w:eastAsiaTheme="minorHAnsi"/>
              </w:rPr>
              <w:t>was</w:t>
            </w:r>
            <w:r w:rsidRPr="00161DA2">
              <w:rPr>
                <w:rStyle w:val="bodyChar"/>
                <w:rFonts w:eastAsiaTheme="minorHAnsi"/>
              </w:rPr>
              <w:t xml:space="preserve"> measured.</w:t>
            </w:r>
            <w:r w:rsidR="00AA64C3" w:rsidRPr="00161DA2">
              <w:rPr>
                <w:rStyle w:val="bodyChar"/>
                <w:rFonts w:eastAsiaTheme="minorHAnsi"/>
              </w:rPr>
              <w:t xml:space="preserve"> </w:t>
            </w:r>
            <w:r w:rsidR="00B1494A" w:rsidRPr="00161DA2">
              <w:rPr>
                <w:rStyle w:val="bodyChar"/>
                <w:rFonts w:eastAsiaTheme="minorHAnsi"/>
              </w:rPr>
              <w:t>Threshold (maximum) values</w:t>
            </w:r>
            <w:r w:rsidR="000953C9" w:rsidRPr="00161DA2">
              <w:rPr>
                <w:rStyle w:val="bodyChar"/>
                <w:rFonts w:eastAsiaTheme="minorHAnsi"/>
              </w:rPr>
              <w:t xml:space="preserve"> for individual applications </w:t>
            </w:r>
            <w:r w:rsidR="00B1494A" w:rsidRPr="00161DA2">
              <w:rPr>
                <w:rStyle w:val="bodyChar"/>
                <w:rFonts w:eastAsiaTheme="minorHAnsi"/>
              </w:rPr>
              <w:t xml:space="preserve">have to be identified </w:t>
            </w:r>
            <w:r w:rsidR="00081626" w:rsidRPr="00161DA2">
              <w:rPr>
                <w:rStyle w:val="bodyChar"/>
                <w:rFonts w:eastAsiaTheme="minorHAnsi"/>
              </w:rPr>
              <w:t xml:space="preserve">by adjusting the stroboscope intensity. </w:t>
            </w:r>
            <w:r w:rsidR="000953C9" w:rsidRPr="00161DA2">
              <w:rPr>
                <w:rStyle w:val="bodyChar"/>
                <w:rFonts w:eastAsiaTheme="minorHAnsi"/>
              </w:rPr>
              <w:t>The volume was specified above (p</w:t>
            </w:r>
            <w:r w:rsidR="00AA64C3" w:rsidRPr="00161DA2">
              <w:rPr>
                <w:rStyle w:val="bodyChar"/>
                <w:rFonts w:eastAsiaTheme="minorHAnsi"/>
              </w:rPr>
              <w:t>oint 13).</w:t>
            </w:r>
          </w:p>
        </w:tc>
      </w:tr>
      <w:tr w:rsidR="002E66C2" w:rsidRPr="002336A7" w14:paraId="33FD7A92" w14:textId="77777777" w:rsidTr="0062272D">
        <w:tc>
          <w:tcPr>
            <w:tcW w:w="6655" w:type="dxa"/>
          </w:tcPr>
          <w:p w14:paraId="0BF0B086" w14:textId="77777777" w:rsidR="002E66C2" w:rsidRDefault="002E66C2" w:rsidP="00211E0B">
            <w:pPr>
              <w:pStyle w:val="body"/>
            </w:pPr>
            <w:r>
              <w:t>17. Please note that for computational steps, we can only film if there is a graphical user interface with explicit user input commands: File | Save | etc.</w:t>
            </w:r>
          </w:p>
        </w:tc>
        <w:tc>
          <w:tcPr>
            <w:tcW w:w="8100" w:type="dxa"/>
          </w:tcPr>
          <w:p w14:paraId="2BB0AD84" w14:textId="64DDECE5" w:rsidR="002E66C2" w:rsidRPr="000369ED" w:rsidRDefault="00884C3F" w:rsidP="00161DA2">
            <w:pPr>
              <w:pStyle w:val="body"/>
            </w:pPr>
            <w:r>
              <w:t>There is a graphical user interface</w:t>
            </w:r>
            <w:r w:rsidR="00E57DBA">
              <w:t xml:space="preserve">, </w:t>
            </w:r>
            <w:r w:rsidR="00161DA2">
              <w:t>which</w:t>
            </w:r>
            <w:r w:rsidR="00AA64C3">
              <w:t xml:space="preserve"> description </w:t>
            </w:r>
            <w:r w:rsidR="000953C9">
              <w:t>has</w:t>
            </w:r>
            <w:r w:rsidR="00AA64C3">
              <w:t xml:space="preserve"> been added to the protocol at several points.</w:t>
            </w:r>
            <w:r w:rsidR="00B1494A">
              <w:t xml:space="preserve"> Images of the graphical user interface were added to the original manuscript.</w:t>
            </w:r>
          </w:p>
        </w:tc>
      </w:tr>
      <w:tr w:rsidR="002E66C2" w:rsidRPr="002336A7" w14:paraId="117B48F6" w14:textId="77777777" w:rsidTr="0062272D">
        <w:tc>
          <w:tcPr>
            <w:tcW w:w="6655" w:type="dxa"/>
          </w:tcPr>
          <w:p w14:paraId="1E53EFCF" w14:textId="77777777" w:rsidR="002E66C2" w:rsidRDefault="002E66C2" w:rsidP="00211E0B">
            <w:pPr>
              <w:pStyle w:val="body"/>
            </w:pPr>
            <w:r>
              <w:t>18. Much of the protocol in step 3 onwards is very abstract. We need more specifics in order to film.</w:t>
            </w:r>
          </w:p>
        </w:tc>
        <w:tc>
          <w:tcPr>
            <w:tcW w:w="8100" w:type="dxa"/>
          </w:tcPr>
          <w:p w14:paraId="15239797" w14:textId="77777777" w:rsidR="002E66C2" w:rsidRPr="000369ED" w:rsidRDefault="00B1494A" w:rsidP="00B1494A">
            <w:pPr>
              <w:pStyle w:val="body"/>
            </w:pPr>
            <w:r>
              <w:t>The p</w:t>
            </w:r>
            <w:r w:rsidR="00AA64C3">
              <w:t xml:space="preserve">article </w:t>
            </w:r>
            <w:r w:rsidR="00AA64C3" w:rsidRPr="006015A0">
              <w:t>identification</w:t>
            </w:r>
            <w:r w:rsidR="00AA64C3">
              <w:t xml:space="preserve"> section (n</w:t>
            </w:r>
            <w:r>
              <w:t>ow section 4) has been modified, there are no further specifications to be added.</w:t>
            </w:r>
          </w:p>
        </w:tc>
      </w:tr>
      <w:tr w:rsidR="002E66C2" w:rsidRPr="00884C3F" w14:paraId="5191B59B" w14:textId="77777777" w:rsidTr="0062272D">
        <w:tc>
          <w:tcPr>
            <w:tcW w:w="6655" w:type="dxa"/>
          </w:tcPr>
          <w:p w14:paraId="41AAB552" w14:textId="77777777" w:rsidR="002E66C2" w:rsidRDefault="002E66C2" w:rsidP="00211E0B">
            <w:pPr>
              <w:pStyle w:val="body"/>
            </w:pPr>
            <w:r>
              <w:t>19.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tc>
        <w:tc>
          <w:tcPr>
            <w:tcW w:w="8100" w:type="dxa"/>
          </w:tcPr>
          <w:p w14:paraId="4CFAEE38" w14:textId="77777777" w:rsidR="002E66C2" w:rsidRPr="000369ED" w:rsidRDefault="00B1494A" w:rsidP="00211E0B">
            <w:pPr>
              <w:pStyle w:val="body"/>
            </w:pPr>
            <w:r>
              <w:t>This was done.</w:t>
            </w:r>
          </w:p>
        </w:tc>
      </w:tr>
      <w:tr w:rsidR="002E66C2" w:rsidRPr="00884C3F" w14:paraId="38316C5F" w14:textId="77777777" w:rsidTr="0062272D">
        <w:tc>
          <w:tcPr>
            <w:tcW w:w="6655" w:type="dxa"/>
          </w:tcPr>
          <w:p w14:paraId="5DF0DE4A" w14:textId="77777777" w:rsidR="002E66C2" w:rsidRDefault="002E66C2" w:rsidP="00211E0B">
            <w:pPr>
              <w:pStyle w:val="body"/>
            </w:pPr>
            <w:r>
              <w:t>20.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tc>
        <w:tc>
          <w:tcPr>
            <w:tcW w:w="8100" w:type="dxa"/>
          </w:tcPr>
          <w:p w14:paraId="7C8C94B2" w14:textId="77777777" w:rsidR="002E66C2" w:rsidRPr="000369ED" w:rsidRDefault="00B1494A" w:rsidP="00211E0B">
            <w:pPr>
              <w:pStyle w:val="body"/>
            </w:pPr>
            <w:r>
              <w:t>This was done.</w:t>
            </w:r>
          </w:p>
        </w:tc>
      </w:tr>
    </w:tbl>
    <w:p w14:paraId="5B174E27" w14:textId="77777777" w:rsidR="00081626" w:rsidRDefault="00081626"/>
    <w:p w14:paraId="281E1F9C" w14:textId="77777777" w:rsidR="00081626" w:rsidRDefault="00081626"/>
    <w:tbl>
      <w:tblPr>
        <w:tblStyle w:val="TableGrid"/>
        <w:tblW w:w="14755" w:type="dxa"/>
        <w:tblLook w:val="04A0" w:firstRow="1" w:lastRow="0" w:firstColumn="1" w:lastColumn="0" w:noHBand="0" w:noVBand="1"/>
      </w:tblPr>
      <w:tblGrid>
        <w:gridCol w:w="6655"/>
        <w:gridCol w:w="8100"/>
      </w:tblGrid>
      <w:tr w:rsidR="000A76CE" w:rsidRPr="000A76CE" w14:paraId="5591A382" w14:textId="77777777" w:rsidTr="0062272D">
        <w:tc>
          <w:tcPr>
            <w:tcW w:w="6655" w:type="dxa"/>
          </w:tcPr>
          <w:p w14:paraId="26AF7DAA" w14:textId="77777777" w:rsidR="000A76CE" w:rsidRPr="000369ED" w:rsidRDefault="000A76CE" w:rsidP="00EC40E4">
            <w:pPr>
              <w:pStyle w:val="NoSpacing"/>
              <w:rPr>
                <w:b/>
              </w:rPr>
            </w:pPr>
            <w:r w:rsidRPr="000369ED">
              <w:rPr>
                <w:b/>
              </w:rPr>
              <w:lastRenderedPageBreak/>
              <w:t xml:space="preserve">Reviewers' comments: </w:t>
            </w:r>
            <w:r w:rsidR="00EC40E4">
              <w:rPr>
                <w:b/>
              </w:rPr>
              <w:t>1</w:t>
            </w:r>
          </w:p>
        </w:tc>
        <w:tc>
          <w:tcPr>
            <w:tcW w:w="8100" w:type="dxa"/>
          </w:tcPr>
          <w:p w14:paraId="35749C01" w14:textId="77777777" w:rsidR="000A76CE" w:rsidRPr="000369ED" w:rsidRDefault="000A76CE" w:rsidP="000A76CE">
            <w:pPr>
              <w:pStyle w:val="NoSpacing"/>
              <w:rPr>
                <w:b/>
              </w:rPr>
            </w:pPr>
            <w:r w:rsidRPr="000369ED">
              <w:rPr>
                <w:b/>
              </w:rPr>
              <w:t>Author’s comments</w:t>
            </w:r>
          </w:p>
        </w:tc>
      </w:tr>
      <w:tr w:rsidR="00EC40E4" w:rsidRPr="002336A7" w14:paraId="30D5E119" w14:textId="77777777" w:rsidTr="00161DA2">
        <w:trPr>
          <w:trHeight w:val="1426"/>
        </w:trPr>
        <w:tc>
          <w:tcPr>
            <w:tcW w:w="6655" w:type="dxa"/>
          </w:tcPr>
          <w:p w14:paraId="4F3AA790" w14:textId="77777777" w:rsidR="00EC40E4" w:rsidRPr="002E66C2" w:rsidRDefault="00DE0FEF" w:rsidP="00211E0B">
            <w:pPr>
              <w:pStyle w:val="body"/>
              <w:rPr>
                <w:b/>
              </w:rPr>
            </w:pPr>
            <w:r>
              <w:t xml:space="preserve">21. </w:t>
            </w:r>
            <w:r w:rsidR="002E66C2">
              <w:t xml:space="preserve">There are just some small critics/changes that had to be done from my point of view. General the importance of the adaption (via calibration) to the microorganism of interest should be </w:t>
            </w:r>
            <w:r w:rsidR="008623F2">
              <w:t>discussed</w:t>
            </w:r>
            <w:r w:rsidR="002E66C2">
              <w:t xml:space="preserve"> and mentioned earlier in the manuscript. General the </w:t>
            </w:r>
            <w:r w:rsidR="008623F2">
              <w:t>introduction</w:t>
            </w:r>
            <w:r w:rsidR="002E66C2">
              <w:t xml:space="preserve"> is written well and considered all important facts.</w:t>
            </w:r>
          </w:p>
        </w:tc>
        <w:tc>
          <w:tcPr>
            <w:tcW w:w="8100" w:type="dxa"/>
          </w:tcPr>
          <w:p w14:paraId="183B2A63" w14:textId="4073012E" w:rsidR="00EC40E4" w:rsidRPr="002E66C2" w:rsidRDefault="00B8799F" w:rsidP="00FE3F96">
            <w:pPr>
              <w:pStyle w:val="body"/>
            </w:pPr>
            <w:r>
              <w:t xml:space="preserve">The adaptation to the organism is </w:t>
            </w:r>
            <w:r w:rsidR="00F000EF">
              <w:t xml:space="preserve">performed </w:t>
            </w:r>
            <w:r>
              <w:t>by adjusting the measuring gap, the focus</w:t>
            </w:r>
            <w:r w:rsidR="00F000EF">
              <w:t xml:space="preserve"> and the stroboscope intensity, which are described in the very first parts of the protocol. We add a sentence to make this clearer at the very beginning of the </w:t>
            </w:r>
            <w:r w:rsidR="00FE3F96">
              <w:t xml:space="preserve">protocol </w:t>
            </w:r>
            <w:r w:rsidR="00F000EF">
              <w:t>section</w:t>
            </w:r>
            <w:r w:rsidR="00F000EF" w:rsidRPr="00741154">
              <w:t xml:space="preserve">: </w:t>
            </w:r>
            <w:r w:rsidR="00161DA2">
              <w:t xml:space="preserve">Line 130: </w:t>
            </w:r>
            <w:r w:rsidR="00F000EF" w:rsidRPr="00741154">
              <w:t>“</w:t>
            </w:r>
            <w:r w:rsidR="00F000EF" w:rsidRPr="00161DA2">
              <w:t>The following steps are necessary to adapt the parameters to the respective microorganism and culture conditions.</w:t>
            </w:r>
            <w:r w:rsidR="00F000EF" w:rsidRPr="00741154">
              <w:t>”</w:t>
            </w:r>
          </w:p>
        </w:tc>
      </w:tr>
      <w:tr w:rsidR="002E66C2" w:rsidRPr="002336A7" w14:paraId="47EFDC13" w14:textId="77777777" w:rsidTr="0062272D">
        <w:tc>
          <w:tcPr>
            <w:tcW w:w="6655" w:type="dxa"/>
          </w:tcPr>
          <w:p w14:paraId="18293A5A" w14:textId="77777777" w:rsidR="002E66C2" w:rsidRDefault="00DE0FEF" w:rsidP="00211E0B">
            <w:pPr>
              <w:pStyle w:val="body"/>
            </w:pPr>
            <w:r>
              <w:t xml:space="preserve">22. </w:t>
            </w:r>
            <w:r w:rsidR="002E66C2">
              <w:t>In chapter 1 of the protocol may a note of the time expanse for the calibration could be helpful for applicants.</w:t>
            </w:r>
          </w:p>
        </w:tc>
        <w:tc>
          <w:tcPr>
            <w:tcW w:w="8100" w:type="dxa"/>
          </w:tcPr>
          <w:p w14:paraId="00B04001" w14:textId="4BF94557" w:rsidR="00F000EF" w:rsidRDefault="00741154" w:rsidP="00755F29">
            <w:pPr>
              <w:pStyle w:val="body"/>
            </w:pPr>
            <w:r>
              <w:t xml:space="preserve">The calibration file is provided by SOPAT GmbH depending on the probe used, but the settings of the hardware and software parameters need to be adapted to the organism, as well as to the concentration range. </w:t>
            </w:r>
            <w:r w:rsidR="00F000EF">
              <w:t xml:space="preserve">A sentence was added: </w:t>
            </w:r>
            <w:r w:rsidR="00161DA2">
              <w:t>Line 131</w:t>
            </w:r>
            <w:r w:rsidR="00B16DD7">
              <w:t xml:space="preserve">: </w:t>
            </w:r>
            <w:r w:rsidR="00F000EF">
              <w:t>“</w:t>
            </w:r>
            <w:r w:rsidR="00F000EF" w:rsidRPr="00161DA2">
              <w:t>The adjustment of probe settings lasts about 20 min for an experienced user</w:t>
            </w:r>
            <w:r w:rsidR="00F000EF" w:rsidRPr="00B16DD7">
              <w:t>.”</w:t>
            </w:r>
          </w:p>
          <w:p w14:paraId="04940769" w14:textId="77777777" w:rsidR="00660F49" w:rsidRDefault="00F000EF" w:rsidP="00755F29">
            <w:pPr>
              <w:pStyle w:val="body"/>
            </w:pPr>
            <w:r>
              <w:t>The adaptation of the automated image recognition was added to</w:t>
            </w:r>
            <w:r w:rsidR="00660F49">
              <w:t xml:space="preserve"> the discussion</w:t>
            </w:r>
            <w:r>
              <w:t xml:space="preserve"> part</w:t>
            </w:r>
            <w:r w:rsidR="00660F49">
              <w:t>:</w:t>
            </w:r>
          </w:p>
          <w:p w14:paraId="3DECFE98" w14:textId="2F61768B" w:rsidR="00660F49" w:rsidRPr="002E66C2" w:rsidRDefault="00E31F1D" w:rsidP="006354CA">
            <w:pPr>
              <w:pStyle w:val="body"/>
            </w:pPr>
            <w:r>
              <w:t>Line</w:t>
            </w:r>
            <w:r w:rsidR="008D7CFD">
              <w:t xml:space="preserve"> 40</w:t>
            </w:r>
            <w:r w:rsidR="006354CA">
              <w:t>6</w:t>
            </w:r>
            <w:r w:rsidR="00660F49">
              <w:t xml:space="preserve">: </w:t>
            </w:r>
            <w:r w:rsidR="00660F49" w:rsidRPr="00B16DD7">
              <w:t>“</w:t>
            </w:r>
            <w:r w:rsidR="00660F49" w:rsidRPr="00161DA2">
              <w:t>The time for the adapt</w:t>
            </w:r>
            <w:r w:rsidR="004A6682" w:rsidRPr="00161DA2">
              <w:t>at</w:t>
            </w:r>
            <w:r w:rsidR="00660F49" w:rsidRPr="00161DA2">
              <w:t>ion of the object recognition algorithms and feature extraction for feature analysis depends mainly on the complexity of the images and the expected accuracy of the results.</w:t>
            </w:r>
            <w:r w:rsidR="00660F49" w:rsidRPr="00B16DD7">
              <w:t>”</w:t>
            </w:r>
          </w:p>
        </w:tc>
      </w:tr>
      <w:tr w:rsidR="002E66C2" w:rsidRPr="002336A7" w14:paraId="66D2CD44" w14:textId="77777777" w:rsidTr="0062272D">
        <w:tc>
          <w:tcPr>
            <w:tcW w:w="6655" w:type="dxa"/>
          </w:tcPr>
          <w:p w14:paraId="57DAB119" w14:textId="77777777" w:rsidR="002E66C2" w:rsidRDefault="00DE0FEF" w:rsidP="00211E0B">
            <w:pPr>
              <w:pStyle w:val="body"/>
            </w:pPr>
            <w:r>
              <w:t xml:space="preserve">23. </w:t>
            </w:r>
            <w:r w:rsidR="00244211">
              <w:t>Point 2.10 (</w:t>
            </w:r>
            <w:r w:rsidR="00E31F1D">
              <w:t>line</w:t>
            </w:r>
            <w:r w:rsidR="00244211">
              <w:t xml:space="preserve"> 177): A comment in chapter 1 at which point the calibration file had to be saved would be helpful.</w:t>
            </w:r>
          </w:p>
        </w:tc>
        <w:tc>
          <w:tcPr>
            <w:tcW w:w="8100" w:type="dxa"/>
          </w:tcPr>
          <w:p w14:paraId="7BC8F102" w14:textId="14A03F57" w:rsidR="00B8799F" w:rsidRPr="002E66C2" w:rsidRDefault="00FE3F96" w:rsidP="00211E0B">
            <w:pPr>
              <w:pStyle w:val="body"/>
            </w:pPr>
            <w:r>
              <w:t xml:space="preserve">The calibration file is provided by SOPAT GmbH depending on the probe </w:t>
            </w:r>
          </w:p>
        </w:tc>
      </w:tr>
      <w:tr w:rsidR="00F81F1C" w:rsidRPr="002336A7" w14:paraId="08E34EC4" w14:textId="77777777" w:rsidTr="0062272D">
        <w:tc>
          <w:tcPr>
            <w:tcW w:w="6655" w:type="dxa"/>
          </w:tcPr>
          <w:p w14:paraId="40198724" w14:textId="77777777" w:rsidR="00F81F1C" w:rsidRDefault="00DE0FEF" w:rsidP="00211E0B">
            <w:pPr>
              <w:pStyle w:val="body"/>
            </w:pPr>
            <w:r>
              <w:t xml:space="preserve">24. </w:t>
            </w:r>
            <w:r w:rsidR="00F81F1C">
              <w:t>Point 3.1 (</w:t>
            </w:r>
            <w:r w:rsidR="00E31F1D">
              <w:t>line</w:t>
            </w:r>
            <w:r w:rsidR="00F81F1C">
              <w:t xml:space="preserve"> 185-186): Fig.8 should also include a marked region of an object of interest.</w:t>
            </w:r>
          </w:p>
        </w:tc>
        <w:tc>
          <w:tcPr>
            <w:tcW w:w="8100" w:type="dxa"/>
          </w:tcPr>
          <w:p w14:paraId="2E6236F6" w14:textId="77777777" w:rsidR="00F81F1C" w:rsidRPr="00FA1AB5" w:rsidRDefault="00351C92" w:rsidP="00211E0B">
            <w:pPr>
              <w:pStyle w:val="body"/>
            </w:pPr>
            <w:r>
              <w:t>This has been added (now f</w:t>
            </w:r>
            <w:r w:rsidR="00FA1AB5">
              <w:t>igure 3</w:t>
            </w:r>
            <w:r>
              <w:t>)</w:t>
            </w:r>
            <w:r w:rsidR="00FA1AB5">
              <w:t>.</w:t>
            </w:r>
          </w:p>
        </w:tc>
      </w:tr>
      <w:tr w:rsidR="00F81F1C" w:rsidRPr="002336A7" w14:paraId="383B5C33" w14:textId="77777777" w:rsidTr="0062272D">
        <w:tc>
          <w:tcPr>
            <w:tcW w:w="6655" w:type="dxa"/>
          </w:tcPr>
          <w:p w14:paraId="13516F0D" w14:textId="77777777" w:rsidR="00F81F1C" w:rsidRDefault="00DE0FEF" w:rsidP="00211E0B">
            <w:pPr>
              <w:pStyle w:val="body"/>
            </w:pPr>
            <w:r>
              <w:t xml:space="preserve">25. </w:t>
            </w:r>
            <w:r w:rsidR="00F81F1C">
              <w:t>Fig 4 and 7 should be shown in higher resolution</w:t>
            </w:r>
          </w:p>
        </w:tc>
        <w:tc>
          <w:tcPr>
            <w:tcW w:w="8100" w:type="dxa"/>
          </w:tcPr>
          <w:p w14:paraId="361E01E4" w14:textId="0E25FE47" w:rsidR="00F81F1C" w:rsidRPr="00AA4878" w:rsidRDefault="00AA4878" w:rsidP="00FE3F96">
            <w:pPr>
              <w:pStyle w:val="body"/>
            </w:pPr>
            <w:r>
              <w:t xml:space="preserve">Figure </w:t>
            </w:r>
            <w:r w:rsidR="00FE3F96">
              <w:t>4 has been removed and figure 7 (now figure</w:t>
            </w:r>
            <w:r w:rsidR="00080121">
              <w:t xml:space="preserve"> 5)</w:t>
            </w:r>
            <w:r w:rsidR="00FE3F96">
              <w:t xml:space="preserve"> </w:t>
            </w:r>
            <w:r>
              <w:t>has a higher resolution.</w:t>
            </w:r>
            <w:r w:rsidR="00351C92">
              <w:t xml:space="preserve"> </w:t>
            </w:r>
          </w:p>
        </w:tc>
      </w:tr>
      <w:tr w:rsidR="00F81F1C" w:rsidRPr="002336A7" w14:paraId="66D1DD23" w14:textId="77777777" w:rsidTr="0062272D">
        <w:tc>
          <w:tcPr>
            <w:tcW w:w="6655" w:type="dxa"/>
          </w:tcPr>
          <w:p w14:paraId="584CD83C" w14:textId="62989613" w:rsidR="00F81F1C" w:rsidRDefault="00DE0FEF" w:rsidP="00211E0B">
            <w:pPr>
              <w:pStyle w:val="body"/>
            </w:pPr>
            <w:r>
              <w:t xml:space="preserve">26. </w:t>
            </w:r>
            <w:r w:rsidR="00F81F1C">
              <w:t>In Fig 9 mark the curves (which one are A, B or C)</w:t>
            </w:r>
          </w:p>
        </w:tc>
        <w:tc>
          <w:tcPr>
            <w:tcW w:w="8100" w:type="dxa"/>
          </w:tcPr>
          <w:p w14:paraId="1710491F" w14:textId="41CEB21B" w:rsidR="00F81F1C" w:rsidRPr="00C93C89" w:rsidRDefault="00351C92" w:rsidP="00DE5BB7">
            <w:pPr>
              <w:pStyle w:val="body"/>
              <w:rPr>
                <w:b/>
              </w:rPr>
            </w:pPr>
            <w:r>
              <w:t>This was added to the l</w:t>
            </w:r>
            <w:r w:rsidR="00DE5BB7">
              <w:t>egend of Figure 9</w:t>
            </w:r>
            <w:r w:rsidR="00080121">
              <w:t xml:space="preserve"> (now figure 7)</w:t>
            </w:r>
            <w:r w:rsidR="00DE5BB7">
              <w:t>. “</w:t>
            </w:r>
            <w:r w:rsidR="00C93C89" w:rsidRPr="00C93C89">
              <w:t xml:space="preserve">A (straight </w:t>
            </w:r>
            <w:r w:rsidR="00E31F1D">
              <w:t>line</w:t>
            </w:r>
            <w:r w:rsidR="00C93C89" w:rsidRPr="00C93C89">
              <w:t>), B</w:t>
            </w:r>
            <w:r w:rsidR="00DE5BB7">
              <w:t xml:space="preserve"> (dotted </w:t>
            </w:r>
            <w:r w:rsidR="00E31F1D">
              <w:t>line</w:t>
            </w:r>
            <w:r w:rsidR="00DE5BB7">
              <w:t xml:space="preserve">), C (dashed </w:t>
            </w:r>
            <w:r w:rsidR="00E31F1D">
              <w:t>line</w:t>
            </w:r>
            <w:r w:rsidR="00DE5BB7">
              <w:t>)”.</w:t>
            </w:r>
          </w:p>
        </w:tc>
      </w:tr>
      <w:tr w:rsidR="00F81F1C" w:rsidRPr="002336A7" w14:paraId="51E6B6AB" w14:textId="77777777" w:rsidTr="0062272D">
        <w:tc>
          <w:tcPr>
            <w:tcW w:w="6655" w:type="dxa"/>
          </w:tcPr>
          <w:p w14:paraId="1C1D6E5E" w14:textId="77777777" w:rsidR="00F81F1C" w:rsidRDefault="00DE0FEF" w:rsidP="00211E0B">
            <w:pPr>
              <w:pStyle w:val="body"/>
            </w:pPr>
            <w:r>
              <w:t xml:space="preserve">27. </w:t>
            </w:r>
            <w:r w:rsidR="00F81F1C">
              <w:t>In the discussion part also the state of process development concerning smaller microorganism (bacteria etc.) can be discussed shortly.</w:t>
            </w:r>
          </w:p>
        </w:tc>
        <w:tc>
          <w:tcPr>
            <w:tcW w:w="8100" w:type="dxa"/>
          </w:tcPr>
          <w:p w14:paraId="301FE025" w14:textId="4306AB37" w:rsidR="00F81F1C" w:rsidRPr="000A1E23" w:rsidRDefault="00E31F1D" w:rsidP="006354CA">
            <w:pPr>
              <w:pStyle w:val="body"/>
            </w:pPr>
            <w:r>
              <w:t>Line</w:t>
            </w:r>
            <w:r w:rsidR="00217375" w:rsidRPr="000A1E23">
              <w:t xml:space="preserve"> </w:t>
            </w:r>
            <w:r w:rsidR="003C67DE">
              <w:t>3</w:t>
            </w:r>
            <w:r w:rsidR="008D7CFD">
              <w:t>7</w:t>
            </w:r>
            <w:r w:rsidR="006354CA">
              <w:t>7</w:t>
            </w:r>
            <w:r w:rsidR="00217375" w:rsidRPr="000A1E23">
              <w:t>: “</w:t>
            </w:r>
            <w:r w:rsidR="004A6682">
              <w:t xml:space="preserve">However, there exists still a limitation for measuring even smaller cells like bacteria. </w:t>
            </w:r>
            <w:r w:rsidR="004A6682" w:rsidRPr="00161DA2">
              <w:t>The current</w:t>
            </w:r>
            <w:r w:rsidR="004A6682">
              <w:rPr>
                <w:i/>
              </w:rPr>
              <w:t xml:space="preserve"> i</w:t>
            </w:r>
            <w:r w:rsidR="004A6682" w:rsidRPr="004D515E">
              <w:rPr>
                <w:i/>
              </w:rPr>
              <w:t>n situ</w:t>
            </w:r>
            <w:r w:rsidR="004A6682" w:rsidRPr="00F91657">
              <w:t xml:space="preserve"> photo-optical instrumentation </w:t>
            </w:r>
            <w:r w:rsidR="004A6682">
              <w:t>indicates</w:t>
            </w:r>
            <w:r w:rsidR="004A6682" w:rsidRPr="00F91657">
              <w:t xml:space="preserve"> limitations regarding overlapping particle information in high concentration </w:t>
            </w:r>
            <w:r w:rsidR="004A6682">
              <w:t xml:space="preserve">and </w:t>
            </w:r>
            <w:r w:rsidR="004A6682" w:rsidRPr="00F91657">
              <w:t>interference effects with structures below the UV/VIS spectrum.</w:t>
            </w:r>
            <w:r w:rsidR="004A6682">
              <w:t xml:space="preserve"> </w:t>
            </w:r>
            <w:r w:rsidR="004A6682" w:rsidRPr="004C3076">
              <w:t>Up to date</w:t>
            </w:r>
            <w:r w:rsidR="004A6682">
              <w:t>,</w:t>
            </w:r>
            <w:r w:rsidR="004A6682" w:rsidRPr="004C3076">
              <w:t xml:space="preserve"> image analysis algorithms for bacteria</w:t>
            </w:r>
            <w:r w:rsidR="004A6682">
              <w:t xml:space="preserve">l </w:t>
            </w:r>
            <w:r w:rsidR="004A6682">
              <w:lastRenderedPageBreak/>
              <w:t>suspensions</w:t>
            </w:r>
            <w:r w:rsidR="004A6682" w:rsidRPr="004C3076">
              <w:t xml:space="preserve"> </w:t>
            </w:r>
            <w:r w:rsidR="004A6682">
              <w:t>have not been applied</w:t>
            </w:r>
            <w:r w:rsidR="004A6682" w:rsidRPr="004C3076">
              <w:t>, apart from brightness correlations</w:t>
            </w:r>
            <w:r w:rsidR="004A6682">
              <w:t xml:space="preserve"> </w:t>
            </w:r>
            <w:r w:rsidR="004A6682">
              <w:fldChar w:fldCharType="begin"/>
            </w:r>
            <w:r w:rsidR="004A6682">
              <w:instrText xml:space="preserve"> ADDIN EN.CITE &lt;EndNote&gt;&lt;Cite&gt;&lt;Author&gt;Marquard&lt;/Author&gt;&lt;Year&gt;2017&lt;/Year&gt;&lt;RecNum&gt;1240&lt;/RecNum&gt;&lt;DisplayText&gt;(Marquard, Schneider-Barthold et al. 2017)&lt;/DisplayText&gt;&lt;record&gt;&lt;rec-number&gt;1240&lt;/rec-number&gt;&lt;foreign-keys&gt;&lt;key app="EN" db-id="tpt90r2wprx9dlezv01p5xdevxr5dztae9za"&gt;1240&lt;/key&gt;&lt;/foreign-keys&gt;&lt;ref-type name="Journal Article"&gt;17&lt;/ref-type&gt;&lt;contributors&gt;&lt;authors&gt;&lt;author&gt;Marquard, D&lt;/author&gt;&lt;author&gt;Schneider-Barthold, C&lt;/author&gt;&lt;author&gt;Düsterloh, S&lt;/author&gt;&lt;author&gt;Scheper, T&lt;/author&gt;&lt;author&gt;Lindner, P&lt;/author&gt;&lt;/authors&gt;&lt;/contributors&gt;&lt;titles&gt;&lt;title&gt;Online monitoring of cell concentration in high cell density Escherichia coli cultivations using in situ Microscopy&lt;/title&gt;&lt;secondary-title&gt;Journal of biotechnology&lt;/secondary-title&gt;&lt;/titles&gt;&lt;periodical&gt;&lt;full-title&gt;Journal of biotechnology&lt;/full-title&gt;&lt;/periodical&gt;&lt;pages&gt;83-85&lt;/pages&gt;&lt;volume&gt;259&lt;/volume&gt;&lt;dates&gt;&lt;year&gt;2017&lt;/year&gt;&lt;/dates&gt;&lt;isbn&gt;0168-1656&lt;/isbn&gt;&lt;urls&gt;&lt;/urls&gt;&lt;/record&gt;&lt;/Cite&gt;&lt;/EndNote&gt;</w:instrText>
            </w:r>
            <w:r w:rsidR="004A6682">
              <w:fldChar w:fldCharType="separate"/>
            </w:r>
            <w:r w:rsidR="004A6682">
              <w:rPr>
                <w:noProof/>
              </w:rPr>
              <w:t>(</w:t>
            </w:r>
            <w:hyperlink w:anchor="_ENREF_2" w:tooltip="Marquard, 2017 #1240" w:history="1">
              <w:r w:rsidR="007277DD">
                <w:rPr>
                  <w:noProof/>
                </w:rPr>
                <w:t>Marquard, Schneider-Barthold et al. 2017</w:t>
              </w:r>
            </w:hyperlink>
            <w:r w:rsidR="004A6682">
              <w:rPr>
                <w:noProof/>
              </w:rPr>
              <w:t>)</w:t>
            </w:r>
            <w:r w:rsidR="004A6682">
              <w:fldChar w:fldCharType="end"/>
            </w:r>
            <w:r w:rsidR="004A6682">
              <w:t>.”</w:t>
            </w:r>
          </w:p>
        </w:tc>
      </w:tr>
      <w:tr w:rsidR="00EC40E4" w:rsidRPr="000A76CE" w14:paraId="31063E78" w14:textId="77777777" w:rsidTr="0062272D">
        <w:tc>
          <w:tcPr>
            <w:tcW w:w="6655" w:type="dxa"/>
          </w:tcPr>
          <w:p w14:paraId="1AFAA60D" w14:textId="77777777" w:rsidR="00EC40E4" w:rsidRPr="000369ED" w:rsidRDefault="00EC40E4" w:rsidP="00EC40E4">
            <w:pPr>
              <w:pStyle w:val="NoSpacing"/>
              <w:rPr>
                <w:b/>
              </w:rPr>
            </w:pPr>
            <w:r w:rsidRPr="000369ED">
              <w:rPr>
                <w:b/>
              </w:rPr>
              <w:lastRenderedPageBreak/>
              <w:t xml:space="preserve">Reviewers' comments: </w:t>
            </w:r>
            <w:r>
              <w:rPr>
                <w:b/>
              </w:rPr>
              <w:t>2</w:t>
            </w:r>
          </w:p>
        </w:tc>
        <w:tc>
          <w:tcPr>
            <w:tcW w:w="8100" w:type="dxa"/>
          </w:tcPr>
          <w:p w14:paraId="1CC0F1BA" w14:textId="77777777" w:rsidR="00EC40E4" w:rsidRPr="000369ED" w:rsidRDefault="00EC40E4" w:rsidP="00EC40E4">
            <w:pPr>
              <w:pStyle w:val="NoSpacing"/>
              <w:rPr>
                <w:b/>
              </w:rPr>
            </w:pPr>
            <w:r w:rsidRPr="000369ED">
              <w:rPr>
                <w:b/>
              </w:rPr>
              <w:t>Author’s comments</w:t>
            </w:r>
          </w:p>
        </w:tc>
      </w:tr>
      <w:tr w:rsidR="00F81F1C" w:rsidRPr="002336A7" w14:paraId="49406E28" w14:textId="77777777" w:rsidTr="00211E0B">
        <w:trPr>
          <w:trHeight w:val="895"/>
        </w:trPr>
        <w:tc>
          <w:tcPr>
            <w:tcW w:w="6655" w:type="dxa"/>
          </w:tcPr>
          <w:p w14:paraId="57974986" w14:textId="77777777" w:rsidR="00F81F1C" w:rsidRPr="00F81F1C" w:rsidRDefault="00DE0FEF" w:rsidP="00211E0B">
            <w:pPr>
              <w:pStyle w:val="body"/>
              <w:rPr>
                <w:b/>
              </w:rPr>
            </w:pPr>
            <w:r>
              <w:t>28</w:t>
            </w:r>
            <w:r w:rsidR="00F81F1C">
              <w:t>. Language and spelling of the article need improvements. Maybe have it checked by a native speaker (I am not one but even I can see it is necessary).</w:t>
            </w:r>
          </w:p>
        </w:tc>
        <w:tc>
          <w:tcPr>
            <w:tcW w:w="8100" w:type="dxa"/>
          </w:tcPr>
          <w:p w14:paraId="61EC81E7" w14:textId="77777777" w:rsidR="00F81F1C" w:rsidRPr="00F81F1C" w:rsidRDefault="00351C92" w:rsidP="004A6682">
            <w:pPr>
              <w:pStyle w:val="body"/>
            </w:pPr>
            <w:r>
              <w:t xml:space="preserve">Although it becomes not obvious in the specific comments of this reviewer and this statement is not in </w:t>
            </w:r>
            <w:r w:rsidR="00E31F1D">
              <w:t>line</w:t>
            </w:r>
            <w:r>
              <w:t xml:space="preserve"> with the editorial comments and the comments of reviewer 1, we have checked several critical passages together with a native speaker</w:t>
            </w:r>
            <w:r w:rsidR="004A6682">
              <w:t>.</w:t>
            </w:r>
          </w:p>
        </w:tc>
      </w:tr>
      <w:tr w:rsidR="00F81F1C" w:rsidRPr="00F8630A" w14:paraId="7F7A0FE4" w14:textId="77777777" w:rsidTr="0062272D">
        <w:tc>
          <w:tcPr>
            <w:tcW w:w="6655" w:type="dxa"/>
          </w:tcPr>
          <w:p w14:paraId="47CEDC4F" w14:textId="77777777" w:rsidR="00F81F1C" w:rsidRDefault="00F81F1C" w:rsidP="00211E0B">
            <w:pPr>
              <w:pStyle w:val="body"/>
            </w:pPr>
            <w:r>
              <w:t>2</w:t>
            </w:r>
            <w:r w:rsidR="00DE0FEF">
              <w:t>9</w:t>
            </w:r>
            <w:r>
              <w:t>. Some of the steps are not described with enough care. Figure legends are too short and not descriptive. Some figures do not help / do not contain meaningful information. Relevant pieces of literature are not cited. Altogether, the manuscript at present is not prepared with an acceptable degree of diligence.</w:t>
            </w:r>
          </w:p>
        </w:tc>
        <w:tc>
          <w:tcPr>
            <w:tcW w:w="8100" w:type="dxa"/>
          </w:tcPr>
          <w:p w14:paraId="65E68C21" w14:textId="53C3308C" w:rsidR="004A6682" w:rsidRDefault="00983B56" w:rsidP="00660F49">
            <w:pPr>
              <w:pStyle w:val="body"/>
            </w:pPr>
            <w:r>
              <w:t>It does not become clear, which steps are not described with enough care and which legends are not descriptive. This Reviewer comment is not specific enough to correct the manuscript in a meaningful way. T</w:t>
            </w:r>
            <w:r w:rsidR="004A6682">
              <w:t xml:space="preserve">his manuscript is about the monitoring of yeast </w:t>
            </w:r>
            <w:r>
              <w:t xml:space="preserve">or </w:t>
            </w:r>
            <w:r w:rsidR="004A6682">
              <w:t xml:space="preserve">similar cells and not </w:t>
            </w:r>
            <w:r>
              <w:t xml:space="preserve">about </w:t>
            </w:r>
            <w:r w:rsidR="004A6682">
              <w:t xml:space="preserve">in situ microscopy in general. It makes no sense to write a protocol and cite a lot of work about the cultivation of cell </w:t>
            </w:r>
            <w:r w:rsidR="00E31F1D">
              <w:t>line</w:t>
            </w:r>
            <w:r w:rsidR="004A6682">
              <w:t>s. Such cells are 10 times larger.</w:t>
            </w:r>
          </w:p>
          <w:p w14:paraId="4030C12C" w14:textId="77777777" w:rsidR="00F81F1C" w:rsidRPr="00B465DC" w:rsidRDefault="00207DE4" w:rsidP="00660F49">
            <w:pPr>
              <w:pStyle w:val="body"/>
            </w:pPr>
            <w:r w:rsidRPr="00B465DC">
              <w:t xml:space="preserve">A sketch of the sensors has been added (Figure 2), whereas </w:t>
            </w:r>
            <w:r w:rsidR="00660F49" w:rsidRPr="00B465DC">
              <w:t xml:space="preserve">Figure 3 (Screenshot of SOPAT Results Analyzer) has been removed. </w:t>
            </w:r>
          </w:p>
          <w:p w14:paraId="296F7DE4" w14:textId="77777777" w:rsidR="00207DE4" w:rsidRDefault="00207DE4" w:rsidP="003C67DE">
            <w:pPr>
              <w:pStyle w:val="body"/>
            </w:pPr>
            <w:r w:rsidRPr="00B465DC">
              <w:t>More literature has been added:</w:t>
            </w:r>
          </w:p>
          <w:p w14:paraId="353D638E" w14:textId="77777777" w:rsidR="00B16DD7" w:rsidRPr="00884C3F" w:rsidRDefault="00B16DD7" w:rsidP="00B16DD7">
            <w:pPr>
              <w:pStyle w:val="body"/>
              <w:rPr>
                <w:rFonts w:cstheme="minorHAnsi"/>
                <w:noProof/>
                <w:color w:val="000000" w:themeColor="text1"/>
              </w:rPr>
            </w:pPr>
            <w:r w:rsidRPr="00884C3F">
              <w:rPr>
                <w:rFonts w:cstheme="minorHAnsi"/>
                <w:noProof/>
                <w:color w:val="000000" w:themeColor="text1"/>
              </w:rPr>
              <w:t xml:space="preserve">Belini, V. L., Wiedemann, P. &amp; Suhr, H. In situ microscopy: A perspective for industrial bioethanol production monitoring. </w:t>
            </w:r>
            <w:r w:rsidRPr="00884C3F">
              <w:rPr>
                <w:rFonts w:cstheme="minorHAnsi"/>
                <w:i/>
                <w:noProof/>
                <w:color w:val="000000" w:themeColor="text1"/>
              </w:rPr>
              <w:t>Journal of microbiological methods.</w:t>
            </w:r>
            <w:r w:rsidRPr="00884C3F">
              <w:rPr>
                <w:rFonts w:cstheme="minorHAnsi"/>
                <w:noProof/>
                <w:color w:val="000000" w:themeColor="text1"/>
              </w:rPr>
              <w:t xml:space="preserve"> </w:t>
            </w:r>
            <w:r w:rsidRPr="00884C3F">
              <w:rPr>
                <w:rFonts w:cstheme="minorHAnsi"/>
                <w:b/>
                <w:noProof/>
                <w:color w:val="000000" w:themeColor="text1"/>
              </w:rPr>
              <w:t>93</w:t>
            </w:r>
            <w:r w:rsidRPr="00884C3F">
              <w:rPr>
                <w:rFonts w:cstheme="minorHAnsi"/>
                <w:noProof/>
                <w:color w:val="000000" w:themeColor="text1"/>
              </w:rPr>
              <w:t xml:space="preserve"> (3), 224-232, (2013).</w:t>
            </w:r>
          </w:p>
          <w:p w14:paraId="2C2426FC" w14:textId="77777777" w:rsidR="00B16DD7" w:rsidRDefault="00B16DD7" w:rsidP="00B16DD7">
            <w:pPr>
              <w:pStyle w:val="body"/>
              <w:rPr>
                <w:rFonts w:cstheme="minorHAnsi"/>
                <w:noProof/>
                <w:color w:val="000000" w:themeColor="text1"/>
              </w:rPr>
            </w:pPr>
            <w:r w:rsidRPr="002C0538">
              <w:rPr>
                <w:rFonts w:cstheme="minorHAnsi"/>
                <w:noProof/>
                <w:color w:val="000000" w:themeColor="text1"/>
              </w:rPr>
              <w:t>Havlik, I.</w:t>
            </w:r>
            <w:r w:rsidRPr="002C0538">
              <w:rPr>
                <w:rFonts w:cstheme="minorHAnsi"/>
                <w:i/>
                <w:noProof/>
                <w:color w:val="000000" w:themeColor="text1"/>
              </w:rPr>
              <w:t xml:space="preserve"> et al.</w:t>
            </w:r>
            <w:r w:rsidRPr="002C0538">
              <w:rPr>
                <w:rFonts w:cstheme="minorHAnsi"/>
                <w:noProof/>
                <w:color w:val="000000" w:themeColor="text1"/>
              </w:rPr>
              <w:t xml:space="preserve"> Monitoring of microalgal cultivations with on-line, flow-through microscopy. </w:t>
            </w:r>
            <w:r w:rsidRPr="00E57DBA">
              <w:rPr>
                <w:rFonts w:cstheme="minorHAnsi"/>
                <w:i/>
                <w:noProof/>
                <w:color w:val="000000" w:themeColor="text1"/>
              </w:rPr>
              <w:t>Algal Research.</w:t>
            </w:r>
            <w:r w:rsidRPr="00E57DBA">
              <w:rPr>
                <w:rFonts w:cstheme="minorHAnsi"/>
                <w:noProof/>
                <w:color w:val="000000" w:themeColor="text1"/>
              </w:rPr>
              <w:t xml:space="preserve"> </w:t>
            </w:r>
            <w:r w:rsidRPr="00E57DBA">
              <w:rPr>
                <w:rFonts w:cstheme="minorHAnsi"/>
                <w:b/>
                <w:noProof/>
                <w:color w:val="000000" w:themeColor="text1"/>
              </w:rPr>
              <w:t>2</w:t>
            </w:r>
            <w:r w:rsidRPr="00E57DBA">
              <w:rPr>
                <w:rFonts w:cstheme="minorHAnsi"/>
                <w:noProof/>
                <w:color w:val="000000" w:themeColor="text1"/>
              </w:rPr>
              <w:t xml:space="preserve"> (3), 253-257, (2013).</w:t>
            </w:r>
          </w:p>
          <w:p w14:paraId="4A2265C2" w14:textId="77777777" w:rsidR="00B465DC" w:rsidRDefault="00F8630A" w:rsidP="00F8630A">
            <w:pPr>
              <w:pStyle w:val="body"/>
              <w:rPr>
                <w:rFonts w:ascii="Calibri" w:hAnsi="Calibri" w:cstheme="minorHAnsi"/>
                <w:noProof/>
                <w:color w:val="000000" w:themeColor="text1"/>
              </w:rPr>
            </w:pPr>
            <w:r>
              <w:rPr>
                <w:rFonts w:ascii="Calibri" w:hAnsi="Calibri" w:cstheme="minorHAnsi"/>
                <w:noProof/>
                <w:color w:val="000000" w:themeColor="text1"/>
              </w:rPr>
              <w:t xml:space="preserve">Lemoine, A., et al. </w:t>
            </w:r>
            <w:r w:rsidRPr="007D6C4D">
              <w:rPr>
                <w:rFonts w:ascii="Calibri" w:hAnsi="Calibri" w:cstheme="minorHAnsi"/>
                <w:noProof/>
                <w:color w:val="000000" w:themeColor="text1"/>
              </w:rPr>
              <w:t xml:space="preserve">Tools for the determination of population heterogeneity caused by inhomogeneous cultivation conditions. </w:t>
            </w:r>
            <w:r w:rsidRPr="007D6C4D">
              <w:rPr>
                <w:rFonts w:ascii="Calibri" w:hAnsi="Calibri" w:cstheme="minorHAnsi"/>
                <w:i/>
                <w:noProof/>
                <w:color w:val="000000" w:themeColor="text1"/>
              </w:rPr>
              <w:t>Journal of biotechnology.</w:t>
            </w:r>
            <w:r w:rsidRPr="007D6C4D">
              <w:rPr>
                <w:rFonts w:ascii="Calibri" w:hAnsi="Calibri" w:cstheme="minorHAnsi"/>
                <w:noProof/>
                <w:color w:val="000000" w:themeColor="text1"/>
              </w:rPr>
              <w:t xml:space="preserve"> </w:t>
            </w:r>
            <w:r w:rsidRPr="007D6C4D">
              <w:rPr>
                <w:rFonts w:ascii="Calibri" w:hAnsi="Calibri" w:cstheme="minorHAnsi"/>
                <w:b/>
                <w:noProof/>
                <w:color w:val="000000" w:themeColor="text1"/>
              </w:rPr>
              <w:t>251</w:t>
            </w:r>
            <w:r w:rsidRPr="007D6C4D">
              <w:rPr>
                <w:rFonts w:ascii="Calibri" w:hAnsi="Calibri" w:cstheme="minorHAnsi"/>
                <w:noProof/>
                <w:color w:val="000000" w:themeColor="text1"/>
              </w:rPr>
              <w:t xml:space="preserve"> 84-93, (2017).</w:t>
            </w:r>
          </w:p>
          <w:p w14:paraId="32E678DE" w14:textId="260DA385" w:rsidR="00F8630A" w:rsidRDefault="00F8630A" w:rsidP="00F8630A">
            <w:pPr>
              <w:pStyle w:val="body"/>
              <w:rPr>
                <w:rFonts w:ascii="Calibri" w:hAnsi="Calibri" w:cstheme="minorHAnsi"/>
                <w:noProof/>
                <w:color w:val="000000" w:themeColor="text1"/>
              </w:rPr>
            </w:pPr>
            <w:r w:rsidRPr="007D6C4D">
              <w:rPr>
                <w:rFonts w:ascii="Calibri" w:hAnsi="Calibri" w:cstheme="minorHAnsi"/>
                <w:noProof/>
                <w:color w:val="000000" w:themeColor="text1"/>
              </w:rPr>
              <w:t>Marquard, D</w:t>
            </w:r>
            <w:r>
              <w:rPr>
                <w:rFonts w:ascii="Calibri" w:hAnsi="Calibri" w:cstheme="minorHAnsi"/>
                <w:noProof/>
                <w:color w:val="000000" w:themeColor="text1"/>
              </w:rPr>
              <w:t xml:space="preserve">. et al. </w:t>
            </w:r>
            <w:r w:rsidRPr="007D6C4D">
              <w:rPr>
                <w:rFonts w:ascii="Calibri" w:hAnsi="Calibri" w:cstheme="minorHAnsi"/>
                <w:noProof/>
                <w:color w:val="000000" w:themeColor="text1"/>
              </w:rPr>
              <w:t xml:space="preserve"> Online monitoring of cell concentration in high cell density Escherichia coli cultivations using in situ Microscopy. </w:t>
            </w:r>
            <w:r w:rsidRPr="007D6C4D">
              <w:rPr>
                <w:rFonts w:ascii="Calibri" w:hAnsi="Calibri" w:cstheme="minorHAnsi"/>
                <w:i/>
                <w:noProof/>
                <w:color w:val="000000" w:themeColor="text1"/>
              </w:rPr>
              <w:t>Journal of biotechnology.</w:t>
            </w:r>
            <w:r w:rsidRPr="007D6C4D">
              <w:rPr>
                <w:rFonts w:ascii="Calibri" w:hAnsi="Calibri" w:cstheme="minorHAnsi"/>
                <w:noProof/>
                <w:color w:val="000000" w:themeColor="text1"/>
              </w:rPr>
              <w:t xml:space="preserve"> </w:t>
            </w:r>
            <w:r w:rsidRPr="007D6C4D">
              <w:rPr>
                <w:rFonts w:ascii="Calibri" w:hAnsi="Calibri" w:cstheme="minorHAnsi"/>
                <w:b/>
                <w:noProof/>
                <w:color w:val="000000" w:themeColor="text1"/>
              </w:rPr>
              <w:t>259</w:t>
            </w:r>
            <w:r w:rsidRPr="007D6C4D">
              <w:rPr>
                <w:rFonts w:ascii="Calibri" w:hAnsi="Calibri" w:cstheme="minorHAnsi"/>
                <w:noProof/>
                <w:color w:val="000000" w:themeColor="text1"/>
              </w:rPr>
              <w:t xml:space="preserve"> 83-85, (2017).</w:t>
            </w:r>
          </w:p>
          <w:p w14:paraId="0F20FC41" w14:textId="24A68FE8" w:rsidR="00F8630A" w:rsidRPr="00F81F1C" w:rsidRDefault="00F8630A" w:rsidP="00F8630A">
            <w:pPr>
              <w:pStyle w:val="body"/>
            </w:pPr>
            <w:r w:rsidRPr="007D6C4D">
              <w:rPr>
                <w:rFonts w:ascii="Calibri" w:hAnsi="Calibri" w:cstheme="minorHAnsi"/>
                <w:noProof/>
                <w:color w:val="000000" w:themeColor="text1"/>
              </w:rPr>
              <w:lastRenderedPageBreak/>
              <w:t xml:space="preserve">Suhr, H. &amp; Herkommer, A. M. In situ microscopy using adjustment-free optics. </w:t>
            </w:r>
            <w:r w:rsidRPr="007D6C4D">
              <w:rPr>
                <w:rFonts w:ascii="Calibri" w:hAnsi="Calibri" w:cstheme="minorHAnsi"/>
                <w:i/>
                <w:noProof/>
                <w:color w:val="000000" w:themeColor="text1"/>
              </w:rPr>
              <w:t>Journal of biomedical optics.</w:t>
            </w:r>
            <w:r w:rsidRPr="007D6C4D">
              <w:rPr>
                <w:rFonts w:ascii="Calibri" w:hAnsi="Calibri" w:cstheme="minorHAnsi"/>
                <w:noProof/>
                <w:color w:val="000000" w:themeColor="text1"/>
              </w:rPr>
              <w:t xml:space="preserve"> </w:t>
            </w:r>
            <w:r w:rsidRPr="007D6C4D">
              <w:rPr>
                <w:rFonts w:ascii="Calibri" w:hAnsi="Calibri" w:cstheme="minorHAnsi"/>
                <w:b/>
                <w:noProof/>
                <w:color w:val="000000" w:themeColor="text1"/>
              </w:rPr>
              <w:t>20</w:t>
            </w:r>
            <w:r w:rsidRPr="007D6C4D">
              <w:rPr>
                <w:rFonts w:ascii="Calibri" w:hAnsi="Calibri" w:cstheme="minorHAnsi"/>
                <w:noProof/>
                <w:color w:val="000000" w:themeColor="text1"/>
              </w:rPr>
              <w:t xml:space="preserve"> (11), 116007-116007, (2015).</w:t>
            </w:r>
          </w:p>
        </w:tc>
      </w:tr>
      <w:tr w:rsidR="00F81F1C" w:rsidRPr="002336A7" w14:paraId="0B13A7D1" w14:textId="77777777" w:rsidTr="0062272D">
        <w:tc>
          <w:tcPr>
            <w:tcW w:w="6655" w:type="dxa"/>
          </w:tcPr>
          <w:p w14:paraId="08C0AC92" w14:textId="77777777" w:rsidR="00F81F1C" w:rsidRPr="00884C3F" w:rsidRDefault="00DE0FEF" w:rsidP="00211E0B">
            <w:pPr>
              <w:pStyle w:val="body"/>
            </w:pPr>
            <w:r>
              <w:lastRenderedPageBreak/>
              <w:t xml:space="preserve">30. </w:t>
            </w:r>
            <w:r w:rsidR="00F81F1C">
              <w:t xml:space="preserve">Abstract, last paragraph: "on </w:t>
            </w:r>
            <w:r w:rsidR="00E31F1D">
              <w:t>line</w:t>
            </w:r>
            <w:r w:rsidR="00F81F1C">
              <w:t>": on</w:t>
            </w:r>
            <w:r w:rsidR="00E31F1D">
              <w:t>line</w:t>
            </w:r>
            <w:r w:rsidR="00F81F1C">
              <w:t xml:space="preserve"> monitoring is mostly regarded as via bypass, FIA etc. The idea of your method is primarily in situ (or in-</w:t>
            </w:r>
            <w:r w:rsidR="00E31F1D">
              <w:t>line</w:t>
            </w:r>
            <w:r w:rsidR="00F81F1C">
              <w:t xml:space="preserve">) monitoring, right? </w:t>
            </w:r>
          </w:p>
        </w:tc>
        <w:tc>
          <w:tcPr>
            <w:tcW w:w="8100" w:type="dxa"/>
          </w:tcPr>
          <w:p w14:paraId="62A91190" w14:textId="3B877199" w:rsidR="00F81F1C" w:rsidRPr="00A44DC0" w:rsidRDefault="000D5B20" w:rsidP="007074AA">
            <w:pPr>
              <w:pStyle w:val="body"/>
              <w:rPr>
                <w:b/>
              </w:rPr>
            </w:pPr>
            <w:r>
              <w:t>Indeed both is addresse</w:t>
            </w:r>
            <w:r w:rsidR="00696F35">
              <w:t>d</w:t>
            </w:r>
            <w:r>
              <w:t>. This was c</w:t>
            </w:r>
            <w:r w:rsidR="0039468A">
              <w:t xml:space="preserve">hanged in </w:t>
            </w:r>
            <w:r w:rsidR="00E31F1D">
              <w:t>line</w:t>
            </w:r>
            <w:r w:rsidR="00A44DC0" w:rsidRPr="00A44DC0">
              <w:t xml:space="preserve"> 4</w:t>
            </w:r>
            <w:r w:rsidR="007074AA">
              <w:t>8</w:t>
            </w:r>
            <w:r w:rsidR="00A44DC0" w:rsidRPr="00A44DC0">
              <w:t xml:space="preserve">: “The </w:t>
            </w:r>
            <w:r w:rsidR="004A6682">
              <w:t>feasibility</w:t>
            </w:r>
            <w:r w:rsidR="00A44DC0" w:rsidRPr="00A44DC0">
              <w:t xml:space="preserve"> to monitor changes in cell morphology directly </w:t>
            </w:r>
            <w:r w:rsidR="00A44DC0" w:rsidRPr="00A44DC0">
              <w:rPr>
                <w:i/>
              </w:rPr>
              <w:t xml:space="preserve">in </w:t>
            </w:r>
            <w:r w:rsidR="00E31F1D">
              <w:rPr>
                <w:i/>
              </w:rPr>
              <w:t>line</w:t>
            </w:r>
            <w:r w:rsidR="00A44DC0" w:rsidRPr="00A44DC0">
              <w:rPr>
                <w:i/>
              </w:rPr>
              <w:t xml:space="preserve"> or on </w:t>
            </w:r>
            <w:r w:rsidR="00E31F1D">
              <w:rPr>
                <w:i/>
              </w:rPr>
              <w:t>line</w:t>
            </w:r>
            <w:r w:rsidR="00A44DC0" w:rsidRPr="00A44DC0">
              <w:rPr>
                <w:i/>
              </w:rPr>
              <w:t xml:space="preserve"> </w:t>
            </w:r>
            <w:r w:rsidR="00A44DC0" w:rsidRPr="00A44DC0">
              <w:t>(by-pass) enables</w:t>
            </w:r>
            <w:r w:rsidR="00A44DC0">
              <w:t>…”</w:t>
            </w:r>
          </w:p>
        </w:tc>
      </w:tr>
      <w:tr w:rsidR="00F81F1C" w:rsidRPr="002336A7" w14:paraId="0F50D7E7" w14:textId="77777777" w:rsidTr="0062272D">
        <w:tc>
          <w:tcPr>
            <w:tcW w:w="6655" w:type="dxa"/>
          </w:tcPr>
          <w:p w14:paraId="0C19C2FD" w14:textId="77777777" w:rsidR="00F81F1C" w:rsidRDefault="00DE0FEF" w:rsidP="00211E0B">
            <w:pPr>
              <w:pStyle w:val="body"/>
            </w:pPr>
            <w:r>
              <w:t xml:space="preserve">31. </w:t>
            </w:r>
            <w:r w:rsidR="00F81F1C">
              <w:t xml:space="preserve">P2, 61: cell agglomeration is very often interesting and by far not only "e.g. at (wording?) </w:t>
            </w:r>
            <w:proofErr w:type="gramStart"/>
            <w:r w:rsidR="00F81F1C">
              <w:t>stem</w:t>
            </w:r>
            <w:proofErr w:type="gramEnd"/>
            <w:r w:rsidR="00F81F1C">
              <w:t xml:space="preserve"> cell proliferation".  </w:t>
            </w:r>
          </w:p>
        </w:tc>
        <w:tc>
          <w:tcPr>
            <w:tcW w:w="8100" w:type="dxa"/>
          </w:tcPr>
          <w:p w14:paraId="535A1104" w14:textId="4E3661B1" w:rsidR="00DE0FEF" w:rsidRDefault="00F915D2" w:rsidP="00DE0FEF">
            <w:pPr>
              <w:pStyle w:val="body"/>
            </w:pPr>
            <w:r>
              <w:t xml:space="preserve">The sentence </w:t>
            </w:r>
            <w:r w:rsidR="00DE0FEF">
              <w:t>points out</w:t>
            </w:r>
            <w:r>
              <w:t xml:space="preserve"> that cell agglomeration may be a factor to </w:t>
            </w:r>
            <w:r w:rsidR="00DE0FEF">
              <w:t>consider</w:t>
            </w:r>
            <w:r>
              <w:t xml:space="preserve"> when measu</w:t>
            </w:r>
            <w:r w:rsidR="00E57DBA">
              <w:t xml:space="preserve">ring cell morphology. </w:t>
            </w:r>
            <w:r w:rsidR="00DE0FEF">
              <w:t xml:space="preserve">It is not meant as a discussion about the importance of cell agglomeration. This would not be appropriate </w:t>
            </w:r>
            <w:r w:rsidR="00EF1EC5">
              <w:t>(see</w:t>
            </w:r>
            <w:r w:rsidR="00DE0FEF">
              <w:t xml:space="preserve"> comment 8</w:t>
            </w:r>
            <w:r w:rsidR="00EF1EC5">
              <w:t>)</w:t>
            </w:r>
            <w:r w:rsidR="00DE0FEF">
              <w:t xml:space="preserve">. </w:t>
            </w:r>
          </w:p>
          <w:p w14:paraId="414BADA1" w14:textId="77777777" w:rsidR="00F915D2" w:rsidRPr="00F915D2" w:rsidRDefault="00EF1EC5" w:rsidP="004A6682">
            <w:pPr>
              <w:pStyle w:val="body"/>
              <w:rPr>
                <w:b/>
              </w:rPr>
            </w:pPr>
            <w:r>
              <w:t>Since we see that this comment rises questions among some audience, we removed the statement completely.</w:t>
            </w:r>
          </w:p>
        </w:tc>
      </w:tr>
      <w:tr w:rsidR="00F81F1C" w:rsidRPr="002336A7" w14:paraId="2F2AF3C9" w14:textId="77777777" w:rsidTr="0062272D">
        <w:tc>
          <w:tcPr>
            <w:tcW w:w="6655" w:type="dxa"/>
          </w:tcPr>
          <w:p w14:paraId="2B77674D" w14:textId="77777777" w:rsidR="00F81F1C" w:rsidRDefault="00DE0FEF" w:rsidP="00211E0B">
            <w:pPr>
              <w:pStyle w:val="body"/>
            </w:pPr>
            <w:r>
              <w:t xml:space="preserve">32. </w:t>
            </w:r>
            <w:r w:rsidR="00F81F1C">
              <w:t xml:space="preserve">74: There is substantially more literature on ISM than the cited ref. 4. Although the focus here is on the method, a bit more background is necessary. In the case of yeast, maybe </w:t>
            </w:r>
            <w:proofErr w:type="spellStart"/>
            <w:r w:rsidR="00F81F1C">
              <w:t>Belini</w:t>
            </w:r>
            <w:proofErr w:type="spellEnd"/>
            <w:r w:rsidR="00F81F1C">
              <w:t xml:space="preserve"> et al. 2013 and literature found therein (</w:t>
            </w:r>
            <w:proofErr w:type="spellStart"/>
            <w:r w:rsidR="00F81F1C" w:rsidRPr="00555A04">
              <w:t>Belini</w:t>
            </w:r>
            <w:proofErr w:type="spellEnd"/>
            <w:r w:rsidR="00F81F1C" w:rsidRPr="00555A04">
              <w:t xml:space="preserve"> </w:t>
            </w:r>
            <w:proofErr w:type="spellStart"/>
            <w:r w:rsidR="00F81F1C" w:rsidRPr="00555A04">
              <w:t>VL</w:t>
            </w:r>
            <w:proofErr w:type="gramStart"/>
            <w:r w:rsidR="00F81F1C" w:rsidRPr="00555A04">
              <w:t>,Wiedemann</w:t>
            </w:r>
            <w:proofErr w:type="spellEnd"/>
            <w:proofErr w:type="gramEnd"/>
            <w:r w:rsidR="00F81F1C" w:rsidRPr="00555A04">
              <w:t xml:space="preserve"> P, Suhr H (2013): In situ microscopy: A perspective for industrial bioethanol production monitoring</w:t>
            </w:r>
            <w:r w:rsidR="00F81F1C" w:rsidRPr="00B16DD7">
              <w:t>.</w:t>
            </w:r>
            <w:r w:rsidR="00F81F1C">
              <w:t xml:space="preserve"> J </w:t>
            </w:r>
            <w:proofErr w:type="spellStart"/>
            <w:r w:rsidR="00F81F1C">
              <w:t>Microbiol</w:t>
            </w:r>
            <w:proofErr w:type="spellEnd"/>
            <w:r w:rsidR="00F81F1C">
              <w:t xml:space="preserve"> Methods 93, 224-232).</w:t>
            </w:r>
          </w:p>
        </w:tc>
        <w:tc>
          <w:tcPr>
            <w:tcW w:w="8100" w:type="dxa"/>
          </w:tcPr>
          <w:p w14:paraId="2F46189C" w14:textId="6675E17A" w:rsidR="00F81F1C" w:rsidRPr="00EF1EC5" w:rsidRDefault="00064A79" w:rsidP="00555A04">
            <w:pPr>
              <w:pStyle w:val="body"/>
            </w:pPr>
            <w:r>
              <w:t>W</w:t>
            </w:r>
            <w:r w:rsidR="00E57DBA">
              <w:t>e added</w:t>
            </w:r>
            <w:r w:rsidR="00555A04">
              <w:t xml:space="preserve"> more literature (see comment 29)</w:t>
            </w:r>
            <w:r w:rsidR="00E57DBA">
              <w:t>.</w:t>
            </w:r>
          </w:p>
        </w:tc>
      </w:tr>
      <w:tr w:rsidR="00F81F1C" w:rsidRPr="002336A7" w14:paraId="0D84A39C" w14:textId="77777777" w:rsidTr="0062272D">
        <w:tc>
          <w:tcPr>
            <w:tcW w:w="6655" w:type="dxa"/>
          </w:tcPr>
          <w:p w14:paraId="1DD73B11" w14:textId="77777777" w:rsidR="00F81F1C" w:rsidRPr="00DA04D2" w:rsidRDefault="00741AA7" w:rsidP="00211E0B">
            <w:pPr>
              <w:pStyle w:val="body"/>
            </w:pPr>
            <w:r>
              <w:t xml:space="preserve">33. </w:t>
            </w:r>
            <w:r w:rsidR="00DA04D2">
              <w:t xml:space="preserve">77: again: on </w:t>
            </w:r>
            <w:r w:rsidR="00E31F1D">
              <w:t>line</w:t>
            </w:r>
            <w:r w:rsidR="00DA04D2">
              <w:t xml:space="preserve"> - any particular reason? ISM includes in situ… </w:t>
            </w:r>
          </w:p>
        </w:tc>
        <w:tc>
          <w:tcPr>
            <w:tcW w:w="8100" w:type="dxa"/>
          </w:tcPr>
          <w:p w14:paraId="6501B4DE" w14:textId="10CEF635" w:rsidR="00F81F1C" w:rsidRPr="00462091" w:rsidRDefault="00E31F1D" w:rsidP="007074AA">
            <w:pPr>
              <w:pStyle w:val="body"/>
              <w:rPr>
                <w:b/>
              </w:rPr>
            </w:pPr>
            <w:r>
              <w:t>This was c</w:t>
            </w:r>
            <w:r w:rsidR="0039468A">
              <w:t xml:space="preserve">hanged in </w:t>
            </w:r>
            <w:r>
              <w:t>line</w:t>
            </w:r>
            <w:r w:rsidR="00462091" w:rsidRPr="00884C3F">
              <w:t xml:space="preserve"> </w:t>
            </w:r>
            <w:r w:rsidR="005D18BB">
              <w:t>8</w:t>
            </w:r>
            <w:r w:rsidR="007074AA">
              <w:t>0</w:t>
            </w:r>
            <w:r w:rsidR="00462091" w:rsidRPr="00884C3F">
              <w:t>: “Recent</w:t>
            </w:r>
            <w:r w:rsidR="00462091" w:rsidRPr="00462091">
              <w:t xml:space="preserve"> advances in ISM allow the </w:t>
            </w:r>
            <w:r w:rsidR="00462091" w:rsidRPr="00462091">
              <w:rPr>
                <w:rFonts w:cs="Calibri,Italic"/>
                <w:i/>
                <w:iCs/>
              </w:rPr>
              <w:t xml:space="preserve">in </w:t>
            </w:r>
            <w:r>
              <w:rPr>
                <w:rFonts w:cs="Calibri,Italic"/>
                <w:i/>
                <w:iCs/>
              </w:rPr>
              <w:t>line</w:t>
            </w:r>
            <w:r w:rsidR="00462091" w:rsidRPr="00462091">
              <w:rPr>
                <w:rFonts w:cs="Calibri,Italic"/>
                <w:i/>
                <w:iCs/>
              </w:rPr>
              <w:t xml:space="preserve"> </w:t>
            </w:r>
            <w:r w:rsidR="00741AA7" w:rsidRPr="005D18BB">
              <w:rPr>
                <w:rFonts w:cs="Calibri,Italic"/>
                <w:iCs/>
              </w:rPr>
              <w:t>or</w:t>
            </w:r>
            <w:r w:rsidR="00741AA7">
              <w:rPr>
                <w:rFonts w:cs="Calibri,Italic"/>
                <w:i/>
                <w:iCs/>
              </w:rPr>
              <w:t xml:space="preserve"> on </w:t>
            </w:r>
            <w:r>
              <w:rPr>
                <w:rFonts w:cs="Calibri,Italic"/>
                <w:i/>
                <w:iCs/>
              </w:rPr>
              <w:t>line</w:t>
            </w:r>
            <w:r w:rsidR="00741AA7">
              <w:rPr>
                <w:rFonts w:cs="Calibri,Italic"/>
                <w:i/>
                <w:iCs/>
              </w:rPr>
              <w:t xml:space="preserve"> </w:t>
            </w:r>
            <w:r w:rsidR="00462091" w:rsidRPr="00462091">
              <w:t>monitoring of cells on a single-cell basis</w:t>
            </w:r>
            <w:r w:rsidR="00462091">
              <w:t>…”</w:t>
            </w:r>
          </w:p>
        </w:tc>
      </w:tr>
      <w:tr w:rsidR="00F81F1C" w:rsidRPr="002336A7" w14:paraId="3A7EE9AA" w14:textId="77777777" w:rsidTr="0062272D">
        <w:tc>
          <w:tcPr>
            <w:tcW w:w="6655" w:type="dxa"/>
          </w:tcPr>
          <w:p w14:paraId="34854DEC" w14:textId="77777777" w:rsidR="00F81F1C" w:rsidRPr="00DA04D2" w:rsidRDefault="00741AA7" w:rsidP="00211E0B">
            <w:pPr>
              <w:pStyle w:val="body"/>
            </w:pPr>
            <w:r>
              <w:t xml:space="preserve">34. </w:t>
            </w:r>
            <w:r w:rsidR="00DA04D2" w:rsidRPr="00DA04D2">
              <w:t xml:space="preserve">P3, 97: please explain in more detail. </w:t>
            </w:r>
            <w:r w:rsidR="00DA04D2">
              <w:t>Particle size? Or pellet size? Of course at the edges of pellets there is less biomass than in the center?</w:t>
            </w:r>
          </w:p>
        </w:tc>
        <w:tc>
          <w:tcPr>
            <w:tcW w:w="8100" w:type="dxa"/>
          </w:tcPr>
          <w:p w14:paraId="790B1DB0" w14:textId="77777777" w:rsidR="0039468A" w:rsidRPr="00741AA7" w:rsidRDefault="00741AA7" w:rsidP="00EF1EC5">
            <w:pPr>
              <w:pStyle w:val="body"/>
              <w:rPr>
                <w:b/>
              </w:rPr>
            </w:pPr>
            <w:r w:rsidRPr="00EF1EC5">
              <w:t>We talk about particle size (of single cells) throughout the manuscript</w:t>
            </w:r>
            <w:r w:rsidR="00EF1EC5">
              <w:t xml:space="preserve"> if not particularly stated in case of fungi, as done in the manuscript.</w:t>
            </w:r>
          </w:p>
        </w:tc>
      </w:tr>
      <w:tr w:rsidR="00F81F1C" w:rsidRPr="002336A7" w14:paraId="6D1AEE80" w14:textId="77777777" w:rsidTr="0062272D">
        <w:tc>
          <w:tcPr>
            <w:tcW w:w="6655" w:type="dxa"/>
          </w:tcPr>
          <w:p w14:paraId="31D6FAFF" w14:textId="77777777" w:rsidR="00F81F1C" w:rsidRPr="00DA04D2" w:rsidRDefault="00741AA7" w:rsidP="00211E0B">
            <w:pPr>
              <w:pStyle w:val="body"/>
            </w:pPr>
            <w:r>
              <w:t xml:space="preserve">35. </w:t>
            </w:r>
            <w:r w:rsidR="00DA04D2" w:rsidRPr="00DA04D2">
              <w:t xml:space="preserve">P4, 128: Centrifuge? </w:t>
            </w:r>
            <w:r w:rsidR="00DA04D2">
              <w:t xml:space="preserve">You mean centrifuge and </w:t>
            </w:r>
            <w:proofErr w:type="spellStart"/>
            <w:r w:rsidR="00DA04D2">
              <w:t>resuspend</w:t>
            </w:r>
            <w:proofErr w:type="spellEnd"/>
            <w:r w:rsidR="00DA04D2">
              <w:t>? (This is not about being "picky" - it is a question of how precise you want to be or the journal wants you to be)</w:t>
            </w:r>
          </w:p>
        </w:tc>
        <w:tc>
          <w:tcPr>
            <w:tcW w:w="8100" w:type="dxa"/>
          </w:tcPr>
          <w:p w14:paraId="1F67D31E" w14:textId="0A4A93D9" w:rsidR="00F81F1C" w:rsidRPr="00884C3F" w:rsidRDefault="003C67DE" w:rsidP="005D18BB">
            <w:pPr>
              <w:pStyle w:val="body"/>
              <w:rPr>
                <w:b/>
              </w:rPr>
            </w:pPr>
            <w:r>
              <w:t xml:space="preserve">Changed in </w:t>
            </w:r>
            <w:r w:rsidR="00E31F1D">
              <w:t>line</w:t>
            </w:r>
            <w:r w:rsidR="006354CA">
              <w:t xml:space="preserve"> 142</w:t>
            </w:r>
            <w:r w:rsidR="00393E08" w:rsidRPr="00884C3F">
              <w:t>:</w:t>
            </w:r>
            <w:r w:rsidR="00393E08" w:rsidRPr="00884C3F">
              <w:rPr>
                <w:b/>
              </w:rPr>
              <w:t xml:space="preserve"> “</w:t>
            </w:r>
            <w:r w:rsidR="00393E08" w:rsidRPr="00884C3F">
              <w:t xml:space="preserve">Prepare a culture with the highest cell concentration that might be achieved during the experiment or centrifuge and </w:t>
            </w:r>
            <w:proofErr w:type="spellStart"/>
            <w:r w:rsidR="00393E08" w:rsidRPr="00884C3F">
              <w:t>resuspend</w:t>
            </w:r>
            <w:proofErr w:type="spellEnd"/>
            <w:r w:rsidR="00393E08" w:rsidRPr="00884C3F">
              <w:t xml:space="preserve"> the pellet in order to reach this concentration.”</w:t>
            </w:r>
          </w:p>
        </w:tc>
      </w:tr>
      <w:tr w:rsidR="00F81F1C" w:rsidRPr="002336A7" w14:paraId="29E2A422" w14:textId="77777777" w:rsidTr="0062272D">
        <w:tc>
          <w:tcPr>
            <w:tcW w:w="6655" w:type="dxa"/>
          </w:tcPr>
          <w:p w14:paraId="3D3CA514" w14:textId="77777777" w:rsidR="00F81F1C" w:rsidRPr="00DA04D2" w:rsidRDefault="00741AA7" w:rsidP="00211E0B">
            <w:pPr>
              <w:pStyle w:val="body"/>
            </w:pPr>
            <w:r>
              <w:t xml:space="preserve">36. </w:t>
            </w:r>
            <w:r w:rsidR="00DA04D2">
              <w:t xml:space="preserve">131: Measure…: How? You refer to the gap later on (even citing a DIN) but changing the gap and measuring with the instrument is just taking for granted here? Refer to the manual or describe the procedure </w:t>
            </w:r>
            <w:r w:rsidR="00DA04D2">
              <w:lastRenderedPageBreak/>
              <w:t>here in more detail. Also: DoE: Included in the software package? If not: Any suggestion which program to use?</w:t>
            </w:r>
          </w:p>
        </w:tc>
        <w:tc>
          <w:tcPr>
            <w:tcW w:w="8100" w:type="dxa"/>
          </w:tcPr>
          <w:p w14:paraId="5A95BE6A" w14:textId="6CCE3A2D" w:rsidR="00DF4635" w:rsidRDefault="003C4CC2" w:rsidP="00211E0B">
            <w:pPr>
              <w:pStyle w:val="body"/>
              <w:rPr>
                <w:rStyle w:val="bodyChar"/>
              </w:rPr>
            </w:pPr>
            <w:r>
              <w:rPr>
                <w:rStyle w:val="bodyChar"/>
              </w:rPr>
              <w:lastRenderedPageBreak/>
              <w:t>See section 2 “</w:t>
            </w:r>
            <w:r w:rsidRPr="00B96DA3">
              <w:rPr>
                <w:rStyle w:val="bodyChar"/>
                <w:i/>
              </w:rPr>
              <w:t xml:space="preserve">Off </w:t>
            </w:r>
            <w:r w:rsidR="00E31F1D">
              <w:rPr>
                <w:rStyle w:val="bodyChar"/>
                <w:i/>
              </w:rPr>
              <w:t>line</w:t>
            </w:r>
            <w:r>
              <w:rPr>
                <w:rStyle w:val="bodyChar"/>
              </w:rPr>
              <w:t xml:space="preserve"> Measurement”</w:t>
            </w:r>
            <w:r w:rsidR="0039468A">
              <w:rPr>
                <w:rStyle w:val="bodyChar"/>
              </w:rPr>
              <w:t xml:space="preserve"> </w:t>
            </w:r>
            <w:r w:rsidR="00741AA7">
              <w:rPr>
                <w:rStyle w:val="bodyChar"/>
              </w:rPr>
              <w:t>w</w:t>
            </w:r>
            <w:r w:rsidR="00080121">
              <w:rPr>
                <w:rStyle w:val="bodyChar"/>
              </w:rPr>
              <w:t>ere this point has been specified.</w:t>
            </w:r>
          </w:p>
          <w:p w14:paraId="3DB6D3A8" w14:textId="320A5A85" w:rsidR="00B30806" w:rsidRPr="00DF4635" w:rsidRDefault="00741AA7" w:rsidP="00EF1EC5">
            <w:pPr>
              <w:pStyle w:val="body"/>
            </w:pPr>
            <w:r>
              <w:rPr>
                <w:rStyle w:val="bodyChar"/>
              </w:rPr>
              <w:lastRenderedPageBreak/>
              <w:t xml:space="preserve">DoE is not mentioned anymore as this is not necessary and not in </w:t>
            </w:r>
            <w:r w:rsidR="00E31F1D">
              <w:rPr>
                <w:rStyle w:val="bodyChar"/>
              </w:rPr>
              <w:t>line</w:t>
            </w:r>
            <w:r>
              <w:rPr>
                <w:rStyle w:val="bodyChar"/>
              </w:rPr>
              <w:t xml:space="preserve"> with </w:t>
            </w:r>
            <w:r w:rsidR="00EF1EC5">
              <w:rPr>
                <w:rStyle w:val="bodyChar"/>
              </w:rPr>
              <w:t xml:space="preserve">the </w:t>
            </w:r>
            <w:r>
              <w:rPr>
                <w:rStyle w:val="bodyChar"/>
              </w:rPr>
              <w:t>editorial comments.</w:t>
            </w:r>
          </w:p>
        </w:tc>
      </w:tr>
      <w:tr w:rsidR="00F81F1C" w:rsidRPr="002336A7" w14:paraId="3C0E7CA9" w14:textId="77777777" w:rsidTr="0062272D">
        <w:tc>
          <w:tcPr>
            <w:tcW w:w="6655" w:type="dxa"/>
          </w:tcPr>
          <w:p w14:paraId="76BF667E" w14:textId="77777777" w:rsidR="00F81F1C" w:rsidRPr="00DA04D2" w:rsidRDefault="00741AA7" w:rsidP="00211E0B">
            <w:pPr>
              <w:pStyle w:val="body"/>
            </w:pPr>
            <w:r>
              <w:lastRenderedPageBreak/>
              <w:t xml:space="preserve">37. </w:t>
            </w:r>
            <w:r w:rsidR="00DA04D2">
              <w:t xml:space="preserve">142: What is the readout of conc. </w:t>
            </w:r>
            <w:proofErr w:type="spellStart"/>
            <w:proofErr w:type="gramStart"/>
            <w:r w:rsidR="00DA04D2">
              <w:t>calib</w:t>
            </w:r>
            <w:proofErr w:type="spellEnd"/>
            <w:r w:rsidR="00DA04D2">
              <w:t>.:</w:t>
            </w:r>
            <w:proofErr w:type="gramEnd"/>
            <w:r w:rsidR="00DA04D2">
              <w:t xml:space="preserve"> Concentration? Brightness? Assumingly, the "image feature" is cell number, but later on you state (p9, 305) intensity or brightness (by the way: what is the difference between the two?)?</w:t>
            </w:r>
          </w:p>
        </w:tc>
        <w:tc>
          <w:tcPr>
            <w:tcW w:w="8100" w:type="dxa"/>
          </w:tcPr>
          <w:p w14:paraId="27CBEE2E" w14:textId="77777777" w:rsidR="00F81F1C" w:rsidRPr="009D4C55" w:rsidRDefault="00D26437" w:rsidP="00211E0B">
            <w:pPr>
              <w:pStyle w:val="body"/>
            </w:pPr>
            <w:r>
              <w:t>As it is described in the discussion part, o</w:t>
            </w:r>
            <w:r w:rsidR="006A4D72" w:rsidRPr="009D4C55">
              <w:t>nly for concentration analyses</w:t>
            </w:r>
            <w:r w:rsidR="00741AA7">
              <w:t>,</w:t>
            </w:r>
            <w:r w:rsidR="006A4D72" w:rsidRPr="009D4C55">
              <w:t xml:space="preserve"> additional image features (i.e. brightness, sharpness) have been extracted and correlated to cell dry biomass</w:t>
            </w:r>
            <w:r w:rsidR="00741AA7">
              <w:t xml:space="preserve"> concentrations</w:t>
            </w:r>
            <w:r w:rsidR="009D4C55" w:rsidRPr="009D4C55">
              <w:t>.</w:t>
            </w:r>
            <w:r w:rsidR="00741AA7">
              <w:t xml:space="preserve"> </w:t>
            </w:r>
            <w:r w:rsidR="00741AA7" w:rsidRPr="00EF1EC5">
              <w:t>“Intensity” was removed</w:t>
            </w:r>
            <w:r w:rsidR="00EF1EC5" w:rsidRPr="00EF1EC5">
              <w:t xml:space="preserve"> when it was mentioned in the context of cell intensity</w:t>
            </w:r>
            <w:r w:rsidR="00741AA7" w:rsidRPr="00EF1EC5">
              <w:t>.</w:t>
            </w:r>
          </w:p>
          <w:p w14:paraId="557D1EAB" w14:textId="1D946FEC" w:rsidR="009D4C55" w:rsidRPr="00EF1EC5" w:rsidRDefault="00D26437" w:rsidP="00D63E54">
            <w:pPr>
              <w:pStyle w:val="Heading3"/>
              <w:numPr>
                <w:ilvl w:val="0"/>
                <w:numId w:val="0"/>
              </w:numPr>
              <w:outlineLvl w:val="2"/>
              <w:rPr>
                <w:sz w:val="22"/>
                <w:szCs w:val="22"/>
                <w:highlight w:val="yellow"/>
              </w:rPr>
            </w:pPr>
            <w:r w:rsidRPr="00EF1EC5">
              <w:rPr>
                <w:sz w:val="22"/>
                <w:szCs w:val="22"/>
              </w:rPr>
              <w:t xml:space="preserve">This </w:t>
            </w:r>
            <w:r w:rsidR="00EF1EC5" w:rsidRPr="00EF1EC5">
              <w:rPr>
                <w:sz w:val="22"/>
                <w:szCs w:val="22"/>
              </w:rPr>
              <w:t xml:space="preserve">particular </w:t>
            </w:r>
            <w:r w:rsidR="00E31F1D">
              <w:rPr>
                <w:sz w:val="22"/>
                <w:szCs w:val="22"/>
              </w:rPr>
              <w:t>line</w:t>
            </w:r>
            <w:r w:rsidR="00EF1EC5" w:rsidRPr="00EF1EC5">
              <w:rPr>
                <w:sz w:val="22"/>
                <w:szCs w:val="22"/>
              </w:rPr>
              <w:t xml:space="preserve"> was</w:t>
            </w:r>
            <w:r w:rsidRPr="00EF1EC5">
              <w:rPr>
                <w:sz w:val="22"/>
                <w:szCs w:val="22"/>
              </w:rPr>
              <w:t xml:space="preserve"> r</w:t>
            </w:r>
            <w:r w:rsidR="00E31F1D">
              <w:rPr>
                <w:sz w:val="22"/>
                <w:szCs w:val="22"/>
              </w:rPr>
              <w:t>ephrased in</w:t>
            </w:r>
            <w:r w:rsidR="009D4C55" w:rsidRPr="00EF1EC5">
              <w:rPr>
                <w:sz w:val="22"/>
                <w:szCs w:val="22"/>
              </w:rPr>
              <w:t xml:space="preserve"> </w:t>
            </w:r>
            <w:r w:rsidR="00E31F1D">
              <w:rPr>
                <w:sz w:val="22"/>
                <w:szCs w:val="22"/>
              </w:rPr>
              <w:t>line</w:t>
            </w:r>
            <w:r w:rsidR="00D63E54">
              <w:rPr>
                <w:sz w:val="22"/>
                <w:szCs w:val="22"/>
              </w:rPr>
              <w:t xml:space="preserve"> </w:t>
            </w:r>
            <w:r w:rsidR="0039468A" w:rsidRPr="00EF1EC5">
              <w:rPr>
                <w:sz w:val="22"/>
                <w:szCs w:val="22"/>
              </w:rPr>
              <w:t>1</w:t>
            </w:r>
            <w:r w:rsidR="006354CA">
              <w:rPr>
                <w:sz w:val="22"/>
                <w:szCs w:val="22"/>
              </w:rPr>
              <w:t>65</w:t>
            </w:r>
            <w:r w:rsidR="009D4C55" w:rsidRPr="00EF1EC5">
              <w:rPr>
                <w:sz w:val="22"/>
                <w:szCs w:val="22"/>
              </w:rPr>
              <w:t>: “</w:t>
            </w:r>
            <w:r w:rsidR="00EF1EC5" w:rsidRPr="00EF1EC5">
              <w:rPr>
                <w:sz w:val="22"/>
                <w:szCs w:val="22"/>
              </w:rPr>
              <w:t>Use the “Concentration Calibration (</w:t>
            </w:r>
            <w:proofErr w:type="spellStart"/>
            <w:r w:rsidR="00EF1EC5" w:rsidRPr="00EF1EC5">
              <w:rPr>
                <w:sz w:val="22"/>
                <w:szCs w:val="22"/>
              </w:rPr>
              <w:t>CoCa</w:t>
            </w:r>
            <w:proofErr w:type="spellEnd"/>
            <w:r w:rsidR="00EF1EC5" w:rsidRPr="00EF1EC5">
              <w:rPr>
                <w:sz w:val="22"/>
                <w:szCs w:val="22"/>
              </w:rPr>
              <w:t xml:space="preserve">) Tool” (see </w:t>
            </w:r>
            <w:r w:rsidR="00EF1EC5" w:rsidRPr="00EF1EC5">
              <w:rPr>
                <w:i/>
                <w:color w:val="000000" w:themeColor="text1"/>
                <w:sz w:val="22"/>
                <w:szCs w:val="22"/>
              </w:rPr>
              <w:t>Figure 1</w:t>
            </w:r>
            <w:r w:rsidR="00EF1EC5" w:rsidRPr="00EF1EC5">
              <w:rPr>
                <w:sz w:val="22"/>
                <w:szCs w:val="22"/>
              </w:rPr>
              <w:t xml:space="preserve">) to identify the optimal correlation between the extracted image features (brightness or sharpness) and the previously measured concentrations provided by the user as e.g. dry biomass or cell counts. Follow the instructions in the manual of the </w:t>
            </w:r>
            <w:proofErr w:type="spellStart"/>
            <w:r w:rsidR="00EF1EC5" w:rsidRPr="00EF1EC5">
              <w:rPr>
                <w:sz w:val="22"/>
                <w:szCs w:val="22"/>
              </w:rPr>
              <w:t>CoCa</w:t>
            </w:r>
            <w:proofErr w:type="spellEnd"/>
            <w:r w:rsidR="00EF1EC5" w:rsidRPr="00EF1EC5">
              <w:rPr>
                <w:sz w:val="22"/>
                <w:szCs w:val="22"/>
              </w:rPr>
              <w:t xml:space="preserve"> tool of the SOPAT Software for further details.”</w:t>
            </w:r>
          </w:p>
        </w:tc>
      </w:tr>
      <w:tr w:rsidR="00DA04D2" w:rsidRPr="002336A7" w14:paraId="650ED6EF" w14:textId="77777777" w:rsidTr="0062272D">
        <w:tc>
          <w:tcPr>
            <w:tcW w:w="6655" w:type="dxa"/>
          </w:tcPr>
          <w:p w14:paraId="12D12083" w14:textId="77777777" w:rsidR="00DA04D2" w:rsidRDefault="00741AA7" w:rsidP="00211E0B">
            <w:pPr>
              <w:pStyle w:val="body"/>
            </w:pPr>
            <w:r>
              <w:t xml:space="preserve">38. </w:t>
            </w:r>
            <w:r w:rsidR="00DA04D2">
              <w:t>145: What is the merit of Fig 1? In particular, with no explaining legend.</w:t>
            </w:r>
          </w:p>
        </w:tc>
        <w:tc>
          <w:tcPr>
            <w:tcW w:w="8100" w:type="dxa"/>
          </w:tcPr>
          <w:p w14:paraId="7BD8EF25" w14:textId="77777777" w:rsidR="00D801E9" w:rsidRPr="003C67DE" w:rsidRDefault="00D801E9" w:rsidP="003C67DE">
            <w:pPr>
              <w:pStyle w:val="body"/>
            </w:pPr>
            <w:r w:rsidRPr="003C67DE">
              <w:t>The legend has been modified:</w:t>
            </w:r>
          </w:p>
          <w:p w14:paraId="4C5B4910" w14:textId="0A667979" w:rsidR="009B3E7E" w:rsidRPr="003C67DE" w:rsidRDefault="002336A7" w:rsidP="002336A7">
            <w:pPr>
              <w:pStyle w:val="body"/>
            </w:pPr>
            <w:r w:rsidRPr="009C5CB9">
              <w:t xml:space="preserve">Figure </w:t>
            </w:r>
            <w:r>
              <w:fldChar w:fldCharType="begin"/>
            </w:r>
            <w:r>
              <w:instrText xml:space="preserve"> SEQ Figure \* ARABIC </w:instrText>
            </w:r>
            <w:r>
              <w:fldChar w:fldCharType="separate"/>
            </w:r>
            <w:r w:rsidRPr="009C5CB9">
              <w:t>1</w:t>
            </w:r>
            <w:r>
              <w:fldChar w:fldCharType="end"/>
            </w:r>
            <w:r w:rsidRPr="009C5CB9">
              <w:t xml:space="preserve">. </w:t>
            </w:r>
            <w:r w:rsidRPr="009C5CB9">
              <w:rPr>
                <w:b/>
              </w:rPr>
              <w:t>Concentration Calibration Tool</w:t>
            </w:r>
            <w:r w:rsidRPr="009C5CB9">
              <w:t xml:space="preserve">. </w:t>
            </w:r>
            <w:r>
              <w:t>Left GUI:</w:t>
            </w:r>
            <w:r w:rsidRPr="003C67DE">
              <w:t xml:space="preserve"> Set image directories (minimum </w:t>
            </w:r>
            <w:r>
              <w:t>of 3) with known concentrations; central GU</w:t>
            </w:r>
            <w:bookmarkStart w:id="0" w:name="_GoBack"/>
            <w:bookmarkEnd w:id="0"/>
            <w:r>
              <w:t xml:space="preserve">I: choose </w:t>
            </w:r>
            <w:r w:rsidRPr="003C67DE">
              <w:t>features to be ca</w:t>
            </w:r>
            <w:r>
              <w:t>lculated on the image directory; right GUI:</w:t>
            </w:r>
            <w:r w:rsidRPr="003C67DE">
              <w:t xml:space="preserve"> </w:t>
            </w:r>
            <w:r>
              <w:t xml:space="preserve">choose </w:t>
            </w:r>
            <w:r w:rsidRPr="003C67DE">
              <w:t xml:space="preserve">the weighted root mean square error (WRMSE) to </w:t>
            </w:r>
            <w:r>
              <w:t>identify</w:t>
            </w:r>
            <w:r w:rsidRPr="003C67DE">
              <w:t xml:space="preserve"> the min. WRMSE</w:t>
            </w:r>
            <w:r>
              <w:t xml:space="preserve"> and the best correlation between any image feature and the cell concentration</w:t>
            </w:r>
            <w:r w:rsidRPr="003C67DE">
              <w:t>.</w:t>
            </w:r>
          </w:p>
        </w:tc>
      </w:tr>
      <w:tr w:rsidR="00DA04D2" w:rsidRPr="005D18BB" w14:paraId="742F5212" w14:textId="77777777" w:rsidTr="0062272D">
        <w:tc>
          <w:tcPr>
            <w:tcW w:w="6655" w:type="dxa"/>
          </w:tcPr>
          <w:p w14:paraId="05586CCA" w14:textId="77777777" w:rsidR="00DA04D2" w:rsidRDefault="00741AA7" w:rsidP="00211E0B">
            <w:pPr>
              <w:pStyle w:val="body"/>
            </w:pPr>
            <w:r>
              <w:t xml:space="preserve">39. </w:t>
            </w:r>
            <w:r w:rsidR="00DA04D2">
              <w:t>146: Again: What is "measurement information"? Cell concentration? Brightness?</w:t>
            </w:r>
          </w:p>
        </w:tc>
        <w:tc>
          <w:tcPr>
            <w:tcW w:w="8100" w:type="dxa"/>
          </w:tcPr>
          <w:p w14:paraId="2C522C51" w14:textId="77777777" w:rsidR="00741AA7" w:rsidRDefault="00741AA7" w:rsidP="00211E0B">
            <w:pPr>
              <w:pStyle w:val="body"/>
            </w:pPr>
            <w:r>
              <w:t xml:space="preserve">There is no general image feature, which provides an optimal correlation. Therefore, the method was described as mentioned at the answer of comment 38. </w:t>
            </w:r>
          </w:p>
          <w:p w14:paraId="677AFC56" w14:textId="5C08F99A" w:rsidR="00DA04D2" w:rsidRPr="00DA04D2" w:rsidRDefault="003367EE" w:rsidP="007149FC">
            <w:pPr>
              <w:pStyle w:val="body"/>
            </w:pPr>
            <w:r>
              <w:t xml:space="preserve">The wording was modified </w:t>
            </w:r>
            <w:r w:rsidR="005D18BB">
              <w:t>in line 1</w:t>
            </w:r>
            <w:r w:rsidR="007149FC">
              <w:t>70</w:t>
            </w:r>
            <w:r>
              <w:t>: “</w:t>
            </w:r>
            <w:r w:rsidR="009B3E7E" w:rsidRPr="00D801E9">
              <w:t xml:space="preserve">Identify the optimal correlation between the extracted information from the image features at various concentrations compared to any </w:t>
            </w:r>
            <w:r w:rsidR="009B3E7E" w:rsidRPr="00D801E9">
              <w:rPr>
                <w:i/>
              </w:rPr>
              <w:t xml:space="preserve">off </w:t>
            </w:r>
            <w:r w:rsidR="00E31F1D">
              <w:rPr>
                <w:i/>
              </w:rPr>
              <w:t>line</w:t>
            </w:r>
            <w:r w:rsidR="009B3E7E" w:rsidRPr="00D801E9">
              <w:t xml:space="preserve"> measurements.</w:t>
            </w:r>
            <w:r w:rsidR="00D801E9">
              <w:t xml:space="preserve"> See the legend of </w:t>
            </w:r>
            <w:r w:rsidR="00D801E9" w:rsidRPr="002336A7">
              <w:rPr>
                <w:i/>
              </w:rPr>
              <w:t>Figure 1</w:t>
            </w:r>
            <w:r w:rsidR="00D801E9">
              <w:t>.</w:t>
            </w:r>
            <w:r>
              <w:t>”</w:t>
            </w:r>
          </w:p>
        </w:tc>
      </w:tr>
      <w:tr w:rsidR="00DA04D2" w:rsidRPr="002336A7" w14:paraId="504C6915" w14:textId="77777777" w:rsidTr="0062272D">
        <w:tc>
          <w:tcPr>
            <w:tcW w:w="6655" w:type="dxa"/>
          </w:tcPr>
          <w:p w14:paraId="566C6CC8" w14:textId="77777777" w:rsidR="00DA04D2" w:rsidRDefault="003367EE" w:rsidP="00211E0B">
            <w:pPr>
              <w:pStyle w:val="body"/>
            </w:pPr>
            <w:r>
              <w:t xml:space="preserve">40. </w:t>
            </w:r>
            <w:r w:rsidR="00DA04D2">
              <w:t>155: Most likely not "cleaning in place" - compare with the definition of CIP</w:t>
            </w:r>
          </w:p>
        </w:tc>
        <w:tc>
          <w:tcPr>
            <w:tcW w:w="8100" w:type="dxa"/>
          </w:tcPr>
          <w:p w14:paraId="18961265" w14:textId="29E82E3D" w:rsidR="00DA04D2" w:rsidRPr="00DA04D2" w:rsidRDefault="00E31F1D" w:rsidP="007149FC">
            <w:pPr>
              <w:pStyle w:val="body"/>
              <w:rPr>
                <w:b/>
              </w:rPr>
            </w:pPr>
            <w:r>
              <w:t>CIP was removed, the wording was changed</w:t>
            </w:r>
            <w:r w:rsidR="0039468A">
              <w:t xml:space="preserve"> in </w:t>
            </w:r>
            <w:r>
              <w:t>Line</w:t>
            </w:r>
            <w:r w:rsidR="0039468A">
              <w:t xml:space="preserve"> 1</w:t>
            </w:r>
            <w:r w:rsidR="005D18BB">
              <w:t>8</w:t>
            </w:r>
            <w:r w:rsidR="007149FC">
              <w:t>7</w:t>
            </w:r>
            <w:r w:rsidR="001938A4">
              <w:t>: “</w:t>
            </w:r>
            <w:r w:rsidR="001938A4" w:rsidRPr="005D18BB">
              <w:t>Clean the measurement gap by spraying ethanol into the gap and carefully wipe any dust or dirt with an optical paper. Check that the glass of the sensor is free of particles with the “Live View</w:t>
            </w:r>
            <w:r w:rsidR="001938A4" w:rsidRPr="00A53E32">
              <w:t>”</w:t>
            </w:r>
            <w:r w:rsidR="005D18BB">
              <w:t xml:space="preserve"> </w:t>
            </w:r>
            <w:r w:rsidR="005D18BB" w:rsidRPr="005D18BB">
              <w:t xml:space="preserve">in the </w:t>
            </w:r>
            <w:r w:rsidR="002336A7">
              <w:t>“</w:t>
            </w:r>
            <w:proofErr w:type="spellStart"/>
            <w:r w:rsidR="005D18BB" w:rsidRPr="005D18BB">
              <w:t>CamControl</w:t>
            </w:r>
            <w:proofErr w:type="spellEnd"/>
            <w:r w:rsidR="002336A7">
              <w:t>”</w:t>
            </w:r>
            <w:r w:rsidR="005D18BB" w:rsidRPr="005D18BB">
              <w:t>.</w:t>
            </w:r>
            <w:r w:rsidR="001938A4" w:rsidRPr="005D18BB">
              <w:t>”</w:t>
            </w:r>
          </w:p>
        </w:tc>
      </w:tr>
      <w:tr w:rsidR="00DA04D2" w:rsidRPr="002336A7" w14:paraId="62B6FC91" w14:textId="77777777" w:rsidTr="0062272D">
        <w:tc>
          <w:tcPr>
            <w:tcW w:w="6655" w:type="dxa"/>
          </w:tcPr>
          <w:p w14:paraId="1E6833E8" w14:textId="77777777" w:rsidR="00DA04D2" w:rsidRPr="0039468A" w:rsidRDefault="003367EE" w:rsidP="00211E0B">
            <w:pPr>
              <w:pStyle w:val="body"/>
            </w:pPr>
            <w:r>
              <w:lastRenderedPageBreak/>
              <w:t xml:space="preserve">41. </w:t>
            </w:r>
            <w:r w:rsidR="00DA04D2" w:rsidRPr="0039468A">
              <w:t>P5, 160: Not clear: Fill a tube and dip against microscope?</w:t>
            </w:r>
          </w:p>
        </w:tc>
        <w:tc>
          <w:tcPr>
            <w:tcW w:w="8100" w:type="dxa"/>
          </w:tcPr>
          <w:p w14:paraId="1E9C06A0" w14:textId="5CC5A7CB" w:rsidR="00DA04D2" w:rsidRPr="0039468A" w:rsidRDefault="00F0341B" w:rsidP="007149FC">
            <w:pPr>
              <w:pStyle w:val="body"/>
              <w:rPr>
                <w:b/>
              </w:rPr>
            </w:pPr>
            <w:r>
              <w:t xml:space="preserve">Changed in </w:t>
            </w:r>
            <w:r w:rsidR="00E31F1D">
              <w:t>line</w:t>
            </w:r>
            <w:r w:rsidR="003C67DE">
              <w:t xml:space="preserve"> 1</w:t>
            </w:r>
            <w:r w:rsidR="007149FC">
              <w:t>93</w:t>
            </w:r>
            <w:r w:rsidR="001938A4" w:rsidRPr="0039468A">
              <w:t>: “</w:t>
            </w:r>
            <w:r w:rsidRPr="00F0341B">
              <w:t>Fill a tube with culture broth. Dip the microscope in the culture broth so that the gap is fully covered with cell suspension, and focus on the cells by fine-tuning the focus binding screw.</w:t>
            </w:r>
            <w:r w:rsidR="0039468A" w:rsidRPr="00F0341B">
              <w:t>”</w:t>
            </w:r>
          </w:p>
        </w:tc>
      </w:tr>
      <w:tr w:rsidR="00DA04D2" w:rsidRPr="002336A7" w14:paraId="5EAAB7C8" w14:textId="77777777" w:rsidTr="0062272D">
        <w:tc>
          <w:tcPr>
            <w:tcW w:w="6655" w:type="dxa"/>
          </w:tcPr>
          <w:p w14:paraId="21043BB7" w14:textId="77777777" w:rsidR="00DA04D2" w:rsidRDefault="003367EE" w:rsidP="00211E0B">
            <w:pPr>
              <w:pStyle w:val="body"/>
            </w:pPr>
            <w:r>
              <w:t xml:space="preserve">42. </w:t>
            </w:r>
            <w:r w:rsidR="00DC15CB">
              <w:t xml:space="preserve">167: probe-wetted? Why does the probe wet anything? And: Where is the camera? Can it not be </w:t>
            </w:r>
            <w:proofErr w:type="spellStart"/>
            <w:r w:rsidR="00DC15CB">
              <w:t>sterilised</w:t>
            </w:r>
            <w:proofErr w:type="spellEnd"/>
            <w:r w:rsidR="00DC15CB">
              <w:t>?</w:t>
            </w:r>
          </w:p>
        </w:tc>
        <w:tc>
          <w:tcPr>
            <w:tcW w:w="8100" w:type="dxa"/>
          </w:tcPr>
          <w:p w14:paraId="3A73AAAE" w14:textId="77777777" w:rsidR="00D27BA5" w:rsidRPr="00BE4956" w:rsidRDefault="00765A8B" w:rsidP="00211E0B">
            <w:pPr>
              <w:pStyle w:val="body"/>
            </w:pPr>
            <w:r w:rsidRPr="00BE4956">
              <w:t xml:space="preserve">Wetted </w:t>
            </w:r>
            <w:r w:rsidR="00D27BA5" w:rsidRPr="00BE4956">
              <w:t>material is the term and it does mean any material in contact with the process media</w:t>
            </w:r>
            <w:r w:rsidRPr="00BE4956">
              <w:t xml:space="preserve">. Therefore, any part of the probe </w:t>
            </w:r>
            <w:r w:rsidR="0039468A" w:rsidRPr="00BE4956">
              <w:t>that is in</w:t>
            </w:r>
            <w:r w:rsidRPr="00BE4956">
              <w:t xml:space="preserve"> contact with the media can be sterilizable</w:t>
            </w:r>
            <w:r w:rsidR="00D27BA5" w:rsidRPr="00BE4956">
              <w:t>. In order to clarify this</w:t>
            </w:r>
            <w:r w:rsidRPr="00BE4956">
              <w:t xml:space="preserve"> point,</w:t>
            </w:r>
            <w:r w:rsidR="00D27BA5" w:rsidRPr="00BE4956">
              <w:t xml:space="preserve"> a picture of the probe has been attached</w:t>
            </w:r>
            <w:r w:rsidR="0039468A" w:rsidRPr="00BE4956">
              <w:t xml:space="preserve"> (Figure 2)</w:t>
            </w:r>
            <w:r w:rsidR="00D27BA5" w:rsidRPr="00BE4956">
              <w:t xml:space="preserve">, as well as </w:t>
            </w:r>
            <w:r w:rsidRPr="00BE4956">
              <w:t>the following</w:t>
            </w:r>
            <w:r w:rsidR="00D27BA5" w:rsidRPr="00BE4956">
              <w:t xml:space="preserve"> note:</w:t>
            </w:r>
          </w:p>
          <w:p w14:paraId="0267AED4" w14:textId="627D30B8" w:rsidR="00DA04D2" w:rsidRPr="00DA04D2" w:rsidRDefault="00E31F1D" w:rsidP="007149FC">
            <w:pPr>
              <w:pStyle w:val="body"/>
            </w:pPr>
            <w:r w:rsidRPr="00BE4956">
              <w:t>Line</w:t>
            </w:r>
            <w:r w:rsidR="003C67DE" w:rsidRPr="00BE4956">
              <w:t xml:space="preserve"> 2</w:t>
            </w:r>
            <w:r w:rsidR="00BE4956">
              <w:t>2</w:t>
            </w:r>
            <w:r w:rsidR="007149FC">
              <w:t>6</w:t>
            </w:r>
            <w:r w:rsidR="00D801E9" w:rsidRPr="00BE4956">
              <w:t>: “</w:t>
            </w:r>
            <w:r w:rsidR="00455D7D" w:rsidRPr="00BE4956">
              <w:t>Only the probe-wetted material of the instrument is sterilizab</w:t>
            </w:r>
            <w:r w:rsidR="00BE4956">
              <w:t>le through steam sterilization</w:t>
            </w:r>
            <w:r w:rsidR="00455D7D" w:rsidRPr="00BE4956">
              <w:t>. The probe wetted length can go from 6 to 222 mm (See Figure 2).”</w:t>
            </w:r>
          </w:p>
        </w:tc>
      </w:tr>
      <w:tr w:rsidR="00DA04D2" w:rsidRPr="002336A7" w14:paraId="5E186580" w14:textId="77777777" w:rsidTr="0062272D">
        <w:tc>
          <w:tcPr>
            <w:tcW w:w="6655" w:type="dxa"/>
          </w:tcPr>
          <w:p w14:paraId="56595969" w14:textId="77777777" w:rsidR="00DA04D2" w:rsidRDefault="003367EE" w:rsidP="00211E0B">
            <w:pPr>
              <w:pStyle w:val="body"/>
            </w:pPr>
            <w:r>
              <w:t xml:space="preserve">43. </w:t>
            </w:r>
            <w:r w:rsidR="00DC15CB">
              <w:t>168: Define</w:t>
            </w:r>
            <w:proofErr w:type="gramStart"/>
            <w:r w:rsidR="00DC15CB">
              <w:t>… :</w:t>
            </w:r>
            <w:proofErr w:type="gramEnd"/>
            <w:r w:rsidR="00DC15CB">
              <w:t xml:space="preserve"> Where? You show more or less meaningless pictures of software interfaces - but you do not tell the reader where to define parameters. </w:t>
            </w:r>
          </w:p>
        </w:tc>
        <w:tc>
          <w:tcPr>
            <w:tcW w:w="8100" w:type="dxa"/>
          </w:tcPr>
          <w:p w14:paraId="3CC7F540" w14:textId="55B191D0" w:rsidR="00DA04D2" w:rsidRPr="00A451F5" w:rsidRDefault="00A451F5" w:rsidP="00244310">
            <w:pPr>
              <w:pStyle w:val="body"/>
            </w:pPr>
            <w:r>
              <w:t>We have added steps regarding the SOPAT user interface all along the protocol.</w:t>
            </w:r>
            <w:r w:rsidR="003367EE">
              <w:t xml:space="preserve"> We do</w:t>
            </w:r>
            <w:r w:rsidR="00244310">
              <w:t xml:space="preserve"> no</w:t>
            </w:r>
            <w:r w:rsidR="003367EE">
              <w:t>t agree that the pictures are meaningless, but very helpful for a quick guidance through the software applications.</w:t>
            </w:r>
          </w:p>
        </w:tc>
      </w:tr>
      <w:tr w:rsidR="00DA04D2" w:rsidRPr="002336A7" w14:paraId="38A9CBFC" w14:textId="77777777" w:rsidTr="0062272D">
        <w:tc>
          <w:tcPr>
            <w:tcW w:w="6655" w:type="dxa"/>
          </w:tcPr>
          <w:p w14:paraId="68FAC3C0" w14:textId="77777777" w:rsidR="00DA04D2" w:rsidRDefault="003367EE" w:rsidP="00211E0B">
            <w:pPr>
              <w:pStyle w:val="body"/>
            </w:pPr>
            <w:r>
              <w:t xml:space="preserve">44. </w:t>
            </w:r>
            <w:r w:rsidR="00DC15CB">
              <w:t xml:space="preserve">173: </w:t>
            </w:r>
            <w:proofErr w:type="spellStart"/>
            <w:r w:rsidR="00DC15CB">
              <w:t>s.a.</w:t>
            </w:r>
            <w:proofErr w:type="spellEnd"/>
          </w:p>
        </w:tc>
        <w:tc>
          <w:tcPr>
            <w:tcW w:w="8100" w:type="dxa"/>
          </w:tcPr>
          <w:p w14:paraId="77349E4C" w14:textId="77777777" w:rsidR="00DA04D2" w:rsidRPr="00DA04D2" w:rsidRDefault="003C67DE" w:rsidP="00211E0B">
            <w:pPr>
              <w:pStyle w:val="body"/>
            </w:pPr>
            <w:r>
              <w:t>We have added steps regarding the SOPAT user interface all along the protocol.</w:t>
            </w:r>
          </w:p>
        </w:tc>
      </w:tr>
      <w:tr w:rsidR="00DC15CB" w:rsidRPr="002336A7" w14:paraId="0D3DC28C" w14:textId="77777777" w:rsidTr="0062272D">
        <w:tc>
          <w:tcPr>
            <w:tcW w:w="6655" w:type="dxa"/>
          </w:tcPr>
          <w:p w14:paraId="65035E7B" w14:textId="77777777" w:rsidR="00DC15CB" w:rsidRDefault="003367EE" w:rsidP="00211E0B">
            <w:pPr>
              <w:pStyle w:val="body"/>
            </w:pPr>
            <w:r>
              <w:t xml:space="preserve">45. </w:t>
            </w:r>
            <w:r w:rsidR="00DC15CB">
              <w:t xml:space="preserve">177: </w:t>
            </w:r>
            <w:proofErr w:type="spellStart"/>
            <w:r w:rsidR="00DC15CB">
              <w:t>s.a.</w:t>
            </w:r>
            <w:proofErr w:type="spellEnd"/>
          </w:p>
        </w:tc>
        <w:tc>
          <w:tcPr>
            <w:tcW w:w="8100" w:type="dxa"/>
          </w:tcPr>
          <w:p w14:paraId="4D4C9004" w14:textId="77777777" w:rsidR="00DC15CB" w:rsidRPr="00DA04D2" w:rsidRDefault="003C67DE" w:rsidP="003C67DE">
            <w:pPr>
              <w:pStyle w:val="body"/>
            </w:pPr>
            <w:r>
              <w:t>We have added steps regarding the SOPAT user interface all along the protocol.</w:t>
            </w:r>
          </w:p>
        </w:tc>
      </w:tr>
      <w:tr w:rsidR="00DC15CB" w:rsidRPr="002336A7" w14:paraId="32CA820A" w14:textId="77777777" w:rsidTr="0062272D">
        <w:tc>
          <w:tcPr>
            <w:tcW w:w="6655" w:type="dxa"/>
          </w:tcPr>
          <w:p w14:paraId="155D2737" w14:textId="77777777" w:rsidR="00DC15CB" w:rsidRDefault="003367EE" w:rsidP="00211E0B">
            <w:pPr>
              <w:pStyle w:val="body"/>
            </w:pPr>
            <w:r>
              <w:t xml:space="preserve">46. </w:t>
            </w:r>
            <w:r w:rsidR="00DC15CB">
              <w:t xml:space="preserve">178: </w:t>
            </w:r>
            <w:proofErr w:type="spellStart"/>
            <w:r w:rsidR="00DC15CB">
              <w:t>s.a.</w:t>
            </w:r>
            <w:proofErr w:type="spellEnd"/>
          </w:p>
        </w:tc>
        <w:tc>
          <w:tcPr>
            <w:tcW w:w="8100" w:type="dxa"/>
          </w:tcPr>
          <w:p w14:paraId="31B61EDB" w14:textId="77777777" w:rsidR="00DC15CB" w:rsidRPr="00DA04D2" w:rsidRDefault="003C67DE" w:rsidP="00211E0B">
            <w:pPr>
              <w:pStyle w:val="body"/>
            </w:pPr>
            <w:r>
              <w:t>We have added steps regarding the SOPAT user interface all along the protocol.</w:t>
            </w:r>
          </w:p>
        </w:tc>
      </w:tr>
      <w:tr w:rsidR="00DC15CB" w:rsidRPr="002336A7" w14:paraId="651EC47C" w14:textId="77777777" w:rsidTr="0062272D">
        <w:tc>
          <w:tcPr>
            <w:tcW w:w="6655" w:type="dxa"/>
          </w:tcPr>
          <w:p w14:paraId="1DEB823E" w14:textId="77777777" w:rsidR="00DC15CB" w:rsidRDefault="003367EE" w:rsidP="00211E0B">
            <w:pPr>
              <w:pStyle w:val="body"/>
            </w:pPr>
            <w:r>
              <w:t xml:space="preserve">47. </w:t>
            </w:r>
            <w:r w:rsidR="00DC15CB" w:rsidRPr="00DC15CB">
              <w:t xml:space="preserve">185: Fiji is a version of Image J, right? </w:t>
            </w:r>
            <w:r w:rsidR="00DC15CB">
              <w:t xml:space="preserve">If that is the one, it should be made clear that this software is not written by or part of the </w:t>
            </w:r>
            <w:proofErr w:type="spellStart"/>
            <w:r w:rsidR="00DC15CB">
              <w:t>Sopat</w:t>
            </w:r>
            <w:proofErr w:type="spellEnd"/>
            <w:r w:rsidR="00DC15CB">
              <w:t xml:space="preserve"> software. (and should also be included in the materials table)</w:t>
            </w:r>
          </w:p>
        </w:tc>
        <w:tc>
          <w:tcPr>
            <w:tcW w:w="8100" w:type="dxa"/>
          </w:tcPr>
          <w:p w14:paraId="6EF0385F" w14:textId="77777777" w:rsidR="000F0482" w:rsidRPr="001D3D48" w:rsidRDefault="00AA0408" w:rsidP="00211E0B">
            <w:pPr>
              <w:pStyle w:val="body"/>
            </w:pPr>
            <w:r w:rsidRPr="001D3D48">
              <w:t>Exactly</w:t>
            </w:r>
            <w:r w:rsidR="000F0482" w:rsidRPr="001D3D48">
              <w:t>, Fiji from ImageJ.</w:t>
            </w:r>
          </w:p>
          <w:p w14:paraId="10AF8907" w14:textId="77777777" w:rsidR="000F0482" w:rsidRPr="001D3D48" w:rsidRDefault="000F0482" w:rsidP="00211E0B">
            <w:pPr>
              <w:pStyle w:val="body"/>
            </w:pPr>
            <w:r w:rsidRPr="001D3D48">
              <w:t>Several points have been rephrased:</w:t>
            </w:r>
          </w:p>
          <w:p w14:paraId="39289667" w14:textId="31160A7F" w:rsidR="001A2BA5" w:rsidRPr="00DA04D2" w:rsidRDefault="00E31F1D" w:rsidP="007149FC">
            <w:pPr>
              <w:pStyle w:val="body"/>
            </w:pPr>
            <w:r>
              <w:t>Line</w:t>
            </w:r>
            <w:r w:rsidR="003C67DE" w:rsidRPr="001D3D48">
              <w:t xml:space="preserve"> 2</w:t>
            </w:r>
            <w:r w:rsidR="00244310">
              <w:t>4</w:t>
            </w:r>
            <w:r w:rsidR="007149FC">
              <w:t>9</w:t>
            </w:r>
            <w:r w:rsidR="000F0482" w:rsidRPr="001D3D48">
              <w:t xml:space="preserve">: </w:t>
            </w:r>
            <w:r w:rsidR="00244310">
              <w:t>“Load the acquired images</w:t>
            </w:r>
            <w:r w:rsidR="000F0482" w:rsidRPr="001D3D48">
              <w:t xml:space="preserve"> into the annotation tool Fiji, ImageJ (open source software product) by dragging and dropping the file into the Main ImageJ window (see GUI “Fiji” tool in </w:t>
            </w:r>
            <w:r w:rsidR="000F0482" w:rsidRPr="007149FC">
              <w:rPr>
                <w:i/>
              </w:rPr>
              <w:t>Figure</w:t>
            </w:r>
            <w:r w:rsidR="003C67DE" w:rsidRPr="007149FC">
              <w:rPr>
                <w:i/>
                <w:color w:val="000000" w:themeColor="text1"/>
              </w:rPr>
              <w:t xml:space="preserve"> 3</w:t>
            </w:r>
            <w:r w:rsidR="000F0482" w:rsidRPr="001D3D48">
              <w:t>).”</w:t>
            </w:r>
          </w:p>
        </w:tc>
      </w:tr>
      <w:tr w:rsidR="00DC15CB" w:rsidRPr="00B1494A" w14:paraId="54A16900" w14:textId="77777777" w:rsidTr="0062272D">
        <w:tc>
          <w:tcPr>
            <w:tcW w:w="6655" w:type="dxa"/>
          </w:tcPr>
          <w:p w14:paraId="6864A56E" w14:textId="77777777" w:rsidR="00DC15CB" w:rsidRPr="00AA0408" w:rsidRDefault="003367EE" w:rsidP="00211E0B">
            <w:pPr>
              <w:pStyle w:val="body"/>
            </w:pPr>
            <w:r>
              <w:t xml:space="preserve">48. </w:t>
            </w:r>
            <w:r w:rsidR="00DC15CB">
              <w:t>188: What is Fig 2 useful for? With hardly any legend?</w:t>
            </w:r>
          </w:p>
        </w:tc>
        <w:tc>
          <w:tcPr>
            <w:tcW w:w="8100" w:type="dxa"/>
          </w:tcPr>
          <w:p w14:paraId="782B6BBD" w14:textId="77777777" w:rsidR="000F0482" w:rsidRPr="001D3D48" w:rsidRDefault="003421DD" w:rsidP="00211E0B">
            <w:pPr>
              <w:pStyle w:val="body"/>
            </w:pPr>
            <w:r w:rsidRPr="001D3D48">
              <w:t>Generally this tool is used for labeling certain object classes and producing a file format for further training of object recognition algorithms</w:t>
            </w:r>
            <w:r w:rsidR="000F0482" w:rsidRPr="001D3D48">
              <w:t>.</w:t>
            </w:r>
          </w:p>
          <w:p w14:paraId="34D11863" w14:textId="77777777" w:rsidR="000F0482" w:rsidRPr="009B3E7E" w:rsidRDefault="000F0482" w:rsidP="001D3D48">
            <w:pPr>
              <w:pStyle w:val="body"/>
            </w:pPr>
            <w:r w:rsidRPr="001D3D48">
              <w:t xml:space="preserve">We have added some steps </w:t>
            </w:r>
            <w:r w:rsidR="001D3D48" w:rsidRPr="001D3D48">
              <w:t>for an intensified description of this</w:t>
            </w:r>
            <w:r w:rsidRPr="001D3D48">
              <w:t xml:space="preserve"> application (object annotation and classification</w:t>
            </w:r>
            <w:r w:rsidR="00455D7D" w:rsidRPr="001D3D48">
              <w:t xml:space="preserve">) in section </w:t>
            </w:r>
            <w:r w:rsidR="00455D7D" w:rsidRPr="001D3D48">
              <w:rPr>
                <w:i/>
              </w:rPr>
              <w:t>4. Particle identification</w:t>
            </w:r>
            <w:r w:rsidR="00455D7D" w:rsidRPr="001D3D48">
              <w:t>.</w:t>
            </w:r>
          </w:p>
        </w:tc>
      </w:tr>
      <w:tr w:rsidR="00DC15CB" w:rsidRPr="001D3D48" w14:paraId="43AB65C8" w14:textId="77777777" w:rsidTr="0062272D">
        <w:tc>
          <w:tcPr>
            <w:tcW w:w="6655" w:type="dxa"/>
          </w:tcPr>
          <w:p w14:paraId="4F461970" w14:textId="77777777" w:rsidR="00DC15CB" w:rsidRDefault="003367EE" w:rsidP="00211E0B">
            <w:pPr>
              <w:pStyle w:val="body"/>
            </w:pPr>
            <w:r>
              <w:lastRenderedPageBreak/>
              <w:t xml:space="preserve">49. </w:t>
            </w:r>
            <w:r w:rsidR="00DC15CB">
              <w:t xml:space="preserve">P6, 195: Annotate where / with what? Fiji? Description of the procedure? How detailed and structured is this whole protocol meant to be - at this stage, it is not possible to carry out an experiment on the basis of the current manuscript. </w:t>
            </w:r>
          </w:p>
        </w:tc>
        <w:tc>
          <w:tcPr>
            <w:tcW w:w="8100" w:type="dxa"/>
          </w:tcPr>
          <w:p w14:paraId="4F4AC1DE" w14:textId="77777777" w:rsidR="00DC15CB" w:rsidRDefault="001D3D48" w:rsidP="00211E0B">
            <w:pPr>
              <w:pStyle w:val="body"/>
            </w:pPr>
            <w:r>
              <w:t>This general statement is not justified sufficiently.</w:t>
            </w:r>
          </w:p>
          <w:p w14:paraId="01FC35DF" w14:textId="77777777" w:rsidR="001D3D48" w:rsidRPr="00EC1B99" w:rsidRDefault="001D3D48" w:rsidP="00211E0B">
            <w:pPr>
              <w:pStyle w:val="body"/>
              <w:rPr>
                <w:b/>
              </w:rPr>
            </w:pPr>
            <w:r>
              <w:t>See also comment 47.</w:t>
            </w:r>
          </w:p>
        </w:tc>
      </w:tr>
      <w:tr w:rsidR="00DC15CB" w:rsidRPr="00244310" w14:paraId="33A38A5F" w14:textId="77777777" w:rsidTr="0062272D">
        <w:tc>
          <w:tcPr>
            <w:tcW w:w="6655" w:type="dxa"/>
          </w:tcPr>
          <w:p w14:paraId="216C8539" w14:textId="77777777" w:rsidR="00DC15CB" w:rsidRDefault="003367EE" w:rsidP="00211E0B">
            <w:pPr>
              <w:pStyle w:val="body"/>
            </w:pPr>
            <w:r>
              <w:t xml:space="preserve">50. </w:t>
            </w:r>
            <w:r w:rsidR="00DC15CB">
              <w:t xml:space="preserve">199: annotate: </w:t>
            </w:r>
            <w:proofErr w:type="spellStart"/>
            <w:r w:rsidR="00DC15CB">
              <w:t>s.a.</w:t>
            </w:r>
            <w:proofErr w:type="spellEnd"/>
          </w:p>
        </w:tc>
        <w:tc>
          <w:tcPr>
            <w:tcW w:w="8100" w:type="dxa"/>
          </w:tcPr>
          <w:p w14:paraId="5B3FA4D6" w14:textId="2A48B93D" w:rsidR="00DC15CB" w:rsidRPr="00DA04D2" w:rsidRDefault="00244310" w:rsidP="00211E0B">
            <w:pPr>
              <w:pStyle w:val="body"/>
            </w:pPr>
            <w:r>
              <w:t>See comment 48.</w:t>
            </w:r>
            <w:r w:rsidR="00EC1B99">
              <w:t xml:space="preserve"> </w:t>
            </w:r>
          </w:p>
        </w:tc>
      </w:tr>
      <w:tr w:rsidR="00DC15CB" w:rsidRPr="00AA64C3" w14:paraId="12C73EB6" w14:textId="77777777" w:rsidTr="0062272D">
        <w:tc>
          <w:tcPr>
            <w:tcW w:w="6655" w:type="dxa"/>
          </w:tcPr>
          <w:p w14:paraId="2400362E" w14:textId="77777777" w:rsidR="00DC15CB" w:rsidRDefault="003367EE" w:rsidP="00211E0B">
            <w:pPr>
              <w:pStyle w:val="body"/>
            </w:pPr>
            <w:r>
              <w:t xml:space="preserve">51. </w:t>
            </w:r>
            <w:r w:rsidR="00DC15CB">
              <w:t xml:space="preserve">202: All of the sudden, here are details down to the level that a particular label can be set to "ignore". That is in contrast to the rest of the protocol, </w:t>
            </w:r>
            <w:proofErr w:type="spellStart"/>
            <w:r w:rsidR="00DC15CB">
              <w:t>s.a.</w:t>
            </w:r>
            <w:proofErr w:type="spellEnd"/>
          </w:p>
        </w:tc>
        <w:tc>
          <w:tcPr>
            <w:tcW w:w="8100" w:type="dxa"/>
          </w:tcPr>
          <w:p w14:paraId="372B4A1E" w14:textId="2EA845C2" w:rsidR="00DC15CB" w:rsidRPr="00DA04D2" w:rsidRDefault="00244310" w:rsidP="00211E0B">
            <w:pPr>
              <w:pStyle w:val="body"/>
            </w:pPr>
            <w:r>
              <w:t>See comment 48.</w:t>
            </w:r>
          </w:p>
        </w:tc>
      </w:tr>
      <w:tr w:rsidR="00DC15CB" w:rsidRPr="003361C9" w14:paraId="4E88A40A" w14:textId="77777777" w:rsidTr="0062272D">
        <w:tc>
          <w:tcPr>
            <w:tcW w:w="6655" w:type="dxa"/>
          </w:tcPr>
          <w:p w14:paraId="00BD8F7B" w14:textId="77777777" w:rsidR="00DC15CB" w:rsidRPr="00455D7D" w:rsidRDefault="003367EE" w:rsidP="00455D7D">
            <w:pPr>
              <w:pStyle w:val="body"/>
            </w:pPr>
            <w:r>
              <w:t xml:space="preserve">52. </w:t>
            </w:r>
            <w:r w:rsidR="00DC15CB" w:rsidRPr="00455D7D">
              <w:t>216: Sense of Fig 3, with hardly any legend on top of that?</w:t>
            </w:r>
          </w:p>
        </w:tc>
        <w:tc>
          <w:tcPr>
            <w:tcW w:w="8100" w:type="dxa"/>
          </w:tcPr>
          <w:p w14:paraId="0336207A" w14:textId="186C2A21" w:rsidR="00DC15CB" w:rsidRPr="00455D7D" w:rsidRDefault="00244310" w:rsidP="00455D7D">
            <w:pPr>
              <w:pStyle w:val="body"/>
            </w:pPr>
            <w:r>
              <w:t>Figure 3 has been removed</w:t>
            </w:r>
          </w:p>
        </w:tc>
      </w:tr>
      <w:tr w:rsidR="00DC15CB" w:rsidRPr="002336A7" w14:paraId="184592BF" w14:textId="77777777" w:rsidTr="0062272D">
        <w:tc>
          <w:tcPr>
            <w:tcW w:w="6655" w:type="dxa"/>
          </w:tcPr>
          <w:p w14:paraId="6B09F00D" w14:textId="77777777" w:rsidR="00DC15CB" w:rsidRDefault="00F60EF7" w:rsidP="00211E0B">
            <w:pPr>
              <w:pStyle w:val="body"/>
            </w:pPr>
            <w:r w:rsidRPr="00244310">
              <w:t xml:space="preserve">53. </w:t>
            </w:r>
            <w:r w:rsidR="00DC15CB" w:rsidRPr="00244310">
              <w:t>223/224: saved where? In general: When do you use which software to do what and how?</w:t>
            </w:r>
          </w:p>
        </w:tc>
        <w:tc>
          <w:tcPr>
            <w:tcW w:w="8100" w:type="dxa"/>
          </w:tcPr>
          <w:p w14:paraId="5C31C660" w14:textId="77777777" w:rsidR="003D252A" w:rsidRPr="00244310" w:rsidRDefault="00983B56" w:rsidP="00244310">
            <w:pPr>
              <w:pStyle w:val="body"/>
            </w:pPr>
            <w:r w:rsidRPr="00244310">
              <w:t xml:space="preserve">The directory for saving the </w:t>
            </w:r>
            <w:r w:rsidR="003D252A" w:rsidRPr="00244310">
              <w:t xml:space="preserve">images or </w:t>
            </w:r>
            <w:r w:rsidRPr="00244310">
              <w:t>settings can be selected by the user. In</w:t>
            </w:r>
            <w:r w:rsidR="003D252A" w:rsidRPr="00244310">
              <w:t xml:space="preserve"> case a certain directory for a certain file is needed, it is described in the protocol.</w:t>
            </w:r>
          </w:p>
          <w:p w14:paraId="35C3C19E" w14:textId="7953AB1E" w:rsidR="00732E90" w:rsidRDefault="00732E90" w:rsidP="00244310">
            <w:pPr>
              <w:pStyle w:val="body"/>
            </w:pPr>
            <w:r>
              <w:t>The following overview was added before starting the protocol in Line 133:</w:t>
            </w:r>
          </w:p>
          <w:p w14:paraId="0B33F5F7" w14:textId="77777777" w:rsidR="00732E90" w:rsidRPr="00732E90" w:rsidRDefault="00732E90" w:rsidP="00732E90">
            <w:pPr>
              <w:rPr>
                <w:lang w:val="en-US"/>
              </w:rPr>
            </w:pPr>
            <w:r w:rsidRPr="00732E90">
              <w:rPr>
                <w:lang w:val="en-US"/>
              </w:rPr>
              <w:t>In general, the tools that are presented in the following protocol are needed for:</w:t>
            </w:r>
          </w:p>
          <w:p w14:paraId="636FC8FD" w14:textId="77777777" w:rsidR="00732E90" w:rsidRPr="00732E90" w:rsidRDefault="00732E90" w:rsidP="00732E90">
            <w:pPr>
              <w:rPr>
                <w:lang w:val="en-US"/>
              </w:rPr>
            </w:pPr>
          </w:p>
          <w:p w14:paraId="527E7DF5" w14:textId="77777777" w:rsidR="00732E90" w:rsidRPr="00244310" w:rsidRDefault="00732E90" w:rsidP="00732E90">
            <w:pPr>
              <w:pStyle w:val="body"/>
            </w:pPr>
            <w:r>
              <w:t xml:space="preserve">a) Probe Controller: </w:t>
            </w:r>
            <w:r w:rsidRPr="00244310">
              <w:t>probe adjustments and image acquisition</w:t>
            </w:r>
            <w:r>
              <w:t>.</w:t>
            </w:r>
          </w:p>
          <w:p w14:paraId="59B2F6FF" w14:textId="77777777" w:rsidR="00732E90" w:rsidRPr="00244310" w:rsidRDefault="00732E90" w:rsidP="00732E90">
            <w:pPr>
              <w:pStyle w:val="body"/>
            </w:pPr>
            <w:r>
              <w:t xml:space="preserve">b) </w:t>
            </w:r>
            <w:r w:rsidRPr="00244310">
              <w:t>Fiji (Ima</w:t>
            </w:r>
            <w:r>
              <w:t xml:space="preserve">geJ): </w:t>
            </w:r>
            <w:r w:rsidRPr="00244310">
              <w:t>annotations on acquired images</w:t>
            </w:r>
            <w:r>
              <w:t xml:space="preserve"> Annotation.</w:t>
            </w:r>
          </w:p>
          <w:p w14:paraId="41BA6A0E" w14:textId="77777777" w:rsidR="00732E90" w:rsidRPr="00244310" w:rsidRDefault="00732E90" w:rsidP="00732E90">
            <w:pPr>
              <w:pStyle w:val="body"/>
            </w:pPr>
            <w:r>
              <w:t xml:space="preserve">c) SOPAT support: </w:t>
            </w:r>
            <w:r w:rsidRPr="00244310">
              <w:t>ANN training</w:t>
            </w:r>
            <w:r>
              <w:t xml:space="preserve"> and workflow creation.</w:t>
            </w:r>
          </w:p>
          <w:p w14:paraId="278377A0" w14:textId="77777777" w:rsidR="00732E90" w:rsidRPr="00244310" w:rsidRDefault="00732E90" w:rsidP="00732E90">
            <w:pPr>
              <w:pStyle w:val="body"/>
            </w:pPr>
            <w:r>
              <w:t xml:space="preserve">d) Batcher: </w:t>
            </w:r>
            <w:r w:rsidRPr="00244310">
              <w:t>data batch processing using already acquired images with a workflow</w:t>
            </w:r>
            <w:r>
              <w:t>.</w:t>
            </w:r>
          </w:p>
          <w:p w14:paraId="7990F51C" w14:textId="77777777" w:rsidR="00732E90" w:rsidRPr="00244310" w:rsidRDefault="00732E90" w:rsidP="00732E90">
            <w:pPr>
              <w:pStyle w:val="body"/>
            </w:pPr>
            <w:r>
              <w:t xml:space="preserve">e) Result Analyzer: </w:t>
            </w:r>
            <w:r w:rsidRPr="00244310">
              <w:t>result visualization and evaluation on batch processed images</w:t>
            </w:r>
            <w:r>
              <w:t>.</w:t>
            </w:r>
          </w:p>
          <w:p w14:paraId="49183805" w14:textId="77777777" w:rsidR="00732E90" w:rsidRPr="00732E90" w:rsidRDefault="00732E90" w:rsidP="00732E90">
            <w:pPr>
              <w:rPr>
                <w:lang w:val="en-US"/>
              </w:rPr>
            </w:pPr>
            <w:r w:rsidRPr="00732E90">
              <w:rPr>
                <w:lang w:val="en-US"/>
              </w:rPr>
              <w:t>f) Monitor: for automated real-time measurement and result visualization.</w:t>
            </w:r>
          </w:p>
          <w:p w14:paraId="774B2133" w14:textId="41C2B9BC" w:rsidR="00DC15CB" w:rsidRPr="003D252A" w:rsidRDefault="003D252A" w:rsidP="00244310">
            <w:pPr>
              <w:pStyle w:val="body"/>
            </w:pPr>
            <w:r w:rsidRPr="00244310">
              <w:t xml:space="preserve"> </w:t>
            </w:r>
          </w:p>
        </w:tc>
      </w:tr>
      <w:tr w:rsidR="00DC15CB" w:rsidRPr="002336A7" w14:paraId="67C3A3D8" w14:textId="77777777" w:rsidTr="0062272D">
        <w:tc>
          <w:tcPr>
            <w:tcW w:w="6655" w:type="dxa"/>
          </w:tcPr>
          <w:p w14:paraId="401B6E8C" w14:textId="31E78931" w:rsidR="00DC15CB" w:rsidRDefault="00F60EF7" w:rsidP="00211E0B">
            <w:pPr>
              <w:pStyle w:val="body"/>
            </w:pPr>
            <w:r>
              <w:t xml:space="preserve">54. </w:t>
            </w:r>
            <w:r w:rsidR="00DC15CB">
              <w:t>P7, 241: "maximal" standard deviation? Is there more than one? In one class there should be one mean of diameter with one SD.</w:t>
            </w:r>
          </w:p>
        </w:tc>
        <w:tc>
          <w:tcPr>
            <w:tcW w:w="8100" w:type="dxa"/>
          </w:tcPr>
          <w:p w14:paraId="776CBD6F" w14:textId="77777777" w:rsidR="00DC15CB" w:rsidRDefault="00565DC6" w:rsidP="00455D7D">
            <w:pPr>
              <w:pStyle w:val="body"/>
            </w:pPr>
            <w:r>
              <w:t xml:space="preserve">Each measurement </w:t>
            </w:r>
            <w:r w:rsidR="003367EE">
              <w:t xml:space="preserve">(time) </w:t>
            </w:r>
            <w:r>
              <w:t xml:space="preserve">point has a standard deviation depending on the cell morphological heterogeneity. </w:t>
            </w:r>
            <w:r w:rsidR="00455D7D">
              <w:t>For a better understanding</w:t>
            </w:r>
            <w:r w:rsidR="001D3D48">
              <w:t>,</w:t>
            </w:r>
            <w:r w:rsidR="00455D7D">
              <w:t xml:space="preserve"> a note has been added:</w:t>
            </w:r>
          </w:p>
          <w:p w14:paraId="21AC3D98" w14:textId="7C6D0B80" w:rsidR="00565DC6" w:rsidRPr="00DA04D2" w:rsidRDefault="00E31F1D" w:rsidP="007149FC">
            <w:pPr>
              <w:pStyle w:val="body"/>
            </w:pPr>
            <w:r>
              <w:lastRenderedPageBreak/>
              <w:t>Line</w:t>
            </w:r>
            <w:r w:rsidR="003C67DE">
              <w:t xml:space="preserve"> </w:t>
            </w:r>
            <w:r w:rsidR="007149FC">
              <w:t>315</w:t>
            </w:r>
            <w:r w:rsidR="00455D7D">
              <w:t>: “Note</w:t>
            </w:r>
            <w:r w:rsidR="00455D7D" w:rsidRPr="00244310">
              <w:t xml:space="preserve">: </w:t>
            </w:r>
            <w:r w:rsidR="003367EE" w:rsidRPr="00244310">
              <w:t>T</w:t>
            </w:r>
            <w:r w:rsidR="00455D7D" w:rsidRPr="00244310">
              <w:t xml:space="preserve">he standard deviation </w:t>
            </w:r>
            <w:r w:rsidR="003367EE" w:rsidRPr="00244310">
              <w:t xml:space="preserve">changes </w:t>
            </w:r>
            <w:r w:rsidR="00F019CC" w:rsidRPr="00244310">
              <w:t>in parallel to</w:t>
            </w:r>
            <w:r w:rsidR="003367EE" w:rsidRPr="00244310">
              <w:t xml:space="preserve"> the cell size homogeneity</w:t>
            </w:r>
            <w:r w:rsidR="00455D7D" w:rsidRPr="00244310">
              <w:t xml:space="preserve">. </w:t>
            </w:r>
            <w:r w:rsidR="003367EE" w:rsidRPr="00244310">
              <w:t>The maximum standard deviation indicates the sample with the highest degree of size heterogeneity</w:t>
            </w:r>
            <w:r w:rsidR="00455D7D" w:rsidRPr="00244310">
              <w:t>“</w:t>
            </w:r>
          </w:p>
        </w:tc>
      </w:tr>
      <w:tr w:rsidR="00DC15CB" w:rsidRPr="002336A7" w14:paraId="7F311E7B" w14:textId="77777777" w:rsidTr="0062272D">
        <w:tc>
          <w:tcPr>
            <w:tcW w:w="6655" w:type="dxa"/>
          </w:tcPr>
          <w:p w14:paraId="57717513" w14:textId="77777777" w:rsidR="00DC15CB" w:rsidRDefault="00F60EF7" w:rsidP="00211E0B">
            <w:pPr>
              <w:pStyle w:val="body"/>
            </w:pPr>
            <w:r>
              <w:lastRenderedPageBreak/>
              <w:t xml:space="preserve">55. </w:t>
            </w:r>
            <w:r w:rsidR="00DC15CB">
              <w:t>241: please include (again) … where n is …, sigma is …, etc.</w:t>
            </w:r>
          </w:p>
        </w:tc>
        <w:tc>
          <w:tcPr>
            <w:tcW w:w="8100" w:type="dxa"/>
          </w:tcPr>
          <w:p w14:paraId="36A5516A" w14:textId="77777777" w:rsidR="00DC15CB" w:rsidRPr="0026540F" w:rsidRDefault="00F7241E" w:rsidP="009E50A9">
            <w:pPr>
              <w:pStyle w:val="body"/>
            </w:pPr>
            <w:proofErr w:type="gramStart"/>
            <w:r w:rsidRPr="00A53E32">
              <w:t>n</w:t>
            </w:r>
            <w:proofErr w:type="gramEnd"/>
            <w:r w:rsidRPr="00A53E32">
              <w:t xml:space="preserve"> </w:t>
            </w:r>
            <w:r w:rsidRPr="00244310">
              <w:t xml:space="preserve">is </w:t>
            </w:r>
            <w:r w:rsidR="0026540F" w:rsidRPr="00244310">
              <w:t xml:space="preserve">calculated from equation 1. The parameters needed for </w:t>
            </w:r>
            <w:r w:rsidR="00F60EF7" w:rsidRPr="00244310">
              <w:t>the calculation of</w:t>
            </w:r>
            <w:r w:rsidR="0026540F" w:rsidRPr="00244310">
              <w:t xml:space="preserve"> n are explained in </w:t>
            </w:r>
            <w:r w:rsidR="009E50A9" w:rsidRPr="00244310">
              <w:t>4.1, 4.2, and 4.3</w:t>
            </w:r>
            <w:r w:rsidR="009E50A9" w:rsidRPr="00A53E32">
              <w:t>, respectively.</w:t>
            </w:r>
          </w:p>
        </w:tc>
      </w:tr>
      <w:tr w:rsidR="00DC15CB" w:rsidRPr="002336A7" w14:paraId="1C9504CF" w14:textId="77777777" w:rsidTr="0062272D">
        <w:tc>
          <w:tcPr>
            <w:tcW w:w="6655" w:type="dxa"/>
          </w:tcPr>
          <w:p w14:paraId="1A6B3FC2" w14:textId="77777777" w:rsidR="00DC15CB" w:rsidRDefault="00F60EF7" w:rsidP="00211E0B">
            <w:pPr>
              <w:pStyle w:val="body"/>
            </w:pPr>
            <w:r>
              <w:t xml:space="preserve">56. </w:t>
            </w:r>
            <w:r w:rsidR="00DC15CB">
              <w:t>242: Where? In which software?</w:t>
            </w:r>
          </w:p>
        </w:tc>
        <w:tc>
          <w:tcPr>
            <w:tcW w:w="8100" w:type="dxa"/>
          </w:tcPr>
          <w:p w14:paraId="1F79BEAF" w14:textId="77777777" w:rsidR="00DC15CB" w:rsidRPr="00DA04D2" w:rsidRDefault="0026540F" w:rsidP="00E655A5">
            <w:pPr>
              <w:pStyle w:val="body"/>
            </w:pPr>
            <w:r>
              <w:t xml:space="preserve">This section has been deleted, </w:t>
            </w:r>
            <w:r w:rsidR="00E655A5">
              <w:t>the</w:t>
            </w:r>
            <w:r>
              <w:t xml:space="preserve"> information </w:t>
            </w:r>
            <w:r w:rsidR="00F60EF7">
              <w:t>was</w:t>
            </w:r>
            <w:r>
              <w:t xml:space="preserve"> added </w:t>
            </w:r>
            <w:r w:rsidR="00F60EF7">
              <w:t>to</w:t>
            </w:r>
            <w:r>
              <w:t xml:space="preserve"> the previous sections.</w:t>
            </w:r>
          </w:p>
        </w:tc>
      </w:tr>
      <w:tr w:rsidR="00DC15CB" w:rsidRPr="00741154" w14:paraId="405562E9" w14:textId="77777777" w:rsidTr="0062272D">
        <w:tc>
          <w:tcPr>
            <w:tcW w:w="6655" w:type="dxa"/>
          </w:tcPr>
          <w:p w14:paraId="1BE64CBF" w14:textId="77777777" w:rsidR="00DC15CB" w:rsidRDefault="00F60EF7" w:rsidP="00211E0B">
            <w:pPr>
              <w:pStyle w:val="body"/>
            </w:pPr>
            <w:r>
              <w:t xml:space="preserve">57. </w:t>
            </w:r>
            <w:r w:rsidR="00DC15CB">
              <w:t>247 - 250: acquisition rate or acquisition time? Is that how often a time point (5.1.) happens?</w:t>
            </w:r>
          </w:p>
        </w:tc>
        <w:tc>
          <w:tcPr>
            <w:tcW w:w="8100" w:type="dxa"/>
          </w:tcPr>
          <w:p w14:paraId="6D1B032A" w14:textId="326EF8FC" w:rsidR="00455D7D" w:rsidRPr="00455D7D" w:rsidRDefault="00455D7D" w:rsidP="00A53E32">
            <w:pPr>
              <w:pStyle w:val="body"/>
            </w:pPr>
            <w:r w:rsidRPr="00244310">
              <w:t xml:space="preserve"> </w:t>
            </w:r>
            <w:r w:rsidR="00A53E32" w:rsidRPr="00244310">
              <w:t>S</w:t>
            </w:r>
            <w:r w:rsidRPr="00244310">
              <w:t>ee point 3.5.</w:t>
            </w:r>
            <w:r w:rsidRPr="00455D7D">
              <w:t xml:space="preserve"> </w:t>
            </w:r>
          </w:p>
        </w:tc>
      </w:tr>
      <w:tr w:rsidR="00DC15CB" w:rsidRPr="001B4650" w14:paraId="7E16A302" w14:textId="77777777" w:rsidTr="0062272D">
        <w:tc>
          <w:tcPr>
            <w:tcW w:w="6655" w:type="dxa"/>
          </w:tcPr>
          <w:p w14:paraId="26C059D7" w14:textId="77777777" w:rsidR="00DC15CB" w:rsidRDefault="00F60EF7" w:rsidP="00211E0B">
            <w:pPr>
              <w:pStyle w:val="body"/>
            </w:pPr>
            <w:r>
              <w:t xml:space="preserve">58. </w:t>
            </w:r>
            <w:r w:rsidR="00DC15CB">
              <w:t>257: A certain concentration…? Which?</w:t>
            </w:r>
          </w:p>
        </w:tc>
        <w:tc>
          <w:tcPr>
            <w:tcW w:w="8100" w:type="dxa"/>
          </w:tcPr>
          <w:p w14:paraId="3C4354BD" w14:textId="49252A51" w:rsidR="00DC15CB" w:rsidRPr="00455D7D" w:rsidRDefault="001F5D33" w:rsidP="00455D7D">
            <w:pPr>
              <w:pStyle w:val="body"/>
            </w:pPr>
            <w:r>
              <w:t>Figure 4 has been removed.</w:t>
            </w:r>
          </w:p>
        </w:tc>
      </w:tr>
      <w:tr w:rsidR="00DC15CB" w:rsidRPr="002336A7" w14:paraId="2E600958" w14:textId="77777777" w:rsidTr="0062272D">
        <w:tc>
          <w:tcPr>
            <w:tcW w:w="6655" w:type="dxa"/>
          </w:tcPr>
          <w:p w14:paraId="45788773" w14:textId="77777777" w:rsidR="00DC15CB" w:rsidRDefault="00F60EF7" w:rsidP="00211E0B">
            <w:pPr>
              <w:pStyle w:val="body"/>
            </w:pPr>
            <w:r>
              <w:t xml:space="preserve">59. </w:t>
            </w:r>
            <w:r w:rsidR="00DC15CB">
              <w:t>P8, 271: sensitivity analysis: how? The essential amount of particles: essential for what? How much is essential?</w:t>
            </w:r>
          </w:p>
        </w:tc>
        <w:tc>
          <w:tcPr>
            <w:tcW w:w="8100" w:type="dxa"/>
          </w:tcPr>
          <w:p w14:paraId="3F5BD0EE" w14:textId="77777777" w:rsidR="00DC15CB" w:rsidRDefault="00AA4878" w:rsidP="00A9000B">
            <w:pPr>
              <w:pStyle w:val="body"/>
            </w:pPr>
            <w:r w:rsidRPr="00A9000B">
              <w:t>This is part of the “Result Analyzer” manual.</w:t>
            </w:r>
          </w:p>
          <w:p w14:paraId="3BF12D34" w14:textId="233A9B29" w:rsidR="00A9000B" w:rsidRPr="00AA4878" w:rsidRDefault="00A9000B" w:rsidP="007149FC">
            <w:pPr>
              <w:pStyle w:val="body"/>
            </w:pPr>
            <w:r>
              <w:t>This information has been added at Line</w:t>
            </w:r>
            <w:r w:rsidR="007149FC">
              <w:t xml:space="preserve"> 343</w:t>
            </w:r>
            <w:r>
              <w:t xml:space="preserve">: </w:t>
            </w:r>
            <w:r w:rsidR="007277DD">
              <w:t>“A s</w:t>
            </w:r>
            <w:r w:rsidR="007277DD" w:rsidRPr="007165EC">
              <w:t xml:space="preserve">ensitivity </w:t>
            </w:r>
            <w:r w:rsidR="007277DD">
              <w:t>p</w:t>
            </w:r>
            <w:r w:rsidR="007277DD" w:rsidRPr="007165EC">
              <w:t>lot (Sensitivity analysis of characteristic values, e.g. mean cell diameter with respect to particle number n) of all detected</w:t>
            </w:r>
            <w:r w:rsidR="007277DD">
              <w:t xml:space="preserve"> cells</w:t>
            </w:r>
            <w:r w:rsidR="007277DD" w:rsidRPr="007165EC">
              <w:t xml:space="preserve"> from the loaded data file can be visualized (</w:t>
            </w:r>
            <w:r w:rsidR="007277DD" w:rsidRPr="00C00593">
              <w:rPr>
                <w:i/>
              </w:rPr>
              <w:t>Figure 5</w:t>
            </w:r>
            <w:r w:rsidR="007277DD" w:rsidRPr="007165EC">
              <w:t>). The user must decide which stability of a certain process parameter is needed</w:t>
            </w:r>
            <w:r w:rsidR="007277DD">
              <w:t>. In this case the</w:t>
            </w:r>
            <w:r w:rsidR="007277DD" w:rsidRPr="007165EC">
              <w:t xml:space="preserve"> minimum number </w:t>
            </w:r>
            <w:r w:rsidR="007277DD">
              <w:t>of cells</w:t>
            </w:r>
            <w:r w:rsidR="007277DD" w:rsidRPr="007165EC">
              <w:t xml:space="preserve"> needed for one valid data point. In consequence, more or less images can be analyzed for one data point.</w:t>
            </w:r>
            <w:r w:rsidR="007277DD">
              <w:t>”</w:t>
            </w:r>
          </w:p>
        </w:tc>
      </w:tr>
      <w:tr w:rsidR="00DC15CB" w:rsidRPr="002336A7" w14:paraId="209CD7AF" w14:textId="77777777" w:rsidTr="0062272D">
        <w:tc>
          <w:tcPr>
            <w:tcW w:w="6655" w:type="dxa"/>
          </w:tcPr>
          <w:p w14:paraId="35534C90" w14:textId="77777777" w:rsidR="00DC15CB" w:rsidRDefault="00F60EF7" w:rsidP="00211E0B">
            <w:pPr>
              <w:pStyle w:val="body"/>
            </w:pPr>
            <w:r>
              <w:t xml:space="preserve">60. </w:t>
            </w:r>
            <w:r w:rsidR="00DC15CB">
              <w:t>274: Fig 7: No meaningful legend. Fig 7 A and B: How meaningful is the mean? There seem to be two groups of cells, one with smaller, one with larger mean diameter. Also: Cannot read axis description (too small font)</w:t>
            </w:r>
          </w:p>
        </w:tc>
        <w:tc>
          <w:tcPr>
            <w:tcW w:w="8100" w:type="dxa"/>
          </w:tcPr>
          <w:p w14:paraId="57ACF0C0" w14:textId="72064E03" w:rsidR="00DC15CB" w:rsidRPr="00DA04D2" w:rsidRDefault="00AA4878" w:rsidP="00D63E54">
            <w:pPr>
              <w:pStyle w:val="body"/>
            </w:pPr>
            <w:r w:rsidRPr="007277DD">
              <w:t>Th</w:t>
            </w:r>
            <w:r w:rsidR="001F5D33" w:rsidRPr="007277DD">
              <w:t>is</w:t>
            </w:r>
            <w:r w:rsidRPr="007277DD">
              <w:t xml:space="preserve"> figure </w:t>
            </w:r>
            <w:r w:rsidR="001F5D33" w:rsidRPr="007277DD">
              <w:t xml:space="preserve">(now figure 5) </w:t>
            </w:r>
            <w:r w:rsidRPr="007277DD">
              <w:t>has been changed</w:t>
            </w:r>
            <w:r w:rsidR="00035E6E" w:rsidRPr="001F5D33">
              <w:t xml:space="preserve"> </w:t>
            </w:r>
            <w:r w:rsidR="00D63E54" w:rsidRPr="001F5D33">
              <w:t>for</w:t>
            </w:r>
            <w:r w:rsidR="00035E6E" w:rsidRPr="001F5D33">
              <w:t xml:space="preserve"> show</w:t>
            </w:r>
            <w:r w:rsidR="00D63E54" w:rsidRPr="001F5D33">
              <w:t>ing</w:t>
            </w:r>
            <w:r w:rsidR="00035E6E" w:rsidRPr="001F5D33">
              <w:t xml:space="preserve"> bette</w:t>
            </w:r>
            <w:r w:rsidR="00D63E54" w:rsidRPr="001F5D33">
              <w:t>r the axis description and make it</w:t>
            </w:r>
            <w:r w:rsidR="00035E6E" w:rsidRPr="001F5D33">
              <w:t xml:space="preserve"> understandable.</w:t>
            </w:r>
          </w:p>
        </w:tc>
      </w:tr>
      <w:tr w:rsidR="00DC15CB" w:rsidRPr="002336A7" w14:paraId="31C141B2" w14:textId="77777777" w:rsidTr="0062272D">
        <w:tc>
          <w:tcPr>
            <w:tcW w:w="6655" w:type="dxa"/>
          </w:tcPr>
          <w:p w14:paraId="3C0B1790" w14:textId="323D79C3" w:rsidR="004753FE" w:rsidRDefault="00F60EF7" w:rsidP="00211E0B">
            <w:pPr>
              <w:pStyle w:val="body"/>
            </w:pPr>
            <w:r>
              <w:t xml:space="preserve">61. </w:t>
            </w:r>
            <w:r w:rsidR="00DC15CB">
              <w:t>278: Fig 8: not clear. There should be one original picture and then one manually and one automatically annotated one.</w:t>
            </w:r>
          </w:p>
        </w:tc>
        <w:tc>
          <w:tcPr>
            <w:tcW w:w="8100" w:type="dxa"/>
          </w:tcPr>
          <w:p w14:paraId="1093B1A1" w14:textId="77777777" w:rsidR="00DC15CB" w:rsidRPr="007277DD" w:rsidRDefault="00AA4878" w:rsidP="00211E0B">
            <w:pPr>
              <w:pStyle w:val="body"/>
            </w:pPr>
            <w:r w:rsidRPr="007277DD">
              <w:t xml:space="preserve">The comments about </w:t>
            </w:r>
            <w:r w:rsidR="003C67DE" w:rsidRPr="007277DD">
              <w:t xml:space="preserve">this figure </w:t>
            </w:r>
            <w:r w:rsidR="00412FE8" w:rsidRPr="007277DD">
              <w:t>were</w:t>
            </w:r>
            <w:r w:rsidR="003C67DE" w:rsidRPr="007277DD">
              <w:t xml:space="preserve"> rephrased, as well as the legend:</w:t>
            </w:r>
          </w:p>
          <w:p w14:paraId="0D121774" w14:textId="4C1CBAF3" w:rsidR="00AA4878" w:rsidRDefault="00E31F1D" w:rsidP="00AA4878">
            <w:pPr>
              <w:pStyle w:val="body"/>
            </w:pPr>
            <w:r w:rsidRPr="007277DD">
              <w:t>Line</w:t>
            </w:r>
            <w:r w:rsidR="00AA4878" w:rsidRPr="007277DD">
              <w:t xml:space="preserve"> 3</w:t>
            </w:r>
            <w:r w:rsidR="007149FC">
              <w:t>50</w:t>
            </w:r>
            <w:r w:rsidR="00AA4878" w:rsidRPr="007277DD">
              <w:t>: “</w:t>
            </w:r>
            <w:r w:rsidR="00AA4878" w:rsidRPr="007277DD">
              <w:rPr>
                <w:i/>
              </w:rPr>
              <w:t>Figure </w:t>
            </w:r>
            <w:r w:rsidR="001F5D33">
              <w:rPr>
                <w:i/>
              </w:rPr>
              <w:t>6</w:t>
            </w:r>
            <w:r w:rsidR="00AA4878" w:rsidRPr="007277DD">
              <w:t xml:space="preserve"> shows an example of a “user annotation” (A), which is used as a training set for training the neural network, as well as an the particle identification on an</w:t>
            </w:r>
            <w:r w:rsidR="00AA4878" w:rsidRPr="00A53E32">
              <w:t xml:space="preserve"> image of the test set (unknown data for the neural network), which is used for its evaluation (B). Both images should have a similar rate of identified events.”</w:t>
            </w:r>
          </w:p>
          <w:p w14:paraId="0A1A65D5" w14:textId="1489CBE5" w:rsidR="00184C7E" w:rsidRPr="00DA04D2" w:rsidRDefault="002336A7" w:rsidP="002336A7">
            <w:pPr>
              <w:pStyle w:val="body"/>
            </w:pPr>
            <w:r>
              <w:lastRenderedPageBreak/>
              <w:t xml:space="preserve">Figure 6. </w:t>
            </w:r>
            <w:r w:rsidRPr="003A4144">
              <w:rPr>
                <w:b/>
              </w:rPr>
              <w:t>Comparison of user</w:t>
            </w:r>
            <w:r w:rsidRPr="00832F95">
              <w:rPr>
                <w:b/>
              </w:rPr>
              <w:t xml:space="preserve"> annotation </w:t>
            </w:r>
            <w:r>
              <w:rPr>
                <w:b/>
              </w:rPr>
              <w:t>(training set) and</w:t>
            </w:r>
            <w:r w:rsidRPr="00832F95">
              <w:rPr>
                <w:b/>
              </w:rPr>
              <w:t xml:space="preserve"> automatic detection</w:t>
            </w:r>
            <w:r>
              <w:rPr>
                <w:b/>
              </w:rPr>
              <w:t xml:space="preserve"> (test set)</w:t>
            </w:r>
            <w:r w:rsidRPr="00832F95">
              <w:rPr>
                <w:b/>
              </w:rPr>
              <w:t>.</w:t>
            </w:r>
            <w:r>
              <w:t xml:space="preserve"> Training set: annotated and original pictures are depicted in </w:t>
            </w:r>
            <w:r w:rsidRPr="00832F95">
              <w:t>A</w:t>
            </w:r>
            <w:r>
              <w:t>, and A’, respectively. The information of this picture is used to train the ANN. Test set: the workflow created after training the ANN is applied to captures, which have not been used for the training: a</w:t>
            </w:r>
            <w:r w:rsidRPr="00832F95">
              <w:t>utomatic</w:t>
            </w:r>
            <w:r>
              <w:t>ally</w:t>
            </w:r>
            <w:r w:rsidRPr="00832F95">
              <w:t xml:space="preserve"> identified cells</w:t>
            </w:r>
            <w:r>
              <w:t xml:space="preserve"> (shown in B) from the original capture B’.</w:t>
            </w:r>
          </w:p>
        </w:tc>
      </w:tr>
      <w:tr w:rsidR="00DC15CB" w:rsidRPr="002336A7" w14:paraId="7B80AC8D" w14:textId="77777777" w:rsidTr="0062272D">
        <w:tc>
          <w:tcPr>
            <w:tcW w:w="6655" w:type="dxa"/>
          </w:tcPr>
          <w:p w14:paraId="5E020EAC" w14:textId="77777777" w:rsidR="00DC15CB" w:rsidRDefault="00F60EF7" w:rsidP="00211E0B">
            <w:pPr>
              <w:pStyle w:val="body"/>
            </w:pPr>
            <w:r>
              <w:lastRenderedPageBreak/>
              <w:t xml:space="preserve">62. </w:t>
            </w:r>
            <w:r w:rsidR="00DC15CB">
              <w:t>284</w:t>
            </w:r>
            <w:proofErr w:type="gramStart"/>
            <w:r w:rsidR="00DC15CB">
              <w:t>: ..morphological</w:t>
            </w:r>
            <w:proofErr w:type="gramEnd"/>
            <w:r w:rsidR="00DC15CB">
              <w:t xml:space="preserve"> heterogeneity … of what?</w:t>
            </w:r>
          </w:p>
        </w:tc>
        <w:tc>
          <w:tcPr>
            <w:tcW w:w="8100" w:type="dxa"/>
          </w:tcPr>
          <w:p w14:paraId="0FF9C17E" w14:textId="4D85214E" w:rsidR="00DC15CB" w:rsidRPr="00DA04D2" w:rsidRDefault="00455D7D" w:rsidP="007149FC">
            <w:pPr>
              <w:pStyle w:val="body"/>
            </w:pPr>
            <w:r>
              <w:t xml:space="preserve">Changed in </w:t>
            </w:r>
            <w:r w:rsidR="00E31F1D">
              <w:t>Line</w:t>
            </w:r>
            <w:r w:rsidR="0026540F">
              <w:t xml:space="preserve"> </w:t>
            </w:r>
            <w:r w:rsidR="003C67DE">
              <w:t>3</w:t>
            </w:r>
            <w:r w:rsidR="007277DD">
              <w:t>5</w:t>
            </w:r>
            <w:r w:rsidR="007149FC">
              <w:t>8</w:t>
            </w:r>
            <w:r w:rsidR="0026540F">
              <w:t>: “</w:t>
            </w:r>
            <w:r w:rsidR="0026540F" w:rsidRPr="00865578">
              <w:t xml:space="preserve">The method is currently used to investigate the impact of shear forces </w:t>
            </w:r>
            <w:r w:rsidR="0026540F">
              <w:t xml:space="preserve">in stirred bioreactors </w:t>
            </w:r>
            <w:r w:rsidR="0026540F" w:rsidRPr="00865578">
              <w:t>on the morphological heterogeneity</w:t>
            </w:r>
            <w:r w:rsidR="00F60EF7">
              <w:t xml:space="preserve"> of </w:t>
            </w:r>
            <w:r w:rsidR="0026540F">
              <w:t>cells</w:t>
            </w:r>
            <w:r w:rsidR="0026540F" w:rsidRPr="00865578">
              <w:t>.</w:t>
            </w:r>
            <w:r w:rsidR="0026540F">
              <w:t>”</w:t>
            </w:r>
          </w:p>
        </w:tc>
      </w:tr>
      <w:tr w:rsidR="00DC15CB" w:rsidRPr="002336A7" w14:paraId="5AA5BC50" w14:textId="77777777" w:rsidTr="0062272D">
        <w:tc>
          <w:tcPr>
            <w:tcW w:w="6655" w:type="dxa"/>
          </w:tcPr>
          <w:p w14:paraId="12689CC1" w14:textId="77777777" w:rsidR="00DC15CB" w:rsidRDefault="00F60EF7" w:rsidP="00211E0B">
            <w:pPr>
              <w:pStyle w:val="body"/>
            </w:pPr>
            <w:r>
              <w:t xml:space="preserve">63. </w:t>
            </w:r>
            <w:r w:rsidR="00DC15CB">
              <w:t>298: Technical details are lacking. What is "higher resolution"? How is that achieved? What is the resolution of the instrument anyway?</w:t>
            </w:r>
            <w:r w:rsidR="00B462F6">
              <w:t xml:space="preserve"> P9, 299: What is pixel resolution?</w:t>
            </w:r>
          </w:p>
        </w:tc>
        <w:tc>
          <w:tcPr>
            <w:tcW w:w="8100" w:type="dxa"/>
          </w:tcPr>
          <w:p w14:paraId="52525195" w14:textId="19F3735C" w:rsidR="003C67DE" w:rsidRDefault="003C67DE" w:rsidP="00211E0B">
            <w:pPr>
              <w:pStyle w:val="body"/>
            </w:pPr>
            <w:r>
              <w:t xml:space="preserve">Added in </w:t>
            </w:r>
            <w:r w:rsidR="00E31F1D">
              <w:t>Line</w:t>
            </w:r>
            <w:r>
              <w:t xml:space="preserve"> 8</w:t>
            </w:r>
            <w:r w:rsidR="007277DD">
              <w:t>8</w:t>
            </w:r>
            <w:r>
              <w:t>: “The</w:t>
            </w:r>
            <w:r w:rsidRPr="00B907B7">
              <w:t xml:space="preserve"> ISM consists of </w:t>
            </w:r>
            <w:r>
              <w:t>a single-rod sensor probe that enables t</w:t>
            </w:r>
            <w:r w:rsidRPr="00B907B7">
              <w:t xml:space="preserve">he capture of images within a known focus </w:t>
            </w:r>
            <w:r>
              <w:t xml:space="preserve">range </w:t>
            </w:r>
            <w:r w:rsidRPr="00B907B7">
              <w:t>in an adjustable measurement ga</w:t>
            </w:r>
            <w:r>
              <w:t xml:space="preserve">p with a high-resolution CCD camera, which is depending on the sensor </w:t>
            </w:r>
            <w:r w:rsidRPr="00C5207D">
              <w:t>model (e.g. MM1 = CCD GT2750</w:t>
            </w:r>
            <w:r w:rsidR="006106D3" w:rsidRPr="007277DD">
              <w:t xml:space="preserve"> </w:t>
            </w:r>
            <w:r w:rsidRPr="00C5207D">
              <w:t>(</w:t>
            </w:r>
            <w:r w:rsidR="006106D3" w:rsidRPr="007277DD">
              <w:t>2750</w:t>
            </w:r>
            <w:r w:rsidRPr="00C5207D">
              <w:t>x2200) and MM 2.1 = CMOS G507c (2464x2056)).”</w:t>
            </w:r>
          </w:p>
          <w:p w14:paraId="3B10A72F" w14:textId="6522286A" w:rsidR="00B462F6" w:rsidRDefault="003C67DE" w:rsidP="00211E0B">
            <w:pPr>
              <w:pStyle w:val="body"/>
            </w:pPr>
            <w:r>
              <w:t>More t</w:t>
            </w:r>
            <w:r w:rsidR="00B462F6">
              <w:t>echnical details are depicted in another</w:t>
            </w:r>
            <w:r w:rsidR="004966EC">
              <w:t xml:space="preserve"> publication </w:t>
            </w:r>
            <w:r w:rsidR="004966EC">
              <w:fldChar w:fldCharType="begin"/>
            </w:r>
            <w:r w:rsidR="004966EC">
              <w:instrText xml:space="preserve"> ADDIN EN.CITE &lt;EndNote&gt;&lt;Cite&gt;&lt;Author&gt;Marba-Ardebol&lt;/Author&gt;&lt;Year&gt;2018&lt;/Year&gt;&lt;RecNum&gt;1429&lt;/RecNum&gt;&lt;DisplayText&gt;(Marba-Ardebol, Emmerich et al. 2018)&lt;/DisplayText&gt;&lt;record&gt;&lt;rec-number&gt;1429&lt;/rec-number&gt;&lt;foreign-keys&gt;&lt;key app="EN" db-id="tpt90r2wprx9dlezv01p5xdevxr5dztae9za"&gt;1429&lt;/key&gt;&lt;/foreign-keys&gt;&lt;ref-type name="Journal Article"&gt;17&lt;/ref-type&gt;&lt;contributors&gt;&lt;authors&gt;&lt;author&gt;Marba-Ardebol, A. M.&lt;/author&gt;&lt;author&gt;Emmerich, J.&lt;/author&gt;&lt;author&gt;Muthig, M.&lt;/author&gt;&lt;author&gt;Neubauer, P &lt;/author&gt;&lt;author&gt;Junne, S. &lt;/author&gt;&lt;/authors&gt;&lt;/contributors&gt;&lt;titles&gt;&lt;title&gt;Real-time monitoring of the budding index in Saccharomyces cerevisiae batch cultivations with in situ microscopy.&lt;/title&gt;&lt;secondary-title&gt;Microbial Cell Factories&lt;/secondary-title&gt;&lt;/titles&gt;&lt;periodical&gt;&lt;full-title&gt;Microbial cell factories&lt;/full-title&gt;&lt;abbr-1&gt;Microb Cell Fact&lt;/abbr-1&gt;&lt;/periodical&gt;&lt;volume&gt;submitted&lt;/volume&gt;&lt;dates&gt;&lt;year&gt;2018&lt;/year&gt;&lt;/dates&gt;&lt;urls&gt;&lt;/urls&gt;&lt;/record&gt;&lt;/Cite&gt;&lt;/EndNote&gt;</w:instrText>
            </w:r>
            <w:r w:rsidR="004966EC">
              <w:fldChar w:fldCharType="separate"/>
            </w:r>
            <w:r w:rsidR="004966EC">
              <w:rPr>
                <w:noProof/>
              </w:rPr>
              <w:t>(</w:t>
            </w:r>
            <w:hyperlink w:anchor="_ENREF_1" w:tooltip="Marba-Ardebol, 2018 #1429" w:history="1">
              <w:r w:rsidR="007277DD">
                <w:rPr>
                  <w:noProof/>
                </w:rPr>
                <w:t>Marba-Ardebol, Emmerich et al. 2018</w:t>
              </w:r>
            </w:hyperlink>
            <w:r w:rsidR="004966EC">
              <w:rPr>
                <w:noProof/>
              </w:rPr>
              <w:t>)</w:t>
            </w:r>
            <w:r w:rsidR="004966EC">
              <w:fldChar w:fldCharType="end"/>
            </w:r>
            <w:r w:rsidR="004966EC">
              <w:t>, whose citation has been a</w:t>
            </w:r>
            <w:r w:rsidR="00B462F6">
              <w:t xml:space="preserve">dded in </w:t>
            </w:r>
            <w:r w:rsidR="00E31F1D">
              <w:t>line</w:t>
            </w:r>
            <w:r w:rsidR="00B462F6">
              <w:t xml:space="preserve"> </w:t>
            </w:r>
            <w:r>
              <w:t>3</w:t>
            </w:r>
            <w:r w:rsidR="007277DD">
              <w:t>59</w:t>
            </w:r>
            <w:r w:rsidR="004966EC">
              <w:t>.</w:t>
            </w:r>
          </w:p>
          <w:p w14:paraId="08EA78B0" w14:textId="77777777" w:rsidR="00F60EF7" w:rsidRDefault="007726B0" w:rsidP="00211E0B">
            <w:pPr>
              <w:pStyle w:val="body"/>
            </w:pPr>
            <w:r>
              <w:t xml:space="preserve">A new figure has been included to show a sketch of the probes (Figure 2). </w:t>
            </w:r>
          </w:p>
          <w:p w14:paraId="2624BDC6" w14:textId="77777777" w:rsidR="00B462F6" w:rsidRDefault="007726B0" w:rsidP="00211E0B">
            <w:pPr>
              <w:pStyle w:val="body"/>
            </w:pPr>
            <w:r>
              <w:t>L</w:t>
            </w:r>
            <w:r w:rsidR="00B462F6">
              <w:t>egend of Figure 2:</w:t>
            </w:r>
          </w:p>
          <w:p w14:paraId="6A91137E" w14:textId="4A5565BE" w:rsidR="00B462F6" w:rsidRPr="00DA04D2" w:rsidRDefault="002336A7" w:rsidP="002336A7">
            <w:pPr>
              <w:pStyle w:val="body"/>
            </w:pPr>
            <w:r>
              <w:t xml:space="preserve">Figure 2. </w:t>
            </w:r>
            <w:r w:rsidRPr="00240A10">
              <w:rPr>
                <w:b/>
              </w:rPr>
              <w:t>Sketch of the ISM devices</w:t>
            </w:r>
            <w:r w:rsidRPr="007B441A">
              <w:t xml:space="preserve">. </w:t>
            </w:r>
            <w:r>
              <w:t>The probe MM-Ho</w:t>
            </w:r>
            <w:r w:rsidRPr="00240A10">
              <w:t xml:space="preserve"> </w:t>
            </w:r>
            <w:r>
              <w:t>(A) is installable</w:t>
            </w:r>
            <w:r w:rsidRPr="00240A10">
              <w:t xml:space="preserve"> directly in the bioreactor, whereas</w:t>
            </w:r>
            <w:r>
              <w:t xml:space="preserve"> the probe MM </w:t>
            </w:r>
            <w:r w:rsidRPr="00240A10">
              <w:t xml:space="preserve">2.1 </w:t>
            </w:r>
            <w:r>
              <w:t xml:space="preserve">(B) can be </w:t>
            </w:r>
            <w:r w:rsidRPr="00240A10">
              <w:t xml:space="preserve">used </w:t>
            </w:r>
            <w:r w:rsidRPr="007B441A">
              <w:t>as</w:t>
            </w:r>
            <w:r w:rsidRPr="00240A10">
              <w:t xml:space="preserve"> a by-pass. The culture broth circulation is marked with arrows in each</w:t>
            </w:r>
            <w:r>
              <w:t xml:space="preserve"> </w:t>
            </w:r>
            <w:r w:rsidRPr="00240A10">
              <w:t>picture.</w:t>
            </w:r>
            <w:r>
              <w:t xml:space="preserve"> The conversion factor of each probe is </w:t>
            </w:r>
            <w:r>
              <w:rPr>
                <w:lang w:val="en-GB"/>
              </w:rPr>
              <w:t>0.166 µm pix</w:t>
            </w:r>
            <w:r w:rsidRPr="00B679D8">
              <w:rPr>
                <w:vertAlign w:val="superscript"/>
                <w:lang w:val="en-GB"/>
              </w:rPr>
              <w:t>-1</w:t>
            </w:r>
            <w:r>
              <w:rPr>
                <w:lang w:val="en-GB"/>
              </w:rPr>
              <w:t xml:space="preserve"> (</w:t>
            </w:r>
            <w:r w:rsidRPr="00A7171E">
              <w:t>MM</w:t>
            </w:r>
            <w:r>
              <w:t>-Ho),</w:t>
            </w:r>
            <w:r w:rsidRPr="00A7171E">
              <w:t xml:space="preserve"> </w:t>
            </w:r>
            <w:r>
              <w:rPr>
                <w:lang w:val="en-GB"/>
              </w:rPr>
              <w:t xml:space="preserve">and </w:t>
            </w:r>
            <w:r>
              <w:t xml:space="preserve">0.087 µm </w:t>
            </w:r>
            <w:r w:rsidRPr="00A7171E">
              <w:t>pix</w:t>
            </w:r>
            <w:r w:rsidRPr="00B679D8">
              <w:rPr>
                <w:vertAlign w:val="superscript"/>
              </w:rPr>
              <w:t>-1</w:t>
            </w:r>
            <w:r>
              <w:t xml:space="preserve"> (</w:t>
            </w:r>
            <w:r>
              <w:rPr>
                <w:lang w:val="en-GB"/>
              </w:rPr>
              <w:t>MM 2.1), respectively</w:t>
            </w:r>
            <w:r>
              <w:t>.</w:t>
            </w:r>
          </w:p>
        </w:tc>
      </w:tr>
      <w:tr w:rsidR="00DC15CB" w:rsidRPr="002336A7" w14:paraId="511A8637" w14:textId="77777777" w:rsidTr="0062272D">
        <w:tc>
          <w:tcPr>
            <w:tcW w:w="6655" w:type="dxa"/>
          </w:tcPr>
          <w:p w14:paraId="2336265A" w14:textId="77777777" w:rsidR="00DC15CB" w:rsidRDefault="00F60EF7" w:rsidP="00211E0B">
            <w:pPr>
              <w:pStyle w:val="body"/>
            </w:pPr>
            <w:r>
              <w:t xml:space="preserve">64. </w:t>
            </w:r>
            <w:r w:rsidR="00DC15CB">
              <w:t xml:space="preserve">304 </w:t>
            </w:r>
            <w:proofErr w:type="spellStart"/>
            <w:r w:rsidR="00DC15CB">
              <w:t>etc</w:t>
            </w:r>
            <w:proofErr w:type="spellEnd"/>
            <w:r w:rsidR="00DC15CB">
              <w:t>: Examples? Figures? This would be meaningful for the reader (much more than some of the Figs. above).</w:t>
            </w:r>
          </w:p>
        </w:tc>
        <w:tc>
          <w:tcPr>
            <w:tcW w:w="8100" w:type="dxa"/>
          </w:tcPr>
          <w:p w14:paraId="6F6A03A3" w14:textId="1896B359" w:rsidR="00DC15CB" w:rsidRPr="00DA04D2" w:rsidRDefault="00412FE8" w:rsidP="00721A62">
            <w:pPr>
              <w:pStyle w:val="body"/>
            </w:pPr>
            <w:r>
              <w:t>We show a fig</w:t>
            </w:r>
            <w:r w:rsidR="00721A62">
              <w:t>ure about the annotation. We do no</w:t>
            </w:r>
            <w:r>
              <w:t>t add more to not blow up the protocol.</w:t>
            </w:r>
          </w:p>
        </w:tc>
      </w:tr>
      <w:tr w:rsidR="00DC15CB" w:rsidRPr="002336A7" w14:paraId="69D00966" w14:textId="77777777" w:rsidTr="0062272D">
        <w:tc>
          <w:tcPr>
            <w:tcW w:w="6655" w:type="dxa"/>
          </w:tcPr>
          <w:p w14:paraId="019BCB85" w14:textId="77777777" w:rsidR="00DC15CB" w:rsidRDefault="000013F3" w:rsidP="00211E0B">
            <w:pPr>
              <w:pStyle w:val="body"/>
            </w:pPr>
            <w:r>
              <w:t xml:space="preserve">65: </w:t>
            </w:r>
            <w:r w:rsidR="00DC15CB">
              <w:t xml:space="preserve">316: There is more literature on this and it is not true that only perfect circles are used until now: See e.g. </w:t>
            </w:r>
            <w:proofErr w:type="spellStart"/>
            <w:r w:rsidR="00DC15CB">
              <w:t>Belini</w:t>
            </w:r>
            <w:proofErr w:type="spellEnd"/>
            <w:r w:rsidR="00DC15CB">
              <w:t xml:space="preserve"> et al. 2013 above, Sierra et al. 2017, </w:t>
            </w:r>
            <w:proofErr w:type="spellStart"/>
            <w:r w:rsidR="00DC15CB">
              <w:t>Wiedemann</w:t>
            </w:r>
            <w:proofErr w:type="spellEnd"/>
            <w:r w:rsidR="00DC15CB">
              <w:t xml:space="preserve"> et al. 2011 (</w:t>
            </w:r>
            <w:proofErr w:type="spellStart"/>
            <w:r w:rsidR="00DC15CB">
              <w:t>Wiedemann</w:t>
            </w:r>
            <w:proofErr w:type="spellEnd"/>
            <w:r w:rsidR="00DC15CB">
              <w:t xml:space="preserve"> P, </w:t>
            </w:r>
            <w:proofErr w:type="spellStart"/>
            <w:r w:rsidR="00DC15CB">
              <w:t>Guez</w:t>
            </w:r>
            <w:proofErr w:type="spellEnd"/>
            <w:r w:rsidR="00DC15CB">
              <w:t xml:space="preserve"> JS, </w:t>
            </w:r>
            <w:proofErr w:type="spellStart"/>
            <w:r w:rsidR="00DC15CB">
              <w:t>Wiegemann</w:t>
            </w:r>
            <w:proofErr w:type="spellEnd"/>
            <w:r w:rsidR="00DC15CB">
              <w:t xml:space="preserve"> HB, </w:t>
            </w:r>
            <w:proofErr w:type="spellStart"/>
            <w:r w:rsidR="00DC15CB">
              <w:t>Egner</w:t>
            </w:r>
            <w:proofErr w:type="spellEnd"/>
            <w:r w:rsidR="00DC15CB">
              <w:t xml:space="preserve"> F, Quintana JC, </w:t>
            </w:r>
            <w:proofErr w:type="spellStart"/>
            <w:r w:rsidR="00DC15CB">
              <w:t>Asanza</w:t>
            </w:r>
            <w:proofErr w:type="spellEnd"/>
            <w:r w:rsidR="00DC15CB">
              <w:t xml:space="preserve">-Maldonado D, </w:t>
            </w:r>
            <w:proofErr w:type="spellStart"/>
            <w:r w:rsidR="00DC15CB">
              <w:t>Filipaki</w:t>
            </w:r>
            <w:proofErr w:type="spellEnd"/>
            <w:r w:rsidR="00DC15CB">
              <w:t xml:space="preserve"> M, </w:t>
            </w:r>
            <w:proofErr w:type="spellStart"/>
            <w:r w:rsidR="00DC15CB">
              <w:t>Wilkesman</w:t>
            </w:r>
            <w:proofErr w:type="spellEnd"/>
            <w:r w:rsidR="00DC15CB">
              <w:t xml:space="preserve"> J, </w:t>
            </w:r>
            <w:proofErr w:type="spellStart"/>
            <w:r w:rsidR="00DC15CB">
              <w:t>Schwiebert</w:t>
            </w:r>
            <w:proofErr w:type="spellEnd"/>
            <w:r w:rsidR="00DC15CB">
              <w:t xml:space="preserve"> C, </w:t>
            </w:r>
            <w:proofErr w:type="spellStart"/>
            <w:r w:rsidR="00DC15CB">
              <w:t>Cassar</w:t>
            </w:r>
            <w:proofErr w:type="spellEnd"/>
            <w:r w:rsidR="00DC15CB">
              <w:t xml:space="preserve"> JP, </w:t>
            </w:r>
            <w:proofErr w:type="spellStart"/>
            <w:r w:rsidR="00DC15CB">
              <w:t>Dhulster</w:t>
            </w:r>
            <w:proofErr w:type="spellEnd"/>
            <w:r w:rsidR="00DC15CB">
              <w:t xml:space="preserve"> P, Suhr H (2011): In situ microscopic cytometry enables noninvasive viability assessment of animal cells by </w:t>
            </w:r>
            <w:r w:rsidR="00DC15CB">
              <w:lastRenderedPageBreak/>
              <w:t xml:space="preserve">measuring entropy states. </w:t>
            </w:r>
            <w:proofErr w:type="spellStart"/>
            <w:r w:rsidR="00DC15CB">
              <w:t>Biotechnol</w:t>
            </w:r>
            <w:proofErr w:type="spellEnd"/>
            <w:r w:rsidR="00DC15CB">
              <w:t xml:space="preserve"> </w:t>
            </w:r>
            <w:proofErr w:type="spellStart"/>
            <w:r w:rsidR="00DC15CB">
              <w:t>Bioeng</w:t>
            </w:r>
            <w:proofErr w:type="spellEnd"/>
            <w:r w:rsidR="00DC15CB">
              <w:t xml:space="preserve"> 108(12), 2884-2993; Sierra F DA, </w:t>
            </w:r>
            <w:proofErr w:type="spellStart"/>
            <w:r w:rsidR="00DC15CB">
              <w:t>Melzak</w:t>
            </w:r>
            <w:proofErr w:type="spellEnd"/>
            <w:r w:rsidR="00DC15CB">
              <w:t xml:space="preserve"> KA, </w:t>
            </w:r>
            <w:proofErr w:type="spellStart"/>
            <w:r w:rsidR="00DC15CB">
              <w:t>Janetzko</w:t>
            </w:r>
            <w:proofErr w:type="spellEnd"/>
            <w:r w:rsidR="00DC15CB">
              <w:t xml:space="preserve"> K, </w:t>
            </w:r>
            <w:proofErr w:type="spellStart"/>
            <w:r w:rsidR="00DC15CB">
              <w:t>Klüter</w:t>
            </w:r>
            <w:proofErr w:type="spellEnd"/>
            <w:r w:rsidR="00DC15CB">
              <w:t xml:space="preserve"> H, Suhr H, </w:t>
            </w:r>
            <w:proofErr w:type="spellStart"/>
            <w:r w:rsidR="00DC15CB">
              <w:t>Bieback</w:t>
            </w:r>
            <w:proofErr w:type="spellEnd"/>
            <w:r w:rsidR="00DC15CB">
              <w:t xml:space="preserve"> K, </w:t>
            </w:r>
            <w:proofErr w:type="spellStart"/>
            <w:r w:rsidR="00DC15CB">
              <w:t>Wiedemann</w:t>
            </w:r>
            <w:proofErr w:type="spellEnd"/>
            <w:r w:rsidR="00DC15CB">
              <w:t xml:space="preserve"> P (2017): Flow morphometry to assess the red blood cell storage lesion. Cytometry A 91(9), 874-882)</w:t>
            </w:r>
          </w:p>
        </w:tc>
        <w:tc>
          <w:tcPr>
            <w:tcW w:w="8100" w:type="dxa"/>
          </w:tcPr>
          <w:p w14:paraId="50DB5122" w14:textId="57491CA9" w:rsidR="007726B0" w:rsidRDefault="007726B0" w:rsidP="004966EC">
            <w:pPr>
              <w:pStyle w:val="body"/>
              <w:rPr>
                <w:rStyle w:val="bodyChar"/>
              </w:rPr>
            </w:pPr>
            <w:r w:rsidRPr="007277DD">
              <w:lastRenderedPageBreak/>
              <w:t xml:space="preserve">Only studies </w:t>
            </w:r>
            <w:r w:rsidR="00412FE8" w:rsidRPr="007277DD">
              <w:t xml:space="preserve">of small microbial cells </w:t>
            </w:r>
            <w:r w:rsidRPr="007277DD">
              <w:t xml:space="preserve">are </w:t>
            </w:r>
            <w:r w:rsidR="00412FE8" w:rsidRPr="007277DD">
              <w:t>addressed in this protocol, not cell line cultivation</w:t>
            </w:r>
            <w:r w:rsidRPr="007277DD">
              <w:t xml:space="preserve">. </w:t>
            </w:r>
            <w:r w:rsidR="00C21B9A">
              <w:rPr>
                <w:rStyle w:val="bodyChar"/>
              </w:rPr>
              <w:t xml:space="preserve"> </w:t>
            </w:r>
          </w:p>
          <w:p w14:paraId="08C45874" w14:textId="580B6C32" w:rsidR="00F60EF7" w:rsidRDefault="00F60EF7" w:rsidP="004966EC">
            <w:pPr>
              <w:pStyle w:val="body"/>
            </w:pPr>
            <w:r>
              <w:rPr>
                <w:rStyle w:val="bodyChar"/>
              </w:rPr>
              <w:t xml:space="preserve">We </w:t>
            </w:r>
            <w:r w:rsidR="00C21B9A">
              <w:rPr>
                <w:rStyle w:val="bodyChar"/>
              </w:rPr>
              <w:t xml:space="preserve">also </w:t>
            </w:r>
            <w:r>
              <w:rPr>
                <w:rStyle w:val="bodyChar"/>
              </w:rPr>
              <w:t xml:space="preserve">did not aim to provide a review about cytometry studies as this represents clearly another method with drawbacks for the application in </w:t>
            </w:r>
            <w:r w:rsidR="00127F7A">
              <w:rPr>
                <w:rStyle w:val="bodyChar"/>
              </w:rPr>
              <w:t xml:space="preserve">microbial cultivation with </w:t>
            </w:r>
            <w:r>
              <w:rPr>
                <w:rStyle w:val="bodyChar"/>
              </w:rPr>
              <w:t>comp</w:t>
            </w:r>
            <w:r w:rsidR="00127F7A">
              <w:rPr>
                <w:rStyle w:val="bodyChar"/>
              </w:rPr>
              <w:t xml:space="preserve">lex media, if fluorescence markers cannot be applied. There might have been a </w:t>
            </w:r>
            <w:r w:rsidR="00127F7A">
              <w:rPr>
                <w:rStyle w:val="bodyChar"/>
              </w:rPr>
              <w:lastRenderedPageBreak/>
              <w:t>misunderstanding of the reviewer of the purpose of this manuscript, therefore “cell proliferation” was removed. The paper clearly describes the application in microbial cultures, only one sentence will refer to the much larger animal/human cells</w:t>
            </w:r>
            <w:r w:rsidR="00721A62">
              <w:rPr>
                <w:rStyle w:val="bodyChar"/>
              </w:rPr>
              <w:t xml:space="preserve"> in line 124</w:t>
            </w:r>
            <w:r w:rsidR="00127F7A">
              <w:rPr>
                <w:rStyle w:val="bodyChar"/>
              </w:rPr>
              <w:t>: “The methods described here are focused on microbial applications with single cells, but are also applicable to larger particles like human and animal cells, cell agglomerates and pellets of filamentous organisms.”</w:t>
            </w:r>
          </w:p>
          <w:p w14:paraId="6F820393" w14:textId="31B955EA" w:rsidR="004966EC" w:rsidRPr="00DA04D2" w:rsidRDefault="00C21B9A" w:rsidP="004966EC">
            <w:pPr>
              <w:pStyle w:val="body"/>
            </w:pPr>
            <w:r>
              <w:t>The publication of Bellini from 2013 is now cited.</w:t>
            </w:r>
          </w:p>
        </w:tc>
      </w:tr>
      <w:tr w:rsidR="00DC15CB" w:rsidRPr="002336A7" w14:paraId="578B4365" w14:textId="77777777" w:rsidTr="0062272D">
        <w:tc>
          <w:tcPr>
            <w:tcW w:w="6655" w:type="dxa"/>
          </w:tcPr>
          <w:p w14:paraId="6D057694" w14:textId="77777777" w:rsidR="00DC15CB" w:rsidRPr="007726B0" w:rsidRDefault="000013F3" w:rsidP="00211E0B">
            <w:pPr>
              <w:pStyle w:val="body"/>
            </w:pPr>
            <w:r>
              <w:lastRenderedPageBreak/>
              <w:t xml:space="preserve">66. </w:t>
            </w:r>
            <w:r w:rsidR="00DC15CB">
              <w:t xml:space="preserve">321: What is the difference between viability and vitality? </w:t>
            </w:r>
            <w:r w:rsidR="00DC15CB" w:rsidRPr="007726B0">
              <w:t xml:space="preserve">Define! </w:t>
            </w:r>
          </w:p>
        </w:tc>
        <w:tc>
          <w:tcPr>
            <w:tcW w:w="8100" w:type="dxa"/>
          </w:tcPr>
          <w:p w14:paraId="05A2F485" w14:textId="77777777" w:rsidR="00DC15CB" w:rsidRPr="00127F7A" w:rsidRDefault="00127F7A" w:rsidP="00211E0B">
            <w:pPr>
              <w:pStyle w:val="body"/>
              <w:rPr>
                <w:b/>
              </w:rPr>
            </w:pPr>
            <w:r w:rsidRPr="00127F7A">
              <w:t>This is commonly known</w:t>
            </w:r>
            <w:r>
              <w:t xml:space="preserve"> and content of a basic biotechnology class</w:t>
            </w:r>
            <w:r w:rsidRPr="00127F7A">
              <w:t xml:space="preserve">. </w:t>
            </w:r>
            <w:r>
              <w:t xml:space="preserve">If we start to explain definitions of such terminologies, this all becomes an endless manuscript. </w:t>
            </w:r>
          </w:p>
        </w:tc>
      </w:tr>
      <w:tr w:rsidR="00DC15CB" w:rsidRPr="002336A7" w14:paraId="7B332A13" w14:textId="77777777" w:rsidTr="0062272D">
        <w:tc>
          <w:tcPr>
            <w:tcW w:w="6655" w:type="dxa"/>
          </w:tcPr>
          <w:p w14:paraId="14A5528F" w14:textId="77777777" w:rsidR="00DC15CB" w:rsidRPr="00DC15CB" w:rsidRDefault="000013F3" w:rsidP="00211E0B">
            <w:pPr>
              <w:pStyle w:val="body"/>
            </w:pPr>
            <w:r>
              <w:t xml:space="preserve">67. </w:t>
            </w:r>
            <w:r w:rsidR="00DC15CB">
              <w:t xml:space="preserve">324: That is already published, e.g. in the case of animal cells, see </w:t>
            </w:r>
            <w:proofErr w:type="spellStart"/>
            <w:r w:rsidR="00DC15CB">
              <w:t>Wiedemann</w:t>
            </w:r>
            <w:proofErr w:type="spellEnd"/>
            <w:r w:rsidR="00DC15CB">
              <w:t xml:space="preserve"> et al. 2011 and 2011 (see above and </w:t>
            </w:r>
            <w:proofErr w:type="spellStart"/>
            <w:r w:rsidR="00DC15CB">
              <w:t>Wiedemann</w:t>
            </w:r>
            <w:proofErr w:type="spellEnd"/>
            <w:r w:rsidR="00DC15CB">
              <w:t xml:space="preserve"> P, </w:t>
            </w:r>
            <w:proofErr w:type="spellStart"/>
            <w:r w:rsidR="00DC15CB">
              <w:t>Worf</w:t>
            </w:r>
            <w:proofErr w:type="spellEnd"/>
            <w:r w:rsidR="00DC15CB">
              <w:t xml:space="preserve"> M, </w:t>
            </w:r>
            <w:proofErr w:type="spellStart"/>
            <w:r w:rsidR="00DC15CB">
              <w:t>Wiegemann</w:t>
            </w:r>
            <w:proofErr w:type="spellEnd"/>
            <w:r w:rsidR="00DC15CB">
              <w:t xml:space="preserve"> HB, </w:t>
            </w:r>
            <w:proofErr w:type="spellStart"/>
            <w:r w:rsidR="00DC15CB">
              <w:t>Egner</w:t>
            </w:r>
            <w:proofErr w:type="spellEnd"/>
            <w:r w:rsidR="00DC15CB">
              <w:t xml:space="preserve"> F, </w:t>
            </w:r>
            <w:proofErr w:type="spellStart"/>
            <w:r w:rsidR="00DC15CB">
              <w:t>Schwiebert</w:t>
            </w:r>
            <w:proofErr w:type="spellEnd"/>
            <w:r w:rsidR="00DC15CB">
              <w:t xml:space="preserve"> C, </w:t>
            </w:r>
            <w:proofErr w:type="spellStart"/>
            <w:r w:rsidR="00DC15CB">
              <w:t>Wilkesman</w:t>
            </w:r>
            <w:proofErr w:type="spellEnd"/>
            <w:r w:rsidR="00DC15CB">
              <w:t xml:space="preserve"> J, </w:t>
            </w:r>
            <w:proofErr w:type="spellStart"/>
            <w:r w:rsidR="00DC15CB">
              <w:t>Guez</w:t>
            </w:r>
            <w:proofErr w:type="spellEnd"/>
            <w:r w:rsidR="00DC15CB">
              <w:t xml:space="preserve"> JS, Quintana JC, </w:t>
            </w:r>
            <w:proofErr w:type="spellStart"/>
            <w:r w:rsidR="00DC15CB">
              <w:t>Assanza</w:t>
            </w:r>
            <w:proofErr w:type="spellEnd"/>
            <w:r w:rsidR="00DC15CB">
              <w:t xml:space="preserve"> D, Suhr H (2011): On-</w:t>
            </w:r>
            <w:r w:rsidR="00E31F1D">
              <w:t>line</w:t>
            </w:r>
            <w:r w:rsidR="00DC15CB">
              <w:t xml:space="preserve"> and real time cell counting and viability determination for animal cell process monitoring by in situ microscopy. BMC Proceedings 5(</w:t>
            </w:r>
            <w:proofErr w:type="spellStart"/>
            <w:r w:rsidR="00DC15CB">
              <w:t>Suppl</w:t>
            </w:r>
            <w:proofErr w:type="spellEnd"/>
            <w:r w:rsidR="00DC15CB">
              <w:t xml:space="preserve"> 8), P77 </w:t>
            </w:r>
          </w:p>
        </w:tc>
        <w:tc>
          <w:tcPr>
            <w:tcW w:w="8100" w:type="dxa"/>
          </w:tcPr>
          <w:p w14:paraId="255CFBC3" w14:textId="77777777" w:rsidR="00DC15CB" w:rsidRPr="00340970" w:rsidRDefault="00127F7A" w:rsidP="00211E0B">
            <w:pPr>
              <w:pStyle w:val="body"/>
              <w:rPr>
                <w:b/>
              </w:rPr>
            </w:pPr>
            <w:r>
              <w:t xml:space="preserve">It is clear to us that numerous literature and in </w:t>
            </w:r>
            <w:r w:rsidR="00E31F1D">
              <w:t>line</w:t>
            </w:r>
            <w:r>
              <w:t xml:space="preserve">/on </w:t>
            </w:r>
            <w:r w:rsidR="00E31F1D">
              <w:t>line</w:t>
            </w:r>
            <w:r>
              <w:t xml:space="preserve"> cell counting methods were commercialized and are used for monitoring animal/human cell proliferation. The slow processes make it also doubtful, if in situ microscopy is necessary. As mentioned above, we don’t want to include such a discussion, as it is not the focus of the application described here.</w:t>
            </w:r>
          </w:p>
        </w:tc>
      </w:tr>
      <w:tr w:rsidR="00DC15CB" w:rsidRPr="002336A7" w14:paraId="77BA3847" w14:textId="77777777" w:rsidTr="0062272D">
        <w:tc>
          <w:tcPr>
            <w:tcW w:w="6655" w:type="dxa"/>
          </w:tcPr>
          <w:p w14:paraId="74E20A9E" w14:textId="77777777" w:rsidR="00DC15CB" w:rsidRPr="00884C3F" w:rsidRDefault="000013F3" w:rsidP="00211E0B">
            <w:pPr>
              <w:pStyle w:val="body"/>
            </w:pPr>
            <w:r>
              <w:t xml:space="preserve">68. </w:t>
            </w:r>
            <w:r w:rsidR="00DC15CB">
              <w:t xml:space="preserve">327: Microorganisms: In the usual definition of the term, microorganism does not apply to microalgae, or does it? </w:t>
            </w:r>
            <w:r w:rsidR="00340970">
              <w:t>In general terms: ISM is applicable to more than microorganisms. Why not phrase it more general?</w:t>
            </w:r>
          </w:p>
        </w:tc>
        <w:tc>
          <w:tcPr>
            <w:tcW w:w="8100" w:type="dxa"/>
          </w:tcPr>
          <w:p w14:paraId="1EBE4902" w14:textId="0C33ED71" w:rsidR="000013F3" w:rsidRDefault="00412FE8" w:rsidP="00211E0B">
            <w:pPr>
              <w:pStyle w:val="body"/>
            </w:pPr>
            <w:r>
              <w:t xml:space="preserve">We changed the wording to point out that there is no </w:t>
            </w:r>
            <w:r w:rsidR="00721A62">
              <w:t>restriction</w:t>
            </w:r>
            <w:r>
              <w:t xml:space="preserve"> to microbial applications</w:t>
            </w:r>
            <w:r w:rsidR="000013F3">
              <w:t>.</w:t>
            </w:r>
          </w:p>
          <w:p w14:paraId="0503A414" w14:textId="710E4A71" w:rsidR="00DC15CB" w:rsidRPr="0026540F" w:rsidRDefault="00127F7A" w:rsidP="00412FE8">
            <w:pPr>
              <w:pStyle w:val="body"/>
              <w:rPr>
                <w:b/>
              </w:rPr>
            </w:pPr>
            <w:r>
              <w:t>Microalgae</w:t>
            </w:r>
            <w:r w:rsidR="000013F3">
              <w:t xml:space="preserve"> themselves cover a heterogeneous group of different species, </w:t>
            </w:r>
            <w:r w:rsidR="00412FE8">
              <w:t xml:space="preserve">thus the group </w:t>
            </w:r>
            <w:r w:rsidR="000013F3">
              <w:t>is polyphyletic. In case of heterotrophic algae, a dominant group are dinoflagellates. These are microorganisms. In order to avoid misunderstanding, microalgae are not denoted as a separate group beyond microorganisms</w:t>
            </w:r>
            <w:r w:rsidR="00412FE8">
              <w:t xml:space="preserve"> anymore</w:t>
            </w:r>
            <w:r w:rsidR="000013F3">
              <w:t>.</w:t>
            </w:r>
          </w:p>
        </w:tc>
      </w:tr>
      <w:tr w:rsidR="00DC15CB" w:rsidRPr="003361C9" w14:paraId="1B332A3B" w14:textId="77777777" w:rsidTr="0062272D">
        <w:tc>
          <w:tcPr>
            <w:tcW w:w="6655" w:type="dxa"/>
          </w:tcPr>
          <w:p w14:paraId="3E0DF1A8" w14:textId="77777777" w:rsidR="00DC15CB" w:rsidRDefault="000013F3" w:rsidP="00211E0B">
            <w:pPr>
              <w:pStyle w:val="body"/>
            </w:pPr>
            <w:r>
              <w:t xml:space="preserve">70. </w:t>
            </w:r>
            <w:r w:rsidR="00DC15CB">
              <w:t>P12, 401: Legend not understandable. What is the difference between A and B?</w:t>
            </w:r>
          </w:p>
        </w:tc>
        <w:tc>
          <w:tcPr>
            <w:tcW w:w="8100" w:type="dxa"/>
          </w:tcPr>
          <w:p w14:paraId="421ADA3D" w14:textId="3DFF949C" w:rsidR="00E03F80" w:rsidRPr="00DC15CB" w:rsidRDefault="00E03F80" w:rsidP="00721A62">
            <w:pPr>
              <w:pStyle w:val="body"/>
            </w:pPr>
            <w:r>
              <w:t>For a better understanding</w:t>
            </w:r>
            <w:r w:rsidR="000013F3">
              <w:t>,</w:t>
            </w:r>
            <w:r>
              <w:t xml:space="preserve"> the legend of figure </w:t>
            </w:r>
            <w:r w:rsidR="00AB3112">
              <w:t>6</w:t>
            </w:r>
            <w:r>
              <w:t xml:space="preserve"> </w:t>
            </w:r>
            <w:r w:rsidR="000013F3">
              <w:t>was</w:t>
            </w:r>
            <w:r w:rsidR="00721A62">
              <w:t xml:space="preserve"> changed. (See comment 61)</w:t>
            </w:r>
            <w:r>
              <w:t xml:space="preserve"> </w:t>
            </w:r>
          </w:p>
        </w:tc>
      </w:tr>
      <w:tr w:rsidR="00DC15CB" w:rsidRPr="002336A7" w14:paraId="6DB90BFC" w14:textId="77777777" w:rsidTr="0062272D">
        <w:tc>
          <w:tcPr>
            <w:tcW w:w="6655" w:type="dxa"/>
          </w:tcPr>
          <w:p w14:paraId="14E7EBA2" w14:textId="72E5B0CB" w:rsidR="00DC15CB" w:rsidRDefault="000013F3" w:rsidP="00211E0B">
            <w:pPr>
              <w:pStyle w:val="body"/>
            </w:pPr>
            <w:r>
              <w:t xml:space="preserve">71. </w:t>
            </w:r>
            <w:r w:rsidR="00DC15CB">
              <w:t>Fig 5: Would one not expect a higher concentration in C (gap is larger) than in A?</w:t>
            </w:r>
          </w:p>
        </w:tc>
        <w:tc>
          <w:tcPr>
            <w:tcW w:w="8100" w:type="dxa"/>
          </w:tcPr>
          <w:p w14:paraId="2047634C" w14:textId="10561EE7" w:rsidR="00DC15CB" w:rsidRPr="00DC15CB" w:rsidRDefault="00993BB7" w:rsidP="00CC013D">
            <w:pPr>
              <w:pStyle w:val="body"/>
            </w:pPr>
            <w:r>
              <w:t xml:space="preserve">Correct, a larger gap leads to more </w:t>
            </w:r>
            <w:r w:rsidR="00721A62">
              <w:t>particles</w:t>
            </w:r>
            <w:r>
              <w:t xml:space="preserve"> in the measuring gap</w:t>
            </w:r>
            <w:r w:rsidR="00C25C8C">
              <w:t xml:space="preserve"> compared to a smaller gap and therefore darker images using the same light intensities </w:t>
            </w:r>
            <w:r w:rsidR="00412FE8">
              <w:t xml:space="preserve">The focus area was smaller </w:t>
            </w:r>
            <w:r w:rsidR="00586338">
              <w:t xml:space="preserve">(now figure </w:t>
            </w:r>
            <w:r w:rsidR="00CC013D">
              <w:t>4</w:t>
            </w:r>
            <w:r w:rsidR="00586338">
              <w:t xml:space="preserve">). </w:t>
            </w:r>
          </w:p>
        </w:tc>
      </w:tr>
      <w:tr w:rsidR="00DC15CB" w:rsidRPr="002336A7" w14:paraId="559AAC2B" w14:textId="77777777" w:rsidTr="0062272D">
        <w:tc>
          <w:tcPr>
            <w:tcW w:w="6655" w:type="dxa"/>
          </w:tcPr>
          <w:p w14:paraId="6F0DB748" w14:textId="77777777" w:rsidR="00DC15CB" w:rsidRPr="00DC15CB" w:rsidRDefault="000013F3" w:rsidP="00211E0B">
            <w:pPr>
              <w:pStyle w:val="body"/>
            </w:pPr>
            <w:r>
              <w:lastRenderedPageBreak/>
              <w:t xml:space="preserve">72. </w:t>
            </w:r>
            <w:r w:rsidR="00DC15CB" w:rsidRPr="00DC15CB">
              <w:t>Fig 9: Legend? What is A, B, C?</w:t>
            </w:r>
          </w:p>
        </w:tc>
        <w:tc>
          <w:tcPr>
            <w:tcW w:w="8100" w:type="dxa"/>
          </w:tcPr>
          <w:p w14:paraId="5FEB7C18" w14:textId="77777777" w:rsidR="00DC15CB" w:rsidRDefault="00C93C89" w:rsidP="002336A7">
            <w:pPr>
              <w:pStyle w:val="body"/>
            </w:pPr>
            <w:r>
              <w:t xml:space="preserve">Added in the legend of Figure </w:t>
            </w:r>
            <w:r w:rsidR="00AB3112">
              <w:t>7</w:t>
            </w:r>
            <w:r w:rsidR="007726B0">
              <w:t>:</w:t>
            </w:r>
          </w:p>
          <w:p w14:paraId="7C3D455B" w14:textId="03C48982" w:rsidR="002336A7" w:rsidRPr="00DC15CB" w:rsidRDefault="002336A7" w:rsidP="002336A7">
            <w:pPr>
              <w:pStyle w:val="body"/>
              <w:rPr>
                <w:b/>
              </w:rPr>
            </w:pPr>
            <w:r>
              <w:t xml:space="preserve">Figure 7. </w:t>
            </w:r>
            <w:r w:rsidRPr="00832F95">
              <w:rPr>
                <w:b/>
              </w:rPr>
              <w:t>Cumulative single-cell size distribution</w:t>
            </w:r>
            <w:r>
              <w:t>. Cell size distributions measured during the time course of a cultivation at 3 h (straight line), 7 h (dotted line), and 13 h (dashed line).</w:t>
            </w:r>
          </w:p>
        </w:tc>
      </w:tr>
    </w:tbl>
    <w:p w14:paraId="29CBCE0E" w14:textId="77777777" w:rsidR="007726B0" w:rsidRDefault="007726B0" w:rsidP="008D7CFD">
      <w:pPr>
        <w:rPr>
          <w:lang w:val="en-US"/>
        </w:rPr>
      </w:pPr>
    </w:p>
    <w:sectPr w:rsidR="007726B0" w:rsidSect="00022AD6">
      <w:pgSz w:w="16838" w:h="11906" w:orient="landscape"/>
      <w:pgMar w:top="1417" w:right="1417" w:bottom="1417"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C9F71" w16cid:durableId="1F2A6F5D"/>
  <w16cid:commentId w16cid:paraId="01D7EEBE" w16cid:durableId="1F2C8F9E"/>
  <w16cid:commentId w16cid:paraId="61E551FA" w16cid:durableId="1F2A7047"/>
  <w16cid:commentId w16cid:paraId="324AF37A" w16cid:durableId="1F2C8FE3"/>
  <w16cid:commentId w16cid:paraId="6AE79961" w16cid:durableId="1F36E105"/>
  <w16cid:commentId w16cid:paraId="19829BA2" w16cid:durableId="1F36EAAD"/>
  <w16cid:commentId w16cid:paraId="701EB2CE" w16cid:durableId="1F2A74A4"/>
  <w16cid:commentId w16cid:paraId="6CEDD127" w16cid:durableId="1F2A6C98"/>
  <w16cid:commentId w16cid:paraId="017FCE77" w16cid:durableId="1F2A6C99"/>
  <w16cid:commentId w16cid:paraId="6BE46D43" w16cid:durableId="1F2A72F0"/>
  <w16cid:commentId w16cid:paraId="36853C03" w16cid:durableId="1F36E47A"/>
  <w16cid:commentId w16cid:paraId="32363919" w16cid:durableId="1F2A6C9A"/>
  <w16cid:commentId w16cid:paraId="2E2A7B69" w16cid:durableId="1F2A7628"/>
  <w16cid:commentId w16cid:paraId="0318E380" w16cid:durableId="1F2C9165"/>
  <w16cid:commentId w16cid:paraId="103D1476" w16cid:durableId="1F36E686"/>
  <w16cid:commentId w16cid:paraId="1361FC07" w16cid:durableId="1F2A6C9B"/>
  <w16cid:commentId w16cid:paraId="620E41B7" w16cid:durableId="1F36E77E"/>
  <w16cid:commentId w16cid:paraId="3884CFED" w16cid:durableId="1F2A6C9E"/>
  <w16cid:commentId w16cid:paraId="48A770B5" w16cid:durableId="1F2A7E27"/>
  <w16cid:commentId w16cid:paraId="1A41359E" w16cid:durableId="1F36E8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B47BA"/>
    <w:multiLevelType w:val="hybridMultilevel"/>
    <w:tmpl w:val="6C7093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4477A"/>
    <w:multiLevelType w:val="multilevel"/>
    <w:tmpl w:val="8EEA3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Pun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BCA478F"/>
    <w:multiLevelType w:val="multilevel"/>
    <w:tmpl w:val="EAB492DE"/>
    <w:lvl w:ilvl="0">
      <w:start w:val="1"/>
      <w:numFmt w:val="decimal"/>
      <w:pStyle w:val="Heading1"/>
      <w:lvlText w:val="%1."/>
      <w:lvlJc w:val="left"/>
      <w:pPr>
        <w:ind w:left="360" w:hanging="360"/>
      </w:pPr>
      <w:rPr>
        <w:b w:val="0"/>
      </w:rPr>
    </w:lvl>
    <w:lvl w:ilvl="1">
      <w:start w:val="1"/>
      <w:numFmt w:val="decimal"/>
      <w:pStyle w:val="Heading2"/>
      <w:lvlText w:val="%1.%2."/>
      <w:lvlJc w:val="left"/>
      <w:pPr>
        <w:ind w:left="4032" w:hanging="432"/>
      </w:pPr>
      <w:rPr>
        <w:b w:val="0"/>
      </w:rPr>
    </w:lvl>
    <w:lvl w:ilvl="2">
      <w:start w:val="1"/>
      <w:numFmt w:val="decimal"/>
      <w:pStyle w:val="Heading3"/>
      <w:lvlText w:val="%1.%2.%3."/>
      <w:lvlJc w:val="left"/>
      <w:pPr>
        <w:ind w:left="930" w:hanging="504"/>
      </w:pPr>
    </w:lvl>
    <w:lvl w:ilvl="3">
      <w:start w:val="1"/>
      <w:numFmt w:val="decimal"/>
      <w:pStyle w:val="Style1"/>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075F3F"/>
    <w:multiLevelType w:val="hybridMultilevel"/>
    <w:tmpl w:val="68C82A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t90r2wprx9dlezv01p5xdevxr5dztae9za&quot;&gt;My EndNote Library&lt;record-ids&gt;&lt;item&gt;1240&lt;/item&gt;&lt;/record-ids&gt;&lt;/item&gt;&lt;/Libraries&gt;"/>
  </w:docVars>
  <w:rsids>
    <w:rsidRoot w:val="00022AD6"/>
    <w:rsid w:val="000013F3"/>
    <w:rsid w:val="00022AD6"/>
    <w:rsid w:val="00030B0F"/>
    <w:rsid w:val="00035E6E"/>
    <w:rsid w:val="000369ED"/>
    <w:rsid w:val="00064A79"/>
    <w:rsid w:val="0007581A"/>
    <w:rsid w:val="00080121"/>
    <w:rsid w:val="00081626"/>
    <w:rsid w:val="000953C9"/>
    <w:rsid w:val="000A1E23"/>
    <w:rsid w:val="000A4EA5"/>
    <w:rsid w:val="000A76CE"/>
    <w:rsid w:val="000C1794"/>
    <w:rsid w:val="000C7FEF"/>
    <w:rsid w:val="000D5B20"/>
    <w:rsid w:val="000D609F"/>
    <w:rsid w:val="000F0482"/>
    <w:rsid w:val="000F3589"/>
    <w:rsid w:val="000F7B33"/>
    <w:rsid w:val="0011159E"/>
    <w:rsid w:val="00113297"/>
    <w:rsid w:val="001252EE"/>
    <w:rsid w:val="00127F7A"/>
    <w:rsid w:val="001539B9"/>
    <w:rsid w:val="00161DA2"/>
    <w:rsid w:val="00184C7E"/>
    <w:rsid w:val="001938A4"/>
    <w:rsid w:val="001961CA"/>
    <w:rsid w:val="001A2BA5"/>
    <w:rsid w:val="001B3E8D"/>
    <w:rsid w:val="001B4650"/>
    <w:rsid w:val="001D3D48"/>
    <w:rsid w:val="001F56CA"/>
    <w:rsid w:val="001F5D33"/>
    <w:rsid w:val="001F61BC"/>
    <w:rsid w:val="00207DE4"/>
    <w:rsid w:val="00211E0B"/>
    <w:rsid w:val="0021672D"/>
    <w:rsid w:val="00217375"/>
    <w:rsid w:val="002336A7"/>
    <w:rsid w:val="00244211"/>
    <w:rsid w:val="00244310"/>
    <w:rsid w:val="00263E7B"/>
    <w:rsid w:val="0026540F"/>
    <w:rsid w:val="00291D2E"/>
    <w:rsid w:val="002C0538"/>
    <w:rsid w:val="002E451B"/>
    <w:rsid w:val="002E66C2"/>
    <w:rsid w:val="00307EA0"/>
    <w:rsid w:val="003356AC"/>
    <w:rsid w:val="003361C9"/>
    <w:rsid w:val="003367EE"/>
    <w:rsid w:val="00340970"/>
    <w:rsid w:val="003421DD"/>
    <w:rsid w:val="00351C92"/>
    <w:rsid w:val="0036315D"/>
    <w:rsid w:val="003734CE"/>
    <w:rsid w:val="00393E08"/>
    <w:rsid w:val="0039468A"/>
    <w:rsid w:val="003C4CC2"/>
    <w:rsid w:val="003C67DE"/>
    <w:rsid w:val="003D252A"/>
    <w:rsid w:val="004003F2"/>
    <w:rsid w:val="00407031"/>
    <w:rsid w:val="00407702"/>
    <w:rsid w:val="00412FE8"/>
    <w:rsid w:val="004145ED"/>
    <w:rsid w:val="004255DD"/>
    <w:rsid w:val="00454B31"/>
    <w:rsid w:val="00455D7D"/>
    <w:rsid w:val="00462091"/>
    <w:rsid w:val="004753FE"/>
    <w:rsid w:val="004813F4"/>
    <w:rsid w:val="00494C97"/>
    <w:rsid w:val="004966EC"/>
    <w:rsid w:val="004A4442"/>
    <w:rsid w:val="004A6682"/>
    <w:rsid w:val="004B6D21"/>
    <w:rsid w:val="004C4CF9"/>
    <w:rsid w:val="004C6B9A"/>
    <w:rsid w:val="004D48D4"/>
    <w:rsid w:val="004D56EA"/>
    <w:rsid w:val="004E2210"/>
    <w:rsid w:val="005113BE"/>
    <w:rsid w:val="0051321B"/>
    <w:rsid w:val="00516734"/>
    <w:rsid w:val="005217D2"/>
    <w:rsid w:val="00555A04"/>
    <w:rsid w:val="0055669C"/>
    <w:rsid w:val="00565DC6"/>
    <w:rsid w:val="0058545B"/>
    <w:rsid w:val="00586338"/>
    <w:rsid w:val="005B3FB1"/>
    <w:rsid w:val="005D18BB"/>
    <w:rsid w:val="005E0E0C"/>
    <w:rsid w:val="006106D3"/>
    <w:rsid w:val="00614D1F"/>
    <w:rsid w:val="0062272D"/>
    <w:rsid w:val="006354CA"/>
    <w:rsid w:val="00645C4F"/>
    <w:rsid w:val="00660F49"/>
    <w:rsid w:val="00683D80"/>
    <w:rsid w:val="00696F35"/>
    <w:rsid w:val="006A4D72"/>
    <w:rsid w:val="006C1EEB"/>
    <w:rsid w:val="007074AA"/>
    <w:rsid w:val="007149FC"/>
    <w:rsid w:val="00721A62"/>
    <w:rsid w:val="007277DD"/>
    <w:rsid w:val="00732E90"/>
    <w:rsid w:val="00741154"/>
    <w:rsid w:val="00741AA7"/>
    <w:rsid w:val="007527C5"/>
    <w:rsid w:val="00754211"/>
    <w:rsid w:val="00755F29"/>
    <w:rsid w:val="00765A8B"/>
    <w:rsid w:val="007726B0"/>
    <w:rsid w:val="007F2F94"/>
    <w:rsid w:val="0080721B"/>
    <w:rsid w:val="008365AA"/>
    <w:rsid w:val="00856879"/>
    <w:rsid w:val="008623F2"/>
    <w:rsid w:val="008628ED"/>
    <w:rsid w:val="00882A30"/>
    <w:rsid w:val="00884C3F"/>
    <w:rsid w:val="008D7CFD"/>
    <w:rsid w:val="00915F34"/>
    <w:rsid w:val="00983B56"/>
    <w:rsid w:val="00993BB7"/>
    <w:rsid w:val="009A4448"/>
    <w:rsid w:val="009B3E7E"/>
    <w:rsid w:val="009D4C55"/>
    <w:rsid w:val="009E50A9"/>
    <w:rsid w:val="00A40ABC"/>
    <w:rsid w:val="00A44DC0"/>
    <w:rsid w:val="00A451F5"/>
    <w:rsid w:val="00A46A22"/>
    <w:rsid w:val="00A46EE6"/>
    <w:rsid w:val="00A470E0"/>
    <w:rsid w:val="00A53E32"/>
    <w:rsid w:val="00A56FB4"/>
    <w:rsid w:val="00A640D1"/>
    <w:rsid w:val="00A7171E"/>
    <w:rsid w:val="00A71CBB"/>
    <w:rsid w:val="00A7221F"/>
    <w:rsid w:val="00A8158D"/>
    <w:rsid w:val="00A9000B"/>
    <w:rsid w:val="00AA0408"/>
    <w:rsid w:val="00AA4878"/>
    <w:rsid w:val="00AA64C3"/>
    <w:rsid w:val="00AB3112"/>
    <w:rsid w:val="00AC7ACB"/>
    <w:rsid w:val="00B04967"/>
    <w:rsid w:val="00B1494A"/>
    <w:rsid w:val="00B16DD7"/>
    <w:rsid w:val="00B30806"/>
    <w:rsid w:val="00B462F6"/>
    <w:rsid w:val="00B465DC"/>
    <w:rsid w:val="00B516B0"/>
    <w:rsid w:val="00B8799F"/>
    <w:rsid w:val="00B94E9F"/>
    <w:rsid w:val="00BA63ED"/>
    <w:rsid w:val="00BE4956"/>
    <w:rsid w:val="00C21B9A"/>
    <w:rsid w:val="00C25C8C"/>
    <w:rsid w:val="00C32CF1"/>
    <w:rsid w:val="00C5207D"/>
    <w:rsid w:val="00C540C2"/>
    <w:rsid w:val="00C55A37"/>
    <w:rsid w:val="00C62F60"/>
    <w:rsid w:val="00C93C89"/>
    <w:rsid w:val="00CC013D"/>
    <w:rsid w:val="00CF07C9"/>
    <w:rsid w:val="00D26437"/>
    <w:rsid w:val="00D27BA5"/>
    <w:rsid w:val="00D63E54"/>
    <w:rsid w:val="00D7501E"/>
    <w:rsid w:val="00D801E9"/>
    <w:rsid w:val="00DA04D2"/>
    <w:rsid w:val="00DB58E8"/>
    <w:rsid w:val="00DC0B91"/>
    <w:rsid w:val="00DC15CB"/>
    <w:rsid w:val="00DC5EA8"/>
    <w:rsid w:val="00DE0FEF"/>
    <w:rsid w:val="00DE5BB7"/>
    <w:rsid w:val="00DF4635"/>
    <w:rsid w:val="00E03F80"/>
    <w:rsid w:val="00E25051"/>
    <w:rsid w:val="00E31F1D"/>
    <w:rsid w:val="00E35431"/>
    <w:rsid w:val="00E57DBA"/>
    <w:rsid w:val="00E655A5"/>
    <w:rsid w:val="00EB1D40"/>
    <w:rsid w:val="00EB4D2F"/>
    <w:rsid w:val="00EC1B99"/>
    <w:rsid w:val="00EC3C48"/>
    <w:rsid w:val="00EC3D4E"/>
    <w:rsid w:val="00EC40E4"/>
    <w:rsid w:val="00ED1772"/>
    <w:rsid w:val="00EF1EC5"/>
    <w:rsid w:val="00F000EF"/>
    <w:rsid w:val="00F019CC"/>
    <w:rsid w:val="00F0341B"/>
    <w:rsid w:val="00F03B12"/>
    <w:rsid w:val="00F05213"/>
    <w:rsid w:val="00F117C5"/>
    <w:rsid w:val="00F42F9D"/>
    <w:rsid w:val="00F60EF7"/>
    <w:rsid w:val="00F6669F"/>
    <w:rsid w:val="00F7241E"/>
    <w:rsid w:val="00F7490B"/>
    <w:rsid w:val="00F76571"/>
    <w:rsid w:val="00F76703"/>
    <w:rsid w:val="00F809BE"/>
    <w:rsid w:val="00F81F1C"/>
    <w:rsid w:val="00F8630A"/>
    <w:rsid w:val="00F915D2"/>
    <w:rsid w:val="00F972D1"/>
    <w:rsid w:val="00FA1AB5"/>
    <w:rsid w:val="00FC4AB8"/>
    <w:rsid w:val="00FD1B54"/>
    <w:rsid w:val="00FE3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2D05"/>
  <w15:chartTrackingRefBased/>
  <w15:docId w15:val="{766713C7-48F1-4EF5-ACB6-D5BE42CD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Web"/>
    <w:next w:val="Normal"/>
    <w:link w:val="Heading1Char"/>
    <w:uiPriority w:val="9"/>
    <w:qFormat/>
    <w:rsid w:val="00B8799F"/>
    <w:pPr>
      <w:widowControl w:val="0"/>
      <w:numPr>
        <w:numId w:val="1"/>
      </w:numPr>
      <w:autoSpaceDE w:val="0"/>
      <w:autoSpaceDN w:val="0"/>
      <w:adjustRightInd w:val="0"/>
      <w:spacing w:after="200" w:line="240" w:lineRule="auto"/>
      <w:jc w:val="both"/>
      <w:outlineLvl w:val="0"/>
    </w:pPr>
    <w:rPr>
      <w:rFonts w:asciiTheme="minorHAnsi" w:eastAsia="Times New Roman" w:hAnsiTheme="minorHAnsi" w:cstheme="minorHAnsi"/>
      <w:b/>
      <w:bCs/>
      <w:lang w:val="en-US"/>
    </w:rPr>
  </w:style>
  <w:style w:type="paragraph" w:styleId="Heading2">
    <w:name w:val="heading 2"/>
    <w:basedOn w:val="Heading1"/>
    <w:next w:val="Normal"/>
    <w:link w:val="Heading2Char"/>
    <w:uiPriority w:val="9"/>
    <w:qFormat/>
    <w:rsid w:val="00B8799F"/>
    <w:pPr>
      <w:widowControl/>
      <w:numPr>
        <w:ilvl w:val="1"/>
      </w:numPr>
      <w:ind w:left="0" w:firstLine="0"/>
      <w:outlineLvl w:val="1"/>
    </w:pPr>
    <w:rPr>
      <w:b w:val="0"/>
    </w:rPr>
  </w:style>
  <w:style w:type="paragraph" w:styleId="Heading3">
    <w:name w:val="heading 3"/>
    <w:basedOn w:val="Heading2"/>
    <w:next w:val="Normal"/>
    <w:link w:val="Heading3Char"/>
    <w:uiPriority w:val="9"/>
    <w:unhideWhenUsed/>
    <w:qFormat/>
    <w:rsid w:val="00B8799F"/>
    <w:pPr>
      <w:numPr>
        <w:ilvl w:val="2"/>
      </w:numPr>
      <w:ind w:left="0"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AD6"/>
    <w:rPr>
      <w:color w:val="0000FF"/>
      <w:u w:val="single"/>
    </w:rPr>
  </w:style>
  <w:style w:type="character" w:styleId="CommentReference">
    <w:name w:val="annotation reference"/>
    <w:basedOn w:val="DefaultParagraphFont"/>
    <w:unhideWhenUsed/>
    <w:rsid w:val="00022AD6"/>
    <w:rPr>
      <w:sz w:val="16"/>
      <w:szCs w:val="16"/>
    </w:rPr>
  </w:style>
  <w:style w:type="paragraph" w:styleId="CommentText">
    <w:name w:val="annotation text"/>
    <w:basedOn w:val="Normal"/>
    <w:link w:val="CommentTextChar"/>
    <w:unhideWhenUsed/>
    <w:rsid w:val="00022AD6"/>
    <w:pPr>
      <w:spacing w:line="240" w:lineRule="auto"/>
    </w:pPr>
    <w:rPr>
      <w:sz w:val="20"/>
      <w:szCs w:val="20"/>
    </w:rPr>
  </w:style>
  <w:style w:type="character" w:customStyle="1" w:styleId="CommentTextChar">
    <w:name w:val="Comment Text Char"/>
    <w:basedOn w:val="DefaultParagraphFont"/>
    <w:link w:val="CommentText"/>
    <w:rsid w:val="00022AD6"/>
    <w:rPr>
      <w:sz w:val="20"/>
      <w:szCs w:val="20"/>
    </w:rPr>
  </w:style>
  <w:style w:type="paragraph" w:styleId="NoSpacing">
    <w:name w:val="No Spacing"/>
    <w:uiPriority w:val="1"/>
    <w:qFormat/>
    <w:rsid w:val="00022AD6"/>
    <w:pPr>
      <w:spacing w:after="0" w:line="240" w:lineRule="auto"/>
    </w:pPr>
    <w:rPr>
      <w:rFonts w:ascii="Times New Roman" w:hAnsi="Times New Roman"/>
    </w:rPr>
  </w:style>
  <w:style w:type="character" w:customStyle="1" w:styleId="shorttext">
    <w:name w:val="short_text"/>
    <w:basedOn w:val="DefaultParagraphFont"/>
    <w:rsid w:val="00022AD6"/>
  </w:style>
  <w:style w:type="paragraph" w:styleId="BalloonText">
    <w:name w:val="Balloon Text"/>
    <w:basedOn w:val="Normal"/>
    <w:link w:val="BalloonTextChar"/>
    <w:uiPriority w:val="99"/>
    <w:semiHidden/>
    <w:unhideWhenUsed/>
    <w:rsid w:val="00022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AD6"/>
    <w:rPr>
      <w:rFonts w:ascii="Segoe UI" w:hAnsi="Segoe UI" w:cs="Segoe UI"/>
      <w:sz w:val="18"/>
      <w:szCs w:val="18"/>
    </w:rPr>
  </w:style>
  <w:style w:type="character" w:customStyle="1" w:styleId="highlight">
    <w:name w:val="highlight"/>
    <w:basedOn w:val="DefaultParagraphFont"/>
    <w:rsid w:val="000A76CE"/>
  </w:style>
  <w:style w:type="character" w:styleId="Emphasis">
    <w:name w:val="Emphasis"/>
    <w:basedOn w:val="DefaultParagraphFont"/>
    <w:uiPriority w:val="20"/>
    <w:qFormat/>
    <w:rsid w:val="000C1794"/>
    <w:rPr>
      <w:i/>
      <w:iCs/>
    </w:rPr>
  </w:style>
  <w:style w:type="character" w:customStyle="1" w:styleId="st">
    <w:name w:val="st"/>
    <w:basedOn w:val="DefaultParagraphFont"/>
    <w:rsid w:val="00915F34"/>
  </w:style>
  <w:style w:type="character" w:customStyle="1" w:styleId="eop">
    <w:name w:val="eop"/>
    <w:basedOn w:val="DefaultParagraphFont"/>
    <w:rsid w:val="0062272D"/>
  </w:style>
  <w:style w:type="paragraph" w:customStyle="1" w:styleId="Paper">
    <w:name w:val="Paper"/>
    <w:basedOn w:val="Normal"/>
    <w:link w:val="PaperChar"/>
    <w:qFormat/>
    <w:rsid w:val="0062272D"/>
    <w:pPr>
      <w:spacing w:after="200" w:line="480" w:lineRule="auto"/>
    </w:pPr>
    <w:rPr>
      <w:rFonts w:ascii="Times New Roman" w:eastAsia="Calibri" w:hAnsi="Times New Roman" w:cs="Times New Roman"/>
      <w:sz w:val="24"/>
      <w:lang w:val="en-GB"/>
    </w:rPr>
  </w:style>
  <w:style w:type="character" w:customStyle="1" w:styleId="PaperChar">
    <w:name w:val="Paper Char"/>
    <w:link w:val="Paper"/>
    <w:rsid w:val="0062272D"/>
    <w:rPr>
      <w:rFonts w:ascii="Times New Roman" w:eastAsia="Calibri" w:hAnsi="Times New Roman" w:cs="Times New Roman"/>
      <w:sz w:val="24"/>
      <w:lang w:val="en-GB"/>
    </w:rPr>
  </w:style>
  <w:style w:type="character" w:styleId="FollowedHyperlink">
    <w:name w:val="FollowedHyperlink"/>
    <w:basedOn w:val="DefaultParagraphFont"/>
    <w:uiPriority w:val="99"/>
    <w:semiHidden/>
    <w:unhideWhenUsed/>
    <w:rsid w:val="00A8158D"/>
    <w:rPr>
      <w:color w:val="954F72" w:themeColor="followedHyperlink"/>
      <w:u w:val="single"/>
    </w:rPr>
  </w:style>
  <w:style w:type="paragraph" w:customStyle="1" w:styleId="body">
    <w:name w:val="body"/>
    <w:basedOn w:val="Normal"/>
    <w:link w:val="bodyChar"/>
    <w:qFormat/>
    <w:rsid w:val="00B8799F"/>
    <w:pPr>
      <w:spacing w:after="200" w:line="240" w:lineRule="auto"/>
      <w:jc w:val="both"/>
    </w:pPr>
    <w:rPr>
      <w:rFonts w:eastAsia="Times New Roman" w:cs="Times New Roman"/>
      <w:szCs w:val="24"/>
      <w:lang w:val="en-US" w:eastAsia="de-DE"/>
    </w:rPr>
  </w:style>
  <w:style w:type="character" w:customStyle="1" w:styleId="bodyChar">
    <w:name w:val="body Char"/>
    <w:basedOn w:val="DefaultParagraphFont"/>
    <w:link w:val="body"/>
    <w:rsid w:val="00B8799F"/>
    <w:rPr>
      <w:rFonts w:eastAsia="Times New Roman" w:cs="Times New Roman"/>
      <w:szCs w:val="24"/>
      <w:lang w:val="en-US" w:eastAsia="de-DE"/>
    </w:rPr>
  </w:style>
  <w:style w:type="paragraph" w:styleId="CommentSubject">
    <w:name w:val="annotation subject"/>
    <w:basedOn w:val="CommentText"/>
    <w:next w:val="CommentText"/>
    <w:link w:val="CommentSubjectChar"/>
    <w:uiPriority w:val="99"/>
    <w:semiHidden/>
    <w:unhideWhenUsed/>
    <w:rsid w:val="00F7490B"/>
    <w:rPr>
      <w:b/>
      <w:bCs/>
    </w:rPr>
  </w:style>
  <w:style w:type="character" w:customStyle="1" w:styleId="CommentSubjectChar">
    <w:name w:val="Comment Subject Char"/>
    <w:basedOn w:val="CommentTextChar"/>
    <w:link w:val="CommentSubject"/>
    <w:uiPriority w:val="99"/>
    <w:semiHidden/>
    <w:rsid w:val="00F7490B"/>
    <w:rPr>
      <w:b/>
      <w:bCs/>
      <w:sz w:val="20"/>
      <w:szCs w:val="20"/>
    </w:rPr>
  </w:style>
  <w:style w:type="character" w:customStyle="1" w:styleId="Heading1Char">
    <w:name w:val="Heading 1 Char"/>
    <w:basedOn w:val="DefaultParagraphFont"/>
    <w:link w:val="Heading1"/>
    <w:uiPriority w:val="9"/>
    <w:rsid w:val="00B8799F"/>
    <w:rPr>
      <w:rFonts w:eastAsia="Times New Roman" w:cstheme="minorHAnsi"/>
      <w:b/>
      <w:bCs/>
      <w:sz w:val="24"/>
      <w:szCs w:val="24"/>
      <w:lang w:val="en-US"/>
    </w:rPr>
  </w:style>
  <w:style w:type="character" w:customStyle="1" w:styleId="Heading2Char">
    <w:name w:val="Heading 2 Char"/>
    <w:basedOn w:val="DefaultParagraphFont"/>
    <w:link w:val="Heading2"/>
    <w:uiPriority w:val="9"/>
    <w:rsid w:val="00B8799F"/>
    <w:rPr>
      <w:rFonts w:eastAsia="Times New Roman" w:cstheme="minorHAnsi"/>
      <w:bCs/>
      <w:sz w:val="24"/>
      <w:szCs w:val="24"/>
      <w:lang w:val="en-US"/>
    </w:rPr>
  </w:style>
  <w:style w:type="character" w:customStyle="1" w:styleId="Heading3Char">
    <w:name w:val="Heading 3 Char"/>
    <w:basedOn w:val="DefaultParagraphFont"/>
    <w:link w:val="Heading3"/>
    <w:uiPriority w:val="9"/>
    <w:rsid w:val="00B8799F"/>
    <w:rPr>
      <w:rFonts w:eastAsia="Times New Roman" w:cstheme="minorHAnsi"/>
      <w:bCs/>
      <w:sz w:val="24"/>
      <w:szCs w:val="24"/>
      <w:lang w:val="en-US"/>
    </w:rPr>
  </w:style>
  <w:style w:type="paragraph" w:customStyle="1" w:styleId="Style1">
    <w:name w:val="Style1"/>
    <w:basedOn w:val="Heading3"/>
    <w:uiPriority w:val="99"/>
    <w:qFormat/>
    <w:rsid w:val="00B8799F"/>
    <w:pPr>
      <w:numPr>
        <w:ilvl w:val="3"/>
      </w:numPr>
      <w:tabs>
        <w:tab w:val="num" w:pos="360"/>
      </w:tabs>
      <w:ind w:left="0" w:firstLine="0"/>
    </w:pPr>
  </w:style>
  <w:style w:type="paragraph" w:styleId="NormalWeb">
    <w:name w:val="Normal (Web)"/>
    <w:basedOn w:val="Normal"/>
    <w:uiPriority w:val="99"/>
    <w:semiHidden/>
    <w:unhideWhenUsed/>
    <w:rsid w:val="00B8799F"/>
    <w:rPr>
      <w:rFonts w:ascii="Times New Roman" w:hAnsi="Times New Roman" w:cs="Times New Roman"/>
      <w:sz w:val="24"/>
      <w:szCs w:val="24"/>
    </w:rPr>
  </w:style>
  <w:style w:type="paragraph" w:customStyle="1" w:styleId="Punt4">
    <w:name w:val="Punt4"/>
    <w:basedOn w:val="Style1"/>
    <w:link w:val="Punt4Char"/>
    <w:qFormat/>
    <w:rsid w:val="00565DC6"/>
    <w:pPr>
      <w:numPr>
        <w:numId w:val="3"/>
      </w:numPr>
      <w:ind w:left="0" w:firstLine="0"/>
    </w:pPr>
  </w:style>
  <w:style w:type="character" w:customStyle="1" w:styleId="Punt4Char">
    <w:name w:val="Punt4 Char"/>
    <w:basedOn w:val="DefaultParagraphFont"/>
    <w:link w:val="Punt4"/>
    <w:rsid w:val="00565DC6"/>
    <w:rPr>
      <w:rFonts w:eastAsia="Times New Roman" w:cstheme="minorHAnsi"/>
      <w:bCs/>
      <w:sz w:val="24"/>
      <w:szCs w:val="24"/>
      <w:lang w:val="en-US"/>
    </w:rPr>
  </w:style>
  <w:style w:type="paragraph" w:customStyle="1" w:styleId="EndNoteBibliographyTitle">
    <w:name w:val="EndNote Bibliography Title"/>
    <w:basedOn w:val="Normal"/>
    <w:link w:val="EndNoteBibliographyTitleZchn"/>
    <w:rsid w:val="004A6682"/>
    <w:pPr>
      <w:spacing w:after="0"/>
      <w:jc w:val="center"/>
    </w:pPr>
    <w:rPr>
      <w:rFonts w:ascii="Calibri" w:hAnsi="Calibri" w:cs="Calibri"/>
      <w:noProof/>
      <w:lang w:val="en-US"/>
    </w:rPr>
  </w:style>
  <w:style w:type="character" w:customStyle="1" w:styleId="EndNoteBibliographyTitleZchn">
    <w:name w:val="EndNote Bibliography Title Zchn"/>
    <w:basedOn w:val="bodyChar"/>
    <w:link w:val="EndNoteBibliographyTitle"/>
    <w:rsid w:val="004A6682"/>
    <w:rPr>
      <w:rFonts w:ascii="Calibri" w:eastAsia="Times New Roman" w:hAnsi="Calibri" w:cs="Calibri"/>
      <w:noProof/>
      <w:szCs w:val="24"/>
      <w:lang w:val="en-US" w:eastAsia="de-DE"/>
    </w:rPr>
  </w:style>
  <w:style w:type="paragraph" w:customStyle="1" w:styleId="EndNoteBibliography">
    <w:name w:val="EndNote Bibliography"/>
    <w:basedOn w:val="Normal"/>
    <w:link w:val="EndNoteBibliographyZchn"/>
    <w:rsid w:val="004A6682"/>
    <w:pPr>
      <w:spacing w:line="240" w:lineRule="auto"/>
    </w:pPr>
    <w:rPr>
      <w:rFonts w:ascii="Calibri" w:hAnsi="Calibri" w:cs="Calibri"/>
      <w:noProof/>
      <w:lang w:val="en-US"/>
    </w:rPr>
  </w:style>
  <w:style w:type="character" w:customStyle="1" w:styleId="EndNoteBibliographyZchn">
    <w:name w:val="EndNote Bibliography Zchn"/>
    <w:basedOn w:val="bodyChar"/>
    <w:link w:val="EndNoteBibliography"/>
    <w:rsid w:val="004A6682"/>
    <w:rPr>
      <w:rFonts w:ascii="Calibri" w:eastAsia="Times New Roman" w:hAnsi="Calibri" w:cs="Calibri"/>
      <w:noProof/>
      <w:szCs w:val="24"/>
      <w:lang w:val="en-US" w:eastAsia="de-DE"/>
    </w:rPr>
  </w:style>
  <w:style w:type="paragraph" w:styleId="Revision">
    <w:name w:val="Revision"/>
    <w:hidden/>
    <w:uiPriority w:val="99"/>
    <w:semiHidden/>
    <w:rsid w:val="001F5D33"/>
    <w:pPr>
      <w:spacing w:after="0" w:line="240" w:lineRule="auto"/>
    </w:pPr>
  </w:style>
  <w:style w:type="paragraph" w:styleId="ListParagraph">
    <w:name w:val="List Paragraph"/>
    <w:basedOn w:val="Normal"/>
    <w:uiPriority w:val="34"/>
    <w:qFormat/>
    <w:rsid w:val="006106D3"/>
    <w:pPr>
      <w:spacing w:after="200" w:line="276" w:lineRule="auto"/>
      <w:ind w:left="720"/>
      <w:contextualSpacing/>
      <w:jc w:val="both"/>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8950">
      <w:bodyDiv w:val="1"/>
      <w:marLeft w:val="0"/>
      <w:marRight w:val="0"/>
      <w:marTop w:val="0"/>
      <w:marBottom w:val="0"/>
      <w:divBdr>
        <w:top w:val="none" w:sz="0" w:space="0" w:color="auto"/>
        <w:left w:val="none" w:sz="0" w:space="0" w:color="auto"/>
        <w:bottom w:val="none" w:sz="0" w:space="0" w:color="auto"/>
        <w:right w:val="none" w:sz="0" w:space="0" w:color="auto"/>
      </w:divBdr>
      <w:divsChild>
        <w:div w:id="1053964119">
          <w:marLeft w:val="0"/>
          <w:marRight w:val="0"/>
          <w:marTop w:val="0"/>
          <w:marBottom w:val="0"/>
          <w:divBdr>
            <w:top w:val="none" w:sz="0" w:space="0" w:color="auto"/>
            <w:left w:val="none" w:sz="0" w:space="0" w:color="auto"/>
            <w:bottom w:val="none" w:sz="0" w:space="0" w:color="auto"/>
            <w:right w:val="none" w:sz="0" w:space="0" w:color="auto"/>
          </w:divBdr>
        </w:div>
        <w:div w:id="788620258">
          <w:marLeft w:val="0"/>
          <w:marRight w:val="0"/>
          <w:marTop w:val="0"/>
          <w:marBottom w:val="0"/>
          <w:divBdr>
            <w:top w:val="none" w:sz="0" w:space="0" w:color="auto"/>
            <w:left w:val="none" w:sz="0" w:space="0" w:color="auto"/>
            <w:bottom w:val="none" w:sz="0" w:space="0" w:color="auto"/>
            <w:right w:val="none" w:sz="0" w:space="0" w:color="auto"/>
          </w:divBdr>
        </w:div>
        <w:div w:id="204754138">
          <w:marLeft w:val="0"/>
          <w:marRight w:val="0"/>
          <w:marTop w:val="0"/>
          <w:marBottom w:val="0"/>
          <w:divBdr>
            <w:top w:val="none" w:sz="0" w:space="0" w:color="auto"/>
            <w:left w:val="none" w:sz="0" w:space="0" w:color="auto"/>
            <w:bottom w:val="none" w:sz="0" w:space="0" w:color="auto"/>
            <w:right w:val="none" w:sz="0" w:space="0" w:color="auto"/>
          </w:divBdr>
        </w:div>
        <w:div w:id="1487162278">
          <w:marLeft w:val="0"/>
          <w:marRight w:val="0"/>
          <w:marTop w:val="0"/>
          <w:marBottom w:val="0"/>
          <w:divBdr>
            <w:top w:val="none" w:sz="0" w:space="0" w:color="auto"/>
            <w:left w:val="none" w:sz="0" w:space="0" w:color="auto"/>
            <w:bottom w:val="none" w:sz="0" w:space="0" w:color="auto"/>
            <w:right w:val="none" w:sz="0" w:space="0" w:color="auto"/>
          </w:divBdr>
        </w:div>
        <w:div w:id="927423274">
          <w:marLeft w:val="0"/>
          <w:marRight w:val="0"/>
          <w:marTop w:val="0"/>
          <w:marBottom w:val="0"/>
          <w:divBdr>
            <w:top w:val="none" w:sz="0" w:space="0" w:color="auto"/>
            <w:left w:val="none" w:sz="0" w:space="0" w:color="auto"/>
            <w:bottom w:val="none" w:sz="0" w:space="0" w:color="auto"/>
            <w:right w:val="none" w:sz="0" w:space="0" w:color="auto"/>
          </w:divBdr>
        </w:div>
        <w:div w:id="269823772">
          <w:marLeft w:val="0"/>
          <w:marRight w:val="0"/>
          <w:marTop w:val="0"/>
          <w:marBottom w:val="0"/>
          <w:divBdr>
            <w:top w:val="none" w:sz="0" w:space="0" w:color="auto"/>
            <w:left w:val="none" w:sz="0" w:space="0" w:color="auto"/>
            <w:bottom w:val="none" w:sz="0" w:space="0" w:color="auto"/>
            <w:right w:val="none" w:sz="0" w:space="0" w:color="auto"/>
          </w:divBdr>
        </w:div>
        <w:div w:id="1306661172">
          <w:marLeft w:val="0"/>
          <w:marRight w:val="0"/>
          <w:marTop w:val="0"/>
          <w:marBottom w:val="0"/>
          <w:divBdr>
            <w:top w:val="none" w:sz="0" w:space="0" w:color="auto"/>
            <w:left w:val="none" w:sz="0" w:space="0" w:color="auto"/>
            <w:bottom w:val="none" w:sz="0" w:space="0" w:color="auto"/>
            <w:right w:val="none" w:sz="0" w:space="0" w:color="auto"/>
          </w:divBdr>
        </w:div>
      </w:divsChild>
    </w:div>
    <w:div w:id="1241792306">
      <w:bodyDiv w:val="1"/>
      <w:marLeft w:val="0"/>
      <w:marRight w:val="0"/>
      <w:marTop w:val="0"/>
      <w:marBottom w:val="0"/>
      <w:divBdr>
        <w:top w:val="none" w:sz="0" w:space="0" w:color="auto"/>
        <w:left w:val="none" w:sz="0" w:space="0" w:color="auto"/>
        <w:bottom w:val="none" w:sz="0" w:space="0" w:color="auto"/>
        <w:right w:val="none" w:sz="0" w:space="0" w:color="auto"/>
      </w:divBdr>
    </w:div>
    <w:div w:id="1347711241">
      <w:bodyDiv w:val="1"/>
      <w:marLeft w:val="0"/>
      <w:marRight w:val="0"/>
      <w:marTop w:val="0"/>
      <w:marBottom w:val="0"/>
      <w:divBdr>
        <w:top w:val="none" w:sz="0" w:space="0" w:color="auto"/>
        <w:left w:val="none" w:sz="0" w:space="0" w:color="auto"/>
        <w:bottom w:val="none" w:sz="0" w:space="0" w:color="auto"/>
        <w:right w:val="none" w:sz="0" w:space="0" w:color="auto"/>
      </w:divBdr>
    </w:div>
    <w:div w:id="20635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4097</Words>
  <Characters>25815</Characters>
  <Application>Microsoft Office Word</Application>
  <DocSecurity>0</DocSecurity>
  <Lines>215</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dc:creator>
  <cp:keywords/>
  <dc:description/>
  <cp:lastModifiedBy>Anna Maria Marba</cp:lastModifiedBy>
  <cp:revision>13</cp:revision>
  <cp:lastPrinted>2018-02-28T14:21:00Z</cp:lastPrinted>
  <dcterms:created xsi:type="dcterms:W3CDTF">2018-09-02T20:39:00Z</dcterms:created>
  <dcterms:modified xsi:type="dcterms:W3CDTF">2018-09-05T14:20:00Z</dcterms:modified>
</cp:coreProperties>
</file>