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Small-Scale </w:t>
      </w:r>
      <w:r>
        <w:rPr>
          <w:rFonts w:ascii="Calibri" w:hAnsi="Calibri" w:cs="Calibri" w:eastAsia="Calibri"/>
          <w:b/>
          <w:color w:val="000000"/>
          <w:spacing w:val="0"/>
          <w:position w:val="0"/>
          <w:sz w:val="24"/>
          <w:shd w:fill="auto" w:val="clear"/>
        </w:rPr>
        <w:t xml:space="preserve">Colorimetric Assays of Intracellular Lactate and Pyruvate in the Nematode </w:t>
      </w:r>
      <w:r>
        <w:rPr>
          <w:rFonts w:ascii="Calibri" w:hAnsi="Calibri" w:cs="Calibri" w:eastAsia="Calibri"/>
          <w:b/>
          <w:i/>
          <w:color w:val="000000"/>
          <w:spacing w:val="0"/>
          <w:position w:val="0"/>
          <w:sz w:val="24"/>
          <w:shd w:fill="auto" w:val="clear"/>
        </w:rPr>
        <w:t xml:space="preserve">Caenorhabditis elegans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Sumino Yanase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Kayo Yasuda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 Naoaki Ishii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Health Science, School of Sports &amp;amp; Health Science, Daito Bunka University, Higashi-matsuyama, Japan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Life Science, School of Medicine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Tokai University, </w:t>
      </w:r>
      <w:r>
        <w:rPr>
          <w:rFonts w:ascii="Calibri" w:hAnsi="Calibri" w:cs="Calibri" w:eastAsia="Calibri"/>
          <w:color w:val="222222"/>
          <w:spacing w:val="0"/>
          <w:position w:val="0"/>
          <w:sz w:val="24"/>
          <w:shd w:fill="FFFFFF" w:val="clear"/>
        </w:rPr>
        <w:t xml:space="preserve">Tokyo,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Health Management, School of Health Study</w:t>
      </w:r>
      <w:r>
        <w:rPr>
          <w:rFonts w:ascii="Calibri" w:hAnsi="Calibri" w:cs="Calibri" w:eastAsia="Calibri"/>
          <w:color w:val="222222"/>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 Tokai University, </w:t>
      </w:r>
      <w:r>
        <w:rPr>
          <w:rFonts w:ascii="Calibri" w:hAnsi="Calibri" w:cs="Calibri" w:eastAsia="Calibri"/>
          <w:color w:val="222222"/>
          <w:spacing w:val="0"/>
          <w:position w:val="0"/>
          <w:sz w:val="24"/>
          <w:shd w:fill="FFFFFF" w:val="clear"/>
        </w:rPr>
        <w:t xml:space="preserve">Tokyo, Japan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Sumino Yanase (syanase@ic.daito.ac.jp)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Kayo Yasuda (lilac@is.icc.u-tokai.ac.jp)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Naoaki Ishii</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nishii@is.icc.u-tokai.ac.jp)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Sumino Yanase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energy metabolism, lactate, pyruvate, common precipitant, </w:t>
      </w:r>
      <w:r>
        <w:rPr>
          <w:rFonts w:ascii="Calibri" w:hAnsi="Calibri" w:cs="Calibri" w:eastAsia="Calibri"/>
          <w:color w:val="000000"/>
          <w:spacing w:val="0"/>
          <w:position w:val="0"/>
          <w:sz w:val="24"/>
          <w:shd w:fill="auto" w:val="clear"/>
        </w:rPr>
        <w:t xml:space="preserve">colorimetric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w:t>
      </w:r>
      <w:r>
        <w:rPr>
          <w:rFonts w:ascii="Calibri" w:hAnsi="Calibri" w:cs="Calibri" w:eastAsia="Calibri"/>
          <w:color w:val="000000"/>
          <w:spacing w:val="0"/>
          <w:position w:val="0"/>
          <w:sz w:val="24"/>
          <w:shd w:fill="auto" w:val="clear"/>
        </w:rPr>
        <w:t xml:space="preserve">modified</w:t>
      </w:r>
      <w:r>
        <w:rPr>
          <w:rFonts w:ascii="Calibri" w:hAnsi="Calibri" w:cs="Calibri" w:eastAsia="Calibri"/>
          <w:color w:val="auto"/>
          <w:spacing w:val="0"/>
          <w:position w:val="0"/>
          <w:sz w:val="24"/>
          <w:shd w:fill="auto" w:val="clear"/>
        </w:rPr>
        <w:t xml:space="preserve"> small-scale extraction and colorimetric assays of lactate and pyruvate in the nematode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When utilizing commercial assay kits, the technical development of their sensitivity and accuracy is important. Protein precipitation in extraction is the most critical step for the quantitative determination of intracellular metabolites.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Lactate and pyruvate are key intermediates of intracellular energy metabolic pathways. Monitoring the lactate/pyruvate ratio in cells helps to determine whether there is an imbalance in age-related energy metabolism between mitochondrial oxidative phosphorylation and aerobic glycolysis. Here, we show the utilization of commercial colorimetric assay kits for lactate and pyruvate in the model organism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Recently, the sensitivity and accuracy of the colorimetric/fluorimetric assay kits have been improved greatly by the research and development conducted by reagent manufacturers. The improved reagents have enabled the use of small-scale assays with a 96-well plate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In general, a fluorimetric assay is superior in sensitivity to a colorimetric assay; however, the colorimetric approach is more suitable for the use in common laboratories. Another important issue in these assays for quantitative determination is protein precipitation of homogenized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samples. In our protein precipitation method, common precipitants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trichloroacetic acid, perchloric acid and metaphosphoric acid) are used for sample preparation. A protein-free assay sample is prepared by directly adding cold precipitant (final concentration of 5%) during homogenization.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Lactate and pyruvate concentrations are widely regarded as intermediates of energy metabolism, and are related to the states of glycolysis, tricarboxylic acid (TCA) cycle, and electron transport chain in the cells of aerobic organisms. A series of reactions in glycolysis oxidize glucose to pyruvate, which lies at a metabolic crossroads and can be converted to carbohydrates through gluconeogenesis, to fatty acids and energy metabolism through acetyl-CoA, and to the amino acid alanine. The TCA cycle occurs under the presence of sufficient dissolved oxygen and is fundamental for the conversion of glucose to energy. Especially, the alteration of secondary metabolism is an interesting phenomenon in which glycolysis is used predominantly for energy production and aerobic mitochondrial respiration, which involves the TCA cycle and electron transport chain, is downregulated in mammalian cancer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showed recently that the lactate levels and the consequent lactate/pyruvate (L/P) ratio decreased during aging in the model organism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Likewise, we found that the mammalian tumor suppressor p53 ortholog CEP-1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has an important role in the age-related alterations of energy metabolism through the activation of its transcriptional targets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biological assays, such as the measurement of lactate and pyruvate concentrations in cells, the sensitivity, accuracy, sample size, and incubation time of colorimetric/fluorimetric assay kits have been improved dramatically. Owing to technological innovations, we are now able to analyze various metabolites and intermediate metabolites without the large-scale culture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which is difficult given its small size. In general, the sensitivity of a colorimetric assay is an order of magnitude smaller than that of a fluorimetric assay; however, the colorimetric approach is more suitable in the setting of common laboratories. Furthermore, an extraction technique containing homogenization and protein precipitation is crucial for the quantitative determination of lactate and pyruvate concentrations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cells because this nematode is enclosed in an exoskeleton called the cuticle, unlike mammalian cultured cell lines</w:t>
      </w:r>
      <w:r>
        <w:rPr>
          <w:rFonts w:ascii="Calibri" w:hAnsi="Calibri" w:cs="Calibri" w:eastAsia="Calibri"/>
          <w:color w:val="000000"/>
          <w:spacing w:val="0"/>
          <w:position w:val="0"/>
          <w:sz w:val="24"/>
          <w:shd w:fill="auto" w:val="clear"/>
          <w:vertAlign w:val="superscript"/>
        </w:rPr>
        <w:t xml:space="preserve">4, 5</w:t>
      </w:r>
      <w:r>
        <w:rPr>
          <w:rFonts w:ascii="Calibri" w:hAnsi="Calibri" w:cs="Calibri" w:eastAsia="Calibri"/>
          <w:color w:val="000000"/>
          <w:spacing w:val="0"/>
          <w:position w:val="0"/>
          <w:sz w:val="24"/>
          <w:shd w:fill="auto" w:val="clear"/>
        </w:rPr>
        <w:t xml:space="preserve">. Here, we describe a protocol to analyze lactate and pyruvate concentrations using commercial colorimetric assay kits including tips for sample extraction from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Synchronized Culture of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000000"/>
          <w:spacing w:val="0"/>
          <w:position w:val="0"/>
          <w:sz w:val="24"/>
          <w:shd w:fill="FFFF00" w:val="clear"/>
        </w:rPr>
        <w:t xml:space="preserve">Before seeding, culture the </w:t>
      </w:r>
      <w:r>
        <w:rPr>
          <w:rFonts w:ascii="Calibri" w:hAnsi="Calibri" w:cs="Calibri" w:eastAsia="Calibri"/>
          <w:i/>
          <w:color w:val="000000"/>
          <w:spacing w:val="0"/>
          <w:position w:val="0"/>
          <w:sz w:val="24"/>
          <w:shd w:fill="FFFF00" w:val="clear"/>
        </w:rPr>
        <w:t xml:space="preserve">Escherichia coli</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strain OP50 overnight at 37 &amp;#176;C in 300 mL of Luria-Bertani (LB) broth liquid medium. Store the cultured OP50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To make LB broth liquid medium, use 10 g of tryptone, 5 g of yeast extract, 10 g of NaCl and 1.5 mL of 1 N NaOH, and add to 1 L with deionized water. Autoclave.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OP50 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strains are available from the Caenorhabditis Genetics Center (University of Minnesota, St. Paul, MN,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color w:val="000000"/>
          <w:spacing w:val="0"/>
          <w:position w:val="0"/>
          <w:sz w:val="24"/>
          <w:shd w:fill="FFFF00" w:val="clear"/>
        </w:rPr>
        <w:t xml:space="preserve">To make nematode growth medium (NGM) agar, use 3 g of NaCl, 2.5 g of peptone, 17 g of agar, and 975 mL of deionized water. Autoclave. Cool to 55 &amp;#176;C, then sterilely add, in order, 1 mL of 1 M MgSO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1 mL of 1 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mL of 5 mg/mL cholesterol in EtOH, and 25 mL of 1 M potassium phosphate pH 6.0 in 90-mm Petri dishes.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For 1 M potassium phosphate pH 6.0, use 108.3 g of KH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46.6 g of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HPO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and add deionized water to 1 L. Autoclave</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1.3.</w:t>
        <w:tab/>
      </w:r>
      <w:r>
        <w:rPr>
          <w:rFonts w:ascii="Calibri" w:hAnsi="Calibri" w:cs="Calibri" w:eastAsia="Calibri"/>
          <w:color w:val="000000"/>
          <w:spacing w:val="0"/>
          <w:position w:val="0"/>
          <w:sz w:val="24"/>
          <w:shd w:fill="FFFF00" w:val="clear"/>
        </w:rPr>
        <w:t xml:space="preserve">Spread 1-2 mL of the cultured OP50 on the NGM agar plates. To make a thin layer of OP50, incubate the plates overnight at room temperature before adding any nematodes.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NGM agar plates inoculated OP50 can be stored at room temperature for 2-3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w:t>
        <w:tab/>
      </w:r>
      <w:r>
        <w:rPr>
          <w:rFonts w:ascii="Calibri" w:hAnsi="Calibri" w:cs="Calibri" w:eastAsia="Calibri"/>
          <w:color w:val="000000"/>
          <w:spacing w:val="0"/>
          <w:position w:val="0"/>
          <w:sz w:val="24"/>
          <w:shd w:fill="FFFF00" w:val="clear"/>
        </w:rPr>
        <w:t xml:space="preserve">Add at least 100 worms onto an NGM agar plate with OP50, and culture at 20 &amp;#176;C until the adult stage. At least three plates are required.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1.5.</w:t>
        <w:tab/>
      </w:r>
      <w:r>
        <w:rPr>
          <w:rFonts w:ascii="Calibri" w:hAnsi="Calibri" w:cs="Calibri" w:eastAsia="Calibri"/>
          <w:color w:val="000000"/>
          <w:spacing w:val="0"/>
          <w:position w:val="0"/>
          <w:sz w:val="24"/>
          <w:shd w:fill="FFFF00" w:val="clear"/>
        </w:rPr>
        <w:t xml:space="preserve">To collect eggs </w:t>
      </w:r>
      <w:r>
        <w:rPr>
          <w:rFonts w:ascii="Calibri" w:hAnsi="Calibri" w:cs="Calibri" w:eastAsia="Calibri"/>
          <w:i/>
          <w:color w:val="000000"/>
          <w:spacing w:val="0"/>
          <w:position w:val="0"/>
          <w:sz w:val="24"/>
          <w:shd w:fill="FFFF00" w:val="clear"/>
        </w:rPr>
        <w:t xml:space="preserve">in utero</w:t>
      </w:r>
      <w:r>
        <w:rPr>
          <w:rFonts w:ascii="Calibri" w:hAnsi="Calibri" w:cs="Calibri" w:eastAsia="Calibri"/>
          <w:color w:val="000000"/>
          <w:spacing w:val="0"/>
          <w:position w:val="0"/>
          <w:sz w:val="24"/>
          <w:shd w:fill="FFFF00" w:val="clear"/>
        </w:rPr>
        <w:t xml:space="preserve">, transfer gravid hermaphrodites from the three NGM agar plates each with 5 mL of S buffer in a 15-mL conical tube, and wash the worms 3 times with 15 mL of S buffer using centrifugation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To make S buffer, use 5.9 g of NaCl and 50 mL of 1 M potassium phosphate pH 6.0, add to 1 L with deionized water. Autoclave</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1.6.</w:t>
        <w:tab/>
      </w:r>
      <w:r>
        <w:rPr>
          <w:rFonts w:ascii="Calibri" w:hAnsi="Calibri" w:cs="Calibri" w:eastAsia="Calibri"/>
          <w:color w:val="000000"/>
          <w:spacing w:val="0"/>
          <w:position w:val="0"/>
          <w:sz w:val="24"/>
          <w:shd w:fill="FFFF00" w:val="clear"/>
        </w:rPr>
        <w:t xml:space="preserve">Dissolve the worms in an alkaline hypochlorite</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solution for axenization and bulk egg isolation (0.5 mL of fresh bleach or equivalent: 5-6% sodium hypochlorite, 0.1 mL of 10 M NaOH, approximately 4.5 mL of S buffer)</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and stand the solution for 10-15 min at room temperature with mixing by inverting.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Within 15 min, adult worms should dissolve, leaving a hazy solution of eggs liberated from their carcasses (the liberated eggs should be confirmed using a stereoscopic microscope). Instead of 0.1 mL of 10 N NaOH, 0.2 mL of 5 N NaOH can also be used.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1.7.</w:t>
        <w:tab/>
      </w:r>
      <w:r>
        <w:rPr>
          <w:rFonts w:ascii="Calibri" w:hAnsi="Calibri" w:cs="Calibri" w:eastAsia="Calibri"/>
          <w:color w:val="000000"/>
          <w:spacing w:val="0"/>
          <w:position w:val="0"/>
          <w:sz w:val="24"/>
          <w:shd w:fill="FFFF00" w:val="clear"/>
        </w:rPr>
        <w:t xml:space="preserve">After hypochlorite treatment, wash the egg pellet 3 times with 15 mL of S buffer, and resuspend in 5-6 mL of S buffer. Hatch the released eggs during an overnight incubation at 20 &amp;#176;C in S buffer without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for an age-synchronous culture of L1 stage larvae. </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000000"/>
          <w:spacing w:val="0"/>
          <w:position w:val="0"/>
          <w:sz w:val="24"/>
          <w:shd w:fill="FFFF00" w:val="clear"/>
        </w:rPr>
        <w:t xml:space="preserve">To determine the approximate number of L1 stage larvae, count the worms using a stereoscopic microscope in 10 &amp;#181;L of S buffer after resuspending the larvae at least 3 times, and calculate the average. Then, transfer the L1 stage larvae to five NGM agar plates with OP50 (1,500-3,000 worms per plate using a 90-mm Petri dish), and culture at 20 &amp;#176;C until they have grown to the young adult stage, when the self-fertilization begins and a few eggs are laid (ordinarily after 3 days).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Extraction of Cellular Fraction from </w:t>
      </w:r>
      <w:r>
        <w:rPr>
          <w:rFonts w:ascii="Calibri" w:hAnsi="Calibri" w:cs="Calibri" w:eastAsia="Calibri"/>
          <w:b/>
          <w:i/>
          <w:color w:val="000000"/>
          <w:spacing w:val="0"/>
          <w:position w:val="0"/>
          <w:sz w:val="24"/>
          <w:shd w:fill="FFFF00" w:val="clear"/>
        </w:rPr>
        <w:t xml:space="preserve">C. elegans</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Collect the young adult stage (5-day-old animals) worms from the five NGM agar plates with S buffer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To select only living worms using the sucrose method</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for flotation on 30% (w/v) sucrose, mix the worms suspended in 3-4 mL of S buffer with an equal volume of ice-cold 60% (w/v) sucrose in a 15-mL conical tube. Spin the tube at 1,500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15 s at 4 &amp;#176;C and remove the floating worms into a fresh tube by moving them off the wall of the tube with a Pasteur pipette.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color w:val="000000"/>
          <w:spacing w:val="0"/>
          <w:position w:val="0"/>
          <w:sz w:val="24"/>
          <w:shd w:fill="FFFF00" w:val="clear"/>
        </w:rPr>
        <w:t xml:space="preserve">Wash the worms 3 times with S buffer by centrifugation at 1,500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30 s at 4 &amp;#176;C. Check the wet volume of washed worms after centrifugation using a 1,000 &amp;#181;L micropipette tip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000000"/>
          <w:spacing w:val="0"/>
          <w:position w:val="0"/>
          <w:sz w:val="24"/>
          <w:shd w:fill="FFFF00" w:val="clear"/>
        </w:rPr>
        <w:t xml:space="preserve">Add the washed worms to an equal volume of ice-cold 10% (w/v) trichloroacetic acid (TCA; final concentration of 5%) for protein precipitation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Instead of TCA, perchloric acid (PCA) or metaphosphoric acid can be used.</w:t>
      </w:r>
      <w:r>
        <w:rPr>
          <w:rFonts w:ascii="Calibri" w:hAnsi="Calibri" w:cs="Calibri" w:eastAsia="Calibri"/>
          <w:color w:val="FF0000"/>
          <w:spacing w:val="0"/>
          <w:position w:val="0"/>
          <w:sz w:val="24"/>
          <w:shd w:fill="FFFF00" w:val="clear"/>
        </w:rPr>
        <w:t xml:space="preserve">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2.4.</w:t>
        <w:tab/>
      </w:r>
      <w:r>
        <w:rPr>
          <w:rFonts w:ascii="Calibri" w:hAnsi="Calibri" w:cs="Calibri" w:eastAsia="Calibri"/>
          <w:color w:val="000000"/>
          <w:spacing w:val="0"/>
          <w:position w:val="0"/>
          <w:sz w:val="24"/>
          <w:shd w:fill="FFFF00" w:val="clear"/>
        </w:rPr>
        <w:t xml:space="preserve">Homogenize the worms with the precipitant using 40 strokes of a pestle in a Teflon homogenizer (Potter-Elvehjem tissue grinder) with rotation at up to 1,300 rpm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Calibri" w:hAnsi="Calibri" w:cs="Calibri" w:eastAsia="Calibri"/>
          <w:color w:val="000000"/>
          <w:spacing w:val="0"/>
          <w:position w:val="0"/>
          <w:sz w:val="24"/>
          <w:shd w:fill="FFFF00" w:val="clear"/>
        </w:rPr>
        <w:t xml:space="preserve">Transfer the homogenate into a fresh 1.5-mL microtube with a Pasteur pipette, and sonicate using an ultrasonic homogenizer for 3 min (3 times of 1 min) with a 20% duty cycle on ice.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2.6.</w:t>
        <w:tab/>
      </w:r>
      <w:r>
        <w:rPr>
          <w:rFonts w:ascii="Calibri" w:hAnsi="Calibri" w:cs="Calibri" w:eastAsia="Calibri"/>
          <w:color w:val="000000"/>
          <w:spacing w:val="0"/>
          <w:position w:val="0"/>
          <w:sz w:val="24"/>
          <w:shd w:fill="FFFF00" w:val="clear"/>
        </w:rPr>
        <w:t xml:space="preserve">Clarify the homogenate by centrifugation at 8,000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Neutralize the supernatants with 4 M KOH (0.25 volume to 10% TCA) for 20 min on ice, and centrifuge at 8,000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The supernatant (as a test sample) can be stored at -80 &amp;#176;C until the following assays.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Lactate Assay Using a Colorimetric Assay Kit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Measure the concentration of lactate in the test samples using a colorimetric assay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Carry out duplex examinations for the test samples. Add 5 or 10 &amp;#181;L of the test samples to a 96-well plate and adjust the volume to 50 &amp;#181;L per well with the Lactate Assay Buffer provided with the kit.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For the lactate standard curve, dilute 100 mM L(+)-Lactate Standard to 1 mM with Lactate Assay Buffer. Add 0, 2, 4, 6, 8, and 10 &amp;#181;L of the 1 mM L(+)-Lactate Standard, which is provided with the kit, into a series of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w:t>
        <w:tab/>
      </w:r>
      <w:r>
        <w:rPr>
          <w:rFonts w:ascii="Calibri" w:hAnsi="Calibri" w:cs="Calibri" w:eastAsia="Calibri"/>
          <w:color w:val="000000"/>
          <w:spacing w:val="0"/>
          <w:position w:val="0"/>
          <w:sz w:val="24"/>
          <w:shd w:fill="FFFF00" w:val="clear"/>
        </w:rPr>
        <w:t xml:space="preserve">Add 50 &amp;#181;L of Reaction Mix (containing 46:2:2 of Lactate Assay Buffer, Lactate Enzyme Mix and Lactate Probe in DMSO, anhydrous; all reagents are provided with the kit) or Background Control Mix (containing 48:2 of Lactate Assay Buffer and Lactate Probe) into each well and incubate at room temperature for 30-60 min while the samples are protected from light.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Measure the absorbance of each well at 570 nm using a microplate reader and subtract the absorbance of the Background Control Mix from the absorbance of the Reaction Mix.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Plot the lactate standard curve.</w:t>
      </w:r>
      <w:r>
        <w:rPr>
          <w:rFonts w:ascii="Calibri" w:hAnsi="Calibri" w:cs="Calibri" w:eastAsia="Calibri"/>
          <w:color w:val="000000"/>
          <w:spacing w:val="0"/>
          <w:position w:val="0"/>
          <w:sz w:val="24"/>
          <w:shd w:fill="auto" w:val="clear"/>
        </w:rPr>
        <w:t xml:space="preserve"> Calculate the lactate concentrations of the test samples from the lactate standard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Pyruvate Assay Using a Colorimetric Assay Kit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w:t>
        <w:tab/>
      </w:r>
      <w:r>
        <w:rPr>
          <w:rFonts w:ascii="Calibri" w:hAnsi="Calibri" w:cs="Calibri" w:eastAsia="Calibri"/>
          <w:color w:val="000000"/>
          <w:spacing w:val="0"/>
          <w:position w:val="0"/>
          <w:sz w:val="24"/>
          <w:shd w:fill="FFFF00" w:val="clear"/>
        </w:rPr>
        <w:t xml:space="preserve">Measure the concentration of pyruvate in the supernatants (test samples) using a colorimetric assay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Carry out duplex examinations for the test samples. Add 10 &amp;#181;L of the test samples and 90 &amp;#181;L of Working Reagent (containing 94:1 of Enzyme Mix and Dye Reagent, which are provided with the kit) into a 96-well plate and incubate at room temperature for 30 min while the samples are protected from light.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w:t>
        <w:tab/>
      </w:r>
      <w:r>
        <w:rPr>
          <w:rFonts w:ascii="Calibri" w:hAnsi="Calibri" w:cs="Calibri" w:eastAsia="Calibri"/>
          <w:color w:val="000000"/>
          <w:spacing w:val="0"/>
          <w:position w:val="0"/>
          <w:sz w:val="24"/>
          <w:shd w:fill="FFFF00" w:val="clear"/>
        </w:rPr>
        <w:t xml:space="preserve">Measure the absorbance of each well at 570 nm using a microplate reader.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Plot the pyruvate standard curve.</w:t>
      </w:r>
      <w:r>
        <w:rPr>
          <w:rFonts w:ascii="Calibri" w:hAnsi="Calibri" w:cs="Calibri" w:eastAsia="Calibri"/>
          <w:color w:val="000000"/>
          <w:spacing w:val="0"/>
          <w:position w:val="0"/>
          <w:sz w:val="24"/>
          <w:shd w:fill="auto" w:val="clear"/>
        </w:rPr>
        <w:t xml:space="preserve"> Calculate the pyruvate concentrations of the test samples from the pyruvate standard curve.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Protein Assay for Normalization with Protein Content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000000"/>
          <w:spacing w:val="0"/>
          <w:position w:val="0"/>
          <w:sz w:val="24"/>
          <w:shd w:fill="FFFF00" w:val="clear"/>
        </w:rPr>
        <w:t xml:space="preserve">Measure the protein concentration in the supernatants (test samples) using a colorimetric assay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However, this step is not limited to an assay kit, and other approaches can be utilized to measure the protein concentration.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000000"/>
          <w:spacing w:val="0"/>
          <w:position w:val="0"/>
          <w:sz w:val="24"/>
          <w:shd w:fill="auto" w:val="clear"/>
        </w:rPr>
        <w:t xml:space="preserve">Normalize the values of lactate and pyruvate concentrations among the test samples using each total protein concentration.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Protein concentration in the test samples is sufficiently detected even after protein precipitation and is utilized for the normalization step among samples.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colorimetric assays for the quantitative determination of lactate and pyruvate concentrations, we showed the accuracy of these assays compared with previous reports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Here, the process of protein precipitation during sample extraction was the most crucial step to generate accurate values. For protein precipitation, common precipitants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TCA, PCA, or metaphosphoric acid) can be used to prepare the test samples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however, it was necessary to perform protein precipitation during homogenization of the worms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addition to accuracy, these assays were sufficiently sensitive to measure lactate and pyruvate concentrations in small-scale samples and were able to detect them in a short period of time (the reactive incubation time of both assays is at least 30 min) (</w:t>
      </w:r>
      <w:r>
        <w:rPr>
          <w:rFonts w:ascii="Calibri" w:hAnsi="Calibri" w:cs="Calibri" w:eastAsia="Calibri"/>
          <w:b/>
          <w:color w:val="000000"/>
          <w:spacing w:val="0"/>
          <w:position w:val="0"/>
          <w:sz w:val="24"/>
          <w:shd w:fill="auto" w:val="clear"/>
        </w:rPr>
        <w:t xml:space="preserve">Figures 2-3</w:t>
      </w:r>
      <w:r>
        <w:rPr>
          <w:rFonts w:ascii="Calibri" w:hAnsi="Calibri" w:cs="Calibri" w:eastAsia="Calibri"/>
          <w:color w:val="000000"/>
          <w:spacing w:val="0"/>
          <w:position w:val="0"/>
          <w:sz w:val="24"/>
          <w:shd w:fill="auto" w:val="clear"/>
        </w:rPr>
        <w:t xml:space="preserve">). Actually, we presented the data in a recent report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Thus, we could detect age-related metabolic alterations indicating that cellular lactate levels and the consequent L/P ratio decreased during aging, and we also showed different energy metabolism in a </w:t>
      </w:r>
      <w:r>
        <w:rPr>
          <w:rFonts w:ascii="Calibri" w:hAnsi="Calibri" w:cs="Calibri" w:eastAsia="Calibri"/>
          <w:i/>
          <w:color w:val="000000"/>
          <w:spacing w:val="0"/>
          <w:position w:val="0"/>
          <w:sz w:val="24"/>
          <w:shd w:fill="auto" w:val="clear"/>
        </w:rPr>
        <w:t xml:space="preserve">cep-1</w:t>
      </w:r>
      <w:r>
        <w:rPr>
          <w:rFonts w:ascii="Calibri" w:hAnsi="Calibri" w:cs="Calibri" w:eastAsia="Calibri"/>
          <w:color w:val="000000"/>
          <w:spacing w:val="0"/>
          <w:position w:val="0"/>
          <w:sz w:val="24"/>
          <w:shd w:fill="auto" w:val="clear"/>
        </w:rPr>
        <w:t xml:space="preserve"> mutant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1: Process for the extraction of cellular metabolites</w:t>
      </w:r>
      <w:r>
        <w:rPr>
          <w:rFonts w:ascii="Calibri" w:hAnsi="Calibri" w:cs="Calibri" w:eastAsia="Calibri"/>
          <w:color w:val="auto"/>
          <w:spacing w:val="0"/>
          <w:position w:val="0"/>
          <w:sz w:val="24"/>
          <w:shd w:fill="auto" w:val="clear"/>
        </w:rPr>
        <w:t xml:space="preserve">. (A). 1,500-3,000 worms were placed on an NGM agar plate (</w:t>
      </w:r>
      <w:r>
        <w:rPr>
          <w:rFonts w:ascii="Calibri" w:hAnsi="Calibri" w:cs="Calibri" w:eastAsia="Calibri"/>
          <w:color w:val="000000"/>
          <w:spacing w:val="0"/>
          <w:position w:val="0"/>
          <w:sz w:val="24"/>
          <w:shd w:fill="auto" w:val="clear"/>
        </w:rPr>
        <w:t xml:space="preserve">90-mm Petri dish</w:t>
      </w:r>
      <w:r>
        <w:rPr>
          <w:rFonts w:ascii="Calibri" w:hAnsi="Calibri" w:cs="Calibri" w:eastAsia="Calibri"/>
          <w:color w:val="auto"/>
          <w:spacing w:val="0"/>
          <w:position w:val="0"/>
          <w:sz w:val="24"/>
          <w:shd w:fill="auto" w:val="clear"/>
        </w:rPr>
        <w:t xml:space="preserve">). Extraction from worms on five plates was sufficient for the colorimetric assays. (B). Worms collected from the five plates of 3,000 and 1,500 worms per plate are indicated on the left and right side of panel, respectively. Both the wet volumes </w:t>
      </w:r>
      <w:r>
        <w:rPr>
          <w:rFonts w:ascii="Calibri" w:hAnsi="Calibri" w:cs="Calibri" w:eastAsia="Calibri"/>
          <w:color w:val="000000"/>
          <w:spacing w:val="0"/>
          <w:position w:val="0"/>
          <w:sz w:val="24"/>
          <w:shd w:fill="auto" w:val="clear"/>
        </w:rPr>
        <w:t xml:space="preserve">in each 15-mL tube</w:t>
      </w:r>
      <w:r>
        <w:rPr>
          <w:rFonts w:ascii="Calibri" w:hAnsi="Calibri" w:cs="Calibri" w:eastAsia="Calibri"/>
          <w:color w:val="auto"/>
          <w:spacing w:val="0"/>
          <w:position w:val="0"/>
          <w:sz w:val="24"/>
          <w:shd w:fill="auto" w:val="clear"/>
        </w:rPr>
        <w:t xml:space="preserve"> are </w:t>
      </w:r>
      <w:r>
        <w:rPr>
          <w:rFonts w:ascii="Calibri" w:hAnsi="Calibri" w:cs="Calibri" w:eastAsia="Calibri"/>
          <w:color w:val="auto"/>
          <w:spacing w:val="0"/>
          <w:position w:val="0"/>
          <w:sz w:val="24"/>
          <w:u w:val="single"/>
          <w:shd w:fill="auto" w:val="clear"/>
        </w:rPr>
        <w:t xml:space="preserve">&amp;lt;</w:t>
      </w:r>
      <w:r>
        <w:rPr>
          <w:rFonts w:ascii="Calibri" w:hAnsi="Calibri" w:cs="Calibri" w:eastAsia="Calibri"/>
          <w:color w:val="auto"/>
          <w:spacing w:val="0"/>
          <w:position w:val="0"/>
          <w:sz w:val="24"/>
          <w:shd w:fill="auto" w:val="clear"/>
        </w:rPr>
        <w:t xml:space="preserve"> 0.5 mL, which were sufficient for detection. (C). Protein precipitation using 10% TCA during</w:t>
      </w:r>
      <w:r>
        <w:rPr>
          <w:rFonts w:ascii="Calibri" w:hAnsi="Calibri" w:cs="Calibri" w:eastAsia="Calibri"/>
          <w:color w:val="000000"/>
          <w:spacing w:val="0"/>
          <w:position w:val="0"/>
          <w:sz w:val="24"/>
          <w:shd w:fill="auto" w:val="clear"/>
        </w:rPr>
        <w:t xml:space="preserve"> homogenization of the worms. Adding the worms into ice-cold 10% TCA in a homogenizer has to be performed before the worms are homogenized. Otherwise, cellular lactate and pyruvate cannot be detected in test samples using a colorimetric assay kit (data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 Colorimetric pigmentation patterns of the lactate standards </w:t>
      </w:r>
      <w:r>
        <w:rPr>
          <w:rFonts w:ascii="Calibri" w:hAnsi="Calibri" w:cs="Calibri" w:eastAsia="Calibri"/>
          <w:b/>
          <w:color w:val="000000"/>
          <w:spacing w:val="0"/>
          <w:position w:val="0"/>
          <w:sz w:val="24"/>
          <w:shd w:fill="auto" w:val="clear"/>
        </w:rPr>
        <w:t xml:space="preserve">using a colorimetric assay kit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Wells of the 96-well </w:t>
      </w:r>
      <w:r>
        <w:rPr>
          <w:rFonts w:ascii="Calibri" w:hAnsi="Calibri" w:cs="Calibri" w:eastAsia="Calibri"/>
          <w:color w:val="000000"/>
          <w:spacing w:val="0"/>
          <w:position w:val="0"/>
          <w:sz w:val="24"/>
          <w:shd w:fill="auto" w:val="clear"/>
        </w:rPr>
        <w:t xml:space="preserve">plate used in the colorimetric assay, and a dilution series of the L(+)-lactate standard. Increasing the lactate concentration resulted in a more intense pink color. BG indicates the background of a lactate probe against the dilution series. (B). Lactate standard curve for the colorimetric assay.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Colorimetric pigmentation patterns of the pyruvate standards </w:t>
      </w:r>
      <w:r>
        <w:rPr>
          <w:rFonts w:ascii="Calibri" w:hAnsi="Calibri" w:cs="Calibri" w:eastAsia="Calibri"/>
          <w:b/>
          <w:color w:val="000000"/>
          <w:spacing w:val="0"/>
          <w:position w:val="0"/>
          <w:sz w:val="24"/>
          <w:shd w:fill="auto" w:val="clear"/>
        </w:rPr>
        <w:t xml:space="preserve">using a colorimetric assay kit</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Wells of the 96-well </w:t>
      </w:r>
      <w:r>
        <w:rPr>
          <w:rFonts w:ascii="Calibri" w:hAnsi="Calibri" w:cs="Calibri" w:eastAsia="Calibri"/>
          <w:color w:val="000000"/>
          <w:spacing w:val="0"/>
          <w:position w:val="0"/>
          <w:sz w:val="24"/>
          <w:shd w:fill="auto" w:val="clear"/>
        </w:rPr>
        <w:t xml:space="preserve">plate using the colorimetric assay, and dilution series of pyruvate standard. Increasing of the pyruvate concentration resulted in increased light pink coloring. (B). Pyruvate standard curve for the colorimetric assay. </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Effects of protein precipitation on different timings for the detection of cellular lactate and pyruvate in 5-day-old animals of wild-type N2.</w:t>
      </w:r>
      <w:r>
        <w:rPr>
          <w:rFonts w:ascii="Calibri" w:hAnsi="Calibri" w:cs="Calibri" w:eastAsia="Calibri"/>
          <w:color w:val="000000"/>
          <w:spacing w:val="0"/>
          <w:position w:val="0"/>
          <w:sz w:val="24"/>
          <w:shd w:fill="auto" w:val="clear"/>
        </w:rPr>
        <w:t xml:space="preserve"> Data indicate means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standard deviation (SD) of at least three determinations. ND indicates not detected. *The extraction process was performed preliminarily using ultracentrifugation without protein precipitation.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utilizing these colorimetric assay kits, the most critical step in sample extraction to detect cellular lactate and pyruvate accurately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is the process of protein precipitation during homogenization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is not strictly necessary to use a Teflon homogenizer, as other homogenizers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Dounce and tapered tissue grinders, or bead mills) are also suited to the small-scale extraction of worms. We did not detect cellular lactate and pyruvate in test samples that were extracted using a homogenizer before protein precipitation. Furthermore, both lactate and pyruvate levels decreased drastically in the cytosolic fraction separated using ultracentrifugation instead of protein precipitation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These suggest that the sample extraction is crucial to detect the cellular metabolites in biochemical methodology using a nematode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For protein precipitation, not only TCA but also several other precipitants (PCA or metaphosphoric acid) can be utilized to the biochemical methodology</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According to a previous report, the use of TCA resulted in the disappearance of approximately 12% of NADH in the enzymatic measurement of blood lactate and pyruvate. Therefore, the authors concluded that 5% metaphosphoric acid should be selected as the protein precipitant for both lactate and pyruvate when using enzymatic assays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 suggests that TCA partially denatures proteins including many enzymes.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we had no problems regarding the protein precipitants when using colorimetric assays to detect cellular lactate and pyruvate.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used commercial colorimetric assay kits for the quantitative determination of lactate and pyruvate (</w:t>
      </w:r>
      <w:r>
        <w:rPr>
          <w:rFonts w:ascii="Calibri" w:hAnsi="Calibri" w:cs="Calibri" w:eastAsia="Calibri"/>
          <w:b/>
          <w:color w:val="000000"/>
          <w:spacing w:val="0"/>
          <w:position w:val="0"/>
          <w:sz w:val="24"/>
          <w:shd w:fill="auto" w:val="clear"/>
        </w:rPr>
        <w:t xml:space="preserve">Figures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 Their sensitivities and sample sizes were superior in comparison with previous assay kits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therefore, we prepared the test samples using a smaller scale extraction and reported the differences in the cellular lactate and pyruvate concentrations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 detected an age-related decrease in lactate and consequent L/P ratio in wild-type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and found that the p53/CEP-1 has an important role in the age-related alteration of energy metabolism through the activation of its transcriptional targets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Thus, the analysis of energy metabolism in nematode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advantageously proceeds due to using the improved colorimetric assay kits, at least in part.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lactate concentration below 2 mM tend to be indeed larger in this colorimetric assay (not the fluorometric assay). Therefore, the fluorometric assay may be suitable for a more accurate measurement of lactate. The capabilities of these assay kits support both colorimetric and fluorometric assays, so that the assay is selected in response to the appliance in laboratory of the user. It is still more expensive to use the present commercial colorimetric assay kits to determine quantitatively the concentration of cellular metabolites. However, trials can be adequately performed in smaller laboratories using common instruments and a spectrophotometric plate reader.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Hitherto, there are relatively few reports using conventional biochemical approaches in a model organism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which typically need the large-scale culture of worms, compared with genetic studies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the recent remarkable progress of biological assay systems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improvement of the sensitivity and stability of assay kits) makes studies using the nematode</w:t>
      </w:r>
      <w:r>
        <w:rPr>
          <w:rFonts w:ascii="Calibri" w:hAnsi="Calibri" w:cs="Calibri" w:eastAsia="Calibri"/>
          <w:i/>
          <w:color w:val="000000"/>
          <w:spacing w:val="0"/>
          <w:position w:val="0"/>
          <w:sz w:val="24"/>
          <w:shd w:fill="auto" w:val="clear"/>
        </w:rPr>
        <w:t xml:space="preserve"> C. elegans</w:t>
      </w:r>
      <w:r>
        <w:rPr>
          <w:rFonts w:ascii="Calibri" w:hAnsi="Calibri" w:cs="Calibri" w:eastAsia="Calibri"/>
          <w:color w:val="000000"/>
          <w:spacing w:val="0"/>
          <w:position w:val="0"/>
          <w:sz w:val="24"/>
          <w:shd w:fill="auto" w:val="clear"/>
        </w:rPr>
        <w:t xml:space="preserve">, which is small and consists of fewer than 1,000 cells, more attractive and performed easily in the laboratory. Henceforth, effective metabolomic analysis using mass spectrometry (MS) and gas chromatography/mass spectrometry (GC/MS) can help to reduce certain problems, such as large-scale culture, analytical sensitivity, and specificity, and will help to elucidate the role of cellular metabolism in aging and human diseases including cancer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Looking ahead, easier methodology, such as colorimetric assay kits, would be effective as a screening tool prior to more precise instrumental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financially supported by a Special Research Grant from Daito Bunka University to Sumino Yanase.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Warburg, O. On the origin of cancer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309-314, (1956).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Matoba,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p53 regulates mitochondrial respiration.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312</w:t>
      </w:r>
      <w:r>
        <w:rPr>
          <w:rFonts w:ascii="Calibri" w:hAnsi="Calibri" w:cs="Calibri" w:eastAsia="Calibri"/>
          <w:color w:val="000000"/>
          <w:spacing w:val="0"/>
          <w:position w:val="0"/>
          <w:sz w:val="24"/>
          <w:shd w:fill="auto" w:val="clear"/>
        </w:rPr>
        <w:t xml:space="preserve">, 1650-1653, (2006).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Yanase, S., Suda, H., Yasuda, K., Ishii, N. Impaired p53/CEP-1 is associated with lifespan extension through an age-related imbalance in the energy metabolism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Genes to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1004-1010, (2017).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Page, A.P., Johnstone, I.L. The cuticle. In: </w:t>
      </w:r>
      <w:r>
        <w:rPr>
          <w:rFonts w:ascii="Calibri" w:hAnsi="Calibri" w:cs="Calibri" w:eastAsia="Calibri"/>
          <w:i/>
          <w:color w:val="000000"/>
          <w:spacing w:val="0"/>
          <w:position w:val="0"/>
          <w:sz w:val="24"/>
          <w:shd w:fill="auto" w:val="clear"/>
        </w:rPr>
        <w:t xml:space="preserve">WormBook</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Research Community, WormBook, ed., doi/10.1895/wormbook.1.138.1, (2007).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Hulme, S.E., Whitesides, G.M. Chemistry and the worm: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as a platform for integrating chemical and biological research.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4774-4807, (2011).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Lewis, J.A., Fleming, J.T.</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Basic culture methods. In: </w:t>
      </w:r>
      <w:r>
        <w:rPr>
          <w:rFonts w:ascii="Calibri" w:hAnsi="Calibri" w:cs="Calibri" w:eastAsia="Calibri"/>
          <w:i/>
          <w:color w:val="000000"/>
          <w:spacing w:val="0"/>
          <w:position w:val="0"/>
          <w:sz w:val="24"/>
          <w:shd w:fill="auto" w:val="clear"/>
        </w:rPr>
        <w:t xml:space="preserve">Methods in Cell Biology, Volume 48, Caenorhabditis elegans: Modern Biological Analysis of an Organism</w:t>
      </w:r>
      <w:r>
        <w:rPr>
          <w:rFonts w:ascii="Calibri" w:hAnsi="Calibri" w:cs="Calibri" w:eastAsia="Calibri"/>
          <w:color w:val="000000"/>
          <w:spacing w:val="0"/>
          <w:position w:val="0"/>
          <w:sz w:val="24"/>
          <w:shd w:fill="auto" w:val="clear"/>
        </w:rPr>
        <w:t xml:space="preserve">, Epstein, H.F., Shakes, D.C., eds., Academic Press, Inc., Chapter 1, 3-29, (1995).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Senoo-Matsuda,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defect in the cytochrome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large subunit in complex II causes both superoxide anion overproduction and abnormal energy metabolism in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(45), 41553-41558, (2001).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Butler, J.A., Mishur, R.J., Bhaskaran, S., Rea, S.L. A metabolic signature for long life in the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Mit mutants. </w:t>
      </w:r>
      <w:r>
        <w:rPr>
          <w:rFonts w:ascii="Calibri" w:hAnsi="Calibri" w:cs="Calibri" w:eastAsia="Calibri"/>
          <w:i/>
          <w:color w:val="000000"/>
          <w:spacing w:val="0"/>
          <w:position w:val="0"/>
          <w:sz w:val="24"/>
          <w:shd w:fill="auto" w:val="clear"/>
        </w:rPr>
        <w:t xml:space="preserve">Aging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130-138, (2013). </w:t>
      </w:r>
    </w:p>
    <w:p>
      <w:pPr>
        <w:tabs>
          <w:tab w:val="left" w:pos="720" w:leader="none"/>
        </w:tabs>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Marbach, E.P., Weil M.H. Rapid enzymatic measurement of blood lactate and pyruvate: Use and significance of metaphosphoric acid as a common precipitant. </w:t>
      </w:r>
      <w:r>
        <w:rPr>
          <w:rFonts w:ascii="Calibri" w:hAnsi="Calibri" w:cs="Calibri" w:eastAsia="Calibri"/>
          <w:i/>
          <w:color w:val="000000"/>
          <w:spacing w:val="0"/>
          <w:position w:val="0"/>
          <w:sz w:val="24"/>
          <w:shd w:fill="auto" w:val="clear"/>
        </w:rPr>
        <w:t xml:space="preserve">Clinical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(4), 314-325, (1967). </w:t>
      </w:r>
    </w:p>
    <w:p>
      <w:pPr>
        <w:spacing w:before="0" w:after="0" w:line="240"/>
        <w:ind w:right="0" w:left="720" w:hanging="4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Mishur, R.J.,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Mitochondrial metabolites extend lifespan. </w:t>
      </w:r>
      <w:r>
        <w:rPr>
          <w:rFonts w:ascii="Calibri" w:hAnsi="Calibri" w:cs="Calibri" w:eastAsia="Calibri"/>
          <w:i/>
          <w:color w:val="000000"/>
          <w:spacing w:val="0"/>
          <w:position w:val="0"/>
          <w:sz w:val="24"/>
          <w:shd w:fill="auto" w:val="clear"/>
        </w:rPr>
        <w:t xml:space="preserve">Aging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336-348, (2016). </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