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Intracerebroventricular Treatment with Resiniferatoxin and Pain Tests in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Akihiro Fukushima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Moeko Fujii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Hideki Ono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Laboratory of Clinical Pharmacy and Pharmacology, Musashino University,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Research Institute of Pharmaceutical Sciences, Musashino University, Tokyo,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Akihiro Fukushima (akifuku@musashino-u.ac.jp)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Hideki Ono (</w:t>
      </w:r>
      <w:r>
        <w:rPr>
          <w:rFonts w:ascii="Calibri" w:hAnsi="Calibri" w:cs="Calibri" w:eastAsia="Calibri"/>
          <w:color w:val="000000"/>
          <w:spacing w:val="0"/>
          <w:position w:val="0"/>
          <w:sz w:val="24"/>
          <w:shd w:fill="auto" w:val="clear"/>
        </w:rPr>
        <w:t xml:space="preserve">hi_ono@musashino-u.ac.jp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Moeko Fujii (s1043127@stu.musashino-u.ac.jp)</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Akihiro Fukushima (akifuku@musashino-u.ac.jp)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 42 4688674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transient receptor potential vanilloid type 1 (TRPV1), resiniferatoxin, intracerebroventricular injection, nociception, RTX test, tail pressure test, acetaminophen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transient receptor potential vanilloid type 1 (TRPV1) in the supraspinal region has been suggested to play some roles in the brain function. Described here is a protocol for intracerebroventricular injection of resiniferatoxin for supraspinal TRPV1 desensitization in mice. Procedures for some pain tests are also presented.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transient receptor potential vanilloid type 1 (TRPV1), a thermosensitive cation channel, is known to trigger pain in the peripheral nerves. In addition to its peripheral function, its involvement in brain functions has also been suggested. Resiniferatoxin (RTX), an ultrapotent TRPV1 agonist, has been known to induce long-term desensitization of TRPV1, and this desensitization has been an alternative approach for investigating the physiological relevance of TRPV1-expressing cells. Here we describe a protocol for intracerebroventricular (i.c.v.) treatment with RTX in mice. Procedures are described for testing nociception to peripheral TRPV1 stimulation (RTX test) and mechanical stimulation (tail pressure test) then follow. Although the nociceptive responses of mice that had been administered RTX i.c.v. were comparable to those of the control groups, RTX-i.c.v.-administered mice were insensitive to the analgesic effect of acetaminophen, suggesting that i.c.v. RTX treatment can induce supraspinal-selective TRPV1 desensitization. This mouse model can be used as a convenient experimental system for studying the role of TRPV1 in brain/supraspinal function. These techniques can also be applied to studies of the central actions of other drugs.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receive various physical and chemical stimuli from their environment through sensors on the peripheral nerves. The transient receptor potential vanilloid type 1 (TRPV1) is one of the thermosensitive, nonselective cation channels that act as heat sensors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activation and/or modulation of TRPV1 is known to be a key step for nociception in both normal and inflammatory contexts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Although the overall expression pattern is controversial, expression of TRPV1 has also been suggested in supraspinal regions, being involved in various brain activities (including nociception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thermoregulation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anxiety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attention deficit hyperactivity disorder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epilepsy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Moreover, it has recently been suggested that acetaminophen, a widely used painkiller, mediates the activation of central TRPV1 to elicit its analgesic action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Administration of excess TRPV1 agonist including capsaicin and resiniferatoxin (RTX) to animals leads to the death of TRPV1-positive neurons and long-lasting desensitization to TRPV1 agonists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Combined with the local application (intrathecal</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intracisternal</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and intraganglional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chemical ablation approach has provided an alternative way to investigate the physiological functions of TRPV1. We have recently reported that intracerebroventricular (i.c.v.) injection of RTX inhibits the analgesic effect of acetaminophen in mice, suggesting supraspinal-selective TRPV1 desensitization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this manuscript, we present the precise protocol for i.c.v. injection and subsequent pain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injection of drugs into the ventricles of the brain makes it possible to study their central effects while minimalizing any peripheral effects. The i.c.v. injection procedure presented here is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modification of the method reported by Haley and McCormick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method is the simple involving insertion of an injection needle into the lateral ventricles through the coronal suture and does not require any special equipment or surgical procedures for cannulation.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Peripheral local application of TRPV1 agonists evokes a burning pain sensation and neurogenic inflammation. Mice that are systemically treated with RTX, and TRPV1-KO mice, are insensitive to this stimulation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have performed intraplantar injection of RTX (RTX test) to confirm the preservation of peripheral TRPV1 in RTX-i.c.v. mice. This method is a modification of the conventional formalin test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reported that mice systemically treated with RTX and TRPV1-KO mice show a normal threshold to mechanical stimuli</w:t>
      </w:r>
      <w:r>
        <w:rPr>
          <w:rFonts w:ascii="Calibri" w:hAnsi="Calibri" w:cs="Calibri" w:eastAsia="Calibri"/>
          <w:color w:val="auto"/>
          <w:spacing w:val="0"/>
          <w:position w:val="0"/>
          <w:sz w:val="24"/>
          <w:shd w:fill="auto" w:val="clear"/>
          <w:vertAlign w:val="superscript"/>
        </w:rPr>
        <w:t xml:space="preserve">11,13,22</w:t>
      </w:r>
      <w:r>
        <w:rPr>
          <w:rFonts w:ascii="Calibri" w:hAnsi="Calibri" w:cs="Calibri" w:eastAsia="Calibri"/>
          <w:color w:val="auto"/>
          <w:spacing w:val="0"/>
          <w:position w:val="0"/>
          <w:sz w:val="24"/>
          <w:shd w:fill="auto" w:val="clear"/>
        </w:rPr>
        <w:t xml:space="preserve">. Here we present a procedure for the tail pressure test for testing changes in the analgesic effect of acetaminophen.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these procedures are orthodox and versatile, and can be applied to studies of other drugs.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experimental protocols used here were approved by the Animal Care and Use Committee of Musashino University. Male ddY mice (SLC, Shizuoka, Japan) were kept for at least 7 days under a 12-h light/dark cycle before experiments with water and food ad libitum. 5- or 6-week-old mice were used for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tab/>
        <w:t xml:space="preserve">Preparation of Drugs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w:t>
        <w:tab/>
        <w:t xml:space="preserve">RTX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Alcoholic RTX solution can cause severe skin burns and eye damage. Make sure to use rubber gloves and glasses for protection when handling. This stock solution can be used for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tab/>
        <w:t xml:space="preserve">Add 500 &amp;#181;L of ethanol to 1 mg of RTX.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tab/>
        <w:t xml:space="preserve">Add 500 &amp;#181;L of polyoxyethylene (20) sorbitan monooleate to the solution above and vortex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tab/>
        <w:t xml:space="preserve">Add 4 mL of physiological saline to the mixture and vortex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w:t>
        <w:tab/>
        <w:t xml:space="preserve">Aliquot 40 &amp;#181;L of the solution into 1.5-mL screw cap tubes, and store them at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w:t>
        <w:tab/>
        <w:t xml:space="preserve">Acetaminophen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tab/>
        <w:t xml:space="preserve">Add 20% w/v propyleneglycol solution to acetaminophen at a concentration of 30 mg/mL, and dissolve with a sonicator. Since acetaminophen may precipitate at room temperature several hours after dissolution, prepare just before use or keep the solution warm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tab/>
        <w:t xml:space="preserve">Subcutaneous or Intracerebroventricular Injection of RTX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Thaw the stocked solution prepared in 1.1. above and dilute it to 20 &amp;#181;g/mL in saline or artificial cerebrospinal fluid (ACSF) consisting of (in mM): 119 NaCl, 2.5 KCl, 1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26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11 glucose, 1.3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2.5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equilibrated with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(pH 7.2).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Anesthetize mice with pentobarbital sodium salt (60 mg/kg, intraperitoneally), and check for loss of the righting reflex.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For s.c. treatment, inject RTX (20 &amp;#181;g/mL) into the back of the neck at a volume of 0.1 mL/10 g body weight. For the control group, inject the vehicle (10% ethanol, 10% polyoxyethylene (20) sorbitan monooleate and 80% saline) in the same 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For i.c.v. treatment, inject 5 &amp;#181;L of RTX (20 &amp;#181;g/mL) into the right lateral ventricle. For the control group, inject the vehicle (10% ethanol, 10% polyoxyethylene (20) sorbitan monooleate and 80% ACSF) in the same 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w:t>
        <w:tab/>
        <w:t xml:space="preserve">Pass a disposable 27-G needle through a metal tube (0.8 mm I.D.) to expose the 3.0-3.5 mm tip of the needle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w:t>
        <w:tab/>
        <w:t xml:space="preserve">Hold the squamosal bones of the mouse firmly with the fingers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Pay attention to the positions of the squamosal protrusions, since these protrusions will serve as landmarks for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w:t>
        <w:tab/>
        <w:t xml:space="preserve">Move the needle laterally on the scalp, and find the sagittal suture as the needle tip is hooked on the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Move the tip about 1 mm to the right, then move the tip rostrally, and find the coronal suture as with 2.4.3.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w:t>
        <w:tab/>
        <w:t xml:space="preserve">Insert the needle slowly and vertically, inject the RTX solution in about 10 seconds, and hold it for about 10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w:t>
        <w:tab/>
        <w:t xml:space="preserve">Withdraw the needle slowly, and return the mouse to its home cage. Bleeding is usually minimal or absent. If major bleeding occurs, use of another mouse should be 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Assign the pretreated mice as subjects for the RTX test or the tail pressure test (Step 3 and 4,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tab/>
        <w:t xml:space="preserve">RTX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Testing is performed between 10:00 AM and 5:00 PM. The testing room is maintained at 200 lux and 24-26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One week after pretreatments with RTX (Step 2.), transfer mice to the testing room at least 60 min prior to starting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tab/>
        <w:t xml:space="preserve">Weigh and place each mouse individually in a plexiglass cage (29.5 &amp;#215; 17.5 &amp;#215; 13.5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height) at least 30 min prior to starting the test in order to allow it to acclimate to the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order of tests should be counterbalanced across pretreatment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tab/>
        <w:t xml:space="preserve">Administer acetaminophen (300 mg/kg) to the mouse intraperitoneally 20 min before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tab/>
        <w:t xml:space="preserve">Hold the mouse loosely in a small cloth bag, and insert a 30-gauge needle into the heel of the right hind paw. Advance the needle subcutaneously to near the walking pads, and inject 20 &amp;#181;L of RTX solution (0.05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tab/>
        <w:t xml:space="preserve">Measure the period of licking/biting behavior in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glabrous region of the affected paw in each 5-min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tab/>
        <w:t xml:space="preserve">Tail Pressure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Randall-Selitto-type pressure meter is used to assess the threshold for acute mechanical nociception. Testing is performed between 10:00 AM and 5:00 PM. The testing room is maintained at 200 lux and 24-26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tab/>
        <w:t xml:space="preserve">One week after pretreatments with RTX (Step 2.), transfer mice to the testing room, and weigh and place each mouse individually in a plexiglass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tab/>
        <w:t xml:space="preserve">Mark the spots at 1.5 and 2.5 cm from the base of the 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tab/>
        <w:t xml:space="preserve">Hold the mouse loosely in a small cloth bag, and apply pressure to the spots with a blunt probe.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cutoff pressure of 250 g is imposed to avoid tissue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tab/>
        <w:t xml:space="preserve">Determine the pressure required to elicit escape behavior (tail whisking, twisting, and squeaking), and calculate the nociceptive threshold by averaging the pressure determined at the two spots.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tab/>
        <w:t xml:space="preserve">Repeat steps 4.3. to 4.4. every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After obtaining the baseline, administer acetaminophen (300 mg/kg) to the mouse intraperitoneally. After administration, repeat steps 4.3. and 4.4 every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i.c.v.-treated mice show no apparent abnormalities in their appearance, spontaneous activities, body weight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core body temperature (Vehicle-treated group, 38.4 </w:t>
      </w:r>
      <w:r>
        <w:rPr>
          <w:rFonts w:ascii="Times New Roman" w:hAnsi="Times New Roman" w:cs="Times New Roman" w:eastAsia="Times New Roman"/>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1.3 &amp;#176;C, n = 6; RTX-treated group, 38.7 &amp;plusmn; 0.2 &amp;#176;C, n =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Figures 2A-B</w:t>
      </w:r>
      <w:r>
        <w:rPr>
          <w:rFonts w:ascii="Calibri" w:hAnsi="Calibri" w:cs="Calibri" w:eastAsia="Calibri"/>
          <w:color w:val="auto"/>
          <w:spacing w:val="0"/>
          <w:position w:val="0"/>
          <w:sz w:val="24"/>
          <w:shd w:fill="auto" w:val="clear"/>
        </w:rPr>
        <w:t xml:space="preserve"> show the responsiveness of s.c.- or i.c.v.-treated mice to the intraplantar injection of RTX. The licking/biting behavior of vehicle-treated mice was remarkable in the first 10 min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Although the s.c.-pretreated mice did not show licking/biting behavior at all, the i.c.v.-pretreated mice normally responded to the plantar injection of RTX. Moreover,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intraperitoneal administration of acetaminophen (300 mg/kg) reduced the licking/biting behavior of vehicle-i.c.v.-treated mice but not that of RTX-i.c.v.-treated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shows the analgesic effects of acetaminophen (300 mg/kg) in the tail pressure test. Acetaminophen reduced the nociceptive response of vehicle-pretreated mice in both tests, but the analgesic effects of acetaminophen were inhibited in mice that were pretreated i.c.v. with RTX.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Photographic and schematic views of i.c.v. injection. (A)</w:t>
      </w:r>
      <w:r>
        <w:rPr>
          <w:rFonts w:ascii="Calibri" w:hAnsi="Calibri" w:cs="Calibri" w:eastAsia="Calibri"/>
          <w:color w:val="auto"/>
          <w:spacing w:val="0"/>
          <w:position w:val="0"/>
          <w:sz w:val="24"/>
          <w:shd w:fill="auto" w:val="clear"/>
        </w:rPr>
        <w:t xml:space="preserve"> Needle used for i.c.v. injection.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 of the mouse skull and the movement of the needle tip. Squamosal bones are shown in blue.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2: Nociceptive responses of mice that were pretreated s.c. or i.c.v. with RTX. (A)</w:t>
      </w:r>
      <w:r>
        <w:rPr>
          <w:rFonts w:ascii="Calibri" w:hAnsi="Calibri" w:cs="Calibri" w:eastAsia="Calibri"/>
          <w:color w:val="auto"/>
          <w:spacing w:val="0"/>
          <w:position w:val="0"/>
          <w:sz w:val="24"/>
          <w:shd w:fill="auto" w:val="clear"/>
        </w:rPr>
        <w:t xml:space="preserve"> Time course (left panel) and total time of licking/biting behavior (right panel) of s.c.-pretreated mice. RTX was injected into the plantar area at time zero (indicated by arrow head).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Time course (left panel) and total time of licking/biting behavior (right panel) of i.c.v.-pretreated mice. Either acetaminophen (300 mg/kg) or its vehicle (20% propyleneglycol) was administered intraperitoneally 20 min before intraplantar injection of RTX (indicated by arrow head).</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Mechanical pain threshold in the tail of i.c.v.-pretreated mice and the analgesic effect of acetaminophen.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data were expressed as mean &amp;plusmn; SEM. The number of mice in each group is shown in parentheses. The two-tailed Mann-Whitney U-test was used to compare the data for two groups. Differences at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were considered to be significant. AcAP, acetaminophen; PG, propyleneglycol; n.s., not significant; i.pl., intraplantar injection. These figures have been modified from Fukushima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in these experiments is the success of the i.c.v. injection. The i.c.v. injection technique used here is quite simple but requires some practice. Prior to experiments, practice with dyes (e.g. 0.5% trypan blue in saline) is recommended. If the injection is performed correctly, a needle mark should be evident on the coronal suture and the injected dye should be present in the contralateral ventricle and the third ventricle. Moreover, forcible insertion should be avoided during injection. If the needle tip is correctly placed on the coronal suture, the needle should penetrate the skull smoothly.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i.c.v. technique can also be applied to awake, non-anesthetized mice, and we have reported the acute central effects of drugs examined using this technique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Although the present procedure is advantageous in that no special equipment for cannulation is necessary, the i.c.v. injection can be performed only once. If repeated administration of drugs is required, cannulation is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RTX test presented here is an easy-to-use approach for assessing the function of peripheral TRPV1</w:t>
      </w:r>
      <w:r>
        <w:rPr>
          <w:rFonts w:ascii="Calibri" w:hAnsi="Calibri" w:cs="Calibri" w:eastAsia="Calibri"/>
          <w:color w:val="auto"/>
          <w:spacing w:val="0"/>
          <w:position w:val="0"/>
          <w:sz w:val="24"/>
          <w:shd w:fill="auto" w:val="clear"/>
          <w:vertAlign w:val="superscript"/>
        </w:rPr>
        <w:t xml:space="preserve">3,19</w:t>
      </w:r>
      <w:r>
        <w:rPr>
          <w:rFonts w:ascii="Calibri" w:hAnsi="Calibri" w:cs="Calibri" w:eastAsia="Calibri"/>
          <w:color w:val="auto"/>
          <w:spacing w:val="0"/>
          <w:position w:val="0"/>
          <w:sz w:val="24"/>
          <w:shd w:fill="auto" w:val="clear"/>
        </w:rPr>
        <w:t xml:space="preserve">. Nociceptive behavior can be observed most prominently at a dose of 1-10 ng RTX and inhibited by co-injection of capsazepine, a TRPV1 antagonist</w:t>
      </w:r>
      <w:r>
        <w:rPr>
          <w:rFonts w:ascii="Calibri" w:hAnsi="Calibri" w:cs="Calibri" w:eastAsia="Calibri"/>
          <w:color w:val="auto"/>
          <w:spacing w:val="0"/>
          <w:position w:val="0"/>
          <w:sz w:val="24"/>
          <w:shd w:fill="auto" w:val="clear"/>
          <w:vertAlign w:val="superscript"/>
        </w:rPr>
        <w:t xml:space="preserve">19,25</w:t>
      </w:r>
      <w:r>
        <w:rPr>
          <w:rFonts w:ascii="Calibri" w:hAnsi="Calibri" w:cs="Calibri" w:eastAsia="Calibri"/>
          <w:color w:val="auto"/>
          <w:spacing w:val="0"/>
          <w:position w:val="0"/>
          <w:sz w:val="24"/>
          <w:shd w:fill="auto" w:val="clear"/>
        </w:rPr>
        <w:t xml:space="preserve">. In the formalin test some groups video-tape the experiments, but the post-hoc observation is often difficult because mice tend to cover the affected paw with the head and body. Therefore, experimenters in our laboratory observe and measure the licking/biting behavior directly. In this scenario, care should be taken not to disturb the mice. In addition, in pain tests, it is very important to sufficiently calm the mouse. Excessively strong gripping and a noisy environment could produce stress-induced analgesia and delay the nociceptive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that are i.c.v.-pretreated with RTX show a normal nociceptive response in the RTX test and the tail pressure test. However, these mice are insensitive to the analgesic effects of acetaminophen, which has been suggested to mediate central TRPV1</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These results suggest that supraspinal-selective TRPV1 desensitization can be induced in RTX-i.c.v. mice. Although TRPV1 desensitization has been performed with local application of agonists</w:t>
      </w:r>
      <w:r>
        <w:rPr>
          <w:rFonts w:ascii="Calibri" w:hAnsi="Calibri" w:cs="Calibri" w:eastAsia="Calibri"/>
          <w:color w:val="auto"/>
          <w:spacing w:val="0"/>
          <w:position w:val="0"/>
          <w:sz w:val="24"/>
          <w:shd w:fill="auto" w:val="clear"/>
          <w:vertAlign w:val="superscript"/>
        </w:rPr>
        <w:t xml:space="preserve">13,14,15,16,17,18</w:t>
      </w:r>
      <w:r>
        <w:rPr>
          <w:rFonts w:ascii="Calibri" w:hAnsi="Calibri" w:cs="Calibri" w:eastAsia="Calibri"/>
          <w:color w:val="auto"/>
          <w:spacing w:val="0"/>
          <w:position w:val="0"/>
          <w:sz w:val="24"/>
          <w:shd w:fill="auto" w:val="clear"/>
        </w:rPr>
        <w:t xml:space="preserve">, supraspinal-selective desensitization has not yet been achieved. The RTX-i.c.v. injection protocols presented here will provide a convenient experimental model for studying the role of TRPV1 in supraspinal 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Cavanaugh, D. J., Chesler, A. T., Braz, J. M., Shah, N. M., Julius, D. &amp;amp; Basbaum, A. I. Restriction of transient receptor potential vanilloid-1 to the peptidergic subset of primary afferent neurons follows its developmental downregulation in nonpeptidergic neurons. </w:t>
      </w:r>
      <w:r>
        <w:rPr>
          <w:rFonts w:ascii="Calibri" w:hAnsi="Calibri" w:cs="Calibri" w:eastAsia="Calibri"/>
          <w:i/>
          <w:color w:val="000000"/>
          <w:spacing w:val="0"/>
          <w:position w:val="0"/>
          <w:sz w:val="24"/>
          <w:shd w:fill="auto" w:val="clear"/>
        </w:rPr>
        <w:t xml:space="preserve">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(28), 10119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10127, doi:10.1523/jneurosci.1299-11.2011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Caterina, M. J., Schumacher, M. A., Tominaga, M., Rosen, T. A., Levine, J. D. &amp;amp; Julius, D. The capsaicin receptor: a heat-activated ion channel in the pain pathway.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389</w:t>
      </w:r>
      <w:r>
        <w:rPr>
          <w:rFonts w:ascii="Calibri" w:hAnsi="Calibri" w:cs="Calibri" w:eastAsia="Calibri"/>
          <w:color w:val="000000"/>
          <w:spacing w:val="0"/>
          <w:position w:val="0"/>
          <w:sz w:val="24"/>
          <w:shd w:fill="auto" w:val="clear"/>
        </w:rPr>
        <w:t xml:space="preserve"> (6653), 816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824, doi:10.1038/39807 (1997).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Caterina, M.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Impaired nociception and pain sensation in mice lacking the capsaicin receptor.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(5464), 306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 doi:10.1126/science.288.5464.306 (2000).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Starowicz,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Tonic endovanilloid facilitation of glutamate release in brainstem descending antinociceptive pathways. </w:t>
      </w:r>
      <w:r>
        <w:rPr>
          <w:rFonts w:ascii="Calibri" w:hAnsi="Calibri" w:cs="Calibri" w:eastAsia="Calibri"/>
          <w:i/>
          <w:color w:val="000000"/>
          <w:spacing w:val="0"/>
          <w:position w:val="0"/>
          <w:sz w:val="24"/>
          <w:shd w:fill="auto" w:val="clear"/>
        </w:rPr>
        <w:t xml:space="preserve">The Journal of neuroscience :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(50), 13739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13749, doi:10.1523/JNEUROSCI.3258-07.2007 (2007).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Gavva, N.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vanilloid receptor TRPV1 is tonically activated in vivo and involved in body temperature regulation. </w:t>
      </w:r>
      <w:r>
        <w:rPr>
          <w:rFonts w:ascii="Calibri" w:hAnsi="Calibri" w:cs="Calibri" w:eastAsia="Calibri"/>
          <w:i/>
          <w:color w:val="000000"/>
          <w:spacing w:val="0"/>
          <w:position w:val="0"/>
          <w:sz w:val="24"/>
          <w:shd w:fill="auto" w:val="clear"/>
        </w:rPr>
        <w:t xml:space="preserve">The Journal of neuroscience :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(13), 3366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3374, doi:10.1523/JNEUROSCI.4833-06.2007 (2007).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Marsch,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Reduced anxiety, conditioned fear, and hippocampal long-term potentiation in transient receptor potential vanilloid type 1 receptor-deficient mice.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 832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839, doi:10.1523/JNEUROSCI.3303-06.2007 (2007).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Tzavara, E.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Endocannabinoids activate transient receptor potential vanilloid 1 receptors to reduce hyperdopaminergia-related hyperactivity: Therapeutic implications.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(6), 508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515, doi:10.1016/j.biopsych.2005.08.019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Naz</w:t>
      </w:r>
      <w:r>
        <w:rPr>
          <w:rFonts w:ascii="Calibri" w:hAnsi="Calibri" w:cs="Calibri" w:eastAsia="Calibri"/>
          <w:color w:val="000000"/>
          <w:spacing w:val="0"/>
          <w:position w:val="0"/>
          <w:sz w:val="24"/>
          <w:shd w:fill="auto" w:val="clear"/>
        </w:rPr>
        <w:t xml:space="preserve">ıroğlu, M. &amp;amp; </w:t>
      </w:r>
      <w:r>
        <w:rPr>
          <w:rFonts w:ascii="Calibri" w:hAnsi="Calibri" w:cs="Calibri" w:eastAsia="Calibri"/>
          <w:color w:val="000000"/>
          <w:spacing w:val="0"/>
          <w:position w:val="0"/>
          <w:sz w:val="24"/>
          <w:shd w:fill="auto" w:val="clear"/>
        </w:rPr>
        <w:t xml:space="preserve">Övey, </w:t>
      </w:r>
      <w:r>
        <w:rPr>
          <w:rFonts w:ascii="Calibri" w:hAnsi="Calibri" w:cs="Calibri" w:eastAsia="Calibri"/>
          <w:color w:val="000000"/>
          <w:spacing w:val="0"/>
          <w:position w:val="0"/>
          <w:sz w:val="24"/>
          <w:shd w:fill="auto" w:val="clear"/>
        </w:rPr>
        <w:t xml:space="preserve">İ. S. Involvement of apoptosis and calcium accumulation through TRPV1 channels in neurobiology of epilepsy.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doi:10.1016/j.neuroscience.2015.02.041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Mallet,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TRPV1 in brain is involved in acetaminophen-induced antinociception.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doi:10.1371/journal.pone.0012748 (2010).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Barri&amp;#232;re, D.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Fatty acid amide hydrolase-dependent generation of antinociceptive drug metabolites acting on TRPV1 in the brain.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e70690, doi:10.1371/journal.pone.0070690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Jancs&amp;#243;, G., Kiraly, E. &amp;amp; Jancs&amp;#243;-G&amp;#225;bor, A. Pharmacologically induced selective degeneration of chemosensitive primary sensory neurones.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270</w:t>
      </w:r>
      <w:r>
        <w:rPr>
          <w:rFonts w:ascii="Calibri" w:hAnsi="Calibri" w:cs="Calibri" w:eastAsia="Calibri"/>
          <w:color w:val="000000"/>
          <w:spacing w:val="0"/>
          <w:position w:val="0"/>
          <w:sz w:val="24"/>
          <w:shd w:fill="auto" w:val="clear"/>
        </w:rPr>
        <w:t xml:space="preserve"> (5639), 741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743, doi:10.1038/270741a0 (1977).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Szallasi, A. &amp;amp; Blumberg, P. M. Vanilloid receptor loss in rat sensory ganglia associated with long term desensitization to resiniferatoxin.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doi:10.1016/0304-3940(92)90679-2 (1992).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Cavanaugh, D.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Distinct subsets of unmyelinated primary sensory fibers mediate behavioral responses to noxious thermal and mechanical stimuli.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(22), 9075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9080, doi:10.1073/pnas.0901507106 (2009).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Jeffry, J. A., Yu, S. Q., Sikand, P., Parihar, A., Evans, M. S. &amp;amp; Premkumar, L. S. Selective targeting of TRPV1 expressing sensory nerve terminals in the spinal cord for long lasting analgesia.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 e7021, doi:10.1371/journal.pone.0007021 (2009).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Jancs&amp;#243;, G. Intracisternal capsaicin: selective degeneration of chemosensitive primary sensory afferents in the adult rat.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doi:10.1016/0304-3940(81)90203-2 (1981).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Gamse, R., Saria, A., Lundberg, J. M. &amp;amp; Theodorsson-Norheim, E. Behavioral and neurochemical changes after intracisternal capsaicin treatment of the guinea pig.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(3), 287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 doi:10.1016/0304-3940(86)90343-5 (1986).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Neubert, J.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Characterization of mouse orofacial pain and the effects of lesioning TRPV1-expressing neurons on operant behavior. </w:t>
      </w:r>
      <w:r>
        <w:rPr>
          <w:rFonts w:ascii="Calibri" w:hAnsi="Calibri" w:cs="Calibri" w:eastAsia="Calibri"/>
          <w:i/>
          <w:color w:val="000000"/>
          <w:spacing w:val="0"/>
          <w:position w:val="0"/>
          <w:sz w:val="24"/>
          <w:shd w:fill="auto" w:val="clear"/>
        </w:rPr>
        <w:t xml:space="preserve">Molecular 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43, doi:10.1186/1744-8069-4-43 (2008).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Karai,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Deletion of vanilloid receptor 1-expressing primary afferent neurons for pain control.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(9), 1344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1352, doi:10.1172/JCI20449 (2004).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Fukushima, A., Mamada, K., Iimura, A. &amp;amp; Ono, H. Supraspinal-selective TRPV1 desensitization induced by intracerebroventricular treatment with resiniferatoxin.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12452, doi:10.1038/s41598-017-12717-5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Haley, T. J. &amp;amp; McCormick, W. G. Pharmacological effects produced by intracerebral injection of drugs in the conscious mouse. </w:t>
      </w:r>
      <w:r>
        <w:rPr>
          <w:rFonts w:ascii="Calibri" w:hAnsi="Calibri" w:cs="Calibri" w:eastAsia="Calibri"/>
          <w:i/>
          <w:color w:val="000000"/>
          <w:spacing w:val="0"/>
          <w:position w:val="0"/>
          <w:sz w:val="24"/>
          <w:shd w:fill="auto" w:val="clear"/>
        </w:rPr>
        <w:t xml:space="preserve">British journal of pharmacology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doi:10.1111/j.1476-5381.1957.tb01354.x (1957).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Tjølsen, A., Berge, O. G., Hunskaar, S., Rosland, J. H. &amp;amp; Hole, K. The formalin test: an evaluation of the method.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doi:10.1016/0304-3959(92)90003-T (1992).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Ohsawa, M., Miyabe, Y., Katsu, H., Yamamoto, S. &amp;amp; Ono, H. Identification of the sensory nerve fiber responsible for lysophosphatidic acid-induced allodynia in mice.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247</w:t>
      </w:r>
      <w:r>
        <w:rPr>
          <w:rFonts w:ascii="Calibri" w:hAnsi="Calibri" w:cs="Calibri" w:eastAsia="Calibri"/>
          <w:color w:val="000000"/>
          <w:spacing w:val="0"/>
          <w:position w:val="0"/>
          <w:sz w:val="24"/>
          <w:shd w:fill="auto" w:val="clear"/>
        </w:rPr>
        <w:t xml:space="preserve">,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doi:10.1016/j.neuroscience.2013.05.014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Tanabe, M., Tokuda, Y., Takasu, K., Ono, K., Honda, M. &amp;amp; Ono, H. The synthetic TRH analogue taltirelin exerts modality-specific antinociceptive effects via distinct descending monoaminergic systems.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(4), 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414, doi:10.1038/sj.bjp.0707125 (2007).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Ono,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Reduction in sympathetic nerve activity as a possible mechanism for the hypothermic effect of oseltamivir, an anti-influenza virus drug, in normal mice. </w:t>
      </w:r>
      <w:r>
        <w:rPr>
          <w:rFonts w:ascii="Calibri" w:hAnsi="Calibri" w:cs="Calibri" w:eastAsia="Calibri"/>
          <w:i/>
          <w:color w:val="000000"/>
          <w:spacing w:val="0"/>
          <w:position w:val="0"/>
          <w:sz w:val="24"/>
          <w:shd w:fill="auto" w:val="clear"/>
        </w:rPr>
        <w:t xml:space="preserve">Basic &amp;amp; clinical pharmacology &amp;amp;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doi:10.1111/bcpt.12058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Kauer, J. A. &amp;amp; Gibson, H. E. Hot flash: TRPV channels in the brain. </w:t>
      </w:r>
      <w:r>
        <w:rPr>
          <w:rFonts w:ascii="Calibri" w:hAnsi="Calibri" w:cs="Calibri" w:eastAsia="Calibri"/>
          <w:i/>
          <w:color w:val="000000"/>
          <w:spacing w:val="0"/>
          <w:position w:val="0"/>
          <w:sz w:val="24"/>
          <w:shd w:fill="auto" w:val="clear"/>
        </w:rPr>
        <w:t xml:space="preserve">Trends in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 doi:10.1016/j.tins.2008.12.006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