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56C" w:rsidRPr="00407FBF" w:rsidRDefault="00D8656C" w:rsidP="00D8656C">
      <w:pPr>
        <w:jc w:val="both"/>
      </w:pPr>
      <w:r w:rsidRPr="00407FBF">
        <w:rPr>
          <w:u w:val="single"/>
        </w:rPr>
        <w:t xml:space="preserve">57037 Wick </w:t>
      </w:r>
      <w:proofErr w:type="spellStart"/>
      <w:r w:rsidRPr="00407FBF">
        <w:rPr>
          <w:u w:val="single"/>
        </w:rPr>
        <w:t>redos</w:t>
      </w:r>
      <w:proofErr w:type="spellEnd"/>
    </w:p>
    <w:p w:rsidR="00D8656C" w:rsidRPr="000D2CDB" w:rsidRDefault="00D8656C" w:rsidP="00D8656C">
      <w:pPr>
        <w:rPr>
          <w:rFonts w:ascii="Times New Roman" w:eastAsia="Times New Roman" w:hAnsi="Times New Roman" w:cs="Times New Roman"/>
        </w:rPr>
      </w:pPr>
      <w:r w:rsidRPr="000D2CDB">
        <w:rPr>
          <w:rFonts w:eastAsia="Times New Roman"/>
        </w:rPr>
        <w:t xml:space="preserve">1.1. This method can help answer key questions in the vascular field, such as which endogenous or exogenous factors modify plasma extravasation in a specific species or organ of interest? </w:t>
      </w:r>
      <w:r w:rsidRPr="000D2CDB">
        <w:rPr>
          <w:rFonts w:eastAsia="Times New Roman"/>
        </w:rPr>
        <w:br/>
      </w:r>
      <w:r w:rsidRPr="000D2CDB">
        <w:rPr>
          <w:rFonts w:eastAsia="Times New Roman"/>
        </w:rPr>
        <w:br/>
        <w:t xml:space="preserve">1.2. The main advantage of this technique is that although catheterization requires a modest degree of surgical competence, the method provides durable venous access and is reproducible from mouse to mouse. </w:t>
      </w:r>
      <w:r w:rsidRPr="000D2CDB">
        <w:rPr>
          <w:rFonts w:eastAsia="Times New Roman"/>
        </w:rPr>
        <w:br/>
      </w:r>
      <w:r w:rsidRPr="000D2CDB">
        <w:rPr>
          <w:rFonts w:eastAsia="Times New Roman"/>
        </w:rPr>
        <w:br/>
        <w:t>1.3. Generally, individuals new to this method may struggle because of the modest surgical difficulty of the catheter placement.</w:t>
      </w:r>
      <w:r w:rsidRPr="000D2CDB">
        <w:rPr>
          <w:rFonts w:eastAsia="Times New Roman"/>
        </w:rPr>
        <w:br/>
      </w:r>
      <w:r w:rsidRPr="000D2CDB">
        <w:rPr>
          <w:rFonts w:eastAsia="Times New Roman"/>
        </w:rPr>
        <w:br/>
        <w:t xml:space="preserve">5.1 Once mastered, the catheterization, injection, and organ isolation steps can be completed in 45-55 minutes if they are performed properly. Allow an additional 2-3 days for the remainder of the protocol. </w:t>
      </w:r>
      <w:r w:rsidRPr="000D2CDB">
        <w:rPr>
          <w:rFonts w:eastAsia="Times New Roman"/>
        </w:rPr>
        <w:br/>
      </w:r>
      <w:r w:rsidRPr="000D2CDB">
        <w:rPr>
          <w:rFonts w:eastAsia="Times New Roman"/>
        </w:rPr>
        <w:br/>
        <w:t xml:space="preserve">5.2 When first learning this technique, it’s important to repeat the procedure in at least 10-20 practice animals before performing an experiment. </w:t>
      </w:r>
      <w:r w:rsidRPr="000D2CDB">
        <w:rPr>
          <w:rFonts w:eastAsia="Times New Roman"/>
        </w:rPr>
        <w:br/>
      </w:r>
      <w:r w:rsidRPr="000D2CDB">
        <w:rPr>
          <w:rFonts w:eastAsia="Times New Roman"/>
        </w:rPr>
        <w:br/>
        <w:t xml:space="preserve">5.3 After watching this video, you should have a good understanding of how to assess and to relatively quantitate plasma extravasation or leakage in the organs of mice or other small animal species using this modified Evans blue dye method. </w:t>
      </w:r>
    </w:p>
    <w:p w:rsidR="001E1FAD" w:rsidRDefault="001E1FAD" w:rsidP="00F0382C">
      <w:pPr>
        <w:jc w:val="both"/>
      </w:pPr>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656C"/>
    <w:rsid w:val="001E1FAD"/>
    <w:rsid w:val="001E64BF"/>
    <w:rsid w:val="00490A02"/>
    <w:rsid w:val="00D8656C"/>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3112334-BBB4-8844-8484-73720D7D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Sheets</cp:lastModifiedBy>
  <cp:revision>1</cp:revision>
  <dcterms:created xsi:type="dcterms:W3CDTF">2018-04-07T18:59:00Z</dcterms:created>
  <dcterms:modified xsi:type="dcterms:W3CDTF">2018-04-07T18:59:00Z</dcterms:modified>
</cp:coreProperties>
</file>