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94FEA" w14:textId="77777777" w:rsidR="00074274" w:rsidRPr="0045015B" w:rsidRDefault="00074274" w:rsidP="00656ADD">
      <w:pPr>
        <w:spacing w:line="360" w:lineRule="auto"/>
        <w:ind w:left="-567" w:right="-613"/>
        <w:jc w:val="left"/>
        <w:rPr>
          <w:lang w:val="en-US"/>
        </w:rPr>
      </w:pPr>
    </w:p>
    <w:p w14:paraId="3D0B9F7F" w14:textId="77777777" w:rsidR="00482073" w:rsidRPr="0045015B" w:rsidRDefault="00482073" w:rsidP="00656ADD">
      <w:pPr>
        <w:spacing w:line="360" w:lineRule="auto"/>
        <w:ind w:left="-567" w:right="-613"/>
        <w:jc w:val="left"/>
        <w:rPr>
          <w:lang w:val="en-US"/>
        </w:rPr>
      </w:pPr>
    </w:p>
    <w:p w14:paraId="4C834B7A" w14:textId="77777777" w:rsidR="00575D71" w:rsidRPr="0045015B" w:rsidRDefault="00575D71" w:rsidP="00656ADD">
      <w:pPr>
        <w:spacing w:line="360" w:lineRule="auto"/>
        <w:ind w:right="-613"/>
        <w:rPr>
          <w:rFonts w:ascii="Arial" w:hAnsi="Arial" w:cs="Arial"/>
          <w:b/>
          <w:lang w:val="en-US"/>
        </w:rPr>
      </w:pPr>
    </w:p>
    <w:p w14:paraId="545301D0" w14:textId="15B62B29" w:rsidR="00C6693C" w:rsidRPr="0045015B" w:rsidRDefault="00C6693C" w:rsidP="00656ADD">
      <w:pPr>
        <w:spacing w:line="360" w:lineRule="auto"/>
        <w:ind w:left="-567" w:right="-613"/>
        <w:jc w:val="center"/>
        <w:rPr>
          <w:rFonts w:ascii="Arial" w:hAnsi="Arial" w:cs="Arial"/>
          <w:b/>
          <w:lang w:val="en-US"/>
        </w:rPr>
      </w:pPr>
      <w:r w:rsidRPr="0045015B">
        <w:rPr>
          <w:rFonts w:ascii="Arial" w:hAnsi="Arial" w:cs="Arial"/>
          <w:b/>
          <w:lang w:val="en-US"/>
        </w:rPr>
        <w:t xml:space="preserve">Re. </w:t>
      </w:r>
      <w:r w:rsidR="000A57FE" w:rsidRPr="0045015B">
        <w:rPr>
          <w:rFonts w:ascii="Arial" w:hAnsi="Arial" w:cs="Arial"/>
          <w:b/>
          <w:lang w:val="en-US"/>
        </w:rPr>
        <w:t>Manuscript</w:t>
      </w:r>
      <w:r w:rsidRPr="0045015B">
        <w:rPr>
          <w:rFonts w:ascii="Arial" w:hAnsi="Arial" w:cs="Arial"/>
          <w:b/>
          <w:lang w:val="en-US"/>
        </w:rPr>
        <w:t xml:space="preserve"> submission by </w:t>
      </w:r>
      <w:proofErr w:type="spellStart"/>
      <w:r w:rsidR="009D118E">
        <w:rPr>
          <w:rFonts w:ascii="Arial" w:hAnsi="Arial" w:cs="Arial"/>
          <w:b/>
          <w:lang w:val="en-US"/>
        </w:rPr>
        <w:t>D’Costa</w:t>
      </w:r>
      <w:proofErr w:type="spellEnd"/>
      <w:r w:rsidRPr="0045015B">
        <w:rPr>
          <w:rFonts w:ascii="Arial" w:hAnsi="Arial" w:cs="Arial"/>
          <w:b/>
          <w:lang w:val="en-US"/>
        </w:rPr>
        <w:t xml:space="preserve"> </w:t>
      </w:r>
      <w:r w:rsidRPr="0045015B">
        <w:rPr>
          <w:rFonts w:ascii="Arial" w:hAnsi="Arial" w:cs="Arial"/>
          <w:b/>
          <w:i/>
          <w:color w:val="000000"/>
          <w:lang w:val="en-US"/>
        </w:rPr>
        <w:t>et al.</w:t>
      </w:r>
    </w:p>
    <w:p w14:paraId="7BA5D10E" w14:textId="06A6F77E" w:rsidR="0012273A" w:rsidRPr="0045015B" w:rsidRDefault="00C6693C" w:rsidP="00A4128C">
      <w:pPr>
        <w:spacing w:line="360" w:lineRule="auto"/>
        <w:ind w:right="-613"/>
        <w:rPr>
          <w:rFonts w:ascii="Arial" w:hAnsi="Arial" w:cs="Arial"/>
          <w:lang w:val="en-US"/>
        </w:rPr>
      </w:pPr>
      <w:r w:rsidRPr="0045015B">
        <w:rPr>
          <w:rFonts w:ascii="Arial" w:hAnsi="Arial" w:cs="Arial"/>
          <w:lang w:val="en-US"/>
        </w:rPr>
        <w:tab/>
      </w:r>
    </w:p>
    <w:p w14:paraId="4144BE1F" w14:textId="776D4BF4" w:rsidR="00C6693C" w:rsidRPr="0045015B" w:rsidRDefault="00C6693C" w:rsidP="00E74447">
      <w:pPr>
        <w:spacing w:line="360" w:lineRule="auto"/>
        <w:ind w:left="-567" w:right="-613"/>
        <w:jc w:val="right"/>
        <w:outlineLvl w:val="0"/>
        <w:rPr>
          <w:rFonts w:ascii="Arial" w:hAnsi="Arial" w:cs="Arial"/>
          <w:lang w:val="en-US"/>
        </w:rPr>
      </w:pPr>
      <w:r w:rsidRPr="0045015B">
        <w:rPr>
          <w:rFonts w:ascii="Arial" w:hAnsi="Arial" w:cs="Arial"/>
          <w:lang w:val="en-US"/>
        </w:rPr>
        <w:t xml:space="preserve">Melbourne, </w:t>
      </w:r>
      <w:r w:rsidR="009D118E">
        <w:rPr>
          <w:rFonts w:ascii="Arial" w:hAnsi="Arial" w:cs="Arial"/>
          <w:lang w:val="en-US"/>
        </w:rPr>
        <w:t>16</w:t>
      </w:r>
      <w:r w:rsidR="009D118E" w:rsidRPr="009D118E">
        <w:rPr>
          <w:rFonts w:ascii="Arial" w:hAnsi="Arial" w:cs="Arial"/>
          <w:vertAlign w:val="superscript"/>
          <w:lang w:val="en-US"/>
        </w:rPr>
        <w:t>th</w:t>
      </w:r>
      <w:r w:rsidR="009D118E">
        <w:rPr>
          <w:rFonts w:ascii="Arial" w:hAnsi="Arial" w:cs="Arial"/>
          <w:lang w:val="en-US"/>
        </w:rPr>
        <w:t xml:space="preserve"> April 2018</w:t>
      </w:r>
    </w:p>
    <w:p w14:paraId="4A17CD08" w14:textId="77777777" w:rsidR="00C6693C" w:rsidRPr="0045015B" w:rsidRDefault="00C6693C" w:rsidP="00656ADD">
      <w:pPr>
        <w:spacing w:line="360" w:lineRule="auto"/>
        <w:ind w:left="-567" w:right="-613"/>
        <w:rPr>
          <w:rFonts w:ascii="Arial" w:hAnsi="Arial" w:cs="Arial"/>
          <w:lang w:val="en-US"/>
        </w:rPr>
      </w:pPr>
      <w:r w:rsidRPr="0045015B">
        <w:rPr>
          <w:rFonts w:ascii="Arial" w:hAnsi="Arial" w:cs="Arial"/>
          <w:lang w:val="en-US"/>
        </w:rPr>
        <w:t>Dear Editor,</w:t>
      </w:r>
    </w:p>
    <w:p w14:paraId="0E218872" w14:textId="77777777" w:rsidR="00C6693C" w:rsidRPr="0045015B" w:rsidRDefault="00C6693C" w:rsidP="00656ADD">
      <w:pPr>
        <w:spacing w:line="360" w:lineRule="auto"/>
        <w:ind w:left="-567" w:right="-613"/>
        <w:rPr>
          <w:rFonts w:ascii="Arial" w:hAnsi="Arial" w:cs="Arial"/>
          <w:lang w:val="en-US"/>
        </w:rPr>
      </w:pPr>
    </w:p>
    <w:p w14:paraId="54EBAAB6" w14:textId="4810EC42" w:rsidR="00A4128C" w:rsidRPr="0045015B" w:rsidRDefault="00C6693C" w:rsidP="00A4128C">
      <w:pPr>
        <w:spacing w:line="360" w:lineRule="auto"/>
        <w:ind w:left="-567" w:right="-613"/>
        <w:rPr>
          <w:rFonts w:ascii="Arial" w:hAnsi="Arial" w:cs="Arial"/>
          <w:i/>
          <w:lang w:val="en-US"/>
        </w:rPr>
      </w:pPr>
      <w:r w:rsidRPr="0045015B">
        <w:rPr>
          <w:rFonts w:ascii="Arial" w:hAnsi="Arial" w:cs="Arial"/>
          <w:lang w:val="en-US"/>
        </w:rPr>
        <w:t xml:space="preserve">Please find </w:t>
      </w:r>
      <w:r w:rsidR="009D118E">
        <w:rPr>
          <w:rFonts w:ascii="Arial" w:hAnsi="Arial" w:cs="Arial"/>
          <w:lang w:val="en-US"/>
        </w:rPr>
        <w:t>below responses to the peer-reviewers’ comments for our manuscript entitled</w:t>
      </w:r>
      <w:r w:rsidRPr="0045015B">
        <w:rPr>
          <w:rFonts w:ascii="Arial" w:hAnsi="Arial" w:cs="Arial"/>
          <w:lang w:val="en-US"/>
        </w:rPr>
        <w:t>: “</w:t>
      </w:r>
      <w:r w:rsidR="009D118E">
        <w:rPr>
          <w:rFonts w:ascii="Arial" w:hAnsi="Arial" w:cs="Arial"/>
          <w:lang w:val="en-US"/>
        </w:rPr>
        <w:t xml:space="preserve">Mouse models of </w:t>
      </w:r>
      <w:r w:rsidR="009D118E" w:rsidRPr="009D118E">
        <w:rPr>
          <w:rFonts w:ascii="Arial" w:hAnsi="Arial" w:cs="Arial"/>
          <w:i/>
          <w:lang w:val="en-US"/>
        </w:rPr>
        <w:t xml:space="preserve">Helicobacter </w:t>
      </w:r>
      <w:r w:rsidR="009D118E">
        <w:rPr>
          <w:rFonts w:ascii="Arial" w:hAnsi="Arial" w:cs="Arial"/>
          <w:lang w:val="en-US"/>
        </w:rPr>
        <w:t>infection and gastric pathologies</w:t>
      </w:r>
      <w:r w:rsidR="00656ADD" w:rsidRPr="0045015B">
        <w:rPr>
          <w:rFonts w:ascii="Arial" w:hAnsi="Arial" w:cs="Arial"/>
          <w:i/>
          <w:lang w:val="en-US"/>
        </w:rPr>
        <w:t xml:space="preserve">.” </w:t>
      </w:r>
    </w:p>
    <w:p w14:paraId="6404DE45" w14:textId="77777777" w:rsidR="009D118E" w:rsidRPr="009D118E" w:rsidRDefault="009D118E" w:rsidP="009D118E">
      <w:pPr>
        <w:spacing w:before="120" w:line="360" w:lineRule="auto"/>
        <w:ind w:left="-567" w:right="-612"/>
        <w:rPr>
          <w:rFonts w:ascii="Arial" w:hAnsi="Arial" w:cs="Arial"/>
          <w:lang w:val="en-US"/>
        </w:rPr>
      </w:pPr>
      <w:r w:rsidRPr="0078251B">
        <w:rPr>
          <w:rFonts w:ascii="Arial" w:hAnsi="Arial" w:cs="Arial"/>
          <w:u w:val="single"/>
          <w:lang w:val="en-US"/>
        </w:rPr>
        <w:t>Reviewer #1</w:t>
      </w:r>
      <w:r w:rsidRPr="009D118E">
        <w:rPr>
          <w:rFonts w:ascii="Arial" w:hAnsi="Arial" w:cs="Arial"/>
          <w:lang w:val="en-US"/>
        </w:rPr>
        <w:t>:</w:t>
      </w:r>
    </w:p>
    <w:p w14:paraId="29CFF2C8" w14:textId="77777777" w:rsidR="009D118E" w:rsidRPr="009D118E" w:rsidRDefault="009D118E" w:rsidP="009D118E">
      <w:pPr>
        <w:spacing w:before="120" w:line="360" w:lineRule="auto"/>
        <w:ind w:left="-567" w:right="-612"/>
        <w:rPr>
          <w:rFonts w:ascii="Arial" w:hAnsi="Arial" w:cs="Arial"/>
          <w:lang w:val="en-US"/>
        </w:rPr>
      </w:pPr>
      <w:r w:rsidRPr="009D118E">
        <w:rPr>
          <w:rFonts w:ascii="Arial" w:hAnsi="Arial" w:cs="Arial"/>
          <w:lang w:val="en-US"/>
        </w:rPr>
        <w:t>Manuscript Summary:</w:t>
      </w:r>
    </w:p>
    <w:p w14:paraId="29A1A3D8" w14:textId="77777777" w:rsidR="009D118E" w:rsidRPr="009D118E" w:rsidRDefault="009D118E" w:rsidP="009D118E">
      <w:pPr>
        <w:spacing w:before="120" w:line="360" w:lineRule="auto"/>
        <w:ind w:left="-567" w:right="-612"/>
        <w:rPr>
          <w:rFonts w:ascii="Arial" w:hAnsi="Arial" w:cs="Arial"/>
          <w:lang w:val="en-US"/>
        </w:rPr>
      </w:pPr>
      <w:r w:rsidRPr="009D118E">
        <w:rPr>
          <w:rFonts w:ascii="Arial" w:hAnsi="Arial" w:cs="Arial"/>
          <w:lang w:val="en-US"/>
        </w:rPr>
        <w:t xml:space="preserve">This manuscript and future video to be produced and associated with it describe the </w:t>
      </w:r>
      <w:r w:rsidRPr="009D118E">
        <w:rPr>
          <w:rFonts w:ascii="Arial" w:hAnsi="Arial" w:cs="Arial"/>
          <w:i/>
          <w:lang w:val="en-US"/>
        </w:rPr>
        <w:t>in vitro</w:t>
      </w:r>
      <w:r w:rsidRPr="009D118E">
        <w:rPr>
          <w:rFonts w:ascii="Arial" w:hAnsi="Arial" w:cs="Arial"/>
          <w:lang w:val="en-US"/>
        </w:rPr>
        <w:t xml:space="preserve"> growth of gastric </w:t>
      </w:r>
      <w:r w:rsidRPr="009D118E">
        <w:rPr>
          <w:rFonts w:ascii="Arial" w:hAnsi="Arial" w:cs="Arial"/>
          <w:i/>
          <w:lang w:val="en-US"/>
        </w:rPr>
        <w:t>Helicobacter</w:t>
      </w:r>
      <w:r w:rsidRPr="009D118E">
        <w:rPr>
          <w:rFonts w:ascii="Arial" w:hAnsi="Arial" w:cs="Arial"/>
          <w:lang w:val="en-US"/>
        </w:rPr>
        <w:t xml:space="preserve"> species, </w:t>
      </w:r>
      <w:r w:rsidRPr="009D118E">
        <w:rPr>
          <w:rFonts w:ascii="Arial" w:hAnsi="Arial" w:cs="Arial"/>
          <w:i/>
          <w:lang w:val="en-US"/>
        </w:rPr>
        <w:t>H. pylori</w:t>
      </w:r>
      <w:r w:rsidRPr="009D118E">
        <w:rPr>
          <w:rFonts w:ascii="Arial" w:hAnsi="Arial" w:cs="Arial"/>
          <w:lang w:val="en-US"/>
        </w:rPr>
        <w:t xml:space="preserve"> and </w:t>
      </w:r>
      <w:r w:rsidRPr="009D118E">
        <w:rPr>
          <w:rFonts w:ascii="Arial" w:hAnsi="Arial" w:cs="Arial"/>
          <w:i/>
          <w:lang w:val="en-US"/>
        </w:rPr>
        <w:t>H. felis</w:t>
      </w:r>
      <w:r w:rsidRPr="009D118E">
        <w:rPr>
          <w:rFonts w:ascii="Arial" w:hAnsi="Arial" w:cs="Arial"/>
          <w:lang w:val="en-US"/>
        </w:rPr>
        <w:t xml:space="preserve">, and their use to infect mice as models for gastric </w:t>
      </w:r>
      <w:r w:rsidRPr="009D118E">
        <w:rPr>
          <w:rFonts w:ascii="Arial" w:hAnsi="Arial" w:cs="Arial"/>
          <w:i/>
          <w:lang w:val="en-US"/>
        </w:rPr>
        <w:t>Helicobacter</w:t>
      </w:r>
      <w:r w:rsidRPr="009D118E">
        <w:rPr>
          <w:rFonts w:ascii="Arial" w:hAnsi="Arial" w:cs="Arial"/>
          <w:lang w:val="en-US"/>
        </w:rPr>
        <w:t xml:space="preserve"> infections. This is followed by methods to determine the magnitude of infection and histologic changes in the gastric mucosa of infected mice. Over the past 20 + years several publications have appeared detailing methods such as these including an entire monograph published in 1996 by W. B Saunders and edited by A. Lee and F. </w:t>
      </w:r>
      <w:proofErr w:type="spellStart"/>
      <w:r w:rsidRPr="009D118E">
        <w:rPr>
          <w:rFonts w:ascii="Arial" w:hAnsi="Arial" w:cs="Arial"/>
          <w:lang w:val="en-US"/>
        </w:rPr>
        <w:t>Megraud</w:t>
      </w:r>
      <w:proofErr w:type="spellEnd"/>
      <w:r w:rsidRPr="009D118E">
        <w:rPr>
          <w:rFonts w:ascii="Arial" w:hAnsi="Arial" w:cs="Arial"/>
          <w:lang w:val="en-US"/>
        </w:rPr>
        <w:t xml:space="preserve">. (This monograph is out of print but still available at sites such as Amazon.com and in numerous biomedical libraries.) Surprisingly, many of the methods have not changed very much over the past 20 years notwithstanding the fact that the widely used Sydney strain of </w:t>
      </w:r>
      <w:r w:rsidRPr="009D118E">
        <w:rPr>
          <w:rFonts w:ascii="Arial" w:hAnsi="Arial" w:cs="Arial"/>
          <w:i/>
          <w:lang w:val="en-US"/>
        </w:rPr>
        <w:t>H. pylori</w:t>
      </w:r>
      <w:r w:rsidRPr="009D118E">
        <w:rPr>
          <w:rFonts w:ascii="Arial" w:hAnsi="Arial" w:cs="Arial"/>
          <w:lang w:val="en-US"/>
        </w:rPr>
        <w:t xml:space="preserve"> was not introduced until 1997 and PCR techniques for quantitation, especially of </w:t>
      </w:r>
      <w:r w:rsidRPr="009D118E">
        <w:rPr>
          <w:rFonts w:ascii="Arial" w:hAnsi="Arial" w:cs="Arial"/>
          <w:i/>
          <w:lang w:val="en-US"/>
        </w:rPr>
        <w:t>H. felis</w:t>
      </w:r>
      <w:r w:rsidRPr="009D118E">
        <w:rPr>
          <w:rFonts w:ascii="Arial" w:hAnsi="Arial" w:cs="Arial"/>
          <w:lang w:val="en-US"/>
        </w:rPr>
        <w:t xml:space="preserve"> were not readily available at that time. What makes the present manuscript relevant is the inclusion of videos which can be quite useful, especially for laboratories with no previous experience in mouse models of </w:t>
      </w:r>
      <w:r w:rsidRPr="009D118E">
        <w:rPr>
          <w:rFonts w:ascii="Arial" w:hAnsi="Arial" w:cs="Arial"/>
          <w:i/>
          <w:lang w:val="en-US"/>
        </w:rPr>
        <w:t>Helicobacter</w:t>
      </w:r>
      <w:r w:rsidRPr="009D118E">
        <w:rPr>
          <w:rFonts w:ascii="Arial" w:hAnsi="Arial" w:cs="Arial"/>
          <w:lang w:val="en-US"/>
        </w:rPr>
        <w:t xml:space="preserve"> infections.</w:t>
      </w:r>
    </w:p>
    <w:p w14:paraId="3917705C" w14:textId="77777777" w:rsidR="009D118E" w:rsidRPr="009D118E" w:rsidRDefault="009D118E" w:rsidP="009D118E">
      <w:pPr>
        <w:spacing w:before="120" w:line="360" w:lineRule="auto"/>
        <w:ind w:left="-567" w:right="-612"/>
        <w:rPr>
          <w:rFonts w:ascii="Arial" w:hAnsi="Arial" w:cs="Arial"/>
          <w:lang w:val="en-US"/>
        </w:rPr>
      </w:pPr>
    </w:p>
    <w:p w14:paraId="533E398F" w14:textId="77777777" w:rsidR="009D118E" w:rsidRPr="009D118E" w:rsidRDefault="009D118E" w:rsidP="009D118E">
      <w:pPr>
        <w:spacing w:before="120" w:line="360" w:lineRule="auto"/>
        <w:ind w:left="-567" w:right="-612"/>
        <w:rPr>
          <w:rFonts w:ascii="Arial" w:hAnsi="Arial" w:cs="Arial"/>
          <w:lang w:val="en-US"/>
        </w:rPr>
      </w:pPr>
      <w:r w:rsidRPr="009D118E">
        <w:rPr>
          <w:rFonts w:ascii="Arial" w:hAnsi="Arial" w:cs="Arial"/>
          <w:lang w:val="en-US"/>
        </w:rPr>
        <w:t>Minor Concerns:</w:t>
      </w:r>
    </w:p>
    <w:p w14:paraId="15330F60" w14:textId="77777777" w:rsidR="009D118E" w:rsidRDefault="009D118E" w:rsidP="009D118E">
      <w:pPr>
        <w:spacing w:before="120" w:line="360" w:lineRule="auto"/>
        <w:ind w:left="-567" w:right="-612"/>
        <w:rPr>
          <w:rFonts w:ascii="Arial" w:hAnsi="Arial" w:cs="Arial"/>
          <w:lang w:val="en-US"/>
        </w:rPr>
      </w:pPr>
      <w:r w:rsidRPr="009D118E">
        <w:rPr>
          <w:rFonts w:ascii="Arial" w:hAnsi="Arial" w:cs="Arial"/>
          <w:lang w:val="en-US"/>
        </w:rPr>
        <w:t xml:space="preserve">1. In the discussion of this </w:t>
      </w:r>
      <w:proofErr w:type="spellStart"/>
      <w:r w:rsidRPr="009D118E">
        <w:rPr>
          <w:rFonts w:ascii="Arial" w:hAnsi="Arial" w:cs="Arial"/>
          <w:lang w:val="en-US"/>
        </w:rPr>
        <w:t>ms</w:t>
      </w:r>
      <w:proofErr w:type="spellEnd"/>
      <w:r w:rsidRPr="009D118E">
        <w:rPr>
          <w:rFonts w:ascii="Arial" w:hAnsi="Arial" w:cs="Arial"/>
          <w:lang w:val="en-US"/>
        </w:rPr>
        <w:t xml:space="preserve"> (line 443) the authors mention the rapid urease test which has been used both clinically in humans and experimentally in animal models to monitor gastric helicobacter infections. This reviewer does not dispute the authors comments that this test can detect both viable and non-viable organisms and should not be used to quantify the magnitude of a gastric </w:t>
      </w:r>
      <w:r w:rsidRPr="009D118E">
        <w:rPr>
          <w:rFonts w:ascii="Arial" w:hAnsi="Arial" w:cs="Arial"/>
          <w:i/>
          <w:lang w:val="en-US"/>
        </w:rPr>
        <w:t>Helicobacter</w:t>
      </w:r>
      <w:r w:rsidRPr="009D118E">
        <w:rPr>
          <w:rFonts w:ascii="Arial" w:hAnsi="Arial" w:cs="Arial"/>
          <w:lang w:val="en-US"/>
        </w:rPr>
        <w:t xml:space="preserve"> infection of mice. However, this reviewer as well as many other authors have used the rapid urease test and tests for catalase and oxidase as simple screening assays to confirm that colonies or other outgrowth (such as observed with </w:t>
      </w:r>
      <w:r w:rsidRPr="009D118E">
        <w:rPr>
          <w:rFonts w:ascii="Arial" w:hAnsi="Arial" w:cs="Arial"/>
          <w:i/>
          <w:lang w:val="en-US"/>
        </w:rPr>
        <w:t>H. felis</w:t>
      </w:r>
      <w:r w:rsidRPr="009D118E">
        <w:rPr>
          <w:rFonts w:ascii="Arial" w:hAnsi="Arial" w:cs="Arial"/>
          <w:lang w:val="en-US"/>
        </w:rPr>
        <w:t xml:space="preserve">) from mouse stomach biopsies in fact represent gastric </w:t>
      </w:r>
      <w:r w:rsidRPr="009D118E">
        <w:rPr>
          <w:rFonts w:ascii="Arial" w:hAnsi="Arial" w:cs="Arial"/>
          <w:i/>
          <w:lang w:val="en-US"/>
        </w:rPr>
        <w:t>Helicobacter</w:t>
      </w:r>
      <w:r w:rsidRPr="009D118E">
        <w:rPr>
          <w:rFonts w:ascii="Arial" w:hAnsi="Arial" w:cs="Arial"/>
          <w:lang w:val="en-US"/>
        </w:rPr>
        <w:t xml:space="preserve"> infections rather than some other bacterial constituent of the murine gastric microbiota. On some occasions, even </w:t>
      </w:r>
      <w:r w:rsidRPr="009D118E">
        <w:rPr>
          <w:rFonts w:ascii="Arial" w:hAnsi="Arial" w:cs="Arial"/>
          <w:lang w:val="en-US"/>
        </w:rPr>
        <w:lastRenderedPageBreak/>
        <w:t>using selective culture plates and particularly when infecting gene targeted "knockout mice" from non-commercial vendors this reviewer has observed outgrowth of non-</w:t>
      </w:r>
      <w:r w:rsidRPr="009D118E">
        <w:rPr>
          <w:rFonts w:ascii="Arial" w:hAnsi="Arial" w:cs="Arial"/>
          <w:i/>
          <w:lang w:val="en-US"/>
        </w:rPr>
        <w:t>H. pylori</w:t>
      </w:r>
      <w:r w:rsidRPr="009D118E">
        <w:rPr>
          <w:rFonts w:ascii="Arial" w:hAnsi="Arial" w:cs="Arial"/>
          <w:lang w:val="en-US"/>
        </w:rPr>
        <w:t xml:space="preserve"> bacterial colonies with a gross appearance very similar to authentic </w:t>
      </w:r>
      <w:r w:rsidRPr="009D118E">
        <w:rPr>
          <w:rFonts w:ascii="Arial" w:hAnsi="Arial" w:cs="Arial"/>
          <w:i/>
          <w:lang w:val="en-US"/>
        </w:rPr>
        <w:t>H. pylori</w:t>
      </w:r>
      <w:r w:rsidRPr="009D118E">
        <w:rPr>
          <w:rFonts w:ascii="Arial" w:hAnsi="Arial" w:cs="Arial"/>
          <w:lang w:val="en-US"/>
        </w:rPr>
        <w:t xml:space="preserve">, but exhibiting negative results for one or more of these rapid screening tests. </w:t>
      </w:r>
      <w:proofErr w:type="gramStart"/>
      <w:r w:rsidRPr="009D118E">
        <w:rPr>
          <w:rFonts w:ascii="Arial" w:hAnsi="Arial" w:cs="Arial"/>
          <w:lang w:val="en-US"/>
        </w:rPr>
        <w:t>Thus</w:t>
      </w:r>
      <w:proofErr w:type="gramEnd"/>
      <w:r w:rsidRPr="009D118E">
        <w:rPr>
          <w:rFonts w:ascii="Arial" w:hAnsi="Arial" w:cs="Arial"/>
          <w:lang w:val="en-US"/>
        </w:rPr>
        <w:t xml:space="preserve"> it would be useful and quite simple to include demonstration of these screening tests in the videos to be produced with this </w:t>
      </w:r>
      <w:proofErr w:type="spellStart"/>
      <w:r w:rsidRPr="009D118E">
        <w:rPr>
          <w:rFonts w:ascii="Arial" w:hAnsi="Arial" w:cs="Arial"/>
          <w:lang w:val="en-US"/>
        </w:rPr>
        <w:t>ms.</w:t>
      </w:r>
      <w:proofErr w:type="spellEnd"/>
      <w:r w:rsidRPr="009D118E">
        <w:rPr>
          <w:rFonts w:ascii="Arial" w:hAnsi="Arial" w:cs="Arial"/>
          <w:lang w:val="en-US"/>
        </w:rPr>
        <w:t xml:space="preserve"> In the absence of positive results on all or any of these screening tests, further confirmation of whether recovered bacteria are in fact </w:t>
      </w:r>
      <w:r w:rsidRPr="009D118E">
        <w:rPr>
          <w:rFonts w:ascii="Arial" w:hAnsi="Arial" w:cs="Arial"/>
          <w:i/>
          <w:lang w:val="en-US"/>
        </w:rPr>
        <w:t>Helicobacter</w:t>
      </w:r>
      <w:r w:rsidRPr="009D118E">
        <w:rPr>
          <w:rFonts w:ascii="Arial" w:hAnsi="Arial" w:cs="Arial"/>
          <w:lang w:val="en-US"/>
        </w:rPr>
        <w:t xml:space="preserve"> </w:t>
      </w:r>
      <w:proofErr w:type="spellStart"/>
      <w:r w:rsidRPr="009D118E">
        <w:rPr>
          <w:rFonts w:ascii="Arial" w:hAnsi="Arial" w:cs="Arial"/>
          <w:lang w:val="en-US"/>
        </w:rPr>
        <w:t>spp</w:t>
      </w:r>
      <w:proofErr w:type="spellEnd"/>
      <w:r w:rsidRPr="009D118E">
        <w:rPr>
          <w:rFonts w:ascii="Arial" w:hAnsi="Arial" w:cs="Arial"/>
          <w:lang w:val="en-US"/>
        </w:rPr>
        <w:t xml:space="preserve"> could then be accomplished by PCR analysis as described in section 4.2 of this </w:t>
      </w:r>
      <w:proofErr w:type="spellStart"/>
      <w:r w:rsidRPr="009D118E">
        <w:rPr>
          <w:rFonts w:ascii="Arial" w:hAnsi="Arial" w:cs="Arial"/>
          <w:lang w:val="en-US"/>
        </w:rPr>
        <w:t>ms</w:t>
      </w:r>
      <w:proofErr w:type="spellEnd"/>
      <w:r w:rsidRPr="009D118E">
        <w:rPr>
          <w:rFonts w:ascii="Arial" w:hAnsi="Arial" w:cs="Arial"/>
          <w:lang w:val="en-US"/>
        </w:rPr>
        <w:t xml:space="preserve"> (lines 235-252).</w:t>
      </w:r>
    </w:p>
    <w:p w14:paraId="4C448940" w14:textId="23D9C738" w:rsidR="009D118E" w:rsidRPr="0078251B" w:rsidRDefault="009D118E" w:rsidP="009D118E">
      <w:pPr>
        <w:spacing w:before="120" w:line="360" w:lineRule="auto"/>
        <w:ind w:left="-567" w:right="-612"/>
        <w:rPr>
          <w:rFonts w:ascii="Arial" w:hAnsi="Arial" w:cs="Arial"/>
          <w:b/>
          <w:lang w:val="en-US"/>
        </w:rPr>
      </w:pPr>
      <w:r w:rsidRPr="0078251B">
        <w:rPr>
          <w:rFonts w:ascii="Arial" w:hAnsi="Arial" w:cs="Arial"/>
          <w:b/>
          <w:lang w:val="en-US"/>
        </w:rPr>
        <w:t xml:space="preserve">We have now edited the manuscript as follows: </w:t>
      </w:r>
      <w:r w:rsidR="00457714" w:rsidRPr="0078251B">
        <w:rPr>
          <w:rFonts w:ascii="Arial" w:hAnsi="Arial" w:cs="Arial"/>
          <w:b/>
          <w:lang w:val="en-US"/>
        </w:rPr>
        <w:t>“</w:t>
      </w:r>
      <w:r w:rsidR="00C5436D" w:rsidRPr="0078251B">
        <w:rPr>
          <w:rFonts w:ascii="Arial" w:eastAsia="Times New Roman" w:hAnsi="Arial" w:cs="Arial"/>
          <w:b/>
          <w:i/>
          <w:lang w:val="en-GB" w:eastAsia="en-GB"/>
        </w:rPr>
        <w:t>H. pylori</w:t>
      </w:r>
      <w:r w:rsidR="00C5436D" w:rsidRPr="0078251B">
        <w:rPr>
          <w:rFonts w:ascii="Arial" w:hAnsi="Arial" w:cs="Arial"/>
          <w:b/>
          <w:lang w:val="en-GB"/>
        </w:rPr>
        <w:t xml:space="preserve"> colonies and </w:t>
      </w:r>
      <w:r w:rsidR="00C5436D" w:rsidRPr="0078251B">
        <w:rPr>
          <w:rFonts w:ascii="Arial" w:eastAsia="Times New Roman" w:hAnsi="Arial" w:cs="Arial"/>
          <w:b/>
          <w:i/>
          <w:lang w:val="en-GB" w:eastAsia="en-GB"/>
        </w:rPr>
        <w:t>H. felis</w:t>
      </w:r>
      <w:r w:rsidR="00C5436D" w:rsidRPr="0078251B">
        <w:rPr>
          <w:rFonts w:ascii="Arial" w:hAnsi="Arial" w:cs="Arial"/>
          <w:b/>
          <w:lang w:val="en-GB"/>
        </w:rPr>
        <w:t xml:space="preserve"> growth on plates can be distinguished from those of other members of the murine gastric microbiota using the urease, catalase and oxidase tests. These gastric </w:t>
      </w:r>
      <w:r w:rsidR="00C5436D" w:rsidRPr="0078251B">
        <w:rPr>
          <w:rFonts w:ascii="Arial" w:hAnsi="Arial" w:cs="Arial"/>
          <w:b/>
          <w:i/>
          <w:lang w:val="en-GB"/>
        </w:rPr>
        <w:t xml:space="preserve">Helicobacter </w:t>
      </w:r>
      <w:proofErr w:type="spellStart"/>
      <w:r w:rsidR="00C5436D" w:rsidRPr="0078251B">
        <w:rPr>
          <w:rFonts w:ascii="Arial" w:hAnsi="Arial" w:cs="Arial"/>
          <w:b/>
          <w:lang w:val="en-GB"/>
        </w:rPr>
        <w:t>spp</w:t>
      </w:r>
      <w:proofErr w:type="spellEnd"/>
      <w:r w:rsidR="00C5436D" w:rsidRPr="0078251B">
        <w:rPr>
          <w:rFonts w:ascii="Arial" w:hAnsi="Arial" w:cs="Arial"/>
          <w:b/>
          <w:lang w:val="en-GB"/>
        </w:rPr>
        <w:t xml:space="preserve"> are positive for all three tests.</w:t>
      </w:r>
      <w:r w:rsidR="00457714" w:rsidRPr="0078251B">
        <w:rPr>
          <w:rFonts w:ascii="Arial" w:hAnsi="Arial" w:cs="Arial"/>
          <w:b/>
          <w:lang w:val="en-GB"/>
        </w:rPr>
        <w:t>”</w:t>
      </w:r>
      <w:r w:rsidRPr="0078251B">
        <w:rPr>
          <w:rFonts w:ascii="Arial" w:hAnsi="Arial" w:cs="Arial"/>
          <w:b/>
          <w:lang w:val="en-US"/>
        </w:rPr>
        <w:t xml:space="preserve"> </w:t>
      </w:r>
    </w:p>
    <w:p w14:paraId="62E182FB" w14:textId="77777777" w:rsidR="009D118E" w:rsidRDefault="009D118E" w:rsidP="00074BF0">
      <w:pPr>
        <w:spacing w:before="120" w:line="360" w:lineRule="auto"/>
        <w:ind w:left="-567" w:right="-612"/>
        <w:rPr>
          <w:rFonts w:ascii="Arial" w:hAnsi="Arial" w:cs="Arial"/>
          <w:lang w:val="en-US"/>
        </w:rPr>
      </w:pPr>
      <w:r w:rsidRPr="009D118E">
        <w:rPr>
          <w:rFonts w:ascii="Arial" w:hAnsi="Arial" w:cs="Arial"/>
          <w:lang w:val="en-US"/>
        </w:rPr>
        <w:t xml:space="preserve">2. In section 1.5 Growth and Preparation of Bacterial Inocula (lines 134-137) and again in the discussion (lines 449-451) the authors advise against the use of optical density to estimate the number of </w:t>
      </w:r>
      <w:r w:rsidRPr="003C0DEE">
        <w:rPr>
          <w:rFonts w:ascii="Arial" w:hAnsi="Arial" w:cs="Arial"/>
          <w:i/>
          <w:lang w:val="en-US"/>
        </w:rPr>
        <w:t>H. pylori</w:t>
      </w:r>
      <w:r w:rsidRPr="009D118E">
        <w:rPr>
          <w:rFonts w:ascii="Arial" w:hAnsi="Arial" w:cs="Arial"/>
          <w:lang w:val="en-US"/>
        </w:rPr>
        <w:t xml:space="preserve"> or </w:t>
      </w:r>
      <w:r w:rsidRPr="003C0DEE">
        <w:rPr>
          <w:rFonts w:ascii="Arial" w:hAnsi="Arial" w:cs="Arial"/>
          <w:i/>
          <w:lang w:val="en-US"/>
        </w:rPr>
        <w:t>H. felis</w:t>
      </w:r>
      <w:r w:rsidRPr="009D118E">
        <w:rPr>
          <w:rFonts w:ascii="Arial" w:hAnsi="Arial" w:cs="Arial"/>
          <w:lang w:val="en-US"/>
        </w:rPr>
        <w:t xml:space="preserve"> to be used to inoculate mice but instead to view wet mounts and estimate that under 100X magnification "1 bacterium per field = approximately 10e6 colony forming units" </w:t>
      </w:r>
      <w:proofErr w:type="spellStart"/>
      <w:r w:rsidRPr="009D118E">
        <w:rPr>
          <w:rFonts w:ascii="Arial" w:hAnsi="Arial" w:cs="Arial"/>
          <w:lang w:val="en-US"/>
        </w:rPr>
        <w:t>etc</w:t>
      </w:r>
      <w:proofErr w:type="spellEnd"/>
      <w:r w:rsidRPr="009D118E">
        <w:rPr>
          <w:rFonts w:ascii="Arial" w:hAnsi="Arial" w:cs="Arial"/>
          <w:lang w:val="en-US"/>
        </w:rPr>
        <w:t xml:space="preserve"> (lines 122-127). Particularly at the lower end, such estimates can be very crude especially if a laboratory's microscopes do not readily achieve 100X total magnification (e.g. a 10X objective and a 12.5X eyepiece = 125X etc.) It would be better to define the number of viable bacteria counted within the grids of a standard hemacytometer for a much more precise estimate.</w:t>
      </w:r>
    </w:p>
    <w:p w14:paraId="17E9C648" w14:textId="1E77F710" w:rsidR="003C0DEE" w:rsidRPr="0078251B" w:rsidRDefault="003C0DEE" w:rsidP="00DE346A">
      <w:pPr>
        <w:spacing w:before="120" w:line="360" w:lineRule="auto"/>
        <w:ind w:left="-567" w:right="-612"/>
        <w:rPr>
          <w:rFonts w:ascii="Arial" w:hAnsi="Arial" w:cs="Arial"/>
          <w:b/>
          <w:lang w:val="en-US"/>
        </w:rPr>
      </w:pPr>
      <w:r w:rsidRPr="0078251B">
        <w:rPr>
          <w:rFonts w:ascii="Arial" w:hAnsi="Arial" w:cs="Arial"/>
          <w:b/>
          <w:lang w:val="en-US"/>
        </w:rPr>
        <w:t xml:space="preserve">We </w:t>
      </w:r>
      <w:proofErr w:type="spellStart"/>
      <w:r w:rsidRPr="0078251B">
        <w:rPr>
          <w:rFonts w:ascii="Arial" w:hAnsi="Arial" w:cs="Arial"/>
          <w:b/>
          <w:lang w:val="en-US"/>
        </w:rPr>
        <w:t>apologise</w:t>
      </w:r>
      <w:proofErr w:type="spellEnd"/>
      <w:r w:rsidRPr="0078251B">
        <w:rPr>
          <w:rFonts w:ascii="Arial" w:hAnsi="Arial" w:cs="Arial"/>
          <w:b/>
          <w:lang w:val="en-US"/>
        </w:rPr>
        <w:t xml:space="preserve"> for the error; bacterial numbers </w:t>
      </w:r>
      <w:r w:rsidR="00E74447" w:rsidRPr="0078251B">
        <w:rPr>
          <w:rFonts w:ascii="Arial" w:hAnsi="Arial" w:cs="Arial"/>
          <w:b/>
          <w:lang w:val="en-US"/>
        </w:rPr>
        <w:t xml:space="preserve">are actually estimated </w:t>
      </w:r>
      <w:r w:rsidRPr="0078251B">
        <w:rPr>
          <w:rFonts w:ascii="Arial" w:hAnsi="Arial" w:cs="Arial"/>
          <w:b/>
          <w:lang w:val="en-US"/>
        </w:rPr>
        <w:t xml:space="preserve">using a 100 X objective, under oil immersion. </w:t>
      </w:r>
      <w:r w:rsidR="00E74447" w:rsidRPr="0078251B">
        <w:rPr>
          <w:rFonts w:ascii="Arial" w:hAnsi="Arial" w:cs="Arial"/>
          <w:b/>
          <w:lang w:val="en-US"/>
        </w:rPr>
        <w:t>A</w:t>
      </w:r>
      <w:r w:rsidR="00457714" w:rsidRPr="0078251B">
        <w:rPr>
          <w:rFonts w:ascii="Arial" w:hAnsi="Arial" w:cs="Arial"/>
          <w:b/>
          <w:lang w:val="en-US"/>
        </w:rPr>
        <w:t xml:space="preserve">s </w:t>
      </w:r>
      <w:proofErr w:type="spellStart"/>
      <w:r w:rsidR="00457714" w:rsidRPr="0078251B">
        <w:rPr>
          <w:rFonts w:ascii="Arial" w:hAnsi="Arial" w:cs="Arial"/>
          <w:b/>
          <w:lang w:val="en-US"/>
        </w:rPr>
        <w:t>haemocytometers</w:t>
      </w:r>
      <w:proofErr w:type="spellEnd"/>
      <w:r w:rsidR="00457714" w:rsidRPr="0078251B">
        <w:rPr>
          <w:rFonts w:ascii="Arial" w:hAnsi="Arial" w:cs="Arial"/>
          <w:b/>
          <w:lang w:val="en-US"/>
        </w:rPr>
        <w:t xml:space="preserve"> are not usually compatible with 100 X/oil immersion objectives, it is not possible to reach the level of magnification required to count individual </w:t>
      </w:r>
      <w:r w:rsidR="00457714" w:rsidRPr="0078251B">
        <w:rPr>
          <w:rFonts w:ascii="Arial" w:eastAsia="Times New Roman" w:hAnsi="Arial" w:cs="Arial"/>
          <w:b/>
          <w:i/>
          <w:lang w:val="en-GB" w:eastAsia="en-GB"/>
        </w:rPr>
        <w:t>H. pylori</w:t>
      </w:r>
      <w:r w:rsidR="00457714" w:rsidRPr="0078251B">
        <w:rPr>
          <w:rFonts w:ascii="Arial" w:hAnsi="Arial" w:cs="Arial"/>
          <w:b/>
          <w:lang w:val="en-US"/>
        </w:rPr>
        <w:t xml:space="preserve"> bacteria. Conversely, it is true that this method works well with </w:t>
      </w:r>
      <w:r w:rsidR="00457714" w:rsidRPr="0078251B">
        <w:rPr>
          <w:rFonts w:ascii="Arial" w:eastAsia="Times New Roman" w:hAnsi="Arial" w:cs="Arial"/>
          <w:b/>
          <w:i/>
          <w:lang w:val="en-GB" w:eastAsia="en-GB"/>
        </w:rPr>
        <w:t>H. felis</w:t>
      </w:r>
      <w:r w:rsidR="00457714" w:rsidRPr="0078251B">
        <w:rPr>
          <w:rFonts w:ascii="Arial" w:hAnsi="Arial" w:cs="Arial"/>
          <w:b/>
          <w:lang w:val="en-US"/>
        </w:rPr>
        <w:t xml:space="preserve"> (which is larger than </w:t>
      </w:r>
      <w:r w:rsidR="00457714" w:rsidRPr="0078251B">
        <w:rPr>
          <w:rFonts w:ascii="Arial" w:eastAsia="Times New Roman" w:hAnsi="Arial" w:cs="Arial"/>
          <w:b/>
          <w:i/>
          <w:lang w:val="en-GB" w:eastAsia="en-GB"/>
        </w:rPr>
        <w:t>H. pylori</w:t>
      </w:r>
      <w:r w:rsidR="00457714" w:rsidRPr="0078251B">
        <w:rPr>
          <w:rFonts w:ascii="Arial" w:hAnsi="Arial" w:cs="Arial"/>
          <w:b/>
          <w:lang w:val="en-US"/>
        </w:rPr>
        <w:t>) and was standard practice in the PI’s laboratory for many years but, in our hands, d</w:t>
      </w:r>
      <w:r w:rsidR="00E74447" w:rsidRPr="0078251B">
        <w:rPr>
          <w:rFonts w:ascii="Arial" w:hAnsi="Arial" w:cs="Arial"/>
          <w:b/>
          <w:lang w:val="en-US"/>
        </w:rPr>
        <w:t>oes</w:t>
      </w:r>
      <w:r w:rsidR="00457714" w:rsidRPr="0078251B">
        <w:rPr>
          <w:rFonts w:ascii="Arial" w:hAnsi="Arial" w:cs="Arial"/>
          <w:b/>
          <w:lang w:val="en-US"/>
        </w:rPr>
        <w:t xml:space="preserve"> not produce better results. Nevertheless, we agree that this is worth mentioning </w:t>
      </w:r>
      <w:r w:rsidR="00DE346A" w:rsidRPr="0078251B">
        <w:rPr>
          <w:rFonts w:ascii="Arial" w:hAnsi="Arial" w:cs="Arial"/>
          <w:b/>
          <w:lang w:val="en-US"/>
        </w:rPr>
        <w:t>to</w:t>
      </w:r>
      <w:r w:rsidR="00457714" w:rsidRPr="0078251B">
        <w:rPr>
          <w:rFonts w:ascii="Arial" w:hAnsi="Arial" w:cs="Arial"/>
          <w:b/>
          <w:lang w:val="en-US"/>
        </w:rPr>
        <w:t xml:space="preserve"> the inexperienced researcher and so have amended the manuscript as follows: </w:t>
      </w:r>
      <w:r w:rsidR="00DE346A" w:rsidRPr="0078251B">
        <w:rPr>
          <w:rFonts w:ascii="Arial" w:hAnsi="Arial" w:cs="Arial"/>
          <w:b/>
          <w:lang w:val="en-US"/>
        </w:rPr>
        <w:t>“</w:t>
      </w:r>
      <w:r w:rsidR="00DE346A" w:rsidRPr="0078251B">
        <w:rPr>
          <w:rFonts w:ascii="Arial" w:hAnsi="Arial" w:cs="Arial"/>
          <w:b/>
          <w:lang w:val="en-GB"/>
        </w:rPr>
        <w:t xml:space="preserve">In the case of </w:t>
      </w:r>
      <w:r w:rsidR="00DE346A" w:rsidRPr="0078251B">
        <w:rPr>
          <w:rFonts w:ascii="Arial" w:eastAsia="Times New Roman" w:hAnsi="Arial" w:cs="Arial"/>
          <w:b/>
          <w:i/>
          <w:lang w:val="en-GB" w:eastAsia="en-GB"/>
        </w:rPr>
        <w:t>H. felis</w:t>
      </w:r>
      <w:r w:rsidR="00DE346A" w:rsidRPr="0078251B">
        <w:rPr>
          <w:rFonts w:ascii="Arial" w:hAnsi="Arial" w:cs="Arial"/>
          <w:b/>
          <w:lang w:val="en-GB"/>
        </w:rPr>
        <w:t xml:space="preserve">, which is a much larger bacterium than </w:t>
      </w:r>
      <w:r w:rsidR="00DE346A" w:rsidRPr="0078251B">
        <w:rPr>
          <w:rFonts w:ascii="Arial" w:eastAsia="Times New Roman" w:hAnsi="Arial" w:cs="Arial"/>
          <w:b/>
          <w:i/>
          <w:lang w:val="en-GB" w:eastAsia="en-GB"/>
        </w:rPr>
        <w:t>H. pylori</w:t>
      </w:r>
      <w:r w:rsidR="00DE346A" w:rsidRPr="0078251B">
        <w:rPr>
          <w:rFonts w:ascii="Arial" w:hAnsi="Arial" w:cs="Arial"/>
          <w:b/>
          <w:lang w:val="en-GB"/>
        </w:rPr>
        <w:t>, it is possible to use a haemocytometer to accurately count the numbers of viable bacteria.”</w:t>
      </w:r>
      <w:r w:rsidR="00457714" w:rsidRPr="0078251B">
        <w:rPr>
          <w:rFonts w:ascii="Arial" w:hAnsi="Arial" w:cs="Arial"/>
          <w:b/>
          <w:lang w:val="en-US"/>
        </w:rPr>
        <w:t xml:space="preserve"> </w:t>
      </w:r>
      <w:r w:rsidR="00DE346A" w:rsidRPr="0078251B">
        <w:rPr>
          <w:rFonts w:ascii="Arial" w:hAnsi="Arial" w:cs="Arial"/>
          <w:b/>
          <w:lang w:val="en-US"/>
        </w:rPr>
        <w:t xml:space="preserve">and “When using a </w:t>
      </w:r>
      <w:proofErr w:type="spellStart"/>
      <w:r w:rsidR="00DE346A" w:rsidRPr="0078251B">
        <w:rPr>
          <w:rFonts w:ascii="Arial" w:hAnsi="Arial" w:cs="Arial"/>
          <w:b/>
          <w:lang w:val="en-US"/>
        </w:rPr>
        <w:t>haemocytometer</w:t>
      </w:r>
      <w:proofErr w:type="spellEnd"/>
      <w:r w:rsidR="00DE346A" w:rsidRPr="0078251B">
        <w:rPr>
          <w:rFonts w:ascii="Arial" w:hAnsi="Arial" w:cs="Arial"/>
          <w:b/>
          <w:lang w:val="en-US"/>
        </w:rPr>
        <w:t>, calculate CFU/mL using the following formula: CFU/mL = (average nu</w:t>
      </w:r>
      <w:bookmarkStart w:id="0" w:name="_GoBack"/>
      <w:bookmarkEnd w:id="0"/>
      <w:r w:rsidR="00DE346A" w:rsidRPr="0078251B">
        <w:rPr>
          <w:rFonts w:ascii="Arial" w:hAnsi="Arial" w:cs="Arial"/>
          <w:b/>
          <w:lang w:val="en-US"/>
        </w:rPr>
        <w:t>mber of bacteria in a 4 x 4 field) x (dilution factor) x (10</w:t>
      </w:r>
      <w:r w:rsidR="00DE346A" w:rsidRPr="00264FC7">
        <w:rPr>
          <w:rFonts w:ascii="Arial" w:hAnsi="Arial" w:cs="Arial"/>
          <w:b/>
          <w:vertAlign w:val="superscript"/>
          <w:lang w:val="en-US"/>
        </w:rPr>
        <w:t>4</w:t>
      </w:r>
      <w:r w:rsidR="00DE346A" w:rsidRPr="0078251B">
        <w:rPr>
          <w:rFonts w:ascii="Arial" w:hAnsi="Arial" w:cs="Arial"/>
          <w:b/>
          <w:lang w:val="en-US"/>
        </w:rPr>
        <w:t>).”</w:t>
      </w:r>
      <w:r w:rsidR="00457714" w:rsidRPr="0078251B">
        <w:rPr>
          <w:rFonts w:ascii="Arial" w:hAnsi="Arial" w:cs="Arial"/>
          <w:b/>
          <w:lang w:val="en-US"/>
        </w:rPr>
        <w:t xml:space="preserve">  </w:t>
      </w:r>
    </w:p>
    <w:p w14:paraId="006ABE5D" w14:textId="2D1A2B92" w:rsidR="009D118E" w:rsidRPr="009D118E" w:rsidRDefault="009D118E" w:rsidP="009C3A85">
      <w:pPr>
        <w:spacing w:before="120" w:line="360" w:lineRule="auto"/>
        <w:ind w:left="-567" w:right="-612"/>
        <w:rPr>
          <w:rFonts w:ascii="Arial" w:hAnsi="Arial" w:cs="Arial"/>
          <w:lang w:val="en-US"/>
        </w:rPr>
      </w:pPr>
      <w:r w:rsidRPr="009D118E">
        <w:rPr>
          <w:rFonts w:ascii="Arial" w:hAnsi="Arial" w:cs="Arial"/>
          <w:lang w:val="en-US"/>
        </w:rPr>
        <w:t>3. Alternatively, to prepare an inoculum to infect mice, after thawing bacteria and colonies appear on appropriate agar plates incubated under micro-</w:t>
      </w:r>
      <w:proofErr w:type="spellStart"/>
      <w:r w:rsidRPr="009D118E">
        <w:rPr>
          <w:rFonts w:ascii="Arial" w:hAnsi="Arial" w:cs="Arial"/>
          <w:lang w:val="en-US"/>
        </w:rPr>
        <w:t>anerobic</w:t>
      </w:r>
      <w:proofErr w:type="spellEnd"/>
      <w:r w:rsidRPr="009D118E">
        <w:rPr>
          <w:rFonts w:ascii="Arial" w:hAnsi="Arial" w:cs="Arial"/>
          <w:lang w:val="en-US"/>
        </w:rPr>
        <w:t xml:space="preserve"> conditions as described in the present </w:t>
      </w:r>
      <w:proofErr w:type="spellStart"/>
      <w:r w:rsidRPr="009D118E">
        <w:rPr>
          <w:rFonts w:ascii="Arial" w:hAnsi="Arial" w:cs="Arial"/>
          <w:lang w:val="en-US"/>
        </w:rPr>
        <w:t>ms</w:t>
      </w:r>
      <w:proofErr w:type="spellEnd"/>
      <w:r w:rsidRPr="009D118E">
        <w:rPr>
          <w:rFonts w:ascii="Arial" w:hAnsi="Arial" w:cs="Arial"/>
          <w:lang w:val="en-US"/>
        </w:rPr>
        <w:t xml:space="preserve">, </w:t>
      </w:r>
      <w:r w:rsidRPr="00DE346A">
        <w:rPr>
          <w:rFonts w:ascii="Arial" w:hAnsi="Arial" w:cs="Arial"/>
          <w:i/>
          <w:lang w:val="en-US"/>
        </w:rPr>
        <w:t>H. pylori</w:t>
      </w:r>
      <w:r w:rsidRPr="009D118E">
        <w:rPr>
          <w:rFonts w:ascii="Arial" w:hAnsi="Arial" w:cs="Arial"/>
          <w:lang w:val="en-US"/>
        </w:rPr>
        <w:t xml:space="preserve"> can be passed into liquid BHI (as described on lines 113-114 of the </w:t>
      </w:r>
      <w:proofErr w:type="spellStart"/>
      <w:r w:rsidRPr="009D118E">
        <w:rPr>
          <w:rFonts w:ascii="Arial" w:hAnsi="Arial" w:cs="Arial"/>
          <w:lang w:val="en-US"/>
        </w:rPr>
        <w:t>ms</w:t>
      </w:r>
      <w:proofErr w:type="spellEnd"/>
      <w:r w:rsidRPr="009D118E">
        <w:rPr>
          <w:rFonts w:ascii="Arial" w:hAnsi="Arial" w:cs="Arial"/>
          <w:lang w:val="en-US"/>
        </w:rPr>
        <w:t>) or Brucella broth with added fetal calf serum and then incubated in standard flat bottom/side tissue culture flasks in a CO</w:t>
      </w:r>
      <w:r w:rsidRPr="00DE346A">
        <w:rPr>
          <w:rFonts w:ascii="Arial" w:hAnsi="Arial" w:cs="Arial"/>
          <w:vertAlign w:val="subscript"/>
          <w:lang w:val="en-US"/>
        </w:rPr>
        <w:t>2</w:t>
      </w:r>
      <w:r w:rsidRPr="009D118E">
        <w:rPr>
          <w:rFonts w:ascii="Arial" w:hAnsi="Arial" w:cs="Arial"/>
          <w:lang w:val="en-US"/>
        </w:rPr>
        <w:t xml:space="preserve"> incubator at ca 10% CO</w:t>
      </w:r>
      <w:r w:rsidRPr="00215671">
        <w:rPr>
          <w:rFonts w:ascii="Arial" w:hAnsi="Arial" w:cs="Arial"/>
          <w:vertAlign w:val="subscript"/>
          <w:lang w:val="en-US"/>
        </w:rPr>
        <w:t>2</w:t>
      </w:r>
      <w:r w:rsidRPr="009D118E">
        <w:rPr>
          <w:rFonts w:ascii="Arial" w:hAnsi="Arial" w:cs="Arial"/>
          <w:lang w:val="en-US"/>
        </w:rPr>
        <w:t xml:space="preserve">. Using this method, it is possible to obtain a growth curve of optical density </w:t>
      </w:r>
      <w:r w:rsidRPr="009D118E">
        <w:rPr>
          <w:rFonts w:ascii="Arial" w:hAnsi="Arial" w:cs="Arial"/>
          <w:lang w:val="en-US"/>
        </w:rPr>
        <w:lastRenderedPageBreak/>
        <w:t xml:space="preserve">versus viable counts of </w:t>
      </w:r>
      <w:r w:rsidRPr="00DE346A">
        <w:rPr>
          <w:rFonts w:ascii="Arial" w:hAnsi="Arial" w:cs="Arial"/>
          <w:i/>
          <w:lang w:val="en-US"/>
        </w:rPr>
        <w:t>H. pylori</w:t>
      </w:r>
      <w:r w:rsidRPr="009D118E">
        <w:rPr>
          <w:rFonts w:ascii="Arial" w:hAnsi="Arial" w:cs="Arial"/>
          <w:lang w:val="en-US"/>
        </w:rPr>
        <w:t xml:space="preserve"> by measuring the number of colony forming units in an aliquot of the liquid culture obtained every 4-6 </w:t>
      </w:r>
      <w:proofErr w:type="spellStart"/>
      <w:r w:rsidRPr="009D118E">
        <w:rPr>
          <w:rFonts w:ascii="Arial" w:hAnsi="Arial" w:cs="Arial"/>
          <w:lang w:val="en-US"/>
        </w:rPr>
        <w:t>hr</w:t>
      </w:r>
      <w:proofErr w:type="spellEnd"/>
      <w:r w:rsidRPr="009D118E">
        <w:rPr>
          <w:rFonts w:ascii="Arial" w:hAnsi="Arial" w:cs="Arial"/>
          <w:lang w:val="en-US"/>
        </w:rPr>
        <w:t xml:space="preserve"> vs optical density over 2-3 days (detailed in </w:t>
      </w:r>
      <w:proofErr w:type="spellStart"/>
      <w:r w:rsidRPr="009D118E">
        <w:rPr>
          <w:rFonts w:ascii="Arial" w:hAnsi="Arial" w:cs="Arial"/>
          <w:lang w:val="en-US"/>
        </w:rPr>
        <w:t>Garhart</w:t>
      </w:r>
      <w:proofErr w:type="spellEnd"/>
      <w:r w:rsidRPr="009D118E">
        <w:rPr>
          <w:rFonts w:ascii="Arial" w:hAnsi="Arial" w:cs="Arial"/>
          <w:lang w:val="en-US"/>
        </w:rPr>
        <w:t xml:space="preserve"> </w:t>
      </w:r>
      <w:r w:rsidRPr="00DE346A">
        <w:rPr>
          <w:rFonts w:ascii="Arial" w:hAnsi="Arial" w:cs="Arial"/>
          <w:i/>
          <w:lang w:val="en-US"/>
        </w:rPr>
        <w:t>et al</w:t>
      </w:r>
      <w:r w:rsidRPr="009D118E">
        <w:rPr>
          <w:rFonts w:ascii="Arial" w:hAnsi="Arial" w:cs="Arial"/>
          <w:lang w:val="en-US"/>
        </w:rPr>
        <w:t xml:space="preserve">, </w:t>
      </w:r>
      <w:r w:rsidRPr="00DE346A">
        <w:rPr>
          <w:rFonts w:ascii="Arial" w:hAnsi="Arial" w:cs="Arial"/>
          <w:i/>
          <w:lang w:val="en-US"/>
        </w:rPr>
        <w:t>Infection and Immunity</w:t>
      </w:r>
      <w:r w:rsidRPr="009D118E">
        <w:rPr>
          <w:rFonts w:ascii="Arial" w:hAnsi="Arial" w:cs="Arial"/>
          <w:lang w:val="en-US"/>
        </w:rPr>
        <w:t xml:space="preserve"> 70: 3529-3538, 2002 and Blanchard and </w:t>
      </w:r>
      <w:proofErr w:type="spellStart"/>
      <w:r w:rsidRPr="009D118E">
        <w:rPr>
          <w:rFonts w:ascii="Arial" w:hAnsi="Arial" w:cs="Arial"/>
          <w:lang w:val="en-US"/>
        </w:rPr>
        <w:t>Nedrud</w:t>
      </w:r>
      <w:proofErr w:type="spellEnd"/>
      <w:r w:rsidRPr="009D118E">
        <w:rPr>
          <w:rFonts w:ascii="Arial" w:hAnsi="Arial" w:cs="Arial"/>
          <w:lang w:val="en-US"/>
        </w:rPr>
        <w:t xml:space="preserve">, Laboratory Maintenance of </w:t>
      </w:r>
      <w:r w:rsidRPr="00DE346A">
        <w:rPr>
          <w:rFonts w:ascii="Arial" w:hAnsi="Arial" w:cs="Arial"/>
          <w:i/>
          <w:lang w:val="en-US"/>
        </w:rPr>
        <w:t>Helicobacter</w:t>
      </w:r>
      <w:r w:rsidRPr="009D118E">
        <w:rPr>
          <w:rFonts w:ascii="Arial" w:hAnsi="Arial" w:cs="Arial"/>
          <w:lang w:val="en-US"/>
        </w:rPr>
        <w:t xml:space="preserve"> Species, Current Protocols in Microbiology, Wiley, 8B.1.1-8B.1.19, 2012). Once a suitable growth curve is obtained, (which must be done for any laboratory using t</w:t>
      </w:r>
      <w:r w:rsidR="00DE346A">
        <w:rPr>
          <w:rFonts w:ascii="Arial" w:hAnsi="Arial" w:cs="Arial"/>
          <w:lang w:val="en-US"/>
        </w:rPr>
        <w:t>his method to account for inter-</w:t>
      </w:r>
      <w:r w:rsidRPr="009D118E">
        <w:rPr>
          <w:rFonts w:ascii="Arial" w:hAnsi="Arial" w:cs="Arial"/>
          <w:lang w:val="en-US"/>
        </w:rPr>
        <w:t>laboratory differences) it is a simple matter to measure the optical density of a sample from the flask and then to refer to the growth curve to estimate the number of viable bacteria in the inoculum. It is also easy to prepare new subcultures when needed by simple inoculation into new tissue culture flasks containing fresh broth/FCS. This method has the added advantage that the "health/viability" of the bacterial cultures can be rapidly monitored without removing from and requiring additional an</w:t>
      </w:r>
      <w:r w:rsidR="008708F5">
        <w:rPr>
          <w:rFonts w:ascii="Arial" w:hAnsi="Arial" w:cs="Arial"/>
          <w:lang w:val="en-US"/>
        </w:rPr>
        <w:t>a</w:t>
      </w:r>
      <w:r w:rsidRPr="009D118E">
        <w:rPr>
          <w:rFonts w:ascii="Arial" w:hAnsi="Arial" w:cs="Arial"/>
          <w:lang w:val="en-US"/>
        </w:rPr>
        <w:t xml:space="preserve">erobic jars and </w:t>
      </w:r>
      <w:proofErr w:type="spellStart"/>
      <w:r w:rsidRPr="009D118E">
        <w:rPr>
          <w:rFonts w:ascii="Arial" w:hAnsi="Arial" w:cs="Arial"/>
          <w:lang w:val="en-US"/>
        </w:rPr>
        <w:t>CampyGen</w:t>
      </w:r>
      <w:proofErr w:type="spellEnd"/>
      <w:r w:rsidRPr="009D118E">
        <w:rPr>
          <w:rFonts w:ascii="Arial" w:hAnsi="Arial" w:cs="Arial"/>
          <w:lang w:val="en-US"/>
        </w:rPr>
        <w:t xml:space="preserve"> sachets. Flasks are simply removed from the CO</w:t>
      </w:r>
      <w:r w:rsidRPr="00DE346A">
        <w:rPr>
          <w:rFonts w:ascii="Arial" w:hAnsi="Arial" w:cs="Arial"/>
          <w:vertAlign w:val="subscript"/>
          <w:lang w:val="en-US"/>
        </w:rPr>
        <w:t>2</w:t>
      </w:r>
      <w:r w:rsidRPr="009D118E">
        <w:rPr>
          <w:rFonts w:ascii="Arial" w:hAnsi="Arial" w:cs="Arial"/>
          <w:lang w:val="en-US"/>
        </w:rPr>
        <w:t xml:space="preserve"> incubator and examined using an inverted microscope at high magnification looking for high motility, spiral/helical morphology, lack of dead or coccoid bacteria, and lack of heavy clumps which might give a false estimate of bacterial numbers. </w:t>
      </w:r>
      <w:r w:rsidRPr="00DE346A">
        <w:rPr>
          <w:rFonts w:ascii="Arial" w:hAnsi="Arial" w:cs="Arial"/>
          <w:i/>
          <w:lang w:val="en-US"/>
        </w:rPr>
        <w:t>H. felis</w:t>
      </w:r>
      <w:r w:rsidRPr="009D118E">
        <w:rPr>
          <w:rFonts w:ascii="Arial" w:hAnsi="Arial" w:cs="Arial"/>
          <w:lang w:val="en-US"/>
        </w:rPr>
        <w:t xml:space="preserve"> does not readily grow under these conditions but can be grown in agitated liquid cultures inside of </w:t>
      </w:r>
      <w:proofErr w:type="spellStart"/>
      <w:r w:rsidRPr="009D118E">
        <w:rPr>
          <w:rFonts w:ascii="Arial" w:hAnsi="Arial" w:cs="Arial"/>
          <w:lang w:val="en-US"/>
        </w:rPr>
        <w:t>anerobic</w:t>
      </w:r>
      <w:proofErr w:type="spellEnd"/>
      <w:r w:rsidRPr="009D118E">
        <w:rPr>
          <w:rFonts w:ascii="Arial" w:hAnsi="Arial" w:cs="Arial"/>
          <w:lang w:val="en-US"/>
        </w:rPr>
        <w:t xml:space="preserve"> jars positioned on a laboratory shaker. As the authors of the present manuscript caution, however, once thawed from frozen stocks it is important to frequently subculture either plate grown or liquid culture grown </w:t>
      </w:r>
      <w:r w:rsidRPr="00DE346A">
        <w:rPr>
          <w:rFonts w:ascii="Arial" w:hAnsi="Arial" w:cs="Arial"/>
          <w:i/>
          <w:lang w:val="en-US"/>
        </w:rPr>
        <w:t>Helicobacter</w:t>
      </w:r>
      <w:r w:rsidRPr="009D118E">
        <w:rPr>
          <w:rFonts w:ascii="Arial" w:hAnsi="Arial" w:cs="Arial"/>
          <w:lang w:val="en-US"/>
        </w:rPr>
        <w:t xml:space="preserve"> </w:t>
      </w:r>
      <w:proofErr w:type="spellStart"/>
      <w:r w:rsidRPr="009D118E">
        <w:rPr>
          <w:rFonts w:ascii="Arial" w:hAnsi="Arial" w:cs="Arial"/>
          <w:lang w:val="en-US"/>
        </w:rPr>
        <w:t>spp</w:t>
      </w:r>
      <w:proofErr w:type="spellEnd"/>
      <w:r w:rsidRPr="009D118E">
        <w:rPr>
          <w:rFonts w:ascii="Arial" w:hAnsi="Arial" w:cs="Arial"/>
          <w:lang w:val="en-US"/>
        </w:rPr>
        <w:t xml:space="preserve"> to ensure that early-mid log phase cultures with primarily viable (and not coccoid or dead) bacteria are used for a mouse inoculum. It is also important to confirm the estimates of </w:t>
      </w:r>
      <w:r w:rsidRPr="00DE346A">
        <w:rPr>
          <w:rFonts w:ascii="Arial" w:hAnsi="Arial" w:cs="Arial"/>
          <w:i/>
          <w:lang w:val="en-US"/>
        </w:rPr>
        <w:t>Helicobacter</w:t>
      </w:r>
      <w:r w:rsidRPr="009D118E">
        <w:rPr>
          <w:rFonts w:ascii="Arial" w:hAnsi="Arial" w:cs="Arial"/>
          <w:lang w:val="en-US"/>
        </w:rPr>
        <w:t xml:space="preserve"> bacteria actually in the inoculum used to infect mice by quantitative culture of a sample of the inoculum (lines 130-132 of this </w:t>
      </w:r>
      <w:proofErr w:type="spellStart"/>
      <w:r w:rsidRPr="009D118E">
        <w:rPr>
          <w:rFonts w:ascii="Arial" w:hAnsi="Arial" w:cs="Arial"/>
          <w:lang w:val="en-US"/>
        </w:rPr>
        <w:t>ms</w:t>
      </w:r>
      <w:proofErr w:type="spellEnd"/>
      <w:r w:rsidRPr="009D118E">
        <w:rPr>
          <w:rFonts w:ascii="Arial" w:hAnsi="Arial" w:cs="Arial"/>
          <w:lang w:val="en-US"/>
        </w:rPr>
        <w:t>).</w:t>
      </w:r>
    </w:p>
    <w:p w14:paraId="3EE46FBE" w14:textId="77777777" w:rsidR="0078251B" w:rsidRDefault="00215671" w:rsidP="00074BF0">
      <w:pPr>
        <w:spacing w:before="120" w:line="360" w:lineRule="auto"/>
        <w:ind w:left="-567" w:right="-612"/>
        <w:rPr>
          <w:rFonts w:ascii="Arial" w:hAnsi="Arial" w:cs="Arial"/>
          <w:b/>
          <w:lang w:val="en-US"/>
        </w:rPr>
      </w:pPr>
      <w:r w:rsidRPr="0078251B">
        <w:rPr>
          <w:rFonts w:ascii="Arial" w:hAnsi="Arial" w:cs="Arial"/>
          <w:b/>
          <w:lang w:val="en-US"/>
        </w:rPr>
        <w:t xml:space="preserve">From our experience, as well as anecdotally, not all </w:t>
      </w:r>
      <w:r w:rsidRPr="0078251B">
        <w:rPr>
          <w:rFonts w:ascii="Arial" w:eastAsia="Times New Roman" w:hAnsi="Arial" w:cs="Arial"/>
          <w:b/>
          <w:i/>
          <w:lang w:val="en-GB" w:eastAsia="en-GB"/>
        </w:rPr>
        <w:t>H. pylori</w:t>
      </w:r>
      <w:r w:rsidRPr="0078251B">
        <w:rPr>
          <w:rFonts w:ascii="Arial" w:hAnsi="Arial" w:cs="Arial"/>
          <w:b/>
          <w:lang w:val="en-US"/>
        </w:rPr>
        <w:t xml:space="preserve"> strains grow well in CO</w:t>
      </w:r>
      <w:r w:rsidRPr="0078251B">
        <w:rPr>
          <w:rFonts w:ascii="Arial" w:hAnsi="Arial" w:cs="Arial"/>
          <w:b/>
          <w:vertAlign w:val="subscript"/>
          <w:lang w:val="en-US"/>
        </w:rPr>
        <w:t>2</w:t>
      </w:r>
      <w:r w:rsidRPr="0078251B">
        <w:rPr>
          <w:rFonts w:ascii="Arial" w:hAnsi="Arial" w:cs="Arial"/>
          <w:b/>
          <w:lang w:val="en-US"/>
        </w:rPr>
        <w:t xml:space="preserve"> incubators and hence why we did not include this method. </w:t>
      </w:r>
      <w:r w:rsidR="008708F5" w:rsidRPr="0078251B">
        <w:rPr>
          <w:rFonts w:ascii="Arial" w:hAnsi="Arial" w:cs="Arial"/>
          <w:b/>
          <w:lang w:val="en-US"/>
        </w:rPr>
        <w:t>Nevertheless, we agree that when properly</w:t>
      </w:r>
      <w:r w:rsidR="00E74447" w:rsidRPr="0078251B">
        <w:rPr>
          <w:rFonts w:ascii="Arial" w:hAnsi="Arial" w:cs="Arial"/>
          <w:b/>
          <w:lang w:val="en-US"/>
        </w:rPr>
        <w:t xml:space="preserve"> optimized, this method has its</w:t>
      </w:r>
      <w:r w:rsidR="008708F5" w:rsidRPr="0078251B">
        <w:rPr>
          <w:rFonts w:ascii="Arial" w:hAnsi="Arial" w:cs="Arial"/>
          <w:b/>
          <w:lang w:val="en-US"/>
        </w:rPr>
        <w:t xml:space="preserve"> merits. The manuscript has been modified as follows: “</w:t>
      </w:r>
      <w:r w:rsidR="0078251B" w:rsidRPr="0078251B">
        <w:rPr>
          <w:rFonts w:ascii="Arial" w:hAnsi="Arial" w:cs="Arial"/>
          <w:b/>
          <w:lang w:val="en-US"/>
        </w:rPr>
        <w:t xml:space="preserve">It is, however, possible to use optical density values as a means of estimating the numbers of viable </w:t>
      </w:r>
      <w:r w:rsidR="0078251B" w:rsidRPr="0078251B">
        <w:rPr>
          <w:rFonts w:ascii="Arial" w:hAnsi="Arial" w:cs="Arial"/>
          <w:b/>
          <w:i/>
          <w:lang w:val="en-US"/>
        </w:rPr>
        <w:t>H. pylori</w:t>
      </w:r>
      <w:r w:rsidR="0078251B" w:rsidRPr="0078251B">
        <w:rPr>
          <w:rFonts w:ascii="Arial" w:hAnsi="Arial" w:cs="Arial"/>
          <w:b/>
          <w:lang w:val="en-US"/>
        </w:rPr>
        <w:t xml:space="preserve"> bacteria in inocula, but in this case, it is first necessary to generate a growth curve. For this, the A</w:t>
      </w:r>
      <w:r w:rsidR="0078251B" w:rsidRPr="0078251B">
        <w:rPr>
          <w:rFonts w:ascii="Arial" w:hAnsi="Arial" w:cs="Arial"/>
          <w:b/>
          <w:vertAlign w:val="subscript"/>
          <w:lang w:val="en-US"/>
        </w:rPr>
        <w:t>600</w:t>
      </w:r>
      <w:r w:rsidR="0078251B" w:rsidRPr="0078251B">
        <w:rPr>
          <w:rFonts w:ascii="Arial" w:hAnsi="Arial" w:cs="Arial"/>
          <w:b/>
          <w:lang w:val="en-US"/>
        </w:rPr>
        <w:t xml:space="preserve"> values of </w:t>
      </w:r>
      <w:r w:rsidR="0078251B" w:rsidRPr="0078251B">
        <w:rPr>
          <w:rFonts w:ascii="Arial" w:hAnsi="Arial" w:cs="Arial"/>
          <w:b/>
          <w:i/>
          <w:lang w:val="en-US"/>
        </w:rPr>
        <w:t>H. pylori</w:t>
      </w:r>
      <w:r w:rsidR="0078251B" w:rsidRPr="0078251B">
        <w:rPr>
          <w:rFonts w:ascii="Arial" w:hAnsi="Arial" w:cs="Arial"/>
          <w:b/>
          <w:lang w:val="en-US"/>
        </w:rPr>
        <w:t xml:space="preserve"> cultures are monitored over time and correlated directly against the numbers of viable bacteria, determined by plate counting. A convenient method for performing such growth curve determinations is to culture bacteria in liquid medium (Section 1.2), using standard flat bottom tissue culture flasks placed in a 10% CO</w:t>
      </w:r>
      <w:r w:rsidR="0078251B" w:rsidRPr="0078251B">
        <w:rPr>
          <w:rFonts w:ascii="Arial" w:hAnsi="Arial" w:cs="Arial"/>
          <w:b/>
          <w:vertAlign w:val="subscript"/>
          <w:lang w:val="en-US"/>
        </w:rPr>
        <w:t>2</w:t>
      </w:r>
      <w:r w:rsidR="0078251B" w:rsidRPr="0078251B">
        <w:rPr>
          <w:rFonts w:ascii="Arial" w:hAnsi="Arial" w:cs="Arial"/>
          <w:b/>
          <w:lang w:val="en-US"/>
        </w:rPr>
        <w:t xml:space="preserve"> incubator. The numbers of CFUs, determined from aliquots of the cultures obtained every 4-6 h over 2-3 days, are then compared to the corresponding A</w:t>
      </w:r>
      <w:r w:rsidR="0078251B" w:rsidRPr="0078251B">
        <w:rPr>
          <w:rFonts w:ascii="Arial" w:hAnsi="Arial" w:cs="Arial"/>
          <w:b/>
          <w:vertAlign w:val="subscript"/>
          <w:lang w:val="en-US"/>
        </w:rPr>
        <w:t>600</w:t>
      </w:r>
      <w:r w:rsidR="0078251B" w:rsidRPr="0078251B">
        <w:rPr>
          <w:rFonts w:ascii="Arial" w:hAnsi="Arial" w:cs="Arial"/>
          <w:b/>
          <w:lang w:val="en-US"/>
        </w:rPr>
        <w:t xml:space="preserve"> values (Blanchard and </w:t>
      </w:r>
      <w:proofErr w:type="spellStart"/>
      <w:r w:rsidR="0078251B" w:rsidRPr="0078251B">
        <w:rPr>
          <w:rFonts w:ascii="Arial" w:hAnsi="Arial" w:cs="Arial"/>
          <w:b/>
          <w:lang w:val="en-US"/>
        </w:rPr>
        <w:t>Nedrud</w:t>
      </w:r>
      <w:proofErr w:type="spellEnd"/>
      <w:r w:rsidR="0078251B" w:rsidRPr="0078251B">
        <w:rPr>
          <w:rFonts w:ascii="Arial" w:hAnsi="Arial" w:cs="Arial"/>
          <w:b/>
          <w:lang w:val="en-US"/>
        </w:rPr>
        <w:t xml:space="preserve">, Laboratory Maintenance of </w:t>
      </w:r>
      <w:r w:rsidR="0078251B" w:rsidRPr="0078251B">
        <w:rPr>
          <w:rFonts w:ascii="Arial" w:hAnsi="Arial" w:cs="Arial"/>
          <w:b/>
          <w:i/>
          <w:lang w:val="en-US"/>
        </w:rPr>
        <w:t>Helicobacter</w:t>
      </w:r>
      <w:r w:rsidR="0078251B" w:rsidRPr="0078251B">
        <w:rPr>
          <w:rFonts w:ascii="Arial" w:hAnsi="Arial" w:cs="Arial"/>
          <w:b/>
          <w:lang w:val="en-US"/>
        </w:rPr>
        <w:t xml:space="preserve"> Species, Current Protocols in Microbiology, Wiley, 8B.1.1-8B.1.19, 2012). Importantly, growth curves must be generated for each </w:t>
      </w:r>
      <w:r w:rsidR="0078251B" w:rsidRPr="0078251B">
        <w:rPr>
          <w:rFonts w:ascii="Arial" w:hAnsi="Arial" w:cs="Arial"/>
          <w:b/>
          <w:i/>
          <w:lang w:val="en-US"/>
        </w:rPr>
        <w:t>H. pylori</w:t>
      </w:r>
      <w:r w:rsidR="0078251B" w:rsidRPr="0078251B">
        <w:rPr>
          <w:rFonts w:ascii="Arial" w:hAnsi="Arial" w:cs="Arial"/>
          <w:b/>
          <w:lang w:val="en-US"/>
        </w:rPr>
        <w:t xml:space="preserve"> strain, as these may grow at different rates and</w:t>
      </w:r>
      <w:r w:rsidR="0078251B">
        <w:rPr>
          <w:rFonts w:ascii="Arial" w:hAnsi="Arial" w:cs="Arial"/>
          <w:b/>
          <w:lang w:val="en-US"/>
        </w:rPr>
        <w:t xml:space="preserve">, furthermore, </w:t>
      </w:r>
      <w:r w:rsidR="0078251B" w:rsidRPr="0078251B">
        <w:rPr>
          <w:rFonts w:ascii="Arial" w:hAnsi="Arial" w:cs="Arial"/>
          <w:b/>
          <w:lang w:val="en-US"/>
        </w:rPr>
        <w:t>not all strains grow well in 10% CO2.”</w:t>
      </w:r>
      <w:r w:rsidR="0078251B">
        <w:rPr>
          <w:rFonts w:ascii="Arial" w:hAnsi="Arial" w:cs="Arial"/>
          <w:b/>
          <w:lang w:val="en-US"/>
        </w:rPr>
        <w:t xml:space="preserve"> </w:t>
      </w:r>
    </w:p>
    <w:p w14:paraId="47E7764D" w14:textId="5C9F8FC2" w:rsidR="008708F5" w:rsidRPr="0078251B" w:rsidRDefault="0078251B" w:rsidP="00CE51B6">
      <w:pPr>
        <w:spacing w:before="120" w:line="360" w:lineRule="auto"/>
        <w:ind w:left="-567" w:right="-612"/>
        <w:rPr>
          <w:rFonts w:ascii="Arial" w:hAnsi="Arial" w:cs="Arial"/>
          <w:b/>
          <w:lang w:val="en-US"/>
        </w:rPr>
      </w:pPr>
      <w:r>
        <w:rPr>
          <w:rFonts w:ascii="Arial" w:hAnsi="Arial" w:cs="Arial"/>
          <w:b/>
          <w:lang w:val="en-US"/>
        </w:rPr>
        <w:t>Also, we have added the following statement to the Discussion:</w:t>
      </w:r>
    </w:p>
    <w:p w14:paraId="1A15ADD6" w14:textId="642A13DB" w:rsidR="009D118E" w:rsidRPr="0078251B" w:rsidRDefault="008708F5" w:rsidP="009D118E">
      <w:pPr>
        <w:spacing w:before="120" w:line="360" w:lineRule="auto"/>
        <w:ind w:left="-567" w:right="-612"/>
        <w:rPr>
          <w:rFonts w:ascii="Arial" w:hAnsi="Arial" w:cs="Arial"/>
          <w:b/>
          <w:lang w:val="en-US"/>
        </w:rPr>
      </w:pPr>
      <w:r w:rsidRPr="0078251B">
        <w:rPr>
          <w:rFonts w:ascii="Arial" w:hAnsi="Arial" w:cs="Arial"/>
          <w:b/>
          <w:lang w:val="en-GB"/>
        </w:rPr>
        <w:lastRenderedPageBreak/>
        <w:t>“Quantification of bacterial numbers by optical density measurement (A</w:t>
      </w:r>
      <w:r w:rsidRPr="0078251B">
        <w:rPr>
          <w:rFonts w:ascii="Arial" w:hAnsi="Arial" w:cs="Arial"/>
          <w:b/>
          <w:vertAlign w:val="subscript"/>
          <w:lang w:val="en-GB"/>
        </w:rPr>
        <w:t>600</w:t>
      </w:r>
      <w:r w:rsidRPr="0078251B">
        <w:rPr>
          <w:rFonts w:ascii="Arial" w:hAnsi="Arial" w:cs="Arial"/>
          <w:b/>
          <w:lang w:val="en-GB"/>
        </w:rPr>
        <w:t xml:space="preserve">) alone is inaccurate as this method does not discriminate between viable and non-viable bacteria. This method should not be used in </w:t>
      </w:r>
      <w:r w:rsidRPr="0078251B">
        <w:rPr>
          <w:rFonts w:ascii="Arial" w:hAnsi="Arial" w:cs="Arial"/>
          <w:b/>
          <w:i/>
          <w:lang w:val="en-GB"/>
        </w:rPr>
        <w:t>Helicobacter</w:t>
      </w:r>
      <w:r w:rsidRPr="0078251B">
        <w:rPr>
          <w:rFonts w:ascii="Arial" w:hAnsi="Arial" w:cs="Arial"/>
          <w:b/>
          <w:lang w:val="en-GB"/>
        </w:rPr>
        <w:t xml:space="preserve"> research without rigorous optimisation, as described above (Section 1.5).”</w:t>
      </w:r>
      <w:r w:rsidRPr="0078251B">
        <w:rPr>
          <w:rFonts w:ascii="Arial" w:hAnsi="Arial" w:cs="Arial"/>
          <w:b/>
          <w:lang w:val="en-US"/>
        </w:rPr>
        <w:t xml:space="preserve"> </w:t>
      </w:r>
    </w:p>
    <w:p w14:paraId="4CBA9920" w14:textId="77777777" w:rsidR="009D118E" w:rsidRPr="009D118E" w:rsidRDefault="009D118E" w:rsidP="009D118E">
      <w:pPr>
        <w:spacing w:before="120" w:line="360" w:lineRule="auto"/>
        <w:ind w:left="-567" w:right="-612"/>
        <w:rPr>
          <w:rFonts w:ascii="Arial" w:hAnsi="Arial" w:cs="Arial"/>
          <w:lang w:val="en-US"/>
        </w:rPr>
      </w:pPr>
    </w:p>
    <w:p w14:paraId="2D913050" w14:textId="77777777" w:rsidR="009D118E" w:rsidRPr="009D118E" w:rsidRDefault="009D118E" w:rsidP="009D118E">
      <w:pPr>
        <w:spacing w:before="120" w:line="360" w:lineRule="auto"/>
        <w:ind w:left="-567" w:right="-612"/>
        <w:rPr>
          <w:rFonts w:ascii="Arial" w:hAnsi="Arial" w:cs="Arial"/>
          <w:lang w:val="en-US"/>
        </w:rPr>
      </w:pPr>
      <w:r w:rsidRPr="0078251B">
        <w:rPr>
          <w:rFonts w:ascii="Arial" w:hAnsi="Arial" w:cs="Arial"/>
          <w:u w:val="single"/>
          <w:lang w:val="en-US"/>
        </w:rPr>
        <w:t>Reviewer #2</w:t>
      </w:r>
      <w:r w:rsidRPr="009D118E">
        <w:rPr>
          <w:rFonts w:ascii="Arial" w:hAnsi="Arial" w:cs="Arial"/>
          <w:lang w:val="en-US"/>
        </w:rPr>
        <w:t>:</w:t>
      </w:r>
    </w:p>
    <w:p w14:paraId="35F73A64" w14:textId="77777777" w:rsidR="009D118E" w:rsidRPr="009D118E" w:rsidRDefault="009D118E" w:rsidP="009D118E">
      <w:pPr>
        <w:spacing w:before="120" w:line="360" w:lineRule="auto"/>
        <w:ind w:left="-567" w:right="-612"/>
        <w:rPr>
          <w:rFonts w:ascii="Arial" w:hAnsi="Arial" w:cs="Arial"/>
          <w:lang w:val="en-US"/>
        </w:rPr>
      </w:pPr>
      <w:r w:rsidRPr="009D118E">
        <w:rPr>
          <w:rFonts w:ascii="Arial" w:hAnsi="Arial" w:cs="Arial"/>
          <w:lang w:val="en-US"/>
        </w:rPr>
        <w:t>Manuscript Summary:</w:t>
      </w:r>
    </w:p>
    <w:p w14:paraId="6887D32F" w14:textId="77777777" w:rsidR="009D118E" w:rsidRPr="009D118E" w:rsidRDefault="009D118E" w:rsidP="009D118E">
      <w:pPr>
        <w:spacing w:before="120" w:line="360" w:lineRule="auto"/>
        <w:ind w:left="-567" w:right="-612"/>
        <w:rPr>
          <w:rFonts w:ascii="Arial" w:hAnsi="Arial" w:cs="Arial"/>
          <w:lang w:val="en-US"/>
        </w:rPr>
      </w:pPr>
      <w:r w:rsidRPr="009D118E">
        <w:rPr>
          <w:rFonts w:ascii="Arial" w:hAnsi="Arial" w:cs="Arial"/>
          <w:lang w:val="en-US"/>
        </w:rPr>
        <w:t xml:space="preserve">This paper clearly describes the mouse model of </w:t>
      </w:r>
      <w:r w:rsidRPr="00457714">
        <w:rPr>
          <w:rFonts w:ascii="Arial" w:hAnsi="Arial" w:cs="Arial"/>
          <w:i/>
          <w:lang w:val="en-US"/>
        </w:rPr>
        <w:t>Helicobacter pylori</w:t>
      </w:r>
      <w:r w:rsidRPr="009D118E">
        <w:rPr>
          <w:rFonts w:ascii="Arial" w:hAnsi="Arial" w:cs="Arial"/>
          <w:lang w:val="en-US"/>
        </w:rPr>
        <w:t>/</w:t>
      </w:r>
      <w:r w:rsidRPr="00457714">
        <w:rPr>
          <w:rFonts w:ascii="Arial" w:hAnsi="Arial" w:cs="Arial"/>
          <w:i/>
          <w:lang w:val="en-US"/>
        </w:rPr>
        <w:t xml:space="preserve">Helicobacter </w:t>
      </w:r>
      <w:proofErr w:type="spellStart"/>
      <w:r w:rsidRPr="00457714">
        <w:rPr>
          <w:rFonts w:ascii="Arial" w:hAnsi="Arial" w:cs="Arial"/>
          <w:i/>
          <w:lang w:val="en-US"/>
        </w:rPr>
        <w:t>félis</w:t>
      </w:r>
      <w:proofErr w:type="spellEnd"/>
      <w:r w:rsidRPr="009D118E">
        <w:rPr>
          <w:rFonts w:ascii="Arial" w:hAnsi="Arial" w:cs="Arial"/>
          <w:lang w:val="en-US"/>
        </w:rPr>
        <w:t xml:space="preserve"> infections. I would </w:t>
      </w:r>
      <w:proofErr w:type="spellStart"/>
      <w:r w:rsidRPr="009D118E">
        <w:rPr>
          <w:rFonts w:ascii="Arial" w:hAnsi="Arial" w:cs="Arial"/>
          <w:lang w:val="en-US"/>
        </w:rPr>
        <w:t>recommand</w:t>
      </w:r>
      <w:proofErr w:type="spellEnd"/>
      <w:r w:rsidRPr="009D118E">
        <w:rPr>
          <w:rFonts w:ascii="Arial" w:hAnsi="Arial" w:cs="Arial"/>
          <w:lang w:val="en-US"/>
        </w:rPr>
        <w:t xml:space="preserve"> this paper for </w:t>
      </w:r>
      <w:proofErr w:type="spellStart"/>
      <w:r w:rsidRPr="009D118E">
        <w:rPr>
          <w:rFonts w:ascii="Arial" w:hAnsi="Arial" w:cs="Arial"/>
          <w:lang w:val="en-US"/>
        </w:rPr>
        <w:t>scientifics</w:t>
      </w:r>
      <w:proofErr w:type="spellEnd"/>
      <w:r w:rsidRPr="009D118E">
        <w:rPr>
          <w:rFonts w:ascii="Arial" w:hAnsi="Arial" w:cs="Arial"/>
          <w:lang w:val="en-US"/>
        </w:rPr>
        <w:t xml:space="preserve"> who need to develop such model.</w:t>
      </w:r>
    </w:p>
    <w:p w14:paraId="3DBDAF81" w14:textId="77777777" w:rsidR="009D118E" w:rsidRPr="009D118E" w:rsidRDefault="009D118E" w:rsidP="009D118E">
      <w:pPr>
        <w:spacing w:before="120" w:line="360" w:lineRule="auto"/>
        <w:ind w:left="-567" w:right="-612"/>
        <w:rPr>
          <w:rFonts w:ascii="Arial" w:hAnsi="Arial" w:cs="Arial"/>
          <w:lang w:val="en-US"/>
        </w:rPr>
      </w:pPr>
    </w:p>
    <w:p w14:paraId="3102C440" w14:textId="77777777" w:rsidR="009D118E" w:rsidRPr="009D118E" w:rsidRDefault="009D118E" w:rsidP="009D118E">
      <w:pPr>
        <w:spacing w:before="120" w:line="360" w:lineRule="auto"/>
        <w:ind w:left="-567" w:right="-612"/>
        <w:rPr>
          <w:rFonts w:ascii="Arial" w:hAnsi="Arial" w:cs="Arial"/>
          <w:lang w:val="en-US"/>
        </w:rPr>
      </w:pPr>
      <w:r w:rsidRPr="009D118E">
        <w:rPr>
          <w:rFonts w:ascii="Arial" w:hAnsi="Arial" w:cs="Arial"/>
          <w:lang w:val="en-US"/>
        </w:rPr>
        <w:t>Minor Concerns:</w:t>
      </w:r>
    </w:p>
    <w:p w14:paraId="522FA3AA" w14:textId="77777777" w:rsidR="009D118E" w:rsidRDefault="009D118E" w:rsidP="009D118E">
      <w:pPr>
        <w:spacing w:before="120" w:line="360" w:lineRule="auto"/>
        <w:ind w:left="-567" w:right="-612"/>
        <w:rPr>
          <w:rFonts w:ascii="Arial" w:hAnsi="Arial" w:cs="Arial"/>
          <w:lang w:val="en-US"/>
        </w:rPr>
      </w:pPr>
      <w:r w:rsidRPr="009D118E">
        <w:rPr>
          <w:rFonts w:ascii="Arial" w:hAnsi="Arial" w:cs="Arial"/>
          <w:lang w:val="en-US"/>
        </w:rPr>
        <w:t xml:space="preserve">Can the authors check the size of the </w:t>
      </w:r>
      <w:proofErr w:type="spellStart"/>
      <w:r w:rsidRPr="00F8556E">
        <w:rPr>
          <w:rFonts w:ascii="Arial" w:hAnsi="Arial" w:cs="Arial"/>
          <w:i/>
          <w:lang w:val="en-US"/>
        </w:rPr>
        <w:t>ureB</w:t>
      </w:r>
      <w:proofErr w:type="spellEnd"/>
      <w:r w:rsidRPr="009D118E">
        <w:rPr>
          <w:rFonts w:ascii="Arial" w:hAnsi="Arial" w:cs="Arial"/>
          <w:lang w:val="en-US"/>
        </w:rPr>
        <w:t xml:space="preserve"> fragment amplified in the PCR, indeed I found a size of 325bp and not </w:t>
      </w:r>
      <w:proofErr w:type="gramStart"/>
      <w:r w:rsidRPr="009D118E">
        <w:rPr>
          <w:rFonts w:ascii="Arial" w:hAnsi="Arial" w:cs="Arial"/>
          <w:lang w:val="en-US"/>
        </w:rPr>
        <w:t>342.</w:t>
      </w:r>
      <w:proofErr w:type="gramEnd"/>
    </w:p>
    <w:p w14:paraId="1CEDF482" w14:textId="77777777" w:rsidR="00074BF0" w:rsidRDefault="009C5ABA" w:rsidP="00074BF0">
      <w:pPr>
        <w:spacing w:before="120" w:line="360" w:lineRule="auto"/>
        <w:ind w:left="-567" w:right="-612"/>
        <w:rPr>
          <w:rFonts w:ascii="Arial" w:hAnsi="Arial" w:cs="Arial"/>
          <w:b/>
          <w:lang w:val="en-US"/>
        </w:rPr>
      </w:pPr>
      <w:r w:rsidRPr="0078251B">
        <w:rPr>
          <w:rFonts w:ascii="Arial" w:hAnsi="Arial" w:cs="Arial"/>
          <w:b/>
          <w:lang w:val="en-US"/>
        </w:rPr>
        <w:t>We thank the reviewer for detecting this error. This information has been corrected in the revised manuscript.</w:t>
      </w:r>
    </w:p>
    <w:p w14:paraId="08A6977D" w14:textId="6FC9EB34" w:rsidR="009D118E" w:rsidRPr="00074BF0" w:rsidRDefault="009D118E" w:rsidP="00074BF0">
      <w:pPr>
        <w:spacing w:before="120" w:line="360" w:lineRule="auto"/>
        <w:ind w:left="-567" w:right="-612"/>
        <w:rPr>
          <w:rFonts w:ascii="Arial" w:hAnsi="Arial" w:cs="Arial"/>
          <w:b/>
          <w:lang w:val="en-US"/>
        </w:rPr>
      </w:pPr>
      <w:r w:rsidRPr="009D118E">
        <w:rPr>
          <w:rFonts w:ascii="Arial" w:hAnsi="Arial" w:cs="Arial"/>
          <w:lang w:val="en-US"/>
        </w:rPr>
        <w:t xml:space="preserve">Can the author add to Figure 5 a picture of a non </w:t>
      </w:r>
      <w:proofErr w:type="spellStart"/>
      <w:r w:rsidRPr="009D118E">
        <w:rPr>
          <w:rFonts w:ascii="Arial" w:hAnsi="Arial" w:cs="Arial"/>
          <w:lang w:val="en-US"/>
        </w:rPr>
        <w:t>inflammed</w:t>
      </w:r>
      <w:proofErr w:type="spellEnd"/>
      <w:r w:rsidRPr="009D118E">
        <w:rPr>
          <w:rFonts w:ascii="Arial" w:hAnsi="Arial" w:cs="Arial"/>
          <w:lang w:val="en-US"/>
        </w:rPr>
        <w:t xml:space="preserve"> stomach </w:t>
      </w:r>
      <w:proofErr w:type="gramStart"/>
      <w:r w:rsidRPr="009D118E">
        <w:rPr>
          <w:rFonts w:ascii="Arial" w:hAnsi="Arial" w:cs="Arial"/>
          <w:lang w:val="en-US"/>
        </w:rPr>
        <w:t>mucosa.</w:t>
      </w:r>
      <w:proofErr w:type="gramEnd"/>
    </w:p>
    <w:p w14:paraId="2E216FC1" w14:textId="77777777" w:rsidR="00074BF0" w:rsidRDefault="0078251B" w:rsidP="00074BF0">
      <w:pPr>
        <w:spacing w:before="120" w:line="360" w:lineRule="auto"/>
        <w:ind w:left="-567" w:right="-612"/>
        <w:rPr>
          <w:rFonts w:ascii="Arial" w:hAnsi="Arial" w:cs="Arial"/>
          <w:b/>
          <w:lang w:val="en-US"/>
        </w:rPr>
      </w:pPr>
      <w:r w:rsidRPr="0078251B">
        <w:rPr>
          <w:rFonts w:ascii="Arial" w:hAnsi="Arial" w:cs="Arial"/>
          <w:b/>
          <w:lang w:val="en-US"/>
        </w:rPr>
        <w:t>This</w:t>
      </w:r>
      <w:r w:rsidR="00F8556E" w:rsidRPr="0078251B">
        <w:rPr>
          <w:rFonts w:ascii="Arial" w:hAnsi="Arial" w:cs="Arial"/>
          <w:b/>
          <w:lang w:val="en-US"/>
        </w:rPr>
        <w:t xml:space="preserve"> image has now been added</w:t>
      </w:r>
      <w:r w:rsidRPr="0078251B">
        <w:rPr>
          <w:rFonts w:ascii="Arial" w:hAnsi="Arial" w:cs="Arial"/>
          <w:b/>
          <w:lang w:val="en-US"/>
        </w:rPr>
        <w:t xml:space="preserve"> to a revised version of Figure 5</w:t>
      </w:r>
      <w:r w:rsidR="00F8556E" w:rsidRPr="0078251B">
        <w:rPr>
          <w:rFonts w:ascii="Arial" w:hAnsi="Arial" w:cs="Arial"/>
          <w:b/>
          <w:lang w:val="en-US"/>
        </w:rPr>
        <w:t>.</w:t>
      </w:r>
    </w:p>
    <w:p w14:paraId="7A0E4B02" w14:textId="53C90ADD" w:rsidR="009D118E" w:rsidRPr="00074BF0" w:rsidRDefault="009D118E" w:rsidP="00074BF0">
      <w:pPr>
        <w:spacing w:before="120" w:line="360" w:lineRule="auto"/>
        <w:ind w:left="-567" w:right="-612"/>
        <w:rPr>
          <w:rFonts w:ascii="Arial" w:hAnsi="Arial" w:cs="Arial"/>
          <w:b/>
          <w:lang w:val="en-US"/>
        </w:rPr>
      </w:pPr>
      <w:r w:rsidRPr="009D118E">
        <w:rPr>
          <w:rFonts w:ascii="Arial" w:hAnsi="Arial" w:cs="Arial"/>
          <w:lang w:val="en-US"/>
        </w:rPr>
        <w:t xml:space="preserve">Can the author specify the KO gene in their KO mice, this is not fair for the reader to keep it </w:t>
      </w:r>
      <w:proofErr w:type="gramStart"/>
      <w:r w:rsidRPr="009D118E">
        <w:rPr>
          <w:rFonts w:ascii="Arial" w:hAnsi="Arial" w:cs="Arial"/>
          <w:lang w:val="en-US"/>
        </w:rPr>
        <w:t>confidential</w:t>
      </w:r>
      <w:r w:rsidR="00F8556E">
        <w:rPr>
          <w:rFonts w:ascii="Arial" w:hAnsi="Arial" w:cs="Arial"/>
          <w:lang w:val="en-US"/>
        </w:rPr>
        <w:t>.</w:t>
      </w:r>
      <w:proofErr w:type="gramEnd"/>
    </w:p>
    <w:p w14:paraId="42439B09" w14:textId="77777777" w:rsidR="00074BF0" w:rsidRDefault="00F8556E" w:rsidP="00074BF0">
      <w:pPr>
        <w:spacing w:before="120" w:line="360" w:lineRule="auto"/>
        <w:ind w:left="-567" w:right="-612"/>
        <w:rPr>
          <w:rFonts w:ascii="Arial" w:hAnsi="Arial" w:cs="Arial"/>
          <w:b/>
          <w:lang w:val="en-US"/>
        </w:rPr>
      </w:pPr>
      <w:r w:rsidRPr="0078251B">
        <w:rPr>
          <w:rFonts w:ascii="Arial" w:hAnsi="Arial" w:cs="Arial"/>
          <w:b/>
          <w:lang w:val="en-US"/>
        </w:rPr>
        <w:t>Th</w:t>
      </w:r>
      <w:r w:rsidR="00E25C44">
        <w:rPr>
          <w:rFonts w:ascii="Arial" w:hAnsi="Arial" w:cs="Arial"/>
          <w:b/>
          <w:lang w:val="en-US"/>
        </w:rPr>
        <w:t>e</w:t>
      </w:r>
      <w:r w:rsidRPr="0078251B">
        <w:rPr>
          <w:rFonts w:ascii="Arial" w:hAnsi="Arial" w:cs="Arial"/>
          <w:b/>
          <w:lang w:val="en-US"/>
        </w:rPr>
        <w:t xml:space="preserve"> mouse KO model </w:t>
      </w:r>
      <w:r w:rsidR="0078251B" w:rsidRPr="0078251B">
        <w:rPr>
          <w:rFonts w:ascii="Arial" w:hAnsi="Arial" w:cs="Arial"/>
          <w:b/>
          <w:lang w:val="en-US"/>
        </w:rPr>
        <w:t xml:space="preserve">has not yet been published and </w:t>
      </w:r>
      <w:r w:rsidR="00E25C44">
        <w:rPr>
          <w:rFonts w:ascii="Arial" w:hAnsi="Arial" w:cs="Arial"/>
          <w:b/>
          <w:lang w:val="en-US"/>
        </w:rPr>
        <w:t xml:space="preserve">its </w:t>
      </w:r>
      <w:r w:rsidR="00CA17F3" w:rsidRPr="0078251B">
        <w:rPr>
          <w:rFonts w:ascii="Arial" w:hAnsi="Arial" w:cs="Arial"/>
          <w:b/>
          <w:lang w:val="en-US"/>
        </w:rPr>
        <w:t xml:space="preserve">identity is </w:t>
      </w:r>
      <w:r w:rsidRPr="0078251B">
        <w:rPr>
          <w:rFonts w:ascii="Arial" w:hAnsi="Arial" w:cs="Arial"/>
          <w:b/>
          <w:lang w:val="en-US"/>
        </w:rPr>
        <w:t>not</w:t>
      </w:r>
      <w:r w:rsidR="0078251B" w:rsidRPr="0078251B">
        <w:rPr>
          <w:rFonts w:ascii="Arial" w:hAnsi="Arial" w:cs="Arial"/>
          <w:b/>
          <w:lang w:val="en-US"/>
        </w:rPr>
        <w:t>, we believe,</w:t>
      </w:r>
      <w:r w:rsidRPr="0078251B">
        <w:rPr>
          <w:rFonts w:ascii="Arial" w:hAnsi="Arial" w:cs="Arial"/>
          <w:b/>
          <w:lang w:val="en-US"/>
        </w:rPr>
        <w:t xml:space="preserve"> relevant to </w:t>
      </w:r>
      <w:r w:rsidR="0078251B" w:rsidRPr="0078251B">
        <w:rPr>
          <w:rFonts w:ascii="Arial" w:hAnsi="Arial" w:cs="Arial"/>
          <w:b/>
          <w:lang w:val="en-US"/>
        </w:rPr>
        <w:t>a</w:t>
      </w:r>
      <w:r w:rsidRPr="0078251B">
        <w:rPr>
          <w:rFonts w:ascii="Arial" w:hAnsi="Arial" w:cs="Arial"/>
          <w:b/>
          <w:lang w:val="en-US"/>
        </w:rPr>
        <w:t xml:space="preserve"> methods article</w:t>
      </w:r>
      <w:r w:rsidR="0078251B" w:rsidRPr="0078251B">
        <w:rPr>
          <w:rFonts w:ascii="Arial" w:hAnsi="Arial" w:cs="Arial"/>
          <w:b/>
          <w:lang w:val="en-US"/>
        </w:rPr>
        <w:t xml:space="preserve"> of this type</w:t>
      </w:r>
      <w:r w:rsidRPr="0078251B">
        <w:rPr>
          <w:rFonts w:ascii="Arial" w:hAnsi="Arial" w:cs="Arial"/>
          <w:b/>
          <w:lang w:val="en-US"/>
        </w:rPr>
        <w:t>.</w:t>
      </w:r>
    </w:p>
    <w:p w14:paraId="11607933" w14:textId="369F87E1" w:rsidR="009D118E" w:rsidRDefault="009D118E" w:rsidP="00074BF0">
      <w:pPr>
        <w:spacing w:before="120" w:line="360" w:lineRule="auto"/>
        <w:ind w:left="-567" w:right="-612"/>
        <w:rPr>
          <w:rFonts w:ascii="Arial" w:hAnsi="Arial" w:cs="Arial"/>
          <w:lang w:val="en-US"/>
        </w:rPr>
      </w:pPr>
      <w:r w:rsidRPr="009D118E">
        <w:rPr>
          <w:rFonts w:ascii="Arial" w:hAnsi="Arial" w:cs="Arial"/>
          <w:lang w:val="en-US"/>
        </w:rPr>
        <w:t xml:space="preserve">Can the author describe/add gram staining in section </w:t>
      </w:r>
      <w:proofErr w:type="gramStart"/>
      <w:r w:rsidRPr="009D118E">
        <w:rPr>
          <w:rFonts w:ascii="Arial" w:hAnsi="Arial" w:cs="Arial"/>
          <w:lang w:val="en-US"/>
        </w:rPr>
        <w:t>1.3 ?</w:t>
      </w:r>
      <w:proofErr w:type="gramEnd"/>
      <w:r w:rsidRPr="009D118E">
        <w:rPr>
          <w:rFonts w:ascii="Arial" w:hAnsi="Arial" w:cs="Arial"/>
          <w:lang w:val="en-US"/>
        </w:rPr>
        <w:t xml:space="preserve"> In my point of </w:t>
      </w:r>
      <w:proofErr w:type="gramStart"/>
      <w:r w:rsidRPr="009D118E">
        <w:rPr>
          <w:rFonts w:ascii="Arial" w:hAnsi="Arial" w:cs="Arial"/>
          <w:lang w:val="en-US"/>
        </w:rPr>
        <w:t>view</w:t>
      </w:r>
      <w:proofErr w:type="gramEnd"/>
      <w:r w:rsidRPr="009D118E">
        <w:rPr>
          <w:rFonts w:ascii="Arial" w:hAnsi="Arial" w:cs="Arial"/>
          <w:lang w:val="en-US"/>
        </w:rPr>
        <w:t xml:space="preserve"> it is critical to verify that the culture is only composed of </w:t>
      </w:r>
      <w:proofErr w:type="spellStart"/>
      <w:r w:rsidRPr="009D118E">
        <w:rPr>
          <w:rFonts w:ascii="Arial" w:hAnsi="Arial" w:cs="Arial"/>
          <w:lang w:val="en-US"/>
        </w:rPr>
        <w:t>Hp</w:t>
      </w:r>
      <w:proofErr w:type="spellEnd"/>
      <w:r w:rsidRPr="009D118E">
        <w:rPr>
          <w:rFonts w:ascii="Arial" w:hAnsi="Arial" w:cs="Arial"/>
          <w:lang w:val="en-US"/>
        </w:rPr>
        <w:t xml:space="preserve"> or Hf and the wet mount is not appropriate to check the purity of the bacterial suspension.</w:t>
      </w:r>
    </w:p>
    <w:p w14:paraId="3BA201CB" w14:textId="77777777" w:rsidR="00074BF0" w:rsidRDefault="00074BF0" w:rsidP="00074BF0">
      <w:pPr>
        <w:spacing w:before="120" w:line="360" w:lineRule="auto"/>
        <w:ind w:left="-567" w:right="-612"/>
        <w:rPr>
          <w:rFonts w:ascii="Arial" w:hAnsi="Arial" w:cs="Arial"/>
          <w:b/>
          <w:lang w:val="en-US"/>
        </w:rPr>
      </w:pPr>
      <w:r w:rsidRPr="00074BF0">
        <w:rPr>
          <w:rFonts w:ascii="Arial" w:hAnsi="Arial" w:cs="Arial"/>
          <w:b/>
          <w:lang w:val="en-GB"/>
        </w:rPr>
        <w:t>We have added the sentence: “Culture purity can be confirmed by performing a Gram-stain.”</w:t>
      </w:r>
    </w:p>
    <w:p w14:paraId="4D5C0095" w14:textId="512BAAD4" w:rsidR="00CA17F3" w:rsidRPr="00074BF0" w:rsidRDefault="009D118E" w:rsidP="00074BF0">
      <w:pPr>
        <w:spacing w:before="120" w:line="360" w:lineRule="auto"/>
        <w:ind w:left="-567" w:right="-612"/>
        <w:rPr>
          <w:rFonts w:ascii="Arial" w:hAnsi="Arial" w:cs="Arial"/>
          <w:b/>
          <w:lang w:val="en-US"/>
        </w:rPr>
      </w:pPr>
      <w:r w:rsidRPr="009D118E">
        <w:rPr>
          <w:rFonts w:ascii="Arial" w:hAnsi="Arial" w:cs="Arial"/>
          <w:lang w:val="en-US"/>
        </w:rPr>
        <w:t xml:space="preserve">Can the author Figure 3C, it is not really positive for the paper to show contamination (very </w:t>
      </w:r>
      <w:proofErr w:type="spellStart"/>
      <w:r w:rsidRPr="009D118E">
        <w:rPr>
          <w:rFonts w:ascii="Arial" w:hAnsi="Arial" w:cs="Arial"/>
          <w:lang w:val="en-US"/>
        </w:rPr>
        <w:t>personnal</w:t>
      </w:r>
      <w:proofErr w:type="spellEnd"/>
      <w:r w:rsidRPr="009D118E">
        <w:rPr>
          <w:rFonts w:ascii="Arial" w:hAnsi="Arial" w:cs="Arial"/>
          <w:lang w:val="en-US"/>
        </w:rPr>
        <w:t xml:space="preserve"> </w:t>
      </w:r>
      <w:proofErr w:type="gramStart"/>
      <w:r w:rsidRPr="009D118E">
        <w:rPr>
          <w:rFonts w:ascii="Arial" w:hAnsi="Arial" w:cs="Arial"/>
          <w:lang w:val="en-US"/>
        </w:rPr>
        <w:t>view)</w:t>
      </w:r>
      <w:proofErr w:type="gramEnd"/>
    </w:p>
    <w:p w14:paraId="5A02C7D5" w14:textId="1B89A0C0" w:rsidR="00CA17F3" w:rsidRPr="0078251B" w:rsidRDefault="009C5ABA" w:rsidP="009D118E">
      <w:pPr>
        <w:spacing w:before="120" w:line="360" w:lineRule="auto"/>
        <w:ind w:left="-567" w:right="-612"/>
        <w:rPr>
          <w:rFonts w:ascii="Arial" w:hAnsi="Arial" w:cs="Arial"/>
          <w:b/>
          <w:lang w:val="en-US"/>
        </w:rPr>
      </w:pPr>
      <w:r w:rsidRPr="0078251B">
        <w:rPr>
          <w:rFonts w:ascii="Arial" w:hAnsi="Arial" w:cs="Arial"/>
          <w:b/>
          <w:lang w:val="en-US"/>
        </w:rPr>
        <w:t xml:space="preserve">Although </w:t>
      </w:r>
      <w:r w:rsidR="009C3A85">
        <w:rPr>
          <w:rFonts w:ascii="Arial" w:hAnsi="Arial" w:cs="Arial"/>
          <w:b/>
          <w:lang w:val="en-US"/>
        </w:rPr>
        <w:t>the</w:t>
      </w:r>
      <w:r w:rsidRPr="0078251B">
        <w:rPr>
          <w:rFonts w:ascii="Arial" w:hAnsi="Arial" w:cs="Arial"/>
          <w:b/>
          <w:lang w:val="en-US"/>
        </w:rPr>
        <w:t xml:space="preserve"> </w:t>
      </w:r>
      <w:r w:rsidR="009C3A85">
        <w:rPr>
          <w:rFonts w:ascii="Arial" w:hAnsi="Arial" w:cs="Arial"/>
          <w:b/>
          <w:lang w:val="en-US"/>
        </w:rPr>
        <w:t xml:space="preserve">medium </w:t>
      </w:r>
      <w:r w:rsidRPr="0078251B">
        <w:rPr>
          <w:rFonts w:ascii="Arial" w:hAnsi="Arial" w:cs="Arial"/>
          <w:b/>
          <w:lang w:val="en-US"/>
        </w:rPr>
        <w:t xml:space="preserve">used to grow </w:t>
      </w:r>
      <w:r w:rsidRPr="0078251B">
        <w:rPr>
          <w:rFonts w:ascii="Arial" w:hAnsi="Arial" w:cs="Arial"/>
          <w:b/>
          <w:i/>
          <w:lang w:val="en-US"/>
        </w:rPr>
        <w:t>Helicobacter</w:t>
      </w:r>
      <w:r w:rsidRPr="0078251B">
        <w:rPr>
          <w:rFonts w:ascii="Arial" w:hAnsi="Arial" w:cs="Arial"/>
          <w:b/>
          <w:lang w:val="en-US"/>
        </w:rPr>
        <w:t xml:space="preserve"> spp. from </w:t>
      </w:r>
      <w:r w:rsidR="0078251B">
        <w:rPr>
          <w:rFonts w:ascii="Arial" w:hAnsi="Arial" w:cs="Arial"/>
          <w:b/>
          <w:lang w:val="en-US"/>
        </w:rPr>
        <w:t>mouse stomachs</w:t>
      </w:r>
      <w:r w:rsidR="009C3A85">
        <w:rPr>
          <w:rFonts w:ascii="Arial" w:hAnsi="Arial" w:cs="Arial"/>
          <w:b/>
          <w:lang w:val="en-US"/>
        </w:rPr>
        <w:t xml:space="preserve"> is highly selective</w:t>
      </w:r>
      <w:r w:rsidRPr="0078251B">
        <w:rPr>
          <w:rFonts w:ascii="Arial" w:hAnsi="Arial" w:cs="Arial"/>
          <w:b/>
          <w:lang w:val="en-US"/>
        </w:rPr>
        <w:t xml:space="preserve">, </w:t>
      </w:r>
      <w:r w:rsidR="009C3A85" w:rsidRPr="0078251B">
        <w:rPr>
          <w:rFonts w:ascii="Arial" w:hAnsi="Arial" w:cs="Arial"/>
          <w:b/>
          <w:lang w:val="en-US"/>
        </w:rPr>
        <w:t xml:space="preserve">it is </w:t>
      </w:r>
      <w:r w:rsidR="009C3A85">
        <w:rPr>
          <w:rFonts w:ascii="Arial" w:hAnsi="Arial" w:cs="Arial"/>
          <w:b/>
          <w:lang w:val="en-US"/>
        </w:rPr>
        <w:t>quite common</w:t>
      </w:r>
      <w:r w:rsidR="009C3A85" w:rsidRPr="0078251B">
        <w:rPr>
          <w:rFonts w:ascii="Arial" w:hAnsi="Arial" w:cs="Arial"/>
          <w:b/>
          <w:lang w:val="en-US"/>
        </w:rPr>
        <w:t xml:space="preserve"> to </w:t>
      </w:r>
      <w:r w:rsidR="009C3A85">
        <w:rPr>
          <w:rFonts w:ascii="Arial" w:hAnsi="Arial" w:cs="Arial"/>
          <w:b/>
          <w:lang w:val="en-US"/>
        </w:rPr>
        <w:t xml:space="preserve">also </w:t>
      </w:r>
      <w:r w:rsidR="009C3A85" w:rsidRPr="0078251B">
        <w:rPr>
          <w:rFonts w:ascii="Arial" w:hAnsi="Arial" w:cs="Arial"/>
          <w:b/>
          <w:lang w:val="en-US"/>
        </w:rPr>
        <w:t>isolate non-</w:t>
      </w:r>
      <w:r w:rsidR="009C3A85" w:rsidRPr="0078251B">
        <w:rPr>
          <w:rFonts w:ascii="Arial" w:hAnsi="Arial" w:cs="Arial"/>
          <w:b/>
          <w:i/>
          <w:lang w:val="en-US"/>
        </w:rPr>
        <w:t>Helicobacter</w:t>
      </w:r>
      <w:r w:rsidR="009C3A85" w:rsidRPr="0078251B">
        <w:rPr>
          <w:rFonts w:ascii="Arial" w:hAnsi="Arial" w:cs="Arial"/>
          <w:b/>
          <w:lang w:val="en-US"/>
        </w:rPr>
        <w:t xml:space="preserve"> spp. </w:t>
      </w:r>
      <w:r w:rsidR="009C3A85">
        <w:rPr>
          <w:rFonts w:ascii="Arial" w:hAnsi="Arial" w:cs="Arial"/>
          <w:b/>
          <w:lang w:val="en-US"/>
        </w:rPr>
        <w:t>on this medium</w:t>
      </w:r>
      <w:r w:rsidR="009C3A85" w:rsidRPr="0078251B">
        <w:rPr>
          <w:rFonts w:ascii="Arial" w:hAnsi="Arial" w:cs="Arial"/>
          <w:b/>
          <w:lang w:val="en-US"/>
        </w:rPr>
        <w:t xml:space="preserve">. </w:t>
      </w:r>
      <w:r w:rsidR="009C3A85">
        <w:rPr>
          <w:rFonts w:ascii="Arial" w:hAnsi="Arial" w:cs="Arial"/>
          <w:b/>
          <w:lang w:val="en-US"/>
        </w:rPr>
        <w:t>For this reason, w</w:t>
      </w:r>
      <w:r w:rsidR="00CA17F3" w:rsidRPr="0078251B">
        <w:rPr>
          <w:rFonts w:ascii="Arial" w:hAnsi="Arial" w:cs="Arial"/>
          <w:b/>
          <w:lang w:val="en-US"/>
        </w:rPr>
        <w:t xml:space="preserve">e think </w:t>
      </w:r>
      <w:r w:rsidRPr="0078251B">
        <w:rPr>
          <w:rFonts w:ascii="Arial" w:hAnsi="Arial" w:cs="Arial"/>
          <w:b/>
          <w:lang w:val="en-US"/>
        </w:rPr>
        <w:t xml:space="preserve">that </w:t>
      </w:r>
      <w:r w:rsidR="00CA17F3" w:rsidRPr="0078251B">
        <w:rPr>
          <w:rFonts w:ascii="Arial" w:hAnsi="Arial" w:cs="Arial"/>
          <w:b/>
          <w:lang w:val="en-US"/>
        </w:rPr>
        <w:t xml:space="preserve">it is important </w:t>
      </w:r>
      <w:r w:rsidR="009F3446" w:rsidRPr="0078251B">
        <w:rPr>
          <w:rFonts w:ascii="Arial" w:hAnsi="Arial" w:cs="Arial"/>
          <w:b/>
          <w:lang w:val="en-US"/>
        </w:rPr>
        <w:t>to stress th</w:t>
      </w:r>
      <w:r w:rsidR="009C3A85">
        <w:rPr>
          <w:rFonts w:ascii="Arial" w:hAnsi="Arial" w:cs="Arial"/>
          <w:b/>
          <w:lang w:val="en-US"/>
        </w:rPr>
        <w:t>is</w:t>
      </w:r>
      <w:r w:rsidR="009F3446" w:rsidRPr="0078251B">
        <w:rPr>
          <w:rFonts w:ascii="Arial" w:hAnsi="Arial" w:cs="Arial"/>
          <w:b/>
          <w:lang w:val="en-US"/>
        </w:rPr>
        <w:t xml:space="preserve"> point to</w:t>
      </w:r>
      <w:r w:rsidR="00CA17F3" w:rsidRPr="0078251B">
        <w:rPr>
          <w:rFonts w:ascii="Arial" w:hAnsi="Arial" w:cs="Arial"/>
          <w:b/>
          <w:lang w:val="en-US"/>
        </w:rPr>
        <w:t xml:space="preserve"> inexperienced workers</w:t>
      </w:r>
      <w:r w:rsidR="009C3A85">
        <w:rPr>
          <w:rFonts w:ascii="Arial" w:hAnsi="Arial" w:cs="Arial"/>
          <w:b/>
          <w:lang w:val="en-US"/>
        </w:rPr>
        <w:t xml:space="preserve">. </w:t>
      </w:r>
      <w:r w:rsidR="0078251B" w:rsidRPr="0078251B">
        <w:rPr>
          <w:rFonts w:ascii="Arial" w:hAnsi="Arial" w:cs="Arial"/>
          <w:b/>
          <w:lang w:val="en-US"/>
        </w:rPr>
        <w:t>Reviewer #1</w:t>
      </w:r>
      <w:r w:rsidR="0078251B">
        <w:rPr>
          <w:rFonts w:ascii="Arial" w:hAnsi="Arial" w:cs="Arial"/>
          <w:b/>
          <w:lang w:val="en-US"/>
        </w:rPr>
        <w:t xml:space="preserve"> made a similar</w:t>
      </w:r>
      <w:r w:rsidR="00CA17F3" w:rsidRPr="0078251B">
        <w:rPr>
          <w:rFonts w:ascii="Arial" w:hAnsi="Arial" w:cs="Arial"/>
          <w:b/>
          <w:lang w:val="en-US"/>
        </w:rPr>
        <w:t xml:space="preserve"> </w:t>
      </w:r>
      <w:r w:rsidR="009C3A85">
        <w:rPr>
          <w:rFonts w:ascii="Arial" w:hAnsi="Arial" w:cs="Arial"/>
          <w:b/>
          <w:lang w:val="en-US"/>
        </w:rPr>
        <w:t>comment about this</w:t>
      </w:r>
      <w:r w:rsidR="00CA17F3" w:rsidRPr="0078251B">
        <w:rPr>
          <w:rFonts w:ascii="Arial" w:hAnsi="Arial" w:cs="Arial"/>
          <w:b/>
          <w:lang w:val="en-US"/>
        </w:rPr>
        <w:t xml:space="preserve"> </w:t>
      </w:r>
      <w:r w:rsidR="0078251B">
        <w:rPr>
          <w:rFonts w:ascii="Arial" w:hAnsi="Arial" w:cs="Arial"/>
          <w:b/>
          <w:lang w:val="en-US"/>
        </w:rPr>
        <w:t>in his/her comments</w:t>
      </w:r>
      <w:r w:rsidR="00CA17F3" w:rsidRPr="0078251B">
        <w:rPr>
          <w:rFonts w:ascii="Arial" w:hAnsi="Arial" w:cs="Arial"/>
          <w:b/>
          <w:lang w:val="en-US"/>
        </w:rPr>
        <w:t xml:space="preserve">. </w:t>
      </w:r>
    </w:p>
    <w:p w14:paraId="37B919A9" w14:textId="77777777" w:rsidR="00CA17F3" w:rsidRDefault="00CA17F3" w:rsidP="009D118E">
      <w:pPr>
        <w:spacing w:before="120" w:line="360" w:lineRule="auto"/>
        <w:ind w:left="-567" w:right="-612"/>
        <w:rPr>
          <w:rFonts w:ascii="Arial" w:hAnsi="Arial" w:cs="Arial"/>
          <w:lang w:val="en-US"/>
        </w:rPr>
      </w:pPr>
    </w:p>
    <w:p w14:paraId="2B97733B" w14:textId="756DF841" w:rsidR="0078251B" w:rsidRDefault="0078251B" w:rsidP="009D118E">
      <w:pPr>
        <w:spacing w:before="120" w:line="360" w:lineRule="auto"/>
        <w:ind w:left="-567" w:right="-612"/>
        <w:rPr>
          <w:rFonts w:ascii="Arial" w:hAnsi="Arial" w:cs="Arial"/>
          <w:lang w:val="en-US"/>
        </w:rPr>
      </w:pPr>
      <w:r>
        <w:rPr>
          <w:rFonts w:ascii="Arial" w:hAnsi="Arial" w:cs="Arial"/>
          <w:lang w:val="en-US"/>
        </w:rPr>
        <w:lastRenderedPageBreak/>
        <w:t>We trust that we have satisfactorily addressed the reviewers’ minor concerns and that the manuscript is now suitable for publication.</w:t>
      </w:r>
    </w:p>
    <w:p w14:paraId="3C7DB783" w14:textId="77777777" w:rsidR="0078251B" w:rsidRDefault="0078251B" w:rsidP="009D118E">
      <w:pPr>
        <w:spacing w:before="120" w:line="360" w:lineRule="auto"/>
        <w:ind w:left="-567" w:right="-612"/>
        <w:rPr>
          <w:rFonts w:ascii="Arial" w:hAnsi="Arial" w:cs="Arial"/>
          <w:lang w:val="en-US"/>
        </w:rPr>
      </w:pPr>
    </w:p>
    <w:p w14:paraId="56D7D697" w14:textId="5D8F3576" w:rsidR="004F2E49" w:rsidRPr="0045015B" w:rsidRDefault="004F2E49" w:rsidP="009D118E">
      <w:pPr>
        <w:spacing w:before="120" w:line="360" w:lineRule="auto"/>
        <w:ind w:left="-567" w:right="-612"/>
        <w:rPr>
          <w:rFonts w:ascii="Arial" w:hAnsi="Arial" w:cs="Arial"/>
          <w:lang w:val="en-US"/>
        </w:rPr>
      </w:pPr>
      <w:r w:rsidRPr="0045015B">
        <w:rPr>
          <w:rFonts w:ascii="Arial" w:hAnsi="Arial" w:cs="Arial"/>
          <w:lang w:val="en-US"/>
        </w:rPr>
        <w:t>Yours Sincerely</w:t>
      </w:r>
      <w:r w:rsidR="006B4831" w:rsidRPr="0045015B">
        <w:rPr>
          <w:rFonts w:ascii="Arial" w:hAnsi="Arial" w:cs="Arial"/>
          <w:lang w:val="en-US"/>
        </w:rPr>
        <w:t>,</w:t>
      </w:r>
    </w:p>
    <w:p w14:paraId="31505132" w14:textId="77777777" w:rsidR="004F2E49" w:rsidRPr="0045015B" w:rsidRDefault="004F2E49" w:rsidP="00656ADD">
      <w:pPr>
        <w:widowControl w:val="0"/>
        <w:tabs>
          <w:tab w:val="left" w:pos="284"/>
        </w:tabs>
        <w:autoSpaceDE w:val="0"/>
        <w:autoSpaceDN w:val="0"/>
        <w:adjustRightInd w:val="0"/>
        <w:spacing w:line="360" w:lineRule="auto"/>
        <w:ind w:left="-567" w:right="-613"/>
        <w:rPr>
          <w:rFonts w:ascii="Arial" w:hAnsi="Arial" w:cs="Arial"/>
          <w:lang w:val="en-US" w:bidi="en-US"/>
        </w:rPr>
      </w:pPr>
      <w:r w:rsidRPr="0045015B">
        <w:rPr>
          <w:noProof/>
          <w:lang w:val="en-GB" w:eastAsia="en-GB"/>
        </w:rPr>
        <w:drawing>
          <wp:anchor distT="0" distB="0" distL="114300" distR="114300" simplePos="0" relativeHeight="251659264" behindDoc="0" locked="0" layoutInCell="1" allowOverlap="1" wp14:anchorId="36A232DB" wp14:editId="0785B9D4">
            <wp:simplePos x="0" y="0"/>
            <wp:positionH relativeFrom="column">
              <wp:posOffset>196215</wp:posOffset>
            </wp:positionH>
            <wp:positionV relativeFrom="paragraph">
              <wp:posOffset>92710</wp:posOffset>
            </wp:positionV>
            <wp:extent cx="2286000" cy="423545"/>
            <wp:effectExtent l="0" t="0" r="0" b="0"/>
            <wp:wrapSquare wrapText="bothSides"/>
            <wp:docPr id="4" name="Picture 2" descr="New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igna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47CC0B" w14:textId="77777777" w:rsidR="004F2E49" w:rsidRPr="0045015B" w:rsidRDefault="004F2E49" w:rsidP="00656ADD">
      <w:pPr>
        <w:widowControl w:val="0"/>
        <w:tabs>
          <w:tab w:val="left" w:pos="284"/>
        </w:tabs>
        <w:autoSpaceDE w:val="0"/>
        <w:autoSpaceDN w:val="0"/>
        <w:adjustRightInd w:val="0"/>
        <w:spacing w:line="360" w:lineRule="auto"/>
        <w:ind w:left="-567" w:right="-613"/>
        <w:rPr>
          <w:rFonts w:ascii="Arial" w:hAnsi="Arial" w:cs="Arial"/>
          <w:lang w:val="en-US" w:bidi="en-US"/>
        </w:rPr>
      </w:pPr>
    </w:p>
    <w:p w14:paraId="6A6BBCE0" w14:textId="77777777" w:rsidR="004F2E49" w:rsidRPr="0045015B" w:rsidRDefault="004F2E49" w:rsidP="00656ADD">
      <w:pPr>
        <w:widowControl w:val="0"/>
        <w:tabs>
          <w:tab w:val="left" w:pos="284"/>
        </w:tabs>
        <w:autoSpaceDE w:val="0"/>
        <w:autoSpaceDN w:val="0"/>
        <w:adjustRightInd w:val="0"/>
        <w:spacing w:line="360" w:lineRule="auto"/>
        <w:ind w:left="-567" w:right="-613"/>
        <w:rPr>
          <w:rFonts w:ascii="Arial" w:hAnsi="Arial" w:cs="Arial"/>
          <w:lang w:val="en-US" w:bidi="en-US"/>
        </w:rPr>
      </w:pPr>
    </w:p>
    <w:p w14:paraId="4239D962" w14:textId="0959CDB7" w:rsidR="004F2E49" w:rsidRPr="0045015B" w:rsidRDefault="004F2E49" w:rsidP="00E74447">
      <w:pPr>
        <w:widowControl w:val="0"/>
        <w:tabs>
          <w:tab w:val="left" w:pos="284"/>
        </w:tabs>
        <w:autoSpaceDE w:val="0"/>
        <w:autoSpaceDN w:val="0"/>
        <w:adjustRightInd w:val="0"/>
        <w:spacing w:line="360" w:lineRule="auto"/>
        <w:ind w:left="-567" w:right="-613"/>
        <w:outlineLvl w:val="0"/>
        <w:rPr>
          <w:rFonts w:ascii="Arial" w:hAnsi="Arial" w:cs="Arial"/>
          <w:lang w:val="en-US" w:bidi="en-US"/>
        </w:rPr>
      </w:pPr>
      <w:r w:rsidRPr="0045015B">
        <w:rPr>
          <w:rFonts w:ascii="Arial" w:hAnsi="Arial" w:cs="Arial"/>
          <w:lang w:val="en-US" w:bidi="en-US"/>
        </w:rPr>
        <w:t>Professor Richard L. FERRERO</w:t>
      </w:r>
    </w:p>
    <w:p w14:paraId="40554FAE" w14:textId="77777777" w:rsidR="004F2E49" w:rsidRPr="0045015B" w:rsidRDefault="004F2E49" w:rsidP="00656ADD">
      <w:pPr>
        <w:widowControl w:val="0"/>
        <w:tabs>
          <w:tab w:val="left" w:pos="284"/>
        </w:tabs>
        <w:autoSpaceDE w:val="0"/>
        <w:autoSpaceDN w:val="0"/>
        <w:adjustRightInd w:val="0"/>
        <w:spacing w:line="360" w:lineRule="auto"/>
        <w:ind w:left="-567" w:right="-613"/>
        <w:rPr>
          <w:rFonts w:ascii="Arial" w:hAnsi="Arial" w:cs="Arial"/>
          <w:lang w:val="en-US" w:bidi="en-US"/>
        </w:rPr>
      </w:pPr>
      <w:r w:rsidRPr="0045015B">
        <w:rPr>
          <w:rFonts w:ascii="Arial" w:hAnsi="Arial" w:cs="Arial"/>
          <w:lang w:val="en-US" w:bidi="en-US"/>
        </w:rPr>
        <w:t>NHMRC Senior Research Fellow</w:t>
      </w:r>
    </w:p>
    <w:p w14:paraId="23DEA034" w14:textId="77777777" w:rsidR="004F2E49" w:rsidRPr="0045015B" w:rsidRDefault="004F2E49" w:rsidP="00656ADD">
      <w:pPr>
        <w:widowControl w:val="0"/>
        <w:tabs>
          <w:tab w:val="left" w:pos="284"/>
        </w:tabs>
        <w:autoSpaceDE w:val="0"/>
        <w:autoSpaceDN w:val="0"/>
        <w:adjustRightInd w:val="0"/>
        <w:spacing w:line="360" w:lineRule="auto"/>
        <w:ind w:left="-567" w:right="-613"/>
        <w:rPr>
          <w:rFonts w:ascii="Arial" w:hAnsi="Arial" w:cs="Arial"/>
          <w:lang w:val="en-US" w:bidi="en-US"/>
        </w:rPr>
      </w:pPr>
      <w:r w:rsidRPr="0045015B">
        <w:rPr>
          <w:rFonts w:ascii="Arial" w:hAnsi="Arial" w:cs="Arial"/>
          <w:lang w:val="en-US" w:bidi="en-US"/>
        </w:rPr>
        <w:t>Hudson Institute of Medical Research</w:t>
      </w:r>
    </w:p>
    <w:p w14:paraId="2EB4A423" w14:textId="77777777" w:rsidR="004F2E49" w:rsidRPr="0045015B" w:rsidRDefault="004F2E49" w:rsidP="00656ADD">
      <w:pPr>
        <w:widowControl w:val="0"/>
        <w:tabs>
          <w:tab w:val="left" w:pos="284"/>
        </w:tabs>
        <w:autoSpaceDE w:val="0"/>
        <w:autoSpaceDN w:val="0"/>
        <w:adjustRightInd w:val="0"/>
        <w:spacing w:line="360" w:lineRule="auto"/>
        <w:ind w:left="-567" w:right="-613"/>
        <w:rPr>
          <w:rFonts w:ascii="Arial" w:hAnsi="Arial" w:cs="Arial"/>
          <w:lang w:val="en-US" w:bidi="en-US"/>
        </w:rPr>
      </w:pPr>
      <w:r w:rsidRPr="0045015B">
        <w:rPr>
          <w:rFonts w:ascii="Arial" w:hAnsi="Arial" w:cs="Arial"/>
          <w:lang w:val="en-US" w:bidi="en-US"/>
        </w:rPr>
        <w:t>Monash University</w:t>
      </w:r>
    </w:p>
    <w:p w14:paraId="6309A3DC" w14:textId="77777777" w:rsidR="004F2E49" w:rsidRPr="0045015B" w:rsidRDefault="004F2E49" w:rsidP="00656ADD">
      <w:pPr>
        <w:widowControl w:val="0"/>
        <w:tabs>
          <w:tab w:val="left" w:pos="284"/>
        </w:tabs>
        <w:autoSpaceDE w:val="0"/>
        <w:autoSpaceDN w:val="0"/>
        <w:adjustRightInd w:val="0"/>
        <w:spacing w:line="360" w:lineRule="auto"/>
        <w:ind w:left="-567" w:right="-613"/>
        <w:rPr>
          <w:rFonts w:ascii="Arial" w:hAnsi="Arial" w:cs="Arial"/>
          <w:lang w:val="en-US" w:bidi="en-US"/>
        </w:rPr>
      </w:pPr>
      <w:r w:rsidRPr="0045015B">
        <w:rPr>
          <w:rFonts w:ascii="Arial" w:hAnsi="Arial" w:cs="Arial"/>
          <w:lang w:val="en-US" w:bidi="en-US"/>
        </w:rPr>
        <w:t xml:space="preserve">27-31 Wright St., Clayton (3168) </w:t>
      </w:r>
    </w:p>
    <w:p w14:paraId="03E02443" w14:textId="77777777" w:rsidR="004F2E49" w:rsidRPr="0045015B" w:rsidRDefault="004F2E49" w:rsidP="00656ADD">
      <w:pPr>
        <w:widowControl w:val="0"/>
        <w:tabs>
          <w:tab w:val="left" w:pos="284"/>
        </w:tabs>
        <w:autoSpaceDE w:val="0"/>
        <w:autoSpaceDN w:val="0"/>
        <w:adjustRightInd w:val="0"/>
        <w:spacing w:line="360" w:lineRule="auto"/>
        <w:ind w:left="-567" w:right="-613"/>
        <w:rPr>
          <w:rFonts w:ascii="Arial" w:hAnsi="Arial" w:cs="Arial"/>
          <w:lang w:val="en-US" w:bidi="en-US"/>
        </w:rPr>
      </w:pPr>
      <w:r w:rsidRPr="0045015B">
        <w:rPr>
          <w:rFonts w:ascii="Arial" w:hAnsi="Arial" w:cs="Arial"/>
          <w:lang w:val="en-US" w:bidi="en-US"/>
        </w:rPr>
        <w:t>Victoria</w:t>
      </w:r>
    </w:p>
    <w:p w14:paraId="4A99C8C6" w14:textId="0851E3E7" w:rsidR="00365E06" w:rsidRPr="0045015B" w:rsidRDefault="004F2E49" w:rsidP="00656ADD">
      <w:pPr>
        <w:widowControl w:val="0"/>
        <w:tabs>
          <w:tab w:val="left" w:pos="284"/>
        </w:tabs>
        <w:autoSpaceDE w:val="0"/>
        <w:autoSpaceDN w:val="0"/>
        <w:adjustRightInd w:val="0"/>
        <w:spacing w:line="360" w:lineRule="auto"/>
        <w:ind w:left="-567" w:right="-613"/>
        <w:rPr>
          <w:rFonts w:ascii="Arial" w:hAnsi="Arial" w:cs="Arial"/>
          <w:lang w:val="en-US" w:bidi="en-US"/>
        </w:rPr>
      </w:pPr>
      <w:r w:rsidRPr="0045015B">
        <w:rPr>
          <w:rFonts w:ascii="Arial" w:hAnsi="Arial" w:cs="Arial"/>
          <w:lang w:val="en-US" w:bidi="en-US"/>
        </w:rPr>
        <w:t>Australia</w:t>
      </w:r>
    </w:p>
    <w:p w14:paraId="46EB1FAE" w14:textId="77777777" w:rsidR="004F2E49" w:rsidRPr="0045015B" w:rsidRDefault="004F2E49" w:rsidP="00656ADD">
      <w:pPr>
        <w:spacing w:line="360" w:lineRule="auto"/>
        <w:ind w:right="-612"/>
        <w:rPr>
          <w:rFonts w:ascii="Arial" w:hAnsi="Arial" w:cs="Arial"/>
          <w:lang w:val="en-US"/>
        </w:rPr>
      </w:pPr>
    </w:p>
    <w:p w14:paraId="22C7C6F9" w14:textId="77777777" w:rsidR="00BA7665" w:rsidRPr="0045015B" w:rsidRDefault="00BA7665" w:rsidP="00656ADD">
      <w:pPr>
        <w:spacing w:line="360" w:lineRule="auto"/>
        <w:ind w:left="-567" w:right="-613"/>
        <w:rPr>
          <w:rFonts w:ascii="Arial" w:hAnsi="Arial" w:cs="Arial"/>
          <w:lang w:val="en-US"/>
        </w:rPr>
      </w:pPr>
    </w:p>
    <w:p w14:paraId="3D31DF9A" w14:textId="77777777" w:rsidR="00BA7665" w:rsidRPr="0045015B" w:rsidRDefault="00BA7665" w:rsidP="00656ADD">
      <w:pPr>
        <w:spacing w:line="360" w:lineRule="auto"/>
        <w:ind w:left="-567"/>
        <w:rPr>
          <w:rFonts w:ascii="Arial" w:hAnsi="Arial" w:cs="Arial"/>
          <w:b/>
          <w:lang w:val="en-US"/>
        </w:rPr>
      </w:pPr>
    </w:p>
    <w:p w14:paraId="0B3CAFDF" w14:textId="77777777" w:rsidR="00BA7665" w:rsidRPr="0045015B" w:rsidRDefault="00BA7665" w:rsidP="00656ADD">
      <w:pPr>
        <w:spacing w:line="360" w:lineRule="auto"/>
        <w:ind w:right="-613"/>
        <w:rPr>
          <w:rFonts w:ascii="Arial" w:hAnsi="Arial" w:cs="Arial"/>
          <w:lang w:val="en-US"/>
        </w:rPr>
      </w:pPr>
    </w:p>
    <w:sectPr w:rsidR="00BA7665" w:rsidRPr="0045015B" w:rsidSect="002945F4">
      <w:footerReference w:type="default" r:id="rId8"/>
      <w:headerReference w:type="first" r:id="rId9"/>
      <w:footerReference w:type="first" r:id="rId10"/>
      <w:pgSz w:w="11906" w:h="16838" w:code="9"/>
      <w:pgMar w:top="1560" w:right="1440" w:bottom="1440" w:left="1440"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A663D" w14:textId="77777777" w:rsidR="002835BB" w:rsidRDefault="002835BB" w:rsidP="009020D5">
      <w:r>
        <w:separator/>
      </w:r>
    </w:p>
  </w:endnote>
  <w:endnote w:type="continuationSeparator" w:id="0">
    <w:p w14:paraId="758CCD1D" w14:textId="77777777" w:rsidR="002835BB" w:rsidRDefault="002835BB" w:rsidP="0090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9831E" w14:textId="2BA9E4FD" w:rsidR="00753CCF" w:rsidRPr="00EA7AB4" w:rsidRDefault="00753CCF" w:rsidP="00EA7AB4">
    <w:pPr>
      <w:pStyle w:val="Footer"/>
      <w:tabs>
        <w:tab w:val="clear" w:pos="9026"/>
      </w:tabs>
      <w:rPr>
        <w:rFonts w:ascii="Arial" w:hAnsi="Arial"/>
      </w:rPr>
    </w:pPr>
    <w:r>
      <w:tab/>
    </w:r>
    <w:r w:rsidRPr="00EA7AB4">
      <w:rPr>
        <w:rStyle w:val="PageNumber"/>
        <w:rFonts w:ascii="Arial" w:hAnsi="Arial"/>
      </w:rPr>
      <w:fldChar w:fldCharType="begin"/>
    </w:r>
    <w:r w:rsidRPr="00EA7AB4">
      <w:rPr>
        <w:rStyle w:val="PageNumber"/>
        <w:rFonts w:ascii="Arial" w:hAnsi="Arial"/>
      </w:rPr>
      <w:instrText xml:space="preserve"> PAGE </w:instrText>
    </w:r>
    <w:r w:rsidRPr="00EA7AB4">
      <w:rPr>
        <w:rStyle w:val="PageNumber"/>
        <w:rFonts w:ascii="Arial" w:hAnsi="Arial"/>
      </w:rPr>
      <w:fldChar w:fldCharType="separate"/>
    </w:r>
    <w:r w:rsidR="00264FC7">
      <w:rPr>
        <w:rStyle w:val="PageNumber"/>
        <w:rFonts w:ascii="Arial" w:hAnsi="Arial"/>
        <w:noProof/>
      </w:rPr>
      <w:t>2</w:t>
    </w:r>
    <w:r w:rsidRPr="00EA7AB4">
      <w:rPr>
        <w:rStyle w:val="PageNumber"/>
        <w:rFonts w:ascii="Arial" w:hAnsi="Arial"/>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F6DB3" w14:textId="6DB85BDC" w:rsidR="00753CCF" w:rsidRPr="00DE4EA5" w:rsidRDefault="00753CCF" w:rsidP="00DE4EA5">
    <w:pPr>
      <w:pStyle w:val="Footer"/>
      <w:jc w:val="center"/>
      <w:rPr>
        <w:rFonts w:ascii="Arial" w:hAnsi="Arial"/>
      </w:rPr>
    </w:pPr>
    <w:r w:rsidRPr="00DE4EA5">
      <w:rPr>
        <w:rStyle w:val="PageNumber"/>
        <w:rFonts w:ascii="Arial" w:hAnsi="Arial"/>
      </w:rPr>
      <w:fldChar w:fldCharType="begin"/>
    </w:r>
    <w:r w:rsidRPr="00DE4EA5">
      <w:rPr>
        <w:rStyle w:val="PageNumber"/>
        <w:rFonts w:ascii="Arial" w:hAnsi="Arial"/>
      </w:rPr>
      <w:instrText xml:space="preserve"> PAGE </w:instrText>
    </w:r>
    <w:r w:rsidRPr="00DE4EA5">
      <w:rPr>
        <w:rStyle w:val="PageNumber"/>
        <w:rFonts w:ascii="Arial" w:hAnsi="Arial"/>
      </w:rPr>
      <w:fldChar w:fldCharType="separate"/>
    </w:r>
    <w:r w:rsidR="00264FC7">
      <w:rPr>
        <w:rStyle w:val="PageNumber"/>
        <w:rFonts w:ascii="Arial" w:hAnsi="Arial"/>
        <w:noProof/>
      </w:rPr>
      <w:t>1</w:t>
    </w:r>
    <w:r w:rsidRPr="00DE4EA5">
      <w:rPr>
        <w:rStyle w:val="PageNumber"/>
        <w:rFonts w:ascii="Arial" w:hAnsi="Arial"/>
      </w:rPr>
      <w:fldChar w:fldCharType="end"/>
    </w:r>
    <w:r w:rsidRPr="00DE4EA5">
      <w:rPr>
        <w:rFonts w:ascii="Arial" w:hAnsi="Arial"/>
        <w:noProof/>
        <w:lang w:val="en-GB" w:eastAsia="en-GB"/>
      </w:rPr>
      <w:drawing>
        <wp:anchor distT="0" distB="0" distL="114300" distR="114300" simplePos="0" relativeHeight="251673600" behindDoc="1" locked="0" layoutInCell="1" allowOverlap="1" wp14:anchorId="60ACDC89" wp14:editId="62955699">
          <wp:simplePos x="0" y="0"/>
          <wp:positionH relativeFrom="column">
            <wp:posOffset>-914400</wp:posOffset>
          </wp:positionH>
          <wp:positionV relativeFrom="paragraph">
            <wp:posOffset>-136525</wp:posOffset>
          </wp:positionV>
          <wp:extent cx="7560310" cy="742950"/>
          <wp:effectExtent l="19050" t="0" r="2540" b="0"/>
          <wp:wrapNone/>
          <wp:docPr id="6" name="Picture 1" descr="hudson_letterhead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dson_letterhead_footer.jpg"/>
                  <pic:cNvPicPr/>
                </pic:nvPicPr>
                <pic:blipFill>
                  <a:blip r:embed="rId1"/>
                  <a:stretch>
                    <a:fillRect/>
                  </a:stretch>
                </pic:blipFill>
                <pic:spPr>
                  <a:xfrm>
                    <a:off x="0" y="0"/>
                    <a:ext cx="7560310" cy="742950"/>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597D2" w14:textId="77777777" w:rsidR="002835BB" w:rsidRDefault="002835BB" w:rsidP="009020D5">
      <w:r>
        <w:separator/>
      </w:r>
    </w:p>
  </w:footnote>
  <w:footnote w:type="continuationSeparator" w:id="0">
    <w:p w14:paraId="223050B2" w14:textId="77777777" w:rsidR="002835BB" w:rsidRDefault="002835BB" w:rsidP="009020D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021B2" w14:textId="77777777" w:rsidR="00753CCF" w:rsidRDefault="00753CCF">
    <w:pPr>
      <w:pStyle w:val="Header"/>
    </w:pPr>
    <w:r>
      <w:rPr>
        <w:noProof/>
        <w:lang w:val="en-GB" w:eastAsia="en-GB"/>
      </w:rPr>
      <w:drawing>
        <wp:anchor distT="0" distB="0" distL="114300" distR="114300" simplePos="0" relativeHeight="251674624" behindDoc="1" locked="0" layoutInCell="1" allowOverlap="1" wp14:anchorId="32C868E4" wp14:editId="4D6CC420">
          <wp:simplePos x="0" y="0"/>
          <wp:positionH relativeFrom="column">
            <wp:posOffset>-923925</wp:posOffset>
          </wp:positionH>
          <wp:positionV relativeFrom="paragraph">
            <wp:posOffset>-450215</wp:posOffset>
          </wp:positionV>
          <wp:extent cx="7560310" cy="1781175"/>
          <wp:effectExtent l="19050" t="0" r="2540" b="0"/>
          <wp:wrapNone/>
          <wp:docPr id="5" name="Picture 0" descr="hudson_letterhead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dson_letterhead_header.jpg"/>
                  <pic:cNvPicPr/>
                </pic:nvPicPr>
                <pic:blipFill>
                  <a:blip r:embed="rId1"/>
                  <a:stretch>
                    <a:fillRect/>
                  </a:stretch>
                </pic:blipFill>
                <pic:spPr>
                  <a:xfrm>
                    <a:off x="0" y="0"/>
                    <a:ext cx="7560310" cy="1781175"/>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B0B59"/>
    <w:multiLevelType w:val="multilevel"/>
    <w:tmpl w:val="FAE0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1A66CE"/>
    <w:multiLevelType w:val="multilevel"/>
    <w:tmpl w:val="9052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1173FC"/>
    <w:multiLevelType w:val="hybridMultilevel"/>
    <w:tmpl w:val="B4B2C842"/>
    <w:lvl w:ilvl="0" w:tplc="06E24DD4">
      <w:start w:val="1"/>
      <w:numFmt w:val="decimal"/>
      <w:lvlText w:val="%1."/>
      <w:lvlJc w:val="left"/>
      <w:pPr>
        <w:ind w:left="153" w:hanging="360"/>
      </w:pPr>
      <w:rPr>
        <w:rFonts w:ascii="Arial" w:hAnsi="Arial" w:hint="default"/>
        <w:b/>
        <w:bCs/>
        <w:i w:val="0"/>
        <w:iCs w:val="0"/>
        <w:sz w:val="24"/>
        <w:szCs w:val="24"/>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
    <w:nsid w:val="31EB3592"/>
    <w:multiLevelType w:val="hybridMultilevel"/>
    <w:tmpl w:val="B03C85D0"/>
    <w:lvl w:ilvl="0" w:tplc="5B5C76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37F737CB"/>
    <w:multiLevelType w:val="multilevel"/>
    <w:tmpl w:val="2E10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9E1051"/>
    <w:multiLevelType w:val="hybridMultilevel"/>
    <w:tmpl w:val="1758F602"/>
    <w:lvl w:ilvl="0" w:tplc="9520683A">
      <w:start w:val="1"/>
      <w:numFmt w:val="decimal"/>
      <w:lvlText w:val="%1)"/>
      <w:lvlJc w:val="left"/>
      <w:pPr>
        <w:ind w:left="-207" w:hanging="360"/>
      </w:pPr>
      <w:rPr>
        <w:rFonts w:hint="default"/>
        <w:sz w:val="22"/>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6">
    <w:nsid w:val="3AC544CD"/>
    <w:multiLevelType w:val="hybridMultilevel"/>
    <w:tmpl w:val="55F62EBA"/>
    <w:lvl w:ilvl="0" w:tplc="06E24DD4">
      <w:start w:val="1"/>
      <w:numFmt w:val="decimal"/>
      <w:lvlText w:val="%1."/>
      <w:lvlJc w:val="left"/>
      <w:pPr>
        <w:ind w:left="1004" w:hanging="360"/>
      </w:pPr>
      <w:rPr>
        <w:rFonts w:ascii="Arial" w:hAnsi="Arial" w:hint="default"/>
        <w:b/>
        <w:bCs/>
        <w:i w:val="0"/>
        <w:iCs w:val="0"/>
        <w:sz w:val="24"/>
        <w:szCs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3D744D15"/>
    <w:multiLevelType w:val="hybridMultilevel"/>
    <w:tmpl w:val="6F36CAE6"/>
    <w:lvl w:ilvl="0" w:tplc="9502E436">
      <w:start w:val="1"/>
      <w:numFmt w:val="decimal"/>
      <w:lvlText w:val="%1."/>
      <w:lvlJc w:val="left"/>
      <w:pPr>
        <w:ind w:left="644" w:hanging="360"/>
      </w:pPr>
      <w:rPr>
        <w:b/>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8">
    <w:nsid w:val="4BBB11EB"/>
    <w:multiLevelType w:val="hybridMultilevel"/>
    <w:tmpl w:val="4712E0E4"/>
    <w:lvl w:ilvl="0" w:tplc="7988B7D4">
      <w:start w:val="1"/>
      <w:numFmt w:val="decimal"/>
      <w:lvlText w:val="%1."/>
      <w:lvlJc w:val="left"/>
      <w:pPr>
        <w:ind w:left="644" w:hanging="360"/>
      </w:pPr>
      <w:rPr>
        <w:rFonts w:ascii="Arial" w:hAnsi="Arial" w:hint="default"/>
        <w:b/>
        <w:bCs/>
        <w:i w:val="0"/>
        <w:iCs w:val="0"/>
        <w:sz w:val="22"/>
        <w:szCs w:val="22"/>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5422671D"/>
    <w:multiLevelType w:val="hybridMultilevel"/>
    <w:tmpl w:val="3FE46EEA"/>
    <w:lvl w:ilvl="0" w:tplc="952E723E">
      <w:start w:val="1"/>
      <w:numFmt w:val="decimal"/>
      <w:lvlText w:val="%1."/>
      <w:lvlJc w:val="left"/>
      <w:pPr>
        <w:ind w:left="644" w:hanging="360"/>
      </w:pPr>
      <w:rPr>
        <w:rFonts w:ascii="Arial" w:hAnsi="Arial" w:hint="default"/>
        <w:b/>
        <w:bCs/>
        <w:i w:val="0"/>
        <w:iCs w:val="0"/>
        <w:sz w:val="22"/>
        <w:szCs w:val="22"/>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58D818BB"/>
    <w:multiLevelType w:val="hybridMultilevel"/>
    <w:tmpl w:val="EF46F534"/>
    <w:lvl w:ilvl="0" w:tplc="06E24DD4">
      <w:start w:val="1"/>
      <w:numFmt w:val="decimal"/>
      <w:lvlText w:val="%1."/>
      <w:lvlJc w:val="left"/>
      <w:pPr>
        <w:ind w:left="153" w:hanging="360"/>
      </w:pPr>
      <w:rPr>
        <w:rFonts w:ascii="Arial" w:hAnsi="Arial" w:hint="default"/>
        <w:b/>
        <w:bCs/>
        <w:i w:val="0"/>
        <w:iCs w:val="0"/>
        <w:sz w:val="24"/>
        <w:szCs w:val="24"/>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1">
    <w:nsid w:val="597B08EE"/>
    <w:multiLevelType w:val="multilevel"/>
    <w:tmpl w:val="3FE46EEA"/>
    <w:lvl w:ilvl="0">
      <w:start w:val="1"/>
      <w:numFmt w:val="decimal"/>
      <w:lvlText w:val="%1."/>
      <w:lvlJc w:val="left"/>
      <w:pPr>
        <w:ind w:left="644" w:hanging="360"/>
      </w:pPr>
      <w:rPr>
        <w:rFonts w:ascii="Arial" w:hAnsi="Arial" w:hint="default"/>
        <w:b/>
        <w:bCs/>
        <w:i w:val="0"/>
        <w:iCs w:val="0"/>
        <w:sz w:val="22"/>
        <w:szCs w:val="22"/>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nsid w:val="59803EDD"/>
    <w:multiLevelType w:val="multilevel"/>
    <w:tmpl w:val="55F62EBA"/>
    <w:lvl w:ilvl="0">
      <w:start w:val="1"/>
      <w:numFmt w:val="decimal"/>
      <w:lvlText w:val="%1."/>
      <w:lvlJc w:val="left"/>
      <w:pPr>
        <w:ind w:left="1004" w:hanging="360"/>
      </w:pPr>
      <w:rPr>
        <w:rFonts w:ascii="Arial" w:hAnsi="Arial" w:hint="default"/>
        <w:b/>
        <w:bCs/>
        <w:i w:val="0"/>
        <w:iCs w:val="0"/>
        <w:sz w:val="24"/>
        <w:szCs w:val="24"/>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nsid w:val="5DA968C0"/>
    <w:multiLevelType w:val="hybridMultilevel"/>
    <w:tmpl w:val="D326F0C2"/>
    <w:lvl w:ilvl="0" w:tplc="09C40428">
      <w:start w:val="1"/>
      <w:numFmt w:val="decimal"/>
      <w:lvlText w:val="%1."/>
      <w:lvlJc w:val="left"/>
      <w:pPr>
        <w:ind w:left="644" w:hanging="360"/>
      </w:pPr>
      <w:rPr>
        <w:rFonts w:ascii="Arial" w:hAnsi="Arial" w:hint="default"/>
        <w:b/>
        <w:bCs/>
        <w:i w:val="0"/>
        <w:iCs w:val="0"/>
        <w:sz w:val="22"/>
        <w:szCs w:val="22"/>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5F2C7869"/>
    <w:multiLevelType w:val="hybridMultilevel"/>
    <w:tmpl w:val="A43AF7B8"/>
    <w:lvl w:ilvl="0" w:tplc="8926EACE">
      <w:start w:val="27"/>
      <w:numFmt w:val="bullet"/>
      <w:lvlText w:val="-"/>
      <w:lvlJc w:val="left"/>
      <w:pPr>
        <w:ind w:left="644" w:hanging="360"/>
      </w:pPr>
      <w:rPr>
        <w:rFonts w:ascii="Arial" w:eastAsia="Calibri" w:hAnsi="Arial" w:cs="Aria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6191322F"/>
    <w:multiLevelType w:val="hybridMultilevel"/>
    <w:tmpl w:val="F132C5B8"/>
    <w:lvl w:ilvl="0" w:tplc="06E24DD4">
      <w:start w:val="1"/>
      <w:numFmt w:val="decimal"/>
      <w:lvlText w:val="%1."/>
      <w:lvlJc w:val="left"/>
      <w:pPr>
        <w:ind w:left="153" w:hanging="360"/>
      </w:pPr>
      <w:rPr>
        <w:rFonts w:ascii="Arial" w:hAnsi="Arial" w:hint="default"/>
        <w:b/>
        <w:bCs/>
        <w:i w:val="0"/>
        <w:iCs w:val="0"/>
        <w:sz w:val="24"/>
        <w:szCs w:val="24"/>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6">
    <w:nsid w:val="6F73596B"/>
    <w:multiLevelType w:val="hybridMultilevel"/>
    <w:tmpl w:val="71C4E9FE"/>
    <w:lvl w:ilvl="0" w:tplc="9502E436">
      <w:start w:val="1"/>
      <w:numFmt w:val="decimal"/>
      <w:lvlText w:val="%1."/>
      <w:lvlJc w:val="left"/>
      <w:pPr>
        <w:ind w:left="644"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6E45EF8"/>
    <w:multiLevelType w:val="hybridMultilevel"/>
    <w:tmpl w:val="3EF0ED04"/>
    <w:lvl w:ilvl="0" w:tplc="9502E436">
      <w:start w:val="1"/>
      <w:numFmt w:val="decimal"/>
      <w:lvlText w:val="%1."/>
      <w:lvlJc w:val="left"/>
      <w:pPr>
        <w:ind w:left="1285" w:hanging="360"/>
      </w:pPr>
      <w:rPr>
        <w:b/>
      </w:rPr>
    </w:lvl>
    <w:lvl w:ilvl="1" w:tplc="0C090019" w:tentative="1">
      <w:start w:val="1"/>
      <w:numFmt w:val="lowerLetter"/>
      <w:lvlText w:val="%2."/>
      <w:lvlJc w:val="left"/>
      <w:pPr>
        <w:ind w:left="2081" w:hanging="360"/>
      </w:pPr>
    </w:lvl>
    <w:lvl w:ilvl="2" w:tplc="0C09001B" w:tentative="1">
      <w:start w:val="1"/>
      <w:numFmt w:val="lowerRoman"/>
      <w:lvlText w:val="%3."/>
      <w:lvlJc w:val="right"/>
      <w:pPr>
        <w:ind w:left="2801" w:hanging="180"/>
      </w:pPr>
    </w:lvl>
    <w:lvl w:ilvl="3" w:tplc="0C09000F" w:tentative="1">
      <w:start w:val="1"/>
      <w:numFmt w:val="decimal"/>
      <w:lvlText w:val="%4."/>
      <w:lvlJc w:val="left"/>
      <w:pPr>
        <w:ind w:left="3521" w:hanging="360"/>
      </w:pPr>
    </w:lvl>
    <w:lvl w:ilvl="4" w:tplc="0C090019" w:tentative="1">
      <w:start w:val="1"/>
      <w:numFmt w:val="lowerLetter"/>
      <w:lvlText w:val="%5."/>
      <w:lvlJc w:val="left"/>
      <w:pPr>
        <w:ind w:left="4241" w:hanging="360"/>
      </w:pPr>
    </w:lvl>
    <w:lvl w:ilvl="5" w:tplc="0C09001B" w:tentative="1">
      <w:start w:val="1"/>
      <w:numFmt w:val="lowerRoman"/>
      <w:lvlText w:val="%6."/>
      <w:lvlJc w:val="right"/>
      <w:pPr>
        <w:ind w:left="4961" w:hanging="180"/>
      </w:pPr>
    </w:lvl>
    <w:lvl w:ilvl="6" w:tplc="0C09000F" w:tentative="1">
      <w:start w:val="1"/>
      <w:numFmt w:val="decimal"/>
      <w:lvlText w:val="%7."/>
      <w:lvlJc w:val="left"/>
      <w:pPr>
        <w:ind w:left="5681" w:hanging="360"/>
      </w:pPr>
    </w:lvl>
    <w:lvl w:ilvl="7" w:tplc="0C090019" w:tentative="1">
      <w:start w:val="1"/>
      <w:numFmt w:val="lowerLetter"/>
      <w:lvlText w:val="%8."/>
      <w:lvlJc w:val="left"/>
      <w:pPr>
        <w:ind w:left="6401" w:hanging="360"/>
      </w:pPr>
    </w:lvl>
    <w:lvl w:ilvl="8" w:tplc="0C09001B" w:tentative="1">
      <w:start w:val="1"/>
      <w:numFmt w:val="lowerRoman"/>
      <w:lvlText w:val="%9."/>
      <w:lvlJc w:val="right"/>
      <w:pPr>
        <w:ind w:left="7121" w:hanging="180"/>
      </w:pPr>
    </w:lvl>
  </w:abstractNum>
  <w:num w:numId="1">
    <w:abstractNumId w:val="3"/>
  </w:num>
  <w:num w:numId="2">
    <w:abstractNumId w:val="14"/>
  </w:num>
  <w:num w:numId="3">
    <w:abstractNumId w:val="6"/>
  </w:num>
  <w:num w:numId="4">
    <w:abstractNumId w:val="12"/>
  </w:num>
  <w:num w:numId="5">
    <w:abstractNumId w:val="9"/>
  </w:num>
  <w:num w:numId="6">
    <w:abstractNumId w:val="13"/>
  </w:num>
  <w:num w:numId="7">
    <w:abstractNumId w:val="7"/>
  </w:num>
  <w:num w:numId="8">
    <w:abstractNumId w:val="17"/>
  </w:num>
  <w:num w:numId="9">
    <w:abstractNumId w:val="16"/>
  </w:num>
  <w:num w:numId="10">
    <w:abstractNumId w:val="0"/>
  </w:num>
  <w:num w:numId="11">
    <w:abstractNumId w:val="1"/>
  </w:num>
  <w:num w:numId="12">
    <w:abstractNumId w:val="4"/>
  </w:num>
  <w:num w:numId="13">
    <w:abstractNumId w:val="15"/>
  </w:num>
  <w:num w:numId="14">
    <w:abstractNumId w:val="10"/>
  </w:num>
  <w:num w:numId="15">
    <w:abstractNumId w:val="11"/>
  </w:num>
  <w:num w:numId="16">
    <w:abstractNumId w:val="8"/>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revisionView w:markup="0"/>
  <w:doNotTrackMoves/>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0D5"/>
    <w:rsid w:val="00001C11"/>
    <w:rsid w:val="00004938"/>
    <w:rsid w:val="000114EA"/>
    <w:rsid w:val="000233E5"/>
    <w:rsid w:val="00033F35"/>
    <w:rsid w:val="00064F97"/>
    <w:rsid w:val="00071489"/>
    <w:rsid w:val="00074274"/>
    <w:rsid w:val="00074BF0"/>
    <w:rsid w:val="00080047"/>
    <w:rsid w:val="0008100E"/>
    <w:rsid w:val="00087491"/>
    <w:rsid w:val="000A1917"/>
    <w:rsid w:val="000A57FE"/>
    <w:rsid w:val="000A7F64"/>
    <w:rsid w:val="000B700A"/>
    <w:rsid w:val="000C4A25"/>
    <w:rsid w:val="000C7C22"/>
    <w:rsid w:val="000D003A"/>
    <w:rsid w:val="000E3575"/>
    <w:rsid w:val="000E487D"/>
    <w:rsid w:val="000E5A2E"/>
    <w:rsid w:val="000F5009"/>
    <w:rsid w:val="001063DB"/>
    <w:rsid w:val="0012273A"/>
    <w:rsid w:val="00132B6E"/>
    <w:rsid w:val="00145F5C"/>
    <w:rsid w:val="00150399"/>
    <w:rsid w:val="001615DB"/>
    <w:rsid w:val="0017377F"/>
    <w:rsid w:val="00186F86"/>
    <w:rsid w:val="001B74DE"/>
    <w:rsid w:val="001B7BED"/>
    <w:rsid w:val="001C0B09"/>
    <w:rsid w:val="001C5F4A"/>
    <w:rsid w:val="001D7AD9"/>
    <w:rsid w:val="001E0A5D"/>
    <w:rsid w:val="001F2EE1"/>
    <w:rsid w:val="001F7088"/>
    <w:rsid w:val="0020230A"/>
    <w:rsid w:val="00215671"/>
    <w:rsid w:val="00217DC5"/>
    <w:rsid w:val="00231619"/>
    <w:rsid w:val="00233B0C"/>
    <w:rsid w:val="00247A7D"/>
    <w:rsid w:val="00264FC7"/>
    <w:rsid w:val="00270E0F"/>
    <w:rsid w:val="002835BB"/>
    <w:rsid w:val="002945F4"/>
    <w:rsid w:val="002A0AD3"/>
    <w:rsid w:val="002B1234"/>
    <w:rsid w:val="00304E9B"/>
    <w:rsid w:val="00311F9E"/>
    <w:rsid w:val="003276FB"/>
    <w:rsid w:val="0033018F"/>
    <w:rsid w:val="00341410"/>
    <w:rsid w:val="00346316"/>
    <w:rsid w:val="003632C2"/>
    <w:rsid w:val="00365E06"/>
    <w:rsid w:val="00367102"/>
    <w:rsid w:val="00371934"/>
    <w:rsid w:val="003A627C"/>
    <w:rsid w:val="003A6BB0"/>
    <w:rsid w:val="003C0DEE"/>
    <w:rsid w:val="003D2545"/>
    <w:rsid w:val="003D67E2"/>
    <w:rsid w:val="003D6982"/>
    <w:rsid w:val="003E74A1"/>
    <w:rsid w:val="003F626C"/>
    <w:rsid w:val="00433F5E"/>
    <w:rsid w:val="00443A8D"/>
    <w:rsid w:val="0045015B"/>
    <w:rsid w:val="00450488"/>
    <w:rsid w:val="004548BD"/>
    <w:rsid w:val="00457714"/>
    <w:rsid w:val="00464544"/>
    <w:rsid w:val="00482073"/>
    <w:rsid w:val="004C2BE9"/>
    <w:rsid w:val="004E64C3"/>
    <w:rsid w:val="004E6EA7"/>
    <w:rsid w:val="004E723A"/>
    <w:rsid w:val="004F2E49"/>
    <w:rsid w:val="004F4EEA"/>
    <w:rsid w:val="00501C5E"/>
    <w:rsid w:val="0050605B"/>
    <w:rsid w:val="00511F45"/>
    <w:rsid w:val="00517B02"/>
    <w:rsid w:val="00524825"/>
    <w:rsid w:val="00524EB9"/>
    <w:rsid w:val="00532283"/>
    <w:rsid w:val="005375D0"/>
    <w:rsid w:val="00552B89"/>
    <w:rsid w:val="005715A9"/>
    <w:rsid w:val="00575D71"/>
    <w:rsid w:val="00582A8F"/>
    <w:rsid w:val="005A2A4D"/>
    <w:rsid w:val="005A2E1B"/>
    <w:rsid w:val="005C2B45"/>
    <w:rsid w:val="005E54E3"/>
    <w:rsid w:val="005E6D17"/>
    <w:rsid w:val="0060695F"/>
    <w:rsid w:val="0062111E"/>
    <w:rsid w:val="00637A5A"/>
    <w:rsid w:val="00641786"/>
    <w:rsid w:val="006441C0"/>
    <w:rsid w:val="00656ADD"/>
    <w:rsid w:val="006620A9"/>
    <w:rsid w:val="00671F86"/>
    <w:rsid w:val="006A0C0C"/>
    <w:rsid w:val="006A0CA1"/>
    <w:rsid w:val="006A1F76"/>
    <w:rsid w:val="006A2D2B"/>
    <w:rsid w:val="006A7BCB"/>
    <w:rsid w:val="006B331E"/>
    <w:rsid w:val="006B4831"/>
    <w:rsid w:val="006C4F3A"/>
    <w:rsid w:val="006D0A6C"/>
    <w:rsid w:val="006D0D2D"/>
    <w:rsid w:val="006D1454"/>
    <w:rsid w:val="00710852"/>
    <w:rsid w:val="00733D6D"/>
    <w:rsid w:val="007346CE"/>
    <w:rsid w:val="00745680"/>
    <w:rsid w:val="00750A93"/>
    <w:rsid w:val="00751C90"/>
    <w:rsid w:val="00753CCF"/>
    <w:rsid w:val="00755873"/>
    <w:rsid w:val="0076243B"/>
    <w:rsid w:val="007626C2"/>
    <w:rsid w:val="007727B2"/>
    <w:rsid w:val="007766F3"/>
    <w:rsid w:val="0078251B"/>
    <w:rsid w:val="007C2B7B"/>
    <w:rsid w:val="007C7C16"/>
    <w:rsid w:val="007E498C"/>
    <w:rsid w:val="007E6332"/>
    <w:rsid w:val="007F007E"/>
    <w:rsid w:val="007F235D"/>
    <w:rsid w:val="00840AE1"/>
    <w:rsid w:val="008417D5"/>
    <w:rsid w:val="00846F79"/>
    <w:rsid w:val="008708F5"/>
    <w:rsid w:val="0087294E"/>
    <w:rsid w:val="00883F6F"/>
    <w:rsid w:val="00894FD1"/>
    <w:rsid w:val="008A3287"/>
    <w:rsid w:val="008C4E0A"/>
    <w:rsid w:val="008D6AE2"/>
    <w:rsid w:val="009020D5"/>
    <w:rsid w:val="00902BEC"/>
    <w:rsid w:val="00904D24"/>
    <w:rsid w:val="00927030"/>
    <w:rsid w:val="009352A2"/>
    <w:rsid w:val="00947DC2"/>
    <w:rsid w:val="00960C0A"/>
    <w:rsid w:val="009701CA"/>
    <w:rsid w:val="00976B79"/>
    <w:rsid w:val="00977F9D"/>
    <w:rsid w:val="00990F15"/>
    <w:rsid w:val="009C0DED"/>
    <w:rsid w:val="009C2DE4"/>
    <w:rsid w:val="009C3A85"/>
    <w:rsid w:val="009C5ABA"/>
    <w:rsid w:val="009D118E"/>
    <w:rsid w:val="009D2FDF"/>
    <w:rsid w:val="009E2CD0"/>
    <w:rsid w:val="009E5612"/>
    <w:rsid w:val="009F3446"/>
    <w:rsid w:val="009F3975"/>
    <w:rsid w:val="00A16947"/>
    <w:rsid w:val="00A212D1"/>
    <w:rsid w:val="00A40145"/>
    <w:rsid w:val="00A4128C"/>
    <w:rsid w:val="00A4415C"/>
    <w:rsid w:val="00A466F2"/>
    <w:rsid w:val="00A55D1A"/>
    <w:rsid w:val="00A627DC"/>
    <w:rsid w:val="00A7061B"/>
    <w:rsid w:val="00A74CB9"/>
    <w:rsid w:val="00A7609B"/>
    <w:rsid w:val="00A82545"/>
    <w:rsid w:val="00A90AB0"/>
    <w:rsid w:val="00AA0750"/>
    <w:rsid w:val="00AB496A"/>
    <w:rsid w:val="00AC5C89"/>
    <w:rsid w:val="00AD4BA7"/>
    <w:rsid w:val="00AF1360"/>
    <w:rsid w:val="00AF3517"/>
    <w:rsid w:val="00AF51DB"/>
    <w:rsid w:val="00AF5348"/>
    <w:rsid w:val="00B04EA7"/>
    <w:rsid w:val="00B051C3"/>
    <w:rsid w:val="00B2463D"/>
    <w:rsid w:val="00B26271"/>
    <w:rsid w:val="00B303CD"/>
    <w:rsid w:val="00B451AC"/>
    <w:rsid w:val="00B451C0"/>
    <w:rsid w:val="00B65318"/>
    <w:rsid w:val="00B65F7A"/>
    <w:rsid w:val="00B76F03"/>
    <w:rsid w:val="00B840B9"/>
    <w:rsid w:val="00BA7665"/>
    <w:rsid w:val="00BB4F63"/>
    <w:rsid w:val="00BC2C3F"/>
    <w:rsid w:val="00BC5F5A"/>
    <w:rsid w:val="00BE52C9"/>
    <w:rsid w:val="00BF0A00"/>
    <w:rsid w:val="00C03EBC"/>
    <w:rsid w:val="00C127AD"/>
    <w:rsid w:val="00C212FA"/>
    <w:rsid w:val="00C21569"/>
    <w:rsid w:val="00C23D20"/>
    <w:rsid w:val="00C31BFA"/>
    <w:rsid w:val="00C3207A"/>
    <w:rsid w:val="00C341C0"/>
    <w:rsid w:val="00C5436D"/>
    <w:rsid w:val="00C62CA4"/>
    <w:rsid w:val="00C6693C"/>
    <w:rsid w:val="00C67494"/>
    <w:rsid w:val="00C73913"/>
    <w:rsid w:val="00CA17F3"/>
    <w:rsid w:val="00CA3758"/>
    <w:rsid w:val="00CB6E74"/>
    <w:rsid w:val="00CD10F5"/>
    <w:rsid w:val="00CD29F0"/>
    <w:rsid w:val="00CE22E6"/>
    <w:rsid w:val="00CE24ED"/>
    <w:rsid w:val="00CE4172"/>
    <w:rsid w:val="00CE51B6"/>
    <w:rsid w:val="00CF48DE"/>
    <w:rsid w:val="00D00ABB"/>
    <w:rsid w:val="00D05945"/>
    <w:rsid w:val="00D46C2C"/>
    <w:rsid w:val="00D61E57"/>
    <w:rsid w:val="00D62E17"/>
    <w:rsid w:val="00D66AE0"/>
    <w:rsid w:val="00D73E01"/>
    <w:rsid w:val="00D77A6C"/>
    <w:rsid w:val="00D84AF0"/>
    <w:rsid w:val="00D86D1D"/>
    <w:rsid w:val="00DA232F"/>
    <w:rsid w:val="00DD66A0"/>
    <w:rsid w:val="00DE346A"/>
    <w:rsid w:val="00DE42CB"/>
    <w:rsid w:val="00DE4EA5"/>
    <w:rsid w:val="00DE7213"/>
    <w:rsid w:val="00DF740A"/>
    <w:rsid w:val="00E15123"/>
    <w:rsid w:val="00E22D0D"/>
    <w:rsid w:val="00E233F7"/>
    <w:rsid w:val="00E25C44"/>
    <w:rsid w:val="00E25FDA"/>
    <w:rsid w:val="00E5060E"/>
    <w:rsid w:val="00E63F84"/>
    <w:rsid w:val="00E6718D"/>
    <w:rsid w:val="00E74447"/>
    <w:rsid w:val="00E75A0E"/>
    <w:rsid w:val="00E83C37"/>
    <w:rsid w:val="00EA7AB4"/>
    <w:rsid w:val="00EE6D45"/>
    <w:rsid w:val="00EE6F19"/>
    <w:rsid w:val="00EF2E57"/>
    <w:rsid w:val="00F04584"/>
    <w:rsid w:val="00F07900"/>
    <w:rsid w:val="00F15791"/>
    <w:rsid w:val="00F20B5E"/>
    <w:rsid w:val="00F2241A"/>
    <w:rsid w:val="00F24026"/>
    <w:rsid w:val="00F26D91"/>
    <w:rsid w:val="00F45CC5"/>
    <w:rsid w:val="00F75EE0"/>
    <w:rsid w:val="00F81E2B"/>
    <w:rsid w:val="00F82DD9"/>
    <w:rsid w:val="00F8556E"/>
    <w:rsid w:val="00F878C0"/>
    <w:rsid w:val="00F9732E"/>
    <w:rsid w:val="00FA1A05"/>
    <w:rsid w:val="00FA4475"/>
    <w:rsid w:val="00FA7687"/>
    <w:rsid w:val="00FB30F7"/>
    <w:rsid w:val="00FB613B"/>
    <w:rsid w:val="00FC060F"/>
    <w:rsid w:val="00FC26B8"/>
    <w:rsid w:val="00FC4F30"/>
    <w:rsid w:val="00FD3975"/>
    <w:rsid w:val="00FF4493"/>
  </w:rsids>
  <m:mathPr>
    <m:mathFont m:val="Cambria Math"/>
    <m:brkBin m:val="before"/>
    <m:brkBinSub m:val="--"/>
    <m:smallFrac m:val="0"/>
    <m:dispDef/>
    <m:lMargin m:val="0"/>
    <m:rMargin m:val="0"/>
    <m:defJc m:val="centerGroup"/>
    <m:wrapIndent m:val="1440"/>
    <m:intLim m:val="subSup"/>
    <m:naryLim m:val="undOvr"/>
  </m:mathPr>
  <w:themeFontLang w:val="en-AU"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C04B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F2EE1"/>
    <w:pPr>
      <w:spacing w:after="0" w:line="240" w:lineRule="auto"/>
      <w:jc w:val="both"/>
    </w:pPr>
    <w:rPr>
      <w:rFonts w:ascii="Calibri" w:eastAsia="Calibri" w:hAnsi="Calibri" w:cs="Times New Roman"/>
      <w:lang w:eastAsia="en-US"/>
    </w:rPr>
  </w:style>
  <w:style w:type="paragraph" w:styleId="Heading5">
    <w:name w:val="heading 5"/>
    <w:basedOn w:val="Normal"/>
    <w:next w:val="Normal"/>
    <w:link w:val="Heading5Char"/>
    <w:qFormat/>
    <w:rsid w:val="00FC4F30"/>
    <w:pPr>
      <w:spacing w:before="240" w:after="60"/>
      <w:jc w:val="left"/>
      <w:outlineLvl w:val="4"/>
    </w:pPr>
    <w:rPr>
      <w:rFonts w:ascii="Times New Roman" w:eastAsia="Times New Roman" w:hAnsi="Times New Roman"/>
      <w:b/>
      <w:i/>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0D5"/>
    <w:pPr>
      <w:tabs>
        <w:tab w:val="center" w:pos="4513"/>
        <w:tab w:val="right" w:pos="9026"/>
      </w:tabs>
    </w:pPr>
  </w:style>
  <w:style w:type="character" w:customStyle="1" w:styleId="HeaderChar">
    <w:name w:val="Header Char"/>
    <w:basedOn w:val="DefaultParagraphFont"/>
    <w:link w:val="Header"/>
    <w:uiPriority w:val="99"/>
    <w:rsid w:val="009020D5"/>
  </w:style>
  <w:style w:type="paragraph" w:styleId="Footer">
    <w:name w:val="footer"/>
    <w:basedOn w:val="Normal"/>
    <w:link w:val="FooterChar"/>
    <w:uiPriority w:val="99"/>
    <w:unhideWhenUsed/>
    <w:rsid w:val="009020D5"/>
    <w:pPr>
      <w:tabs>
        <w:tab w:val="center" w:pos="4513"/>
        <w:tab w:val="right" w:pos="9026"/>
      </w:tabs>
    </w:pPr>
  </w:style>
  <w:style w:type="character" w:customStyle="1" w:styleId="FooterChar">
    <w:name w:val="Footer Char"/>
    <w:basedOn w:val="DefaultParagraphFont"/>
    <w:link w:val="Footer"/>
    <w:uiPriority w:val="99"/>
    <w:rsid w:val="009020D5"/>
  </w:style>
  <w:style w:type="paragraph" w:styleId="BalloonText">
    <w:name w:val="Balloon Text"/>
    <w:basedOn w:val="Normal"/>
    <w:link w:val="BalloonTextChar"/>
    <w:uiPriority w:val="99"/>
    <w:semiHidden/>
    <w:unhideWhenUsed/>
    <w:rsid w:val="001F2EE1"/>
    <w:rPr>
      <w:rFonts w:ascii="Tahoma" w:hAnsi="Tahoma" w:cs="Tahoma"/>
      <w:sz w:val="16"/>
      <w:szCs w:val="16"/>
    </w:rPr>
  </w:style>
  <w:style w:type="character" w:customStyle="1" w:styleId="BalloonTextChar">
    <w:name w:val="Balloon Text Char"/>
    <w:basedOn w:val="DefaultParagraphFont"/>
    <w:link w:val="BalloonText"/>
    <w:uiPriority w:val="99"/>
    <w:semiHidden/>
    <w:rsid w:val="001F2EE1"/>
    <w:rPr>
      <w:rFonts w:ascii="Tahoma" w:eastAsia="Calibri" w:hAnsi="Tahoma" w:cs="Tahoma"/>
      <w:sz w:val="16"/>
      <w:szCs w:val="16"/>
      <w:lang w:eastAsia="en-US"/>
    </w:rPr>
  </w:style>
  <w:style w:type="character" w:customStyle="1" w:styleId="Heading5Char">
    <w:name w:val="Heading 5 Char"/>
    <w:basedOn w:val="DefaultParagraphFont"/>
    <w:link w:val="Heading5"/>
    <w:rsid w:val="00FC4F30"/>
    <w:rPr>
      <w:rFonts w:ascii="Times New Roman" w:eastAsia="Times New Roman" w:hAnsi="Times New Roman" w:cs="Times New Roman"/>
      <w:b/>
      <w:i/>
      <w:sz w:val="26"/>
      <w:szCs w:val="26"/>
      <w:lang w:val="en-US" w:eastAsia="en-US"/>
    </w:rPr>
  </w:style>
  <w:style w:type="paragraph" w:styleId="ListParagraph">
    <w:name w:val="List Paragraph"/>
    <w:basedOn w:val="Normal"/>
    <w:uiPriority w:val="34"/>
    <w:qFormat/>
    <w:rsid w:val="00A55D1A"/>
    <w:pPr>
      <w:ind w:left="720"/>
      <w:contextualSpacing/>
    </w:pPr>
  </w:style>
  <w:style w:type="character" w:styleId="Hyperlink">
    <w:name w:val="Hyperlink"/>
    <w:basedOn w:val="DefaultParagraphFont"/>
    <w:uiPriority w:val="99"/>
    <w:unhideWhenUsed/>
    <w:rsid w:val="004F4EEA"/>
    <w:rPr>
      <w:color w:val="0000FF"/>
      <w:u w:val="single"/>
    </w:rPr>
  </w:style>
  <w:style w:type="character" w:styleId="Strong">
    <w:name w:val="Strong"/>
    <w:basedOn w:val="DefaultParagraphFont"/>
    <w:uiPriority w:val="22"/>
    <w:qFormat/>
    <w:rsid w:val="00AB496A"/>
    <w:rPr>
      <w:b/>
      <w:bCs/>
    </w:rPr>
  </w:style>
  <w:style w:type="character" w:styleId="PageNumber">
    <w:name w:val="page number"/>
    <w:basedOn w:val="DefaultParagraphFont"/>
    <w:uiPriority w:val="99"/>
    <w:semiHidden/>
    <w:unhideWhenUsed/>
    <w:rsid w:val="00DE4EA5"/>
  </w:style>
  <w:style w:type="character" w:customStyle="1" w:styleId="highlight">
    <w:name w:val="highlight"/>
    <w:basedOn w:val="DefaultParagraphFont"/>
    <w:rsid w:val="00346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148456">
      <w:bodyDiv w:val="1"/>
      <w:marLeft w:val="0"/>
      <w:marRight w:val="0"/>
      <w:marTop w:val="0"/>
      <w:marBottom w:val="0"/>
      <w:divBdr>
        <w:top w:val="none" w:sz="0" w:space="0" w:color="auto"/>
        <w:left w:val="none" w:sz="0" w:space="0" w:color="auto"/>
        <w:bottom w:val="none" w:sz="0" w:space="0" w:color="auto"/>
        <w:right w:val="none" w:sz="0" w:space="0" w:color="auto"/>
      </w:divBdr>
    </w:div>
    <w:div w:id="551767958">
      <w:bodyDiv w:val="1"/>
      <w:marLeft w:val="0"/>
      <w:marRight w:val="0"/>
      <w:marTop w:val="0"/>
      <w:marBottom w:val="0"/>
      <w:divBdr>
        <w:top w:val="none" w:sz="0" w:space="0" w:color="auto"/>
        <w:left w:val="none" w:sz="0" w:space="0" w:color="auto"/>
        <w:bottom w:val="none" w:sz="0" w:space="0" w:color="auto"/>
        <w:right w:val="none" w:sz="0" w:space="0" w:color="auto"/>
      </w:divBdr>
    </w:div>
    <w:div w:id="60608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5</Pages>
  <Words>1661</Words>
  <Characters>9471</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11110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Nicholson</dc:creator>
  <cp:lastModifiedBy>Microsoft Office User</cp:lastModifiedBy>
  <cp:revision>9</cp:revision>
  <cp:lastPrinted>2016-11-11T06:26:00Z</cp:lastPrinted>
  <dcterms:created xsi:type="dcterms:W3CDTF">2018-04-16T07:31:00Z</dcterms:created>
  <dcterms:modified xsi:type="dcterms:W3CDTF">2018-04-18T10:08:00Z</dcterms:modified>
</cp:coreProperties>
</file>