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JoVE Science Education Series: Analytical Chemistry</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b/>
          <w:color w:val="auto"/>
          <w:spacing w:val="0"/>
          <w:position w:val="0"/>
          <w:sz w:val="28"/>
          <w:shd w:fill="auto" w:val="clear"/>
        </w:rPr>
        <w:t xml:space="preserve"> </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4"/>
          <w:shd w:fill="auto" w:val="clear"/>
        </w:rPr>
        <w:t xml:space="preserve">Electrochemical Measurements of supported catalysts using a Potentiostat/Galvanostat</w:t>
      </w: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Yuriy Rom&amp;#225;n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Massachusetts Institute of Technology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potentiostat/galvanostat (often referred to as simply a potentiostat) is an instrument that measures current at an applied potential (potentiostatic operation) or measures potential at an applied current (galvanostatic operation)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It is the most commonly used instrument in the electrochemical characterization of anode and cathode materials for fuel cells, electrolyzers, batteries, and supercapacitors.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Conventionally, these anode and cathode materials are interfaced with a potentiostat via a three-electrode electrochemical cell. The electrode leads from the potentiostat are connected to the reference electrode, the counter electrode (often called the auxiliary electrode), and the working electrode (which contains the test material of interest). The electrochemical cell is then filled with a high ionic strength electrolyte solution, such as an acidic, alkaline, or salt solution. The media for this high ionic strength solution is typically aqueous; however, for applications necessitating higher operating cell potential windows, such as batteries and supercapacitors, non-aqueous media is often used. The cell media is degassed with an inert gas (to prevent unwanted side reactions) or with a test gas (if the test reaction involves a gas at one of the electrodes).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Alternatively, a salt bridge or membrane is employed to maintain ionic contact if the two half cells are to be measured in different electrolytes. In heterogeneous electrocatalysis, this type of “two compartment” cell is often used if the test molecule at the working electrode is also reactive at the counterelectrode. This happens frequently as the counterelectrode typically employed is platinum, which is a highly active catalyst for many reactions. Here, single compartment cells will be used, where all three electrodes are in the same media.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video will explain the process of polishing a working electrode, preparing a catalyst ink, mounting the catalyst ink onto the working electrode, preparing the electrochemical cell, and then performing electrochemical measurements. The measurements that are performed include: cyclic voltammetry (CV), linear sweep voltammetry (LSV), chronopotentiometry (CP), and chronoamperometry (CA).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An example of a single compartment electrochemical cell.</w:t>
      </w:r>
      <w:r>
        <w:rPr>
          <w:rFonts w:ascii="Cambria" w:hAnsi="Cambria" w:cs="Cambria" w:eastAsia="Cambria"/>
          <w:color w:val="auto"/>
          <w:spacing w:val="0"/>
          <w:position w:val="0"/>
          <w:sz w:val="24"/>
          <w:shd w:fill="auto" w:val="clear"/>
        </w:rPr>
        <w:t xml:space="preserve"> a.) Teflon cap, b.) glass cell, c.) Pt wire counter electrode, d.) working electrode, e.) Ag/AgCl reference electrode, f.) 0.5 M aqueous sulfuric acid electrolyte solution.</w:t>
      </w: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potentiostat can be used to apply a constant anodic or cathode potential to the working electrode and measure the resulting anodic or cathodic current (chronoamperometry) or the potentiostat can be operated galvanostatically via a feedback control loop and apply a constant anodic or cathodic current with the measured potential varying with time to maintain this applied current (chronopotentiometry). Alternatively, potential space may be explored with time using cyclic voltammetry or linear sweep voltammetry to measure anodic and cathodic potentials versus an applied potential scan rate (the derivative of potential with respect to time).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all of these techniques, even during galvanostatic operation, the potentiostat controls the applied potential and measures the flow of electrons from (to) the working electrode to (from) the counter electrode when the working electrode is acting as the anode (cathode). The applied potential is referenced against the reference electrode, which contains a redox system (such as a silver chloride electrode or saturated calomel electrode) with a known and stable potential that is interfaced with the electrolyte solution via a porous frit. During normal operation, the potentiostat draws a negligible but nonzero current through the reference electrode so that an accurate potential can be applied to the working electrode. While the potentiostat measures the flow of electrons to or from one half reaction to the next, the electrolyte solution completes the circuit by preventing charge buildup at either the anode or the cathode.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Catalyst Ink and Working Electrode Preparation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Safety Precautions:</w:t>
      </w:r>
      <w:r>
        <w:rPr>
          <w:rFonts w:ascii="Cambria" w:hAnsi="Cambria" w:cs="Cambria" w:eastAsia="Cambria"/>
          <w:color w:val="auto"/>
          <w:spacing w:val="0"/>
          <w:position w:val="0"/>
          <w:sz w:val="24"/>
          <w:shd w:fill="auto" w:val="clear"/>
        </w:rPr>
        <w:t xml:space="preserve"> metals supported on carbon black must be handled in a fume hood or balance enclosure until it is in suspension form as these powders are inhalation hazards.</w:t>
      </w:r>
    </w:p>
    <w:p>
      <w:pPr>
        <w:spacing w:before="0" w:after="200" w:line="276"/>
        <w:ind w:right="0" w:left="0" w:firstLine="0"/>
        <w:jc w:val="left"/>
        <w:rPr>
          <w:rFonts w:ascii="Cambria" w:hAnsi="Cambria" w:cs="Cambria" w:eastAsia="Cambria"/>
          <w:color w:val="auto"/>
          <w:spacing w:val="0"/>
          <w:position w:val="0"/>
          <w:sz w:val="22"/>
          <w:shd w:fill="auto" w:val="clear"/>
        </w:rPr>
      </w:pPr>
    </w:p>
    <w:p>
      <w:pPr>
        <w:numPr>
          <w:ilvl w:val="0"/>
          <w:numId w:val="9"/>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an enclosed balance, weigh out 5-10 mg of metal/carbon black catalyst and add to a glass vial with a cap. </w:t>
      </w:r>
    </w:p>
    <w:p>
      <w:pPr>
        <w:numPr>
          <w:ilvl w:val="0"/>
          <w:numId w:val="9"/>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micropipette, dilute the catalyst with water such that the final concentration is 7.5 mg of catalyst per mL of water. </w:t>
      </w:r>
    </w:p>
    <w:p>
      <w:pPr>
        <w:numPr>
          <w:ilvl w:val="0"/>
          <w:numId w:val="9"/>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sonicating, 100 &amp;#181;L of Nafion 117 solution per mL of water is added to the suspension.</w:t>
      </w:r>
    </w:p>
    <w:p>
      <w:pPr>
        <w:numPr>
          <w:ilvl w:val="0"/>
          <w:numId w:val="9"/>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ink should be sonicated for at least 10 min to ensure uniform dispersion and complete mixing of the carbon black support with the binding agent.</w:t>
      </w:r>
    </w:p>
    <w:p>
      <w:pPr>
        <w:numPr>
          <w:ilvl w:val="0"/>
          <w:numId w:val="9"/>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the ink is sonicating, a 3-mm glassy carbon disk electrode should be cleaned and polished by rubbing it in a swirling circular motion on a soft alumina pad covered with 0.05-&amp;#181;m alumina solution. It should then be rinsed copiously with water to remove the alumina.</w:t>
      </w:r>
    </w:p>
    <w:p>
      <w:pPr>
        <w:numPr>
          <w:ilvl w:val="0"/>
          <w:numId w:val="9"/>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Next, 7 &amp;#181;L of ink is dripped onto a polished, vertically-oriented 3 mm glassy carbon disk electrode. The working electrode is then dried at 80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C for 1 h if the catalyst is air-stable or evaporated under a weak vacuum for 30 min if the catalyst is air-sensitive.</w:t>
      </w:r>
    </w:p>
    <w:p>
      <w:pPr>
        <w:spacing w:before="0" w:after="200" w:line="276"/>
        <w:ind w:right="0" w:left="720" w:firstLine="0"/>
        <w:jc w:val="left"/>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Electrochemical Cell Preparation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Safety Precautions:</w:t>
      </w:r>
      <w:r>
        <w:rPr>
          <w:rFonts w:ascii="Cambria" w:hAnsi="Cambria" w:cs="Cambria" w:eastAsia="Cambria"/>
          <w:color w:val="auto"/>
          <w:spacing w:val="0"/>
          <w:position w:val="0"/>
          <w:sz w:val="24"/>
          <w:shd w:fill="auto" w:val="clear"/>
        </w:rPr>
        <w:t xml:space="preserve"> Gloves, labcoat, and safety glasses must always be worn but is especially paramount for working with the sulfuric acid solution. Should any drops of solution spill onto the wrists, it must be washed with soap and water for 15 min. For major spills, removal of contaminated garments and use of the eyewash or showers should be used for 15 min followed by a medical consultation. The electrical leads should not be touched once placed onto the electrochemical cell.</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glass cell is filled with 10 mL of 0.5 M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and degassed for at least 30 min with an ultra high purity nitrogen stream </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Teflon caps of the electrochemical cells have 3 ports for the working electrode, counter electrode, and the reference electrode</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Ag/AgCl reference electrode is removed from its 1 M KCl solution, rinsed thoroughly with DI water, and then placed into the cell.</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platinized platinum wire counter electrode is rinsed thoroughly with DI water and then placed into the cell.</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dried working electrode is rinsed with DI water and then placed into the cell.</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potentiostat is turned on.</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white electrode lead is connected first and connected to the reference electrode.</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red electrode lead is then connected to the Pt wire counter electrode.</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green electrode lead is then connected to the metal/carbon black working electrode.</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small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purge stream is left continuously bubbling in the electrolyte.</w:t>
      </w:r>
    </w:p>
    <w:p>
      <w:pPr>
        <w:numPr>
          <w:ilvl w:val="0"/>
          <w:numId w:val="12"/>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Ensure no leads are touching and that there is no direct electrical contact between the 3 electrodes other than with the 0.5 M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electrolyte.</w:t>
      </w:r>
    </w:p>
    <w:p>
      <w:pPr>
        <w:spacing w:before="0" w:after="200" w:line="276"/>
        <w:ind w:right="0" w:left="1440" w:firstLine="0"/>
        <w:jc w:val="left"/>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Electrochemical Analysis</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turning on the potentiostat, perform at least 20 conditioning cycles between 0 and 0.4 V vs. RHE at 50 mV/s using CV. This is performed by choosing CV as a technique and entering the upper and lower potential limits as well as the scan rate.</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LSV can then be performed by choosing LSV as a technique and specifying a starting potential, a final potential, and a scan rate. The scan rate for LSV is typically much less than CV, usually 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2 mV/s so that capacitive currents become much lower than currents arising from faradaic surface reactions</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 is performed by choosing CA or “Amperometric i-t curve” as a technique and specifying the fixed potential as well as the length of time the instrument should hold the working electrode as this fixed potential.</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CP is performed by choosing CP as a technique. CP can be performed in a series of current steps where one current is specified for a certain length of time followed by a new current for a specified length of time. These applied currents can span both anodic and cathodic currents within the same CP measurement.</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the electrochemical analysis is finished, turn off the potentiostat.</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Disconnect the electrode leads and store them in a dry place away from any liquids to prevent corrosion.</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reference electrode and rinse with copious amounts of DI water. Then return the reference electrode directly to its 1 M KCl storage solution. The tip of this electrode should never be allowed to become dry.</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Pt wire counter electrode and rinse thoroughly with DI water</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working electrode and rinse thoroughly with DI water and then use a Kimwipe with acetone to easily remove the dried catalyst ink from the working electrode surface. It is recommended to polish electrodes immediately after use.</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off the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purge.</w:t>
      </w:r>
    </w:p>
    <w:p>
      <w:pPr>
        <w:numPr>
          <w:ilvl w:val="0"/>
          <w:numId w:val="15"/>
        </w:numPr>
        <w:tabs>
          <w:tab w:val="left" w:pos="1440" w:leader="none"/>
        </w:tabs>
        <w:spacing w:before="0" w:after="200" w:line="276"/>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Empty the used electrolyte into an acidic waste container. Rinse the glass cell and Teflon cap with copious amounts of DI water.</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procedure will result in figures containing plots of measured current vs. potential for each of the four techniques. By convention for CV and LSV, the plots will also be outputted as measured current vs. potential despite the reality that these are transient techniques that measure current vs. the time derivative of potential.</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CV, LSV, CP, and CA are indispensable techniques for determining the efficacy of new electrode materials for fuel cells, electrolyzers, batteries, and supercapacitors as well as for developing fields such as the selective partial oxidation or reduction of commodity chemicals. These methods allow for determining overpotentials of reactions on different electrode materials as compared to their thermodynamic equilibrium potentials. These methods also allow the volumetric or gravimetric capacitance of supercapacitors to be determined. Similarly, rates of charging/discharging of battery electrodes or supercapacitors can be determined with these techniques. These techniques also allow for the characterization of the electrochemical stability of the materials to be determined. Beyond these basic techniques, more advanced techniques include the combination of potentiometric techniques with in-situ methods such as IR and mass spectrometry.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9">
    <w:abstractNumId w:val="12"/>
  </w:num>
  <w:num w:numId="12">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