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1C" w:rsidRPr="00C4631C" w:rsidRDefault="00C4631C" w:rsidP="00C463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4631C">
        <w:rPr>
          <w:rFonts w:ascii="Calibri" w:eastAsia="Calibri" w:hAnsi="Calibri" w:cs="Calibri"/>
          <w:b/>
          <w:sz w:val="24"/>
          <w:szCs w:val="24"/>
        </w:rPr>
        <w:t>Plasmids:</w:t>
      </w:r>
      <w:r w:rsidRPr="00C4631C">
        <w:rPr>
          <w:rFonts w:ascii="Calibri" w:eastAsia="Calibri" w:hAnsi="Calibri" w:cs="Calibri"/>
          <w:sz w:val="24"/>
          <w:szCs w:val="24"/>
        </w:rPr>
        <w:t xml:space="preserve"> (also see Table of materials) Lentiviral packaging vectors: gag-pol packaging plasmid psPAX2, VSV-G envelop plasmid pMD2.G; </w:t>
      </w:r>
      <w:bookmarkStart w:id="0" w:name="OLE_LINK1"/>
      <w:r w:rsidRPr="00C4631C">
        <w:rPr>
          <w:rFonts w:ascii="Calibri" w:eastAsia="Calibri" w:hAnsi="Calibri" w:cs="Calibri"/>
          <w:sz w:val="24"/>
          <w:szCs w:val="24"/>
        </w:rPr>
        <w:t xml:space="preserve">pRSV-Rev </w:t>
      </w:r>
      <w:bookmarkEnd w:id="0"/>
      <w:r w:rsidRPr="00C4631C">
        <w:rPr>
          <w:rFonts w:ascii="Calibri" w:eastAsia="Calibri" w:hAnsi="Calibri" w:cs="Calibri"/>
          <w:sz w:val="24"/>
          <w:szCs w:val="24"/>
        </w:rPr>
        <w:t xml:space="preserve">plasmid. pBK43 (integrase-deficient) packaging cassette is used for generating IDLVs (see below). psPAX2 (second-generation LV packaging system) expresses the following genes: </w:t>
      </w:r>
      <w:r w:rsidRPr="00C4631C">
        <w:rPr>
          <w:rFonts w:ascii="Calibri" w:eastAsia="Calibri" w:hAnsi="Calibri" w:cs="Calibri"/>
          <w:i/>
          <w:sz w:val="24"/>
          <w:szCs w:val="24"/>
        </w:rPr>
        <w:t>gag</w:t>
      </w:r>
      <w:r w:rsidRPr="00C4631C">
        <w:rPr>
          <w:rFonts w:ascii="Calibri" w:eastAsia="Calibri" w:hAnsi="Calibri" w:cs="Calibri"/>
          <w:sz w:val="24"/>
          <w:szCs w:val="24"/>
        </w:rPr>
        <w:t xml:space="preserve"> (encodes the capsid, nucleocapsid and matrix structural proteins), </w:t>
      </w:r>
      <w:r w:rsidRPr="00C4631C">
        <w:rPr>
          <w:rFonts w:ascii="Calibri" w:eastAsia="Calibri" w:hAnsi="Calibri" w:cs="Calibri"/>
          <w:i/>
          <w:sz w:val="24"/>
          <w:szCs w:val="24"/>
        </w:rPr>
        <w:t>pol</w:t>
      </w:r>
      <w:bookmarkStart w:id="1" w:name="_GoBack"/>
      <w:bookmarkEnd w:id="1"/>
      <w:r w:rsidRPr="00C4631C">
        <w:rPr>
          <w:rFonts w:ascii="Calibri" w:eastAsia="Calibri" w:hAnsi="Calibri" w:cs="Calibri"/>
          <w:sz w:val="24"/>
          <w:szCs w:val="24"/>
        </w:rPr>
        <w:t xml:space="preserve"> (encodes reverse transcriptase, protease and integrase proteins), </w:t>
      </w:r>
      <w:r w:rsidRPr="00C4631C">
        <w:rPr>
          <w:rFonts w:ascii="Calibri" w:eastAsia="Calibri" w:hAnsi="Calibri" w:cs="Calibri"/>
          <w:i/>
          <w:sz w:val="24"/>
          <w:szCs w:val="24"/>
        </w:rPr>
        <w:t>tat</w:t>
      </w:r>
      <w:r w:rsidRPr="00C4631C">
        <w:rPr>
          <w:rFonts w:ascii="Calibri" w:eastAsia="Calibri" w:hAnsi="Calibri" w:cs="Calibri"/>
          <w:sz w:val="24"/>
          <w:szCs w:val="24"/>
        </w:rPr>
        <w:t xml:space="preserve"> (encodes protein for transactivation of transcription from viral LTR), and </w:t>
      </w:r>
      <w:r w:rsidRPr="00C4631C">
        <w:rPr>
          <w:rFonts w:ascii="Calibri" w:eastAsia="Calibri" w:hAnsi="Calibri" w:cs="Calibri"/>
          <w:i/>
          <w:sz w:val="24"/>
          <w:szCs w:val="24"/>
        </w:rPr>
        <w:t>rev</w:t>
      </w:r>
      <w:r w:rsidRPr="00C4631C">
        <w:rPr>
          <w:rFonts w:ascii="Calibri" w:eastAsia="Calibri" w:hAnsi="Calibri" w:cs="Calibri"/>
          <w:sz w:val="24"/>
          <w:szCs w:val="24"/>
        </w:rPr>
        <w:t xml:space="preserve"> (encodes protein that mediates export of viral RNAs from nucleus).</w:t>
      </w:r>
    </w:p>
    <w:p w:rsidR="00C4631C" w:rsidRPr="00C4631C" w:rsidRDefault="00C4631C" w:rsidP="00C463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  <w:r w:rsidRPr="00C4631C">
        <w:rPr>
          <w:rFonts w:ascii="Calibri" w:eastAsia="Calibri" w:hAnsi="Calibri" w:cs="Calibri"/>
          <w:b/>
          <w:sz w:val="24"/>
          <w:szCs w:val="24"/>
        </w:rPr>
        <w:t>Note</w:t>
      </w:r>
      <w:r w:rsidRPr="00C4631C">
        <w:rPr>
          <w:rFonts w:ascii="Calibri" w:eastAsia="Calibri" w:hAnsi="Calibri" w:cs="Calibri"/>
          <w:sz w:val="24"/>
          <w:szCs w:val="24"/>
        </w:rPr>
        <w:t xml:space="preserve">: (A) Tat is dispensable for production of the </w:t>
      </w:r>
      <w:r w:rsidRPr="00C4631C">
        <w:rPr>
          <w:rFonts w:ascii="Calibri" w:eastAsia="Calibri" w:hAnsi="Calibri" w:cs="Calibri"/>
          <w:b/>
          <w:sz w:val="24"/>
          <w:szCs w:val="24"/>
        </w:rPr>
        <w:t>s</w:t>
      </w:r>
      <w:r w:rsidRPr="00C4631C">
        <w:rPr>
          <w:rFonts w:ascii="Calibri" w:eastAsia="Calibri" w:hAnsi="Calibri" w:cs="Calibri"/>
          <w:sz w:val="24"/>
          <w:szCs w:val="24"/>
        </w:rPr>
        <w:t xml:space="preserve">elf-inactivated (SIN) vectors used in this study. (B) A third-generation packaging system can also be used to package the CRISPR/Cas9- genome, but results in lower viral titers compared to those obtained with second generation vectors. (C) VSV-G exhibits a broad host cell range; however, additional pseudotypes are available for efficient transduction in different cell types. (D) The pRSV-Rev plasmid from the second-generation packaging system has been successfully used to enhance production titers. </w:t>
      </w:r>
      <w:r w:rsidRPr="00C4631C">
        <w:rPr>
          <w:rFonts w:ascii="Calibri" w:eastAsia="Calibri" w:hAnsi="Calibri" w:cs="Calibri"/>
          <w:sz w:val="24"/>
          <w:szCs w:val="24"/>
        </w:rPr>
        <w:br/>
      </w:r>
    </w:p>
    <w:p w:rsidR="00C4631C" w:rsidRPr="00C4631C" w:rsidRDefault="00C4631C" w:rsidP="00C4631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4631C">
        <w:rPr>
          <w:rFonts w:ascii="Calibri" w:eastAsia="Calibri" w:hAnsi="Calibri" w:cs="Calibri"/>
          <w:b/>
          <w:sz w:val="24"/>
          <w:szCs w:val="24"/>
        </w:rPr>
        <w:t>Plasmid construction</w:t>
      </w:r>
      <w:r w:rsidRPr="00C4631C">
        <w:rPr>
          <w:rFonts w:ascii="Calibri" w:eastAsia="Calibri" w:hAnsi="Calibri" w:cs="Calibri"/>
          <w:sz w:val="24"/>
          <w:szCs w:val="24"/>
        </w:rPr>
        <w:t>: The catalytic domain of the integrase protein contains the D,D-35-E</w:t>
      </w:r>
      <w:r w:rsidRPr="00C4631C" w:rsidDel="00C7662E">
        <w:rPr>
          <w:rFonts w:ascii="Calibri" w:eastAsia="Calibri" w:hAnsi="Calibri" w:cs="Calibri"/>
          <w:sz w:val="24"/>
          <w:szCs w:val="24"/>
        </w:rPr>
        <w:t xml:space="preserve"> </w:t>
      </w:r>
      <w:r w:rsidRPr="00C4631C">
        <w:rPr>
          <w:rFonts w:ascii="Calibri" w:eastAsia="Calibri" w:hAnsi="Calibri" w:cs="Calibri"/>
          <w:sz w:val="24"/>
          <w:szCs w:val="24"/>
        </w:rPr>
        <w:t xml:space="preserve">catalytic amino-acid triad motif, comprised of the highly conserved amino-acids D64, D116 and E152 </w:t>
      </w:r>
      <w:r w:rsidRPr="00C4631C">
        <w:rPr>
          <w:rFonts w:ascii="Calibri" w:eastAsia="Calibri" w:hAnsi="Calibri" w:cs="Calibri"/>
          <w:sz w:val="24"/>
          <w:szCs w:val="24"/>
        </w:rPr>
        <w:fldChar w:fldCharType="begin"/>
      </w:r>
      <w:r w:rsidRPr="00C4631C">
        <w:rPr>
          <w:rFonts w:ascii="Calibri" w:eastAsia="Calibri" w:hAnsi="Calibri" w:cs="Calibri"/>
          <w:sz w:val="24"/>
          <w:szCs w:val="24"/>
        </w:rPr>
        <w:instrText xml:space="preserve"> ADDIN EN.CITE &lt;EndNote&gt;&lt;Cite&gt;&lt;Author&gt;Engelman&lt;/Author&gt;&lt;Year&gt;1992&lt;/Year&gt;&lt;RecNum&gt;88&lt;/RecNum&gt;&lt;DisplayText&gt;&lt;style face="superscript"&gt;29&lt;/style&gt;&lt;/DisplayText&gt;&lt;record&gt;&lt;rec-number&gt;88&lt;/rec-number&gt;&lt;foreign-keys&gt;&lt;key app="EN" db-id="tdvtvdttw5afsyets5uvxadl55rtwxasxzaf" timestamp="1498758836"&gt;88&lt;/key&gt;&lt;/foreign-keys&gt;&lt;ref-type name="Journal Article"&gt;17&lt;/ref-type&gt;&lt;contributors&gt;&lt;authors&gt;&lt;author&gt;Engelman, A.&lt;/author&gt;&lt;author&gt;Craigie, R.&lt;/author&gt;&lt;/authors&gt;&lt;/contributors&gt;&lt;auth-address&gt;Laboratory of Molecular Biology, National Institute of Diabetes and Digestive and Kidney Diseases, Bethesda, Maryland 20892.&lt;/auth-address&gt;&lt;titles&gt;&lt;title&gt;Identification of conserved amino acid residues critical for human immunodeficiency virus type 1 integrase function in vitro&lt;/title&gt;&lt;secondary-title&gt;J Virol&lt;/secondary-title&gt;&lt;/titles&gt;&lt;periodical&gt;&lt;full-title&gt;J Virol&lt;/full-title&gt;&lt;/periodical&gt;&lt;pages&gt;6361-9&lt;/pages&gt;&lt;volume&gt;66&lt;/volume&gt;&lt;number&gt;11&lt;/number&gt;&lt;keywords&gt;&lt;keyword&gt;Amino Acid Sequence&lt;/keyword&gt;&lt;keyword&gt;Base Sequence&lt;/keyword&gt;&lt;keyword&gt;Catalysis&lt;/keyword&gt;&lt;keyword&gt;Conserved Sequence/*genetics&lt;/keyword&gt;&lt;keyword&gt;DNA Mutational Analysis&lt;/keyword&gt;&lt;keyword&gt;DNA Nucleotidyltransferases/drug effects/*genetics/metabolism&lt;/keyword&gt;&lt;keyword&gt;Endopeptidases/pharmacology&lt;/keyword&gt;&lt;keyword&gt;HIV-1/enzymology/*genetics&lt;/keyword&gt;&lt;keyword&gt;Integrases&lt;/keyword&gt;&lt;keyword&gt;Molecular Sequence Data&lt;/keyword&gt;&lt;keyword&gt;Mutagenesis, Site-Directed&lt;/keyword&gt;&lt;keyword&gt;Oligodeoxyribonucleotides/metabolism&lt;/keyword&gt;&lt;keyword&gt;Peptide Mapping&lt;/keyword&gt;&lt;keyword&gt;Protein Binding&lt;/keyword&gt;&lt;keyword&gt;Sequence Homology, Amino Acid&lt;/keyword&gt;&lt;keyword&gt;Structure-Activity Relationship&lt;/keyword&gt;&lt;/keywords&gt;&lt;dates&gt;&lt;year&gt;1992&lt;/year&gt;&lt;pub-dates&gt;&lt;date&gt;Nov&lt;/date&gt;&lt;/pub-dates&gt;&lt;/dates&gt;&lt;isbn&gt;0022-538X (Print)&amp;#xD;0022-538X (Linking)&lt;/isbn&gt;&lt;accession-num&gt;1404595&lt;/accession-num&gt;&lt;urls&gt;&lt;related-urls&gt;&lt;url&gt;https://www.ncbi.nlm.nih.gov/pubmed/1404595&lt;/url&gt;&lt;/related-urls&gt;&lt;/urls&gt;&lt;custom2&gt;PMC240128&lt;/custom2&gt;&lt;/record&gt;&lt;/Cite&gt;&lt;/EndNote&gt;</w:instrText>
      </w:r>
      <w:r w:rsidRPr="00C4631C">
        <w:rPr>
          <w:rFonts w:ascii="Calibri" w:eastAsia="Calibri" w:hAnsi="Calibri" w:cs="Calibri"/>
          <w:sz w:val="24"/>
          <w:szCs w:val="24"/>
        </w:rPr>
        <w:fldChar w:fldCharType="separate"/>
      </w:r>
      <w:r w:rsidRPr="00C4631C">
        <w:rPr>
          <w:rFonts w:ascii="Calibri" w:eastAsia="Calibri" w:hAnsi="Calibri" w:cs="Calibri"/>
          <w:noProof/>
          <w:sz w:val="24"/>
          <w:szCs w:val="24"/>
          <w:vertAlign w:val="superscript"/>
        </w:rPr>
        <w:t>29</w:t>
      </w:r>
      <w:r w:rsidRPr="00C4631C">
        <w:rPr>
          <w:rFonts w:ascii="Calibri" w:eastAsia="Calibri" w:hAnsi="Calibri" w:cs="Calibri"/>
          <w:sz w:val="24"/>
          <w:szCs w:val="24"/>
        </w:rPr>
        <w:fldChar w:fldCharType="end"/>
      </w:r>
      <w:r w:rsidRPr="00C4631C">
        <w:rPr>
          <w:rFonts w:ascii="Calibri" w:eastAsia="Calibri" w:hAnsi="Calibri" w:cs="Calibri"/>
          <w:sz w:val="24"/>
          <w:szCs w:val="24"/>
        </w:rPr>
        <w:t xml:space="preserve">(Fig 1a). The IDLV packaging cassette was derived from psPAX2 and was created as follows. The </w:t>
      </w:r>
      <w:r w:rsidRPr="00C4631C">
        <w:rPr>
          <w:rFonts w:ascii="Calibri" w:eastAsia="Calibri" w:hAnsi="Calibri" w:cs="Calibri"/>
          <w:i/>
          <w:sz w:val="24"/>
          <w:szCs w:val="24"/>
        </w:rPr>
        <w:t>int</w:t>
      </w:r>
      <w:r w:rsidRPr="00C4631C">
        <w:rPr>
          <w:rFonts w:ascii="Calibri" w:eastAsia="Calibri" w:hAnsi="Calibri" w:cs="Calibri"/>
          <w:sz w:val="24"/>
          <w:szCs w:val="24"/>
        </w:rPr>
        <w:t xml:space="preserve"> region was amplified with primers: F- 5’-GAAATTTGTACAGAAATGG-3’, and R- 5’-CTTCTAAATGTGTACAC-3’. The R-primer harbored a T</w:t>
      </w:r>
      <w:r w:rsidRPr="00C4631C">
        <w:rPr>
          <w:rFonts w:ascii="Calibri" w:eastAsia="Calibri" w:hAnsi="Calibri" w:cs="Calibri"/>
          <w:sz w:val="24"/>
          <w:szCs w:val="24"/>
        </w:rPr>
        <w:sym w:font="Wingdings" w:char="F0E0"/>
      </w:r>
      <w:r w:rsidRPr="00C4631C">
        <w:rPr>
          <w:rFonts w:ascii="Calibri" w:eastAsia="Calibri" w:hAnsi="Calibri" w:cs="Calibri"/>
          <w:sz w:val="24"/>
          <w:szCs w:val="24"/>
        </w:rPr>
        <w:t>G mutation in the GAT codon, which created an Asp</w:t>
      </w:r>
      <w:r w:rsidRPr="00C4631C">
        <w:rPr>
          <w:rFonts w:ascii="Calibri" w:eastAsia="Calibri" w:hAnsi="Calibri" w:cs="Calibri"/>
          <w:sz w:val="24"/>
          <w:szCs w:val="24"/>
        </w:rPr>
        <w:sym w:font="Wingdings" w:char="F0E0"/>
      </w:r>
      <w:r w:rsidRPr="00C4631C">
        <w:rPr>
          <w:rFonts w:ascii="Calibri" w:eastAsia="Calibri" w:hAnsi="Calibri" w:cs="Calibri"/>
          <w:sz w:val="24"/>
          <w:szCs w:val="24"/>
        </w:rPr>
        <w:t>Glu (D64E) substitution. The PCR product harboring the mutation was digested with BsrGI and cloned into psPAX2, replacing the corresponding region. The resulting i</w:t>
      </w:r>
      <w:r w:rsidRPr="00C4631C">
        <w:rPr>
          <w:rFonts w:ascii="Calibri" w:eastAsia="Calibri" w:hAnsi="Calibri" w:cs="Calibri"/>
          <w:i/>
          <w:sz w:val="24"/>
          <w:szCs w:val="24"/>
        </w:rPr>
        <w:t>ntD64E</w:t>
      </w:r>
      <w:r w:rsidRPr="00C4631C">
        <w:rPr>
          <w:rFonts w:ascii="Calibri" w:eastAsia="Calibri" w:hAnsi="Calibri" w:cs="Calibri"/>
          <w:sz w:val="24"/>
          <w:szCs w:val="24"/>
        </w:rPr>
        <w:t xml:space="preserve">-containing packaging plasmid was named pBK43. The plasmid sequence was confirmed by restriction enzyme digestion (Fig. 1b) and Sanger sequencing. To generate a shorter version of  the pLenti-CRISPR/Cas9-expressing vector, the plasmid was digested with BsmBI and cloned with a pair of annealed and phosphorylated oligonucleotides, upper- 5’- CACCGGAGACGTGTACACGTCTCT-3’ and lower- 5’-AAACAGAGACGTGTACACGTCTCC-3’. The resulting plasmid, pBK109 harbored two BsmBI restriction sites separated by a short linker sequence. The BsrGI site created between BsmBI sites in the new vector allowed for easy screening of small guide RNA (sgRNA)-positive clones. The plasmid was further modified to include a pair of Sp1-binding sites. To this end, the plasmid was digested with KpnI and PacI and cloned with a pair of the annealed and the phosphorylated oligonucleotides: upper: 5’- TAATGGGCGGGACGTTAACGGGGCGGAACGGTAC-3’, lower: 5’- CGTTCCGCCCCGTTAACGTCCCGCCCATTAAT-3’. The resulting plasmid was named pBK301. The following oligos were used to introduce sgRNAs targeting GFP into pBK109 and pBK301 (sgRNA1): Upper: 5’-CACCGGGGCGAGGAGCTGTTCACCG-3’; lower: 5’-AAACCGGTGAACAGCTCCTCGCCCC-3’. The resulting plasmids were named pBK189 and pBK198, respectively.  </w:t>
      </w:r>
    </w:p>
    <w:p w:rsidR="008C29F8" w:rsidRDefault="00C4631C"/>
    <w:sectPr w:rsidR="008C2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1C"/>
    <w:rsid w:val="00423B30"/>
    <w:rsid w:val="00C4631C"/>
    <w:rsid w:val="00F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2FA1"/>
  <w15:chartTrackingRefBased/>
  <w15:docId w15:val="{4002CD15-003D-42BF-BD9D-D63763FF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631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C4631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C4631C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C4631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463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Dsouza</dc:creator>
  <cp:keywords/>
  <dc:description/>
  <cp:lastModifiedBy>Alisha Dsouza</cp:lastModifiedBy>
  <cp:revision>1</cp:revision>
  <dcterms:created xsi:type="dcterms:W3CDTF">2017-08-23T14:59:00Z</dcterms:created>
  <dcterms:modified xsi:type="dcterms:W3CDTF">2017-08-23T15:00:00Z</dcterms:modified>
</cp:coreProperties>
</file>