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9251C" w14:textId="77777777" w:rsidR="0083775C" w:rsidRDefault="0083775C" w:rsidP="0083775C">
      <w:pPr>
        <w:jc w:val="both"/>
      </w:pPr>
      <w:r w:rsidRPr="00835109">
        <w:t>Response to comments from Review</w:t>
      </w:r>
      <w:r>
        <w:t xml:space="preserve"> editor</w:t>
      </w:r>
    </w:p>
    <w:p w14:paraId="6F3198E2" w14:textId="77777777" w:rsidR="0083775C" w:rsidRDefault="0083775C" w:rsidP="0083775C">
      <w:pPr>
        <w:jc w:val="both"/>
        <w:rPr>
          <w:rFonts w:eastAsia="Times New Roman"/>
          <w:color w:val="000000"/>
        </w:rPr>
      </w:pPr>
      <w:r w:rsidRPr="00016626">
        <w:rPr>
          <w:rFonts w:eastAsia="Times New Roman"/>
          <w:color w:val="000000" w:themeColor="text1"/>
        </w:rPr>
        <w:t xml:space="preserve">• </w:t>
      </w:r>
      <w:r w:rsidRPr="00016626">
        <w:rPr>
          <w:rFonts w:eastAsia="Times New Roman"/>
          <w:color w:val="0070C0"/>
        </w:rPr>
        <w:t>Please take this opportunity to thoroughly proofread the manuscript to ensure that there are no spelling or grammatical errors.</w:t>
      </w:r>
      <w:r w:rsidRPr="00016626">
        <w:rPr>
          <w:rFonts w:eastAsia="Times New Roman"/>
          <w:color w:val="000000"/>
        </w:rPr>
        <w:br/>
      </w:r>
      <w:r>
        <w:rPr>
          <w:lang w:eastAsia="de-DE"/>
        </w:rPr>
        <w:t xml:space="preserve">We have corrected some small errors that are not described in this letter, and have also highlighted these changes in </w:t>
      </w:r>
      <w:r w:rsidRPr="003070CE">
        <w:rPr>
          <w:highlight w:val="green"/>
          <w:lang w:eastAsia="de-DE"/>
        </w:rPr>
        <w:t>green</w:t>
      </w:r>
      <w:r>
        <w:rPr>
          <w:lang w:eastAsia="de-DE"/>
        </w:rPr>
        <w:t>.</w:t>
      </w:r>
    </w:p>
    <w:p w14:paraId="5CC2FDA7" w14:textId="77777777" w:rsidR="0083775C" w:rsidRDefault="0083775C" w:rsidP="0083775C">
      <w:pPr>
        <w:jc w:val="both"/>
        <w:rPr>
          <w:rFonts w:eastAsia="Times New Roman"/>
          <w:color w:val="0070C0"/>
        </w:rPr>
      </w:pP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Protocol Language:</w:t>
      </w:r>
      <w:r w:rsidRPr="00016626">
        <w:rPr>
          <w:rStyle w:val="apple-converted-space"/>
          <w:rFonts w:eastAsia="Times New Roman"/>
          <w:color w:val="000000"/>
        </w:rPr>
        <w:t> </w:t>
      </w:r>
      <w:r w:rsidRPr="00016626">
        <w:rPr>
          <w:rFonts w:eastAsia="Times New Roman"/>
          <w:color w:val="0070C0"/>
        </w:rPr>
        <w:t>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016626">
        <w:rPr>
          <w:rFonts w:eastAsia="Times New Roman"/>
          <w:color w:val="0070C0"/>
        </w:rPr>
        <w:br/>
        <w:t>1) E.g. Line 66 should be a note.</w:t>
      </w:r>
    </w:p>
    <w:p w14:paraId="3F89CAB5" w14:textId="77777777" w:rsidR="0083775C" w:rsidRDefault="0083775C" w:rsidP="0083775C">
      <w:pPr>
        <w:jc w:val="both"/>
        <w:rPr>
          <w:rFonts w:eastAsia="Times New Roman"/>
          <w:color w:val="000000"/>
        </w:rPr>
      </w:pPr>
      <w:r>
        <w:rPr>
          <w:rFonts w:eastAsia="Times New Roman"/>
          <w:color w:val="000000" w:themeColor="text1"/>
        </w:rPr>
        <w:t xml:space="preserve">L. 68, </w:t>
      </w:r>
      <w:r w:rsidRPr="003E11C7">
        <w:rPr>
          <w:rFonts w:eastAsia="Times New Roman"/>
          <w:color w:val="000000" w:themeColor="text1"/>
        </w:rPr>
        <w:t>We</w:t>
      </w:r>
      <w:r>
        <w:rPr>
          <w:rFonts w:eastAsia="Times New Roman"/>
          <w:color w:val="000000" w:themeColor="text1"/>
        </w:rPr>
        <w:t xml:space="preserve"> have</w:t>
      </w:r>
      <w:r w:rsidRPr="003E11C7">
        <w:rPr>
          <w:rFonts w:eastAsia="Times New Roman"/>
          <w:color w:val="000000" w:themeColor="text1"/>
        </w:rPr>
        <w:t xml:space="preserve"> added ‘Note</w:t>
      </w:r>
      <w:proofErr w:type="gramStart"/>
      <w:r>
        <w:rPr>
          <w:rFonts w:eastAsia="Times New Roman"/>
          <w:color w:val="000000" w:themeColor="text1"/>
        </w:rPr>
        <w:t xml:space="preserve">: </w:t>
      </w:r>
      <w:r w:rsidRPr="003E11C7">
        <w:rPr>
          <w:rFonts w:eastAsia="Times New Roman"/>
          <w:color w:val="000000" w:themeColor="text1"/>
        </w:rPr>
        <w:t>’</w:t>
      </w:r>
      <w:proofErr w:type="gramEnd"/>
      <w:r w:rsidRPr="003E11C7">
        <w:rPr>
          <w:rFonts w:eastAsia="Times New Roman"/>
          <w:color w:val="000000" w:themeColor="text1"/>
        </w:rPr>
        <w:t xml:space="preserve"> before </w:t>
      </w:r>
      <w:r w:rsidRPr="003E11C7">
        <w:rPr>
          <w:color w:val="000000" w:themeColor="text1"/>
        </w:rPr>
        <w:t>ipecac (</w:t>
      </w:r>
      <w:proofErr w:type="spellStart"/>
      <w:r w:rsidRPr="003E11C7">
        <w:rPr>
          <w:i/>
          <w:color w:val="000000" w:themeColor="text1"/>
        </w:rPr>
        <w:t>Carapichea</w:t>
      </w:r>
      <w:proofErr w:type="spellEnd"/>
      <w:r w:rsidRPr="003E11C7">
        <w:rPr>
          <w:i/>
          <w:color w:val="000000" w:themeColor="text1"/>
        </w:rPr>
        <w:t xml:space="preserve"> </w:t>
      </w:r>
      <w:proofErr w:type="spellStart"/>
      <w:r w:rsidRPr="003E11C7">
        <w:rPr>
          <w:i/>
          <w:color w:val="000000" w:themeColor="text1"/>
        </w:rPr>
        <w:t>ipecacuanha</w:t>
      </w:r>
      <w:proofErr w:type="spellEnd"/>
      <w:r w:rsidRPr="003E11C7">
        <w:rPr>
          <w:color w:val="000000" w:themeColor="text1"/>
        </w:rPr>
        <w:t>)</w:t>
      </w:r>
      <w:r>
        <w:rPr>
          <w:rFonts w:eastAsia="Times New Roman"/>
          <w:color w:val="000000"/>
        </w:rPr>
        <w:t xml:space="preserve">. </w:t>
      </w:r>
    </w:p>
    <w:p w14:paraId="24324FD5" w14:textId="77777777" w:rsidR="0083775C" w:rsidRPr="00BE560F" w:rsidRDefault="0083775C" w:rsidP="0083775C">
      <w:pPr>
        <w:rPr>
          <w:rFonts w:eastAsia="Times New Roman"/>
          <w:color w:val="000000"/>
        </w:rPr>
      </w:pPr>
      <w:r>
        <w:rPr>
          <w:rFonts w:eastAsia="Times New Roman"/>
          <w:color w:val="000000"/>
        </w:rPr>
        <w:t>In addition, L. 82-83</w:t>
      </w:r>
      <w:r w:rsidRPr="00BE560F">
        <w:rPr>
          <w:rFonts w:eastAsia="Times New Roman"/>
          <w:color w:val="000000"/>
        </w:rPr>
        <w:t>, We have revised the second sentence to imperative tense.</w:t>
      </w:r>
    </w:p>
    <w:p w14:paraId="392D5C32" w14:textId="77777777" w:rsidR="0083775C" w:rsidRPr="00BE560F" w:rsidRDefault="0083775C" w:rsidP="0083775C">
      <w:pPr>
        <w:rPr>
          <w:rFonts w:eastAsia="Times New Roman"/>
          <w:color w:val="000000"/>
        </w:rPr>
      </w:pPr>
      <w:r>
        <w:rPr>
          <w:rFonts w:eastAsia="Times New Roman"/>
          <w:color w:val="000000"/>
        </w:rPr>
        <w:t>L. 131, We have deleted ‘Further’.</w:t>
      </w:r>
    </w:p>
    <w:p w14:paraId="1C36BE63" w14:textId="77777777" w:rsidR="0083775C" w:rsidRPr="00BE560F" w:rsidRDefault="0083775C" w:rsidP="0083775C">
      <w:pPr>
        <w:rPr>
          <w:rFonts w:eastAsia="Times New Roman"/>
          <w:color w:val="000000"/>
        </w:rPr>
      </w:pPr>
    </w:p>
    <w:p w14:paraId="7B3295BB" w14:textId="77777777" w:rsidR="0083775C" w:rsidRDefault="0083775C" w:rsidP="0083775C">
      <w:pPr>
        <w:rPr>
          <w:rFonts w:eastAsia="Times New Roman"/>
          <w:color w:val="0070C0"/>
        </w:rPr>
      </w:pPr>
      <w:r w:rsidRPr="00BE560F">
        <w:rPr>
          <w:rFonts w:eastAsia="Times New Roman"/>
          <w:color w:val="000000"/>
        </w:rPr>
        <w:t>•</w:t>
      </w:r>
      <w:r w:rsidRPr="00BE560F">
        <w:rPr>
          <w:rStyle w:val="apple-converted-space"/>
          <w:rFonts w:eastAsia="Times New Roman"/>
          <w:color w:val="000000"/>
        </w:rPr>
        <w:t> </w:t>
      </w:r>
      <w:r w:rsidRPr="00BE560F">
        <w:rPr>
          <w:rFonts w:eastAsia="Times New Roman"/>
          <w:b/>
          <w:bCs/>
          <w:color w:val="FF0000"/>
        </w:rPr>
        <w:t>Protocol Detail:</w:t>
      </w:r>
      <w:r w:rsidRPr="00BE560F">
        <w:rPr>
          <w:rStyle w:val="apple-converted-space"/>
          <w:rFonts w:eastAsia="Times New Roman"/>
          <w:color w:val="000000"/>
        </w:rPr>
        <w:t> </w:t>
      </w:r>
      <w:r w:rsidRPr="00BE560F">
        <w:rPr>
          <w:rFonts w:eastAsia="Times New Roman"/>
          <w:color w:val="0070C0"/>
        </w:rPr>
        <w:t>Please note that your protocol will be used to generate the script for the video, and must contain everything that you would like shown in the video.</w:t>
      </w:r>
      <w:r w:rsidRPr="00BE560F">
        <w:rPr>
          <w:rStyle w:val="apple-converted-space"/>
          <w:rFonts w:eastAsia="Times New Roman"/>
          <w:color w:val="0070C0"/>
        </w:rPr>
        <w:t> </w:t>
      </w:r>
      <w:r w:rsidRPr="00BE560F">
        <w:rPr>
          <w:rFonts w:eastAsia="Times New Roman"/>
          <w:b/>
          <w:bCs/>
          <w:color w:val="0070C0"/>
        </w:rPr>
        <w:t>Please add more details to the following protocol steps.</w:t>
      </w:r>
      <w:r w:rsidRPr="00BE560F">
        <w:rPr>
          <w:rStyle w:val="apple-converted-space"/>
          <w:rFonts w:eastAsia="Times New Roman"/>
          <w:b/>
          <w:bCs/>
          <w:color w:val="0070C0"/>
        </w:rPr>
        <w:t> </w:t>
      </w:r>
      <w:r w:rsidRPr="00BE560F">
        <w:rPr>
          <w:rFonts w:eastAsia="Times New Roman"/>
          <w:color w:val="0070C0"/>
        </w:rPr>
        <w:t>There should be enough detail in each step to supplement the actions seen in the video so that viewers can easily replicate the protocol. Some examples:</w:t>
      </w:r>
      <w:r w:rsidRPr="00BE560F">
        <w:rPr>
          <w:rFonts w:eastAsia="Times New Roman"/>
          <w:color w:val="0070C0"/>
        </w:rPr>
        <w:br/>
        <w:t>1) Line 72: cute using scissors?</w:t>
      </w:r>
    </w:p>
    <w:p w14:paraId="5EA728DC" w14:textId="77777777" w:rsidR="0083775C" w:rsidRDefault="0083775C" w:rsidP="0083775C">
      <w:pPr>
        <w:rPr>
          <w:rFonts w:eastAsia="Times New Roman"/>
          <w:color w:val="000000"/>
        </w:rPr>
      </w:pPr>
      <w:r>
        <w:rPr>
          <w:rFonts w:eastAsia="Times New Roman"/>
          <w:color w:val="000000" w:themeColor="text1"/>
        </w:rPr>
        <w:t xml:space="preserve">L. 76, 82, </w:t>
      </w:r>
      <w:r w:rsidRPr="00A92BA7">
        <w:rPr>
          <w:rFonts w:eastAsia="Times New Roman"/>
          <w:color w:val="000000" w:themeColor="text1"/>
        </w:rPr>
        <w:t xml:space="preserve">We have added </w:t>
      </w:r>
      <w:r w:rsidRPr="004F7103">
        <w:rPr>
          <w:rFonts w:eastAsia="Times New Roman"/>
          <w:color w:val="000000" w:themeColor="text1"/>
        </w:rPr>
        <w:t>‘using a surgical scalpel with a blade No. 2</w:t>
      </w:r>
      <w:r>
        <w:t>2 on a sterile acryl plate</w:t>
      </w:r>
      <w:r w:rsidRPr="004F7103">
        <w:rPr>
          <w:rFonts w:eastAsia="Times New Roman"/>
          <w:color w:val="000000" w:themeColor="text1"/>
        </w:rPr>
        <w:t>’.</w:t>
      </w:r>
      <w:r w:rsidRPr="004F7103">
        <w:rPr>
          <w:rFonts w:eastAsia="Times New Roman"/>
          <w:color w:val="0070C0"/>
        </w:rPr>
        <w:t xml:space="preserve"> </w:t>
      </w:r>
      <w:r w:rsidRPr="004F7103">
        <w:rPr>
          <w:rFonts w:eastAsia="Times New Roman"/>
          <w:color w:val="0070C0"/>
        </w:rPr>
        <w:br/>
        <w:t>2) Line 74: What is the culture medium/substrate?</w:t>
      </w:r>
      <w:r w:rsidRPr="004F7103">
        <w:rPr>
          <w:rFonts w:eastAsia="Times New Roman"/>
          <w:color w:val="000000"/>
        </w:rPr>
        <w:br/>
      </w:r>
      <w:r>
        <w:rPr>
          <w:rFonts w:eastAsia="Times New Roman"/>
          <w:color w:val="000000"/>
        </w:rPr>
        <w:t xml:space="preserve">L. 79, </w:t>
      </w:r>
      <w:r w:rsidRPr="004F7103">
        <w:rPr>
          <w:rFonts w:eastAsia="Times New Roman"/>
          <w:color w:val="000000"/>
        </w:rPr>
        <w:t xml:space="preserve">We </w:t>
      </w:r>
      <w:r w:rsidRPr="004F7103">
        <w:rPr>
          <w:rFonts w:eastAsia="Times New Roman"/>
          <w:color w:val="000000" w:themeColor="text1"/>
        </w:rPr>
        <w:t>have added ‘</w:t>
      </w:r>
      <w:r w:rsidRPr="004F7103">
        <w:t xml:space="preserve">on </w:t>
      </w:r>
      <w:proofErr w:type="spellStart"/>
      <w:r w:rsidRPr="004F7103">
        <w:t>phytohormone</w:t>
      </w:r>
      <w:proofErr w:type="spellEnd"/>
      <w:r w:rsidRPr="004F7103">
        <w:t>-free B5 medium</w:t>
      </w:r>
      <w:r w:rsidRPr="00A92BA7">
        <w:rPr>
          <w:rFonts w:eastAsia="Times New Roman"/>
          <w:color w:val="000000" w:themeColor="text1"/>
        </w:rPr>
        <w:t>’</w:t>
      </w:r>
      <w:r w:rsidRPr="00E4250F">
        <w:rPr>
          <w:rFonts w:eastAsia="Times New Roman"/>
          <w:color w:val="000000" w:themeColor="text1"/>
        </w:rPr>
        <w:t>.</w:t>
      </w:r>
    </w:p>
    <w:p w14:paraId="4DD75890" w14:textId="77777777" w:rsidR="0083775C" w:rsidRDefault="0083775C" w:rsidP="0083775C">
      <w:pPr>
        <w:rPr>
          <w:rFonts w:eastAsia="Times New Roman"/>
          <w:color w:val="000000"/>
        </w:rPr>
      </w:pPr>
      <w:r>
        <w:rPr>
          <w:rFonts w:eastAsia="Times New Roman"/>
          <w:color w:val="000000"/>
        </w:rPr>
        <w:t>In addition, we have added some details in the text. See green highlight.</w:t>
      </w:r>
    </w:p>
    <w:p w14:paraId="596D6194" w14:textId="77777777" w:rsidR="0083775C" w:rsidRPr="00BE560F" w:rsidRDefault="0083775C" w:rsidP="0083775C">
      <w:pPr>
        <w:rPr>
          <w:rFonts w:eastAsia="Times New Roman"/>
          <w:color w:val="000000"/>
        </w:rPr>
      </w:pPr>
      <w:r w:rsidRPr="00BE560F">
        <w:rPr>
          <w:rFonts w:eastAsia="Times New Roman"/>
          <w:color w:val="000000"/>
        </w:rPr>
        <w:br/>
        <w:t>•</w:t>
      </w:r>
      <w:r w:rsidRPr="00BE560F">
        <w:rPr>
          <w:rStyle w:val="apple-converted-space"/>
          <w:rFonts w:eastAsia="Times New Roman"/>
          <w:color w:val="000000"/>
        </w:rPr>
        <w:t> </w:t>
      </w:r>
      <w:r w:rsidRPr="00BE560F">
        <w:rPr>
          <w:rFonts w:eastAsia="Times New Roman"/>
          <w:b/>
          <w:bCs/>
          <w:color w:val="FF0000"/>
        </w:rPr>
        <w:t>Protocol Numbering:</w:t>
      </w:r>
      <w:r w:rsidRPr="00BE560F">
        <w:rPr>
          <w:rStyle w:val="apple-converted-space"/>
          <w:rFonts w:eastAsia="Times New Roman"/>
          <w:color w:val="000000"/>
        </w:rPr>
        <w:t> </w:t>
      </w:r>
      <w:r w:rsidRPr="00BE560F">
        <w:rPr>
          <w:rFonts w:eastAsia="Times New Roman"/>
          <w:color w:val="0070C0"/>
        </w:rPr>
        <w:t xml:space="preserve">Please adjust the numbering of your protocol section to follow </w:t>
      </w:r>
      <w:proofErr w:type="spellStart"/>
      <w:r w:rsidRPr="00BE560F">
        <w:rPr>
          <w:rFonts w:eastAsia="Times New Roman"/>
          <w:color w:val="0070C0"/>
        </w:rPr>
        <w:t>JoVE’s</w:t>
      </w:r>
      <w:proofErr w:type="spellEnd"/>
      <w:r w:rsidRPr="00BE560F">
        <w:rPr>
          <w:rFonts w:eastAsia="Times New Roman"/>
          <w:color w:val="0070C0"/>
        </w:rPr>
        <w:t xml:space="preserve"> instructions for authors, 1. should be followed by 1.1. and then 1.1.1. if necessary and all steps should be lined up at the left margin with no indentations. There must also be a one-line space between each protocol step.</w:t>
      </w:r>
      <w:r w:rsidRPr="00BE560F">
        <w:rPr>
          <w:rFonts w:eastAsia="Times New Roman"/>
          <w:color w:val="000000"/>
        </w:rPr>
        <w:br/>
        <w:t xml:space="preserve">We have changed the numbering of protocol section as you proposed. </w:t>
      </w:r>
      <w:r>
        <w:rPr>
          <w:rFonts w:eastAsia="Times New Roman"/>
          <w:color w:val="000000"/>
        </w:rPr>
        <w:t>In addition</w:t>
      </w:r>
      <w:r w:rsidRPr="00BE560F">
        <w:rPr>
          <w:rFonts w:eastAsia="Times New Roman"/>
          <w:color w:val="000000"/>
        </w:rPr>
        <w:t>, we have inserted a one-line space between each step.</w:t>
      </w:r>
    </w:p>
    <w:p w14:paraId="54455FBA" w14:textId="77777777" w:rsidR="0083775C" w:rsidRDefault="0083775C" w:rsidP="0083775C">
      <w:pPr>
        <w:jc w:val="both"/>
        <w:rPr>
          <w:rFonts w:eastAsia="Times New Roman"/>
          <w:color w:val="000000"/>
        </w:rPr>
      </w:pP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Protocol Highlight:</w:t>
      </w:r>
      <w:r w:rsidRPr="00016626">
        <w:rPr>
          <w:rStyle w:val="apple-converted-space"/>
          <w:rFonts w:eastAsia="Times New Roman"/>
          <w:color w:val="000000"/>
        </w:rPr>
        <w:t> </w:t>
      </w:r>
      <w:r w:rsidRPr="00016626">
        <w:rPr>
          <w:rFonts w:eastAsia="Times New Roman"/>
          <w:color w:val="0070C0"/>
        </w:rPr>
        <w:t xml:space="preserve">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w:t>
      </w:r>
      <w:r w:rsidRPr="00016626">
        <w:rPr>
          <w:rFonts w:eastAsia="Times New Roman"/>
          <w:color w:val="0070C0"/>
        </w:rPr>
        <w:lastRenderedPageBreak/>
        <w:t xml:space="preserve">most cohesive story of your protocol steps. Please see </w:t>
      </w:r>
      <w:proofErr w:type="spellStart"/>
      <w:r w:rsidRPr="00016626">
        <w:rPr>
          <w:rFonts w:eastAsia="Times New Roman"/>
          <w:color w:val="0070C0"/>
        </w:rPr>
        <w:t>JoVE’s</w:t>
      </w:r>
      <w:proofErr w:type="spellEnd"/>
      <w:r w:rsidRPr="00016626">
        <w:rPr>
          <w:rFonts w:eastAsia="Times New Roman"/>
          <w:color w:val="0070C0"/>
        </w:rPr>
        <w:t xml:space="preserve"> instructions for authors for more clarification. Remember that the non-highlighted protocol steps will remain in the manuscript and therefore will still be available to the reader.</w:t>
      </w:r>
      <w:r w:rsidRPr="00016626">
        <w:rPr>
          <w:rFonts w:eastAsia="Times New Roman"/>
          <w:color w:val="000000"/>
        </w:rPr>
        <w:br/>
      </w:r>
      <w:r>
        <w:rPr>
          <w:rFonts w:eastAsia="Times New Roman"/>
          <w:color w:val="000000"/>
        </w:rPr>
        <w:t>We have revised the protocol accordingly, but the total length was within 3 pages. Thus, we have not highlighted in yellow in the text.</w:t>
      </w:r>
    </w:p>
    <w:p w14:paraId="0476512B" w14:textId="77777777" w:rsidR="0083775C" w:rsidRDefault="0083775C" w:rsidP="0083775C">
      <w:pPr>
        <w:jc w:val="both"/>
        <w:rPr>
          <w:rFonts w:eastAsia="Times New Roman"/>
          <w:color w:val="000000"/>
        </w:rPr>
      </w:pP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Discussion:</w:t>
      </w:r>
      <w:r w:rsidRPr="00016626">
        <w:rPr>
          <w:rStyle w:val="apple-converted-space"/>
          <w:rFonts w:eastAsia="Times New Roman"/>
          <w:color w:val="000000"/>
        </w:rPr>
        <w:t> </w:t>
      </w:r>
      <w:proofErr w:type="spellStart"/>
      <w:r w:rsidRPr="00016626">
        <w:rPr>
          <w:rFonts w:eastAsia="Times New Roman"/>
          <w:color w:val="0070C0"/>
        </w:rPr>
        <w:t>JoVE</w:t>
      </w:r>
      <w:proofErr w:type="spellEnd"/>
      <w:r w:rsidRPr="00016626">
        <w:rPr>
          <w:rFonts w:eastAsia="Times New Roman"/>
          <w:color w:val="0070C0"/>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016626">
        <w:rPr>
          <w:rFonts w:eastAsia="Times New Roman"/>
          <w:color w:val="000000"/>
        </w:rPr>
        <w:br/>
      </w:r>
      <w:r>
        <w:rPr>
          <w:rFonts w:eastAsia="Times New Roman"/>
          <w:color w:val="000000"/>
        </w:rPr>
        <w:t xml:space="preserve">1), 3), 5) We compared comprehensive analysis of all </w:t>
      </w:r>
      <w:proofErr w:type="spellStart"/>
      <w:r>
        <w:rPr>
          <w:rFonts w:eastAsia="Times New Roman"/>
          <w:color w:val="000000"/>
        </w:rPr>
        <w:t>phytohormones</w:t>
      </w:r>
      <w:proofErr w:type="spellEnd"/>
      <w:r>
        <w:rPr>
          <w:rFonts w:eastAsia="Times New Roman"/>
          <w:color w:val="000000"/>
        </w:rPr>
        <w:t xml:space="preserve"> and described on critical steps in our protocol (L. 207-218).</w:t>
      </w:r>
    </w:p>
    <w:p w14:paraId="4A1495FE" w14:textId="77777777" w:rsidR="0083775C" w:rsidRDefault="0083775C" w:rsidP="0083775C">
      <w:pPr>
        <w:jc w:val="both"/>
        <w:rPr>
          <w:rFonts w:eastAsia="Times New Roman"/>
          <w:color w:val="000000"/>
        </w:rPr>
      </w:pPr>
      <w:r>
        <w:rPr>
          <w:rFonts w:eastAsia="Times New Roman"/>
          <w:color w:val="000000"/>
        </w:rPr>
        <w:t xml:space="preserve">2) We discussed the detection limit of </w:t>
      </w:r>
      <w:proofErr w:type="spellStart"/>
      <w:r>
        <w:rPr>
          <w:rFonts w:eastAsia="Times New Roman"/>
          <w:color w:val="000000"/>
        </w:rPr>
        <w:t>phytohormone</w:t>
      </w:r>
      <w:proofErr w:type="spellEnd"/>
      <w:r>
        <w:rPr>
          <w:rFonts w:eastAsia="Times New Roman"/>
          <w:color w:val="000000"/>
        </w:rPr>
        <w:t xml:space="preserve"> analysis (L. 219-224).</w:t>
      </w:r>
    </w:p>
    <w:p w14:paraId="12CB1408" w14:textId="77777777" w:rsidR="0083775C" w:rsidRDefault="0083775C" w:rsidP="0083775C">
      <w:pPr>
        <w:jc w:val="both"/>
        <w:rPr>
          <w:rFonts w:eastAsia="Times New Roman"/>
          <w:color w:val="000000"/>
        </w:rPr>
      </w:pPr>
      <w:r>
        <w:rPr>
          <w:rFonts w:eastAsia="Times New Roman"/>
          <w:color w:val="000000"/>
        </w:rPr>
        <w:t xml:space="preserve">4) We added one sentence </w:t>
      </w:r>
      <w:r>
        <w:t>to the end of Discussion as the application of our method,</w:t>
      </w:r>
      <w:r>
        <w:rPr>
          <w:rFonts w:eastAsia="Times New Roman"/>
          <w:color w:val="000000"/>
        </w:rPr>
        <w:t xml:space="preserve"> ‘</w:t>
      </w:r>
      <w:r w:rsidRPr="009F79B1">
        <w:t xml:space="preserve">In the future, </w:t>
      </w:r>
      <w:r w:rsidRPr="009F79B1">
        <w:rPr>
          <w:rFonts w:cstheme="minorHAnsi"/>
        </w:rPr>
        <w:t xml:space="preserve">this method would be applied to investigate dynamics of the endogenous auxin and </w:t>
      </w:r>
      <w:proofErr w:type="spellStart"/>
      <w:r w:rsidRPr="009F79B1">
        <w:rPr>
          <w:rFonts w:cstheme="minorHAnsi"/>
        </w:rPr>
        <w:t>cytokinin</w:t>
      </w:r>
      <w:proofErr w:type="spellEnd"/>
      <w:r w:rsidRPr="009F79B1">
        <w:rPr>
          <w:rFonts w:cstheme="minorHAnsi"/>
        </w:rPr>
        <w:t xml:space="preserve"> during organogenesis in other plant species.</w:t>
      </w:r>
      <w:r w:rsidRPr="009F79B1">
        <w:rPr>
          <w:rFonts w:eastAsia="Times New Roman"/>
          <w:color w:val="000000"/>
        </w:rPr>
        <w:t>’</w:t>
      </w:r>
      <w:r>
        <w:rPr>
          <w:rFonts w:eastAsia="Times New Roman"/>
          <w:color w:val="000000"/>
        </w:rPr>
        <w:t xml:space="preserve"> (L. 231-233)</w:t>
      </w:r>
      <w:r w:rsidRPr="009F79B1">
        <w:rPr>
          <w:rFonts w:eastAsia="Times New Roman"/>
          <w:color w:val="000000"/>
        </w:rPr>
        <w:t>.</w:t>
      </w:r>
    </w:p>
    <w:p w14:paraId="13CC39D2" w14:textId="77777777" w:rsidR="0083775C" w:rsidRDefault="0083775C" w:rsidP="0083775C">
      <w:pPr>
        <w:jc w:val="both"/>
        <w:rPr>
          <w:rFonts w:eastAsia="Times New Roman"/>
          <w:color w:val="0070C0"/>
        </w:rPr>
      </w:pP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 xml:space="preserve">Figure/Table </w:t>
      </w:r>
      <w:proofErr w:type="gramStart"/>
      <w:r w:rsidRPr="00016626">
        <w:rPr>
          <w:rFonts w:eastAsia="Times New Roman"/>
          <w:b/>
          <w:bCs/>
          <w:color w:val="FF0000"/>
        </w:rPr>
        <w:t>Legends:</w:t>
      </w:r>
      <w:r w:rsidRPr="00016626">
        <w:rPr>
          <w:rFonts w:eastAsia="Times New Roman"/>
          <w:color w:val="000000"/>
        </w:rPr>
        <w:t>:</w:t>
      </w:r>
      <w:proofErr w:type="gramEnd"/>
      <w:r w:rsidRPr="00016626">
        <w:rPr>
          <w:rFonts w:eastAsia="Times New Roman"/>
          <w:color w:val="000000"/>
        </w:rPr>
        <w:br/>
      </w:r>
      <w:r w:rsidRPr="00016626">
        <w:rPr>
          <w:rFonts w:eastAsia="Times New Roman"/>
          <w:color w:val="0070C0"/>
        </w:rPr>
        <w:t>1) Fig 3: Define the insets</w:t>
      </w:r>
    </w:p>
    <w:p w14:paraId="1CD2E8A2" w14:textId="77777777" w:rsidR="0083775C" w:rsidRDefault="0083775C" w:rsidP="0083775C">
      <w:pPr>
        <w:jc w:val="both"/>
        <w:rPr>
          <w:rFonts w:eastAsia="Times New Roman"/>
          <w:color w:val="0070C0"/>
        </w:rPr>
      </w:pPr>
      <w:r w:rsidRPr="002A04E3">
        <w:rPr>
          <w:rFonts w:eastAsia="Times New Roman"/>
          <w:color w:val="000000" w:themeColor="text1"/>
        </w:rPr>
        <w:t>We have defined the insets in Fig.3.</w:t>
      </w:r>
      <w:r w:rsidRPr="00016626">
        <w:rPr>
          <w:rFonts w:eastAsia="Times New Roman"/>
          <w:color w:val="0070C0"/>
        </w:rPr>
        <w:br/>
        <w:t>2) Tables 1-3: Add legends.</w:t>
      </w:r>
    </w:p>
    <w:p w14:paraId="6233634B" w14:textId="77777777" w:rsidR="0083775C" w:rsidRDefault="0083775C" w:rsidP="0083775C">
      <w:pPr>
        <w:jc w:val="both"/>
        <w:rPr>
          <w:rFonts w:eastAsia="Times New Roman"/>
          <w:color w:val="0070C0"/>
        </w:rPr>
      </w:pPr>
      <w:r>
        <w:rPr>
          <w:rFonts w:eastAsia="Times New Roman"/>
          <w:color w:val="000000" w:themeColor="text1"/>
        </w:rPr>
        <w:t xml:space="preserve">L. 198-203, </w:t>
      </w:r>
      <w:r w:rsidRPr="002A04E3">
        <w:rPr>
          <w:rFonts w:eastAsia="Times New Roman"/>
          <w:color w:val="000000" w:themeColor="text1"/>
        </w:rPr>
        <w:t>Table legends have been added after figure legends.</w:t>
      </w:r>
      <w:r w:rsidRPr="00016626">
        <w:rPr>
          <w:rFonts w:eastAsia="Times New Roman"/>
          <w:color w:val="000000"/>
        </w:rPr>
        <w:br/>
      </w: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References:</w:t>
      </w:r>
      <w:r w:rsidRPr="00016626">
        <w:rPr>
          <w:rFonts w:eastAsia="Times New Roman"/>
          <w:color w:val="000000"/>
        </w:rPr>
        <w:br/>
      </w:r>
      <w:r w:rsidRPr="00016626">
        <w:rPr>
          <w:rFonts w:eastAsia="Times New Roman"/>
          <w:color w:val="0070C0"/>
        </w:rPr>
        <w:t>1) Please abbreviate all journal titles.</w:t>
      </w:r>
    </w:p>
    <w:p w14:paraId="68752948" w14:textId="77777777" w:rsidR="0083775C" w:rsidRDefault="0083775C" w:rsidP="0083775C">
      <w:pPr>
        <w:jc w:val="both"/>
        <w:rPr>
          <w:rFonts w:eastAsia="Times New Roman"/>
          <w:color w:val="0070C0"/>
        </w:rPr>
      </w:pPr>
      <w:r>
        <w:rPr>
          <w:rFonts w:eastAsia="Times New Roman"/>
          <w:color w:val="000000" w:themeColor="text1"/>
        </w:rPr>
        <w:t xml:space="preserve">We </w:t>
      </w:r>
      <w:r w:rsidRPr="00016626">
        <w:rPr>
          <w:rFonts w:eastAsia="Times New Roman"/>
          <w:color w:val="000000" w:themeColor="text1"/>
        </w:rPr>
        <w:t>abbreviated the journal titles</w:t>
      </w:r>
      <w:r>
        <w:rPr>
          <w:rFonts w:eastAsia="Times New Roman"/>
          <w:color w:val="000000" w:themeColor="text1"/>
        </w:rPr>
        <w:t xml:space="preserve"> in references</w:t>
      </w:r>
      <w:r w:rsidRPr="00016626">
        <w:rPr>
          <w:rFonts w:eastAsia="Times New Roman"/>
          <w:color w:val="000000" w:themeColor="text1"/>
        </w:rPr>
        <w:t>.</w:t>
      </w:r>
    </w:p>
    <w:p w14:paraId="71BDA4B7" w14:textId="77777777" w:rsidR="0083775C" w:rsidRDefault="0083775C" w:rsidP="0083775C">
      <w:pPr>
        <w:jc w:val="both"/>
        <w:rPr>
          <w:rFonts w:eastAsia="Times New Roman"/>
          <w:color w:val="000000"/>
        </w:rPr>
      </w:pPr>
      <w:r w:rsidRPr="00016626">
        <w:rPr>
          <w:rFonts w:eastAsia="Times New Roman"/>
          <w:color w:val="000000"/>
        </w:rPr>
        <w:br/>
        <w:t>•</w:t>
      </w:r>
      <w:r w:rsidRPr="00016626">
        <w:rPr>
          <w:rStyle w:val="apple-converted-space"/>
          <w:rFonts w:eastAsia="Times New Roman"/>
          <w:color w:val="000000"/>
        </w:rPr>
        <w:t> </w:t>
      </w:r>
      <w:r w:rsidRPr="00016626">
        <w:rPr>
          <w:rFonts w:eastAsia="Times New Roman"/>
          <w:b/>
          <w:bCs/>
          <w:color w:val="FF0000"/>
        </w:rPr>
        <w:t>Commercial Language:</w:t>
      </w:r>
      <w:r>
        <w:rPr>
          <w:rFonts w:eastAsia="Times New Roman"/>
          <w:b/>
          <w:bCs/>
          <w:color w:val="FF0000"/>
        </w:rPr>
        <w:t xml:space="preserve"> </w:t>
      </w:r>
      <w:proofErr w:type="spellStart"/>
      <w:r w:rsidRPr="00DC143E">
        <w:rPr>
          <w:rFonts w:eastAsia="Times New Roman"/>
          <w:color w:val="0070C0"/>
        </w:rPr>
        <w:t>JoVE</w:t>
      </w:r>
      <w:proofErr w:type="spellEnd"/>
      <w:r w:rsidRPr="00DC143E">
        <w:rPr>
          <w:rFonts w:eastAsia="Times New Roman"/>
          <w:color w:val="0070C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Leica Microsystems, </w:t>
      </w:r>
      <w:proofErr w:type="spellStart"/>
      <w:r w:rsidRPr="00DC143E">
        <w:rPr>
          <w:rFonts w:eastAsia="Times New Roman"/>
          <w:color w:val="0070C0"/>
        </w:rPr>
        <w:t>TissueLyser</w:t>
      </w:r>
      <w:proofErr w:type="spellEnd"/>
      <w:r w:rsidRPr="00DC143E">
        <w:rPr>
          <w:rFonts w:eastAsia="Times New Roman"/>
          <w:color w:val="0070C0"/>
        </w:rPr>
        <w:t xml:space="preserve"> II (</w:t>
      </w:r>
      <w:proofErr w:type="spellStart"/>
      <w:r w:rsidRPr="00DC143E">
        <w:rPr>
          <w:rFonts w:eastAsia="Times New Roman"/>
          <w:color w:val="0070C0"/>
        </w:rPr>
        <w:t>Qiagen</w:t>
      </w:r>
      <w:proofErr w:type="spellEnd"/>
      <w:r w:rsidRPr="00DC143E">
        <w:rPr>
          <w:rFonts w:eastAsia="Times New Roman"/>
          <w:color w:val="0070C0"/>
        </w:rPr>
        <w:t xml:space="preserve">, Hilden, DHS1000, Oasis HLB, Oasis MCX, 3200 QTRAP; </w:t>
      </w:r>
      <w:proofErr w:type="spellStart"/>
      <w:r w:rsidRPr="00DC143E">
        <w:rPr>
          <w:rFonts w:eastAsia="Times New Roman"/>
          <w:color w:val="0070C0"/>
        </w:rPr>
        <w:t>Sciex</w:t>
      </w:r>
      <w:proofErr w:type="spellEnd"/>
      <w:r w:rsidRPr="00DC143E">
        <w:rPr>
          <w:rFonts w:eastAsia="Times New Roman"/>
          <w:color w:val="0070C0"/>
        </w:rPr>
        <w:t xml:space="preserve">, HPLC, Prominence, </w:t>
      </w:r>
      <w:proofErr w:type="spellStart"/>
      <w:r w:rsidRPr="00DC143E">
        <w:rPr>
          <w:rFonts w:eastAsia="Times New Roman"/>
          <w:color w:val="0070C0"/>
        </w:rPr>
        <w:t>MultiQuant</w:t>
      </w:r>
      <w:proofErr w:type="spellEnd"/>
      <w:r w:rsidRPr="00DC143E">
        <w:rPr>
          <w:rFonts w:eastAsia="Times New Roman"/>
          <w:color w:val="0070C0"/>
        </w:rPr>
        <w:t xml:space="preserve"> v. 2.0.2 software (</w:t>
      </w:r>
      <w:proofErr w:type="spellStart"/>
      <w:r w:rsidRPr="00DC143E">
        <w:rPr>
          <w:rFonts w:eastAsia="Times New Roman"/>
          <w:color w:val="0070C0"/>
        </w:rPr>
        <w:t>Sciex</w:t>
      </w:r>
      <w:proofErr w:type="spellEnd"/>
      <w:r w:rsidRPr="00DC143E">
        <w:rPr>
          <w:rFonts w:eastAsia="Times New Roman"/>
          <w:color w:val="0070C0"/>
        </w:rPr>
        <w:t>), etc.</w:t>
      </w:r>
      <w:r w:rsidRPr="00DC143E">
        <w:rPr>
          <w:rFonts w:eastAsia="Times New Roman"/>
          <w:color w:val="0070C0"/>
        </w:rPr>
        <w:br/>
        <w:t>1) Please use MS Word’s find function (</w:t>
      </w:r>
      <w:proofErr w:type="spellStart"/>
      <w:r w:rsidRPr="00DC143E">
        <w:rPr>
          <w:rFonts w:eastAsia="Times New Roman"/>
          <w:color w:val="0070C0"/>
        </w:rPr>
        <w:t>Ctrl+F</w:t>
      </w:r>
      <w:proofErr w:type="spellEnd"/>
      <w:r w:rsidRPr="00DC143E">
        <w:rPr>
          <w:rFonts w:eastAsia="Times New Roman"/>
          <w:color w:val="0070C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DC143E">
        <w:rPr>
          <w:rFonts w:eastAsia="Times New Roman"/>
          <w:color w:val="0070C0"/>
        </w:rPr>
        <w:br/>
      </w:r>
      <w:r>
        <w:rPr>
          <w:rFonts w:eastAsia="Times New Roman"/>
          <w:color w:val="000000"/>
        </w:rPr>
        <w:t>We have replaced commercial names with generic names in the text. And we have added the commercial names in a material file.</w:t>
      </w:r>
    </w:p>
    <w:p w14:paraId="13650076" w14:textId="77777777" w:rsidR="0083775C" w:rsidRDefault="0083775C" w:rsidP="0083775C">
      <w:pPr>
        <w:jc w:val="both"/>
        <w:rPr>
          <w:rFonts w:eastAsia="Times New Roman"/>
          <w:color w:val="000000"/>
        </w:rPr>
      </w:pPr>
      <w:r w:rsidRPr="00016626">
        <w:rPr>
          <w:rFonts w:eastAsia="Times New Roman"/>
          <w:color w:val="000000"/>
        </w:rPr>
        <w:br/>
        <w:t xml:space="preserve">• </w:t>
      </w:r>
      <w:r w:rsidRPr="00DC143E">
        <w:rPr>
          <w:rFonts w:eastAsia="Times New Roman"/>
          <w:color w:val="0070C0"/>
        </w:rPr>
        <w:t>Please define all abbreviations at first use.</w:t>
      </w:r>
      <w:r w:rsidRPr="00016626">
        <w:rPr>
          <w:rFonts w:eastAsia="Times New Roman"/>
          <w:color w:val="000000"/>
        </w:rPr>
        <w:br/>
      </w:r>
      <w:r>
        <w:rPr>
          <w:rFonts w:eastAsia="Times New Roman"/>
          <w:color w:val="000000"/>
        </w:rPr>
        <w:t>We defined all abbreviations at first use.</w:t>
      </w:r>
    </w:p>
    <w:p w14:paraId="24CF6BA3" w14:textId="77777777" w:rsidR="0083775C" w:rsidRDefault="0083775C" w:rsidP="0083775C">
      <w:pPr>
        <w:jc w:val="both"/>
        <w:rPr>
          <w:rFonts w:eastAsia="Times New Roman"/>
          <w:color w:val="000000"/>
        </w:rPr>
      </w:pPr>
      <w:r w:rsidRPr="00016626">
        <w:rPr>
          <w:rFonts w:eastAsia="Times New Roman"/>
          <w:color w:val="000000"/>
        </w:rPr>
        <w:br/>
        <w:t xml:space="preserve">• </w:t>
      </w:r>
      <w:r w:rsidRPr="00DC143E">
        <w:rPr>
          <w:rFonts w:eastAsia="Times New Roman"/>
          <w:color w:val="0070C0"/>
        </w:rPr>
        <w:t>Please use standard abbreviations and symbols for SI Units such as µL, mL, L, etc., and abbreviations for non-SI units such as h, min, s for time units. Please use a single space between the numerical value and unit.</w:t>
      </w:r>
      <w:r w:rsidRPr="00016626">
        <w:rPr>
          <w:rFonts w:eastAsia="Times New Roman"/>
          <w:color w:val="000000"/>
        </w:rPr>
        <w:br/>
      </w:r>
      <w:r>
        <w:rPr>
          <w:rFonts w:eastAsia="Times New Roman"/>
          <w:color w:val="000000"/>
        </w:rPr>
        <w:t>We used abbreviations for SI units and non-SI units with a single space between the numerical value and unit.</w:t>
      </w:r>
    </w:p>
    <w:p w14:paraId="44610B9B" w14:textId="77777777" w:rsidR="0083775C" w:rsidRPr="00016626" w:rsidRDefault="0083775C" w:rsidP="0083775C">
      <w:pPr>
        <w:jc w:val="both"/>
        <w:rPr>
          <w:rFonts w:eastAsia="Times New Roman"/>
        </w:rPr>
      </w:pPr>
      <w:r w:rsidRPr="00016626">
        <w:rPr>
          <w:rFonts w:eastAsia="Times New Roman"/>
          <w:color w:val="000000"/>
        </w:rPr>
        <w:br/>
        <w:t xml:space="preserve">• </w:t>
      </w:r>
      <w:r w:rsidRPr="00DC143E">
        <w:rPr>
          <w:rFonts w:eastAsia="Times New Roman"/>
          <w:color w:val="0070C0"/>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DC143E">
        <w:rPr>
          <w:rFonts w:eastAsia="Times New Roman"/>
          <w:color w:val="0070C0"/>
        </w:rPr>
        <w:t>JoVE</w:t>
      </w:r>
      <w:proofErr w:type="spellEnd"/>
      <w:r w:rsidRPr="00DC143E">
        <w:rPr>
          <w:rFonts w:eastAsia="Times New Roman"/>
          <w:color w:val="0070C0"/>
        </w:rPr>
        <w:t>)" section. Please also cite the figure appropriately in the figure legend, i.e. "This figure has been modified from [citation]."</w:t>
      </w:r>
    </w:p>
    <w:p w14:paraId="5A070669" w14:textId="77777777" w:rsidR="0083775C" w:rsidRDefault="0083775C" w:rsidP="0083775C">
      <w:pPr>
        <w:jc w:val="both"/>
      </w:pPr>
      <w:r>
        <w:t>We have obtained the permission to re-use the figures and tables from the Springer. Text for the reprint permission was submitted as a supplemental file. In figure legends of Figs. 2 and 3, we added ‘This figure has been modified from [Koike et al. 2017]</w:t>
      </w:r>
      <w:r w:rsidRPr="008934EB">
        <w:rPr>
          <w:vertAlign w:val="superscript"/>
        </w:rPr>
        <w:t>9</w:t>
      </w:r>
      <w:r>
        <w:t>.’ In Tables 2 and 3, we added ‘This table has been modified from [Koike et al. 2017]</w:t>
      </w:r>
      <w:r w:rsidRPr="008934EB">
        <w:rPr>
          <w:vertAlign w:val="superscript"/>
        </w:rPr>
        <w:t>9</w:t>
      </w:r>
      <w:r>
        <w:t>.’</w:t>
      </w:r>
    </w:p>
    <w:p w14:paraId="5A8DC076" w14:textId="77777777" w:rsidR="0083775C" w:rsidRPr="008934EB" w:rsidRDefault="0083775C" w:rsidP="0083775C">
      <w:pPr>
        <w:jc w:val="both"/>
      </w:pPr>
    </w:p>
    <w:p w14:paraId="0B1D524D" w14:textId="77777777" w:rsidR="0083775C" w:rsidRPr="00C44937" w:rsidRDefault="0083775C" w:rsidP="0083775C">
      <w:pPr>
        <w:jc w:val="both"/>
      </w:pPr>
      <w:r w:rsidRPr="00C44937">
        <w:t>Response to comments from Reviewer 1</w:t>
      </w:r>
    </w:p>
    <w:p w14:paraId="7EEB08DE" w14:textId="77777777" w:rsidR="0083775C" w:rsidRPr="00C44937" w:rsidRDefault="0083775C" w:rsidP="0083775C">
      <w:pPr>
        <w:pStyle w:val="a3"/>
        <w:numPr>
          <w:ilvl w:val="0"/>
          <w:numId w:val="1"/>
        </w:numPr>
        <w:ind w:leftChars="0"/>
        <w:rPr>
          <w:rFonts w:ascii="Times New Roman" w:eastAsia="Times New Roman" w:hAnsi="Times New Roman" w:cs="Times New Roman"/>
          <w:sz w:val="24"/>
          <w:szCs w:val="24"/>
        </w:rPr>
      </w:pPr>
      <w:r w:rsidRPr="00C44937">
        <w:rPr>
          <w:rFonts w:ascii="Times New Roman" w:eastAsia="Times New Roman" w:hAnsi="Times New Roman" w:cs="Times New Roman"/>
          <w:color w:val="0070C0"/>
          <w:sz w:val="24"/>
          <w:szCs w:val="24"/>
        </w:rPr>
        <w:t xml:space="preserve">I would like to know the hormone levels in other plant species that adventitious shoots can be induced on </w:t>
      </w:r>
      <w:proofErr w:type="spellStart"/>
      <w:r w:rsidRPr="00C44937">
        <w:rPr>
          <w:rFonts w:ascii="Times New Roman" w:eastAsia="Times New Roman" w:hAnsi="Times New Roman" w:cs="Times New Roman"/>
          <w:color w:val="0070C0"/>
          <w:sz w:val="24"/>
          <w:szCs w:val="24"/>
        </w:rPr>
        <w:t>phytohormone</w:t>
      </w:r>
      <w:proofErr w:type="spellEnd"/>
      <w:r w:rsidRPr="00C44937">
        <w:rPr>
          <w:rFonts w:ascii="Times New Roman" w:eastAsia="Times New Roman" w:hAnsi="Times New Roman" w:cs="Times New Roman"/>
          <w:color w:val="0070C0"/>
          <w:sz w:val="24"/>
          <w:szCs w:val="24"/>
        </w:rPr>
        <w:t xml:space="preserve"> free culture media.</w:t>
      </w:r>
    </w:p>
    <w:p w14:paraId="19C035FF" w14:textId="77777777" w:rsidR="0083775C" w:rsidRDefault="0083775C" w:rsidP="0083775C">
      <w:pPr>
        <w:jc w:val="both"/>
        <w:rPr>
          <w:rFonts w:eastAsia="Times New Roman"/>
        </w:rPr>
      </w:pPr>
      <w:r>
        <w:rPr>
          <w:rFonts w:eastAsia="Times New Roman"/>
        </w:rPr>
        <w:t xml:space="preserve">Thank you for your comments. </w:t>
      </w:r>
      <w:r>
        <w:rPr>
          <w:rFonts w:eastAsia="Times New Roman"/>
          <w:color w:val="000000"/>
        </w:rPr>
        <w:t xml:space="preserve">The </w:t>
      </w:r>
      <w:proofErr w:type="spellStart"/>
      <w:r>
        <w:rPr>
          <w:rFonts w:eastAsia="Times New Roman"/>
          <w:color w:val="000000"/>
        </w:rPr>
        <w:t>JoVE</w:t>
      </w:r>
      <w:proofErr w:type="spellEnd"/>
      <w:r>
        <w:rPr>
          <w:rFonts w:eastAsia="Times New Roman"/>
          <w:color w:val="000000"/>
        </w:rPr>
        <w:t xml:space="preserve"> is a scientific method journal. </w:t>
      </w:r>
      <w:r>
        <w:rPr>
          <w:rFonts w:eastAsia="Times New Roman"/>
        </w:rPr>
        <w:t>We hope that someone who read our paper would try to analyze the hormone levels in other plant species using our protocol.</w:t>
      </w:r>
    </w:p>
    <w:p w14:paraId="7DE42929" w14:textId="77777777" w:rsidR="0083775C" w:rsidRPr="00C44937" w:rsidRDefault="0083775C" w:rsidP="0083775C">
      <w:pPr>
        <w:jc w:val="both"/>
        <w:rPr>
          <w:rFonts w:eastAsia="Times New Roman"/>
        </w:rPr>
      </w:pPr>
    </w:p>
    <w:p w14:paraId="350C0C92" w14:textId="77777777" w:rsidR="0083775C" w:rsidRPr="00C44937" w:rsidRDefault="0083775C" w:rsidP="0083775C">
      <w:pPr>
        <w:pStyle w:val="a3"/>
        <w:numPr>
          <w:ilvl w:val="0"/>
          <w:numId w:val="1"/>
        </w:numPr>
        <w:ind w:leftChars="0"/>
        <w:rPr>
          <w:rFonts w:ascii="Times New Roman" w:eastAsia="Times New Roman" w:hAnsi="Times New Roman" w:cs="Times New Roman"/>
          <w:sz w:val="24"/>
          <w:szCs w:val="24"/>
        </w:rPr>
      </w:pPr>
      <w:r w:rsidRPr="00C44937">
        <w:rPr>
          <w:rFonts w:ascii="Times New Roman" w:eastAsia="Times New Roman" w:hAnsi="Times New Roman" w:cs="Times New Roman"/>
          <w:color w:val="0070C0"/>
          <w:sz w:val="24"/>
          <w:szCs w:val="24"/>
        </w:rPr>
        <w:t xml:space="preserve">I would like to know why ipecac does not need exogenously applied </w:t>
      </w:r>
      <w:proofErr w:type="spellStart"/>
      <w:r w:rsidRPr="00C44937">
        <w:rPr>
          <w:rFonts w:ascii="Times New Roman" w:eastAsia="Times New Roman" w:hAnsi="Times New Roman" w:cs="Times New Roman"/>
          <w:color w:val="0070C0"/>
          <w:sz w:val="24"/>
          <w:szCs w:val="24"/>
        </w:rPr>
        <w:t>phytohormones</w:t>
      </w:r>
      <w:proofErr w:type="spellEnd"/>
      <w:r w:rsidRPr="00C44937">
        <w:rPr>
          <w:rFonts w:ascii="Times New Roman" w:eastAsia="Times New Roman" w:hAnsi="Times New Roman" w:cs="Times New Roman"/>
          <w:color w:val="0070C0"/>
          <w:sz w:val="24"/>
          <w:szCs w:val="24"/>
        </w:rPr>
        <w:t xml:space="preserve"> for adventitious shoot formation.</w:t>
      </w:r>
    </w:p>
    <w:p w14:paraId="2A4B0E7D" w14:textId="77777777" w:rsidR="0083775C" w:rsidRDefault="0083775C" w:rsidP="0083775C">
      <w:pPr>
        <w:jc w:val="both"/>
        <w:rPr>
          <w:rFonts w:eastAsia="Times New Roman"/>
          <w:color w:val="000000"/>
        </w:rPr>
      </w:pPr>
      <w:r>
        <w:rPr>
          <w:rFonts w:eastAsia="Times New Roman"/>
          <w:color w:val="000000"/>
        </w:rPr>
        <w:t>This is an important question. However, nobody probably knows the mechanism at this moment. In the future, we will try to answer the question.</w:t>
      </w:r>
    </w:p>
    <w:p w14:paraId="1C7795E6" w14:textId="77777777" w:rsidR="0083775C" w:rsidRPr="00C44937" w:rsidRDefault="0083775C" w:rsidP="0083775C">
      <w:pPr>
        <w:jc w:val="both"/>
        <w:rPr>
          <w:rFonts w:eastAsia="Times New Roman"/>
          <w:color w:val="000000"/>
        </w:rPr>
      </w:pPr>
    </w:p>
    <w:p w14:paraId="32BE4CC8" w14:textId="77777777" w:rsidR="0083775C" w:rsidRPr="00C44937" w:rsidRDefault="0083775C" w:rsidP="0083775C">
      <w:pPr>
        <w:pStyle w:val="a3"/>
        <w:numPr>
          <w:ilvl w:val="0"/>
          <w:numId w:val="1"/>
        </w:numPr>
        <w:ind w:leftChars="0"/>
        <w:rPr>
          <w:rFonts w:ascii="Times New Roman" w:eastAsia="Times New Roman" w:hAnsi="Times New Roman" w:cs="Times New Roman"/>
          <w:sz w:val="24"/>
          <w:szCs w:val="24"/>
        </w:rPr>
      </w:pPr>
      <w:r w:rsidRPr="00C44937">
        <w:rPr>
          <w:rFonts w:ascii="Times New Roman" w:eastAsia="Times New Roman" w:hAnsi="Times New Roman" w:cs="Times New Roman"/>
          <w:color w:val="0070C0"/>
          <w:sz w:val="24"/>
          <w:szCs w:val="24"/>
        </w:rPr>
        <w:t xml:space="preserve">Authors described in abstract, 'the optimum concentrations and combinations differ by species' and `The results will allow us to estimate the most efficient timing of auxin and </w:t>
      </w:r>
      <w:proofErr w:type="spellStart"/>
      <w:r w:rsidRPr="00C44937">
        <w:rPr>
          <w:rFonts w:ascii="Times New Roman" w:eastAsia="Times New Roman" w:hAnsi="Times New Roman" w:cs="Times New Roman"/>
          <w:color w:val="0070C0"/>
          <w:sz w:val="24"/>
          <w:szCs w:val="24"/>
        </w:rPr>
        <w:t>cytokinin</w:t>
      </w:r>
      <w:proofErr w:type="spellEnd"/>
      <w:r w:rsidRPr="00C44937">
        <w:rPr>
          <w:rFonts w:ascii="Times New Roman" w:eastAsia="Times New Roman" w:hAnsi="Times New Roman" w:cs="Times New Roman"/>
          <w:color w:val="0070C0"/>
          <w:sz w:val="24"/>
          <w:szCs w:val="24"/>
        </w:rPr>
        <w:t xml:space="preserve"> treatment to induce efficiently adventitious shoots in other plant species. I felt these two sentences are conflict a little bit.</w:t>
      </w:r>
    </w:p>
    <w:p w14:paraId="49945F49" w14:textId="77777777" w:rsidR="0083775C" w:rsidRDefault="0083775C" w:rsidP="0083775C">
      <w:pPr>
        <w:jc w:val="both"/>
      </w:pPr>
      <w:r>
        <w:t xml:space="preserve">We have revised the words </w:t>
      </w:r>
      <w:r w:rsidRPr="00CA00A7">
        <w:rPr>
          <w:rFonts w:eastAsia="Times New Roman"/>
          <w:color w:val="000000" w:themeColor="text1"/>
        </w:rPr>
        <w:t xml:space="preserve">'the optimum concentrations and combinations differ by species' </w:t>
      </w:r>
      <w:r>
        <w:t>to be more clearly. And we have deleted</w:t>
      </w:r>
      <w:r w:rsidRPr="00CA00A7">
        <w:rPr>
          <w:color w:val="000000" w:themeColor="text1"/>
        </w:rPr>
        <w:t xml:space="preserve"> </w:t>
      </w:r>
      <w:r>
        <w:rPr>
          <w:color w:val="000000" w:themeColor="text1"/>
        </w:rPr>
        <w:t xml:space="preserve">a sentence, </w:t>
      </w:r>
      <w:r w:rsidRPr="00CA00A7">
        <w:rPr>
          <w:rFonts w:eastAsia="Times New Roman"/>
          <w:color w:val="000000" w:themeColor="text1"/>
        </w:rPr>
        <w:t xml:space="preserve">'The results will allow us to estimate the most efficient timing of auxin and </w:t>
      </w:r>
      <w:proofErr w:type="spellStart"/>
      <w:r w:rsidRPr="00CA00A7">
        <w:rPr>
          <w:rFonts w:eastAsia="Times New Roman"/>
          <w:color w:val="000000" w:themeColor="text1"/>
        </w:rPr>
        <w:t>cytokinin</w:t>
      </w:r>
      <w:proofErr w:type="spellEnd"/>
      <w:r w:rsidRPr="00CA00A7">
        <w:rPr>
          <w:rFonts w:eastAsia="Times New Roman"/>
          <w:color w:val="000000" w:themeColor="text1"/>
        </w:rPr>
        <w:t xml:space="preserve"> treatment to induce efficiently adventitious shoots in other plant species'.</w:t>
      </w:r>
      <w:r>
        <w:rPr>
          <w:rFonts w:eastAsia="Times New Roman"/>
          <w:color w:val="000000" w:themeColor="text1"/>
        </w:rPr>
        <w:t xml:space="preserve"> We have added </w:t>
      </w:r>
      <w:r>
        <w:t xml:space="preserve">the advantages, limitations, and applications in our methods </w:t>
      </w:r>
      <w:proofErr w:type="spellStart"/>
      <w:r>
        <w:t>in stead</w:t>
      </w:r>
      <w:proofErr w:type="spellEnd"/>
      <w:r>
        <w:t xml:space="preserve"> of the sentence.</w:t>
      </w:r>
    </w:p>
    <w:p w14:paraId="5C184A0F" w14:textId="77777777" w:rsidR="0083775C" w:rsidRPr="003D1659" w:rsidRDefault="0083775C" w:rsidP="0083775C">
      <w:pPr>
        <w:jc w:val="both"/>
      </w:pPr>
    </w:p>
    <w:p w14:paraId="2ADE19C9" w14:textId="77777777" w:rsidR="0083775C" w:rsidRPr="0021156C" w:rsidRDefault="0083775C" w:rsidP="0083775C">
      <w:pPr>
        <w:jc w:val="both"/>
      </w:pPr>
      <w:r w:rsidRPr="0021156C">
        <w:t>Response to comments from Reviewer 2</w:t>
      </w:r>
    </w:p>
    <w:p w14:paraId="259002EC" w14:textId="77777777" w:rsidR="0083775C" w:rsidRPr="0021156C" w:rsidRDefault="0083775C" w:rsidP="0083775C">
      <w:pPr>
        <w:pStyle w:val="a3"/>
        <w:numPr>
          <w:ilvl w:val="0"/>
          <w:numId w:val="2"/>
        </w:numPr>
        <w:ind w:leftChars="0"/>
        <w:rPr>
          <w:rFonts w:ascii="Times New Roman" w:eastAsia="Times New Roman" w:hAnsi="Times New Roman" w:cs="Times New Roman"/>
          <w:color w:val="000000"/>
          <w:sz w:val="24"/>
          <w:szCs w:val="24"/>
        </w:rPr>
      </w:pPr>
      <w:proofErr w:type="spellStart"/>
      <w:r w:rsidRPr="0021156C">
        <w:rPr>
          <w:rFonts w:ascii="Times New Roman" w:eastAsia="Times New Roman" w:hAnsi="Times New Roman" w:cs="Times New Roman"/>
          <w:color w:val="0070C0"/>
          <w:sz w:val="24"/>
          <w:szCs w:val="24"/>
        </w:rPr>
        <w:t>JoVE</w:t>
      </w:r>
      <w:proofErr w:type="spellEnd"/>
      <w:r w:rsidRPr="0021156C">
        <w:rPr>
          <w:rFonts w:ascii="Times New Roman" w:eastAsia="Times New Roman" w:hAnsi="Times New Roman" w:cs="Times New Roman"/>
          <w:color w:val="0070C0"/>
          <w:sz w:val="24"/>
          <w:szCs w:val="24"/>
        </w:rPr>
        <w:t xml:space="preserve"> is a methods journal, I am not sure the manuscript is also a methods article. If it is, then I have a question. What are the advantages of the method you used? To clarify this, some comparison should be included in the results.</w:t>
      </w:r>
    </w:p>
    <w:p w14:paraId="20CCD57A" w14:textId="77777777" w:rsidR="0083775C" w:rsidRDefault="0083775C" w:rsidP="0083775C">
      <w:pPr>
        <w:jc w:val="both"/>
        <w:rPr>
          <w:rFonts w:eastAsia="Times New Roman"/>
          <w:color w:val="000000"/>
        </w:rPr>
      </w:pPr>
      <w:r>
        <w:rPr>
          <w:rFonts w:eastAsia="Times New Roman"/>
          <w:color w:val="000000"/>
        </w:rPr>
        <w:t xml:space="preserve">We have added the advantages of our method in Abstract (L. 29-31). Our method is simple compared with all hormone analysis established previously because we are focusing on two hormones, auxin and </w:t>
      </w:r>
      <w:proofErr w:type="spellStart"/>
      <w:r>
        <w:rPr>
          <w:rFonts w:eastAsia="Times New Roman"/>
          <w:color w:val="000000"/>
        </w:rPr>
        <w:t>cytokinin</w:t>
      </w:r>
      <w:proofErr w:type="spellEnd"/>
      <w:r>
        <w:rPr>
          <w:rFonts w:eastAsia="Times New Roman"/>
          <w:color w:val="000000"/>
        </w:rPr>
        <w:t xml:space="preserve">. We have discussed it in Discussion (L. 216-227). </w:t>
      </w:r>
    </w:p>
    <w:p w14:paraId="6D267692" w14:textId="77777777" w:rsidR="0083775C" w:rsidRPr="0021156C" w:rsidRDefault="0083775C" w:rsidP="0083775C">
      <w:pPr>
        <w:jc w:val="both"/>
        <w:rPr>
          <w:rFonts w:eastAsia="Times New Roman"/>
          <w:color w:val="000000"/>
        </w:rPr>
      </w:pPr>
    </w:p>
    <w:p w14:paraId="779FA34A" w14:textId="77777777" w:rsidR="0083775C" w:rsidRDefault="0083775C" w:rsidP="0083775C">
      <w:pPr>
        <w:pStyle w:val="a3"/>
        <w:numPr>
          <w:ilvl w:val="0"/>
          <w:numId w:val="2"/>
        </w:numPr>
        <w:ind w:leftChars="0"/>
        <w:rPr>
          <w:rFonts w:ascii="Times New Roman" w:eastAsia="Times New Roman" w:hAnsi="Times New Roman" w:cs="Times New Roman"/>
          <w:color w:val="000000"/>
          <w:sz w:val="24"/>
          <w:szCs w:val="24"/>
        </w:rPr>
      </w:pPr>
      <w:r w:rsidRPr="0021156C">
        <w:rPr>
          <w:rFonts w:ascii="Times New Roman" w:eastAsia="Times New Roman" w:hAnsi="Times New Roman" w:cs="Times New Roman"/>
          <w:color w:val="0070C0"/>
          <w:sz w:val="24"/>
          <w:szCs w:val="24"/>
        </w:rPr>
        <w:t xml:space="preserve">Why did you choose these two hormones (auxin and CKs) in your experiments, but not others such as </w:t>
      </w:r>
      <w:proofErr w:type="spellStart"/>
      <w:r w:rsidRPr="0021156C">
        <w:rPr>
          <w:rFonts w:ascii="Times New Roman" w:eastAsia="Times New Roman" w:hAnsi="Times New Roman" w:cs="Times New Roman"/>
          <w:color w:val="0070C0"/>
          <w:sz w:val="24"/>
          <w:szCs w:val="24"/>
        </w:rPr>
        <w:t>cytokinins</w:t>
      </w:r>
      <w:proofErr w:type="spellEnd"/>
      <w:r w:rsidRPr="0021156C">
        <w:rPr>
          <w:rFonts w:ascii="Times New Roman" w:eastAsia="Times New Roman" w:hAnsi="Times New Roman" w:cs="Times New Roman"/>
          <w:color w:val="0070C0"/>
          <w:sz w:val="24"/>
          <w:szCs w:val="24"/>
        </w:rPr>
        <w:t xml:space="preserve"> and gibberellins?</w:t>
      </w:r>
    </w:p>
    <w:p w14:paraId="42484F95" w14:textId="77777777" w:rsidR="0083775C" w:rsidRDefault="0083775C" w:rsidP="0083775C">
      <w:pPr>
        <w:jc w:val="both"/>
        <w:rPr>
          <w:rFonts w:eastAsia="Times New Roman"/>
          <w:color w:val="000000"/>
        </w:rPr>
      </w:pPr>
      <w:r>
        <w:rPr>
          <w:rFonts w:eastAsia="Times New Roman"/>
          <w:color w:val="000000"/>
        </w:rPr>
        <w:t xml:space="preserve">Because auxin and </w:t>
      </w:r>
      <w:proofErr w:type="spellStart"/>
      <w:r>
        <w:rPr>
          <w:rFonts w:eastAsia="Times New Roman"/>
          <w:color w:val="000000"/>
        </w:rPr>
        <w:t>cytokinin</w:t>
      </w:r>
      <w:proofErr w:type="spellEnd"/>
      <w:r>
        <w:rPr>
          <w:rFonts w:eastAsia="Times New Roman"/>
          <w:color w:val="000000"/>
        </w:rPr>
        <w:t xml:space="preserve"> mainly regulate adventitious shoot formation, we focused on quantification of these two </w:t>
      </w:r>
      <w:proofErr w:type="spellStart"/>
      <w:r>
        <w:rPr>
          <w:rFonts w:eastAsia="Times New Roman"/>
          <w:color w:val="000000"/>
        </w:rPr>
        <w:t>phytohormones</w:t>
      </w:r>
      <w:proofErr w:type="spellEnd"/>
      <w:r>
        <w:rPr>
          <w:rFonts w:eastAsia="Times New Roman"/>
          <w:color w:val="000000"/>
        </w:rPr>
        <w:t>. To clarify the point, we have changed the title to ‘</w:t>
      </w:r>
      <w:r w:rsidRPr="0055297B">
        <w:t xml:space="preserve">Quantification of endogenous </w:t>
      </w:r>
      <w:r w:rsidRPr="00BB0FD2">
        <w:t xml:space="preserve">auxin and </w:t>
      </w:r>
      <w:proofErr w:type="spellStart"/>
      <w:r w:rsidRPr="00BB0FD2">
        <w:t>cytokinin</w:t>
      </w:r>
      <w:proofErr w:type="spellEnd"/>
      <w:r w:rsidRPr="0055297B">
        <w:t xml:space="preserve"> during internode culture</w:t>
      </w:r>
      <w:r>
        <w:t xml:space="preserve"> of</w:t>
      </w:r>
      <w:r w:rsidRPr="0055297B">
        <w:t xml:space="preserve"> ipecac</w:t>
      </w:r>
      <w:r>
        <w:rPr>
          <w:rFonts w:eastAsia="Times New Roman"/>
          <w:color w:val="000000"/>
        </w:rPr>
        <w:t>’.</w:t>
      </w:r>
    </w:p>
    <w:p w14:paraId="6B21F126" w14:textId="77777777" w:rsidR="0083775C" w:rsidRPr="0021156C" w:rsidRDefault="0083775C" w:rsidP="0083775C">
      <w:pPr>
        <w:jc w:val="both"/>
        <w:rPr>
          <w:rFonts w:eastAsia="Times New Roman"/>
          <w:color w:val="000000"/>
        </w:rPr>
      </w:pPr>
    </w:p>
    <w:p w14:paraId="102D3FD6" w14:textId="77777777" w:rsidR="0083775C" w:rsidRPr="0021156C" w:rsidRDefault="0083775C" w:rsidP="0083775C">
      <w:pPr>
        <w:pStyle w:val="a3"/>
        <w:numPr>
          <w:ilvl w:val="0"/>
          <w:numId w:val="2"/>
        </w:numPr>
        <w:ind w:leftChars="0"/>
        <w:rPr>
          <w:rFonts w:ascii="Times New Roman" w:eastAsia="Times New Roman" w:hAnsi="Times New Roman" w:cs="Times New Roman"/>
          <w:color w:val="000000"/>
          <w:sz w:val="24"/>
          <w:szCs w:val="24"/>
        </w:rPr>
      </w:pPr>
      <w:r w:rsidRPr="0021156C">
        <w:rPr>
          <w:rFonts w:ascii="Times New Roman" w:eastAsia="Times New Roman" w:hAnsi="Times New Roman" w:cs="Times New Roman"/>
          <w:color w:val="0070C0"/>
          <w:sz w:val="24"/>
          <w:szCs w:val="24"/>
        </w:rPr>
        <w:t>Long abstract: The section should be re-written. In the "Long Abstract", the authors focused on the background, material and method, but not the results.</w:t>
      </w:r>
    </w:p>
    <w:p w14:paraId="32F6A020" w14:textId="77777777" w:rsidR="0083775C" w:rsidRPr="0021156C" w:rsidRDefault="0083775C" w:rsidP="0083775C">
      <w:pPr>
        <w:jc w:val="both"/>
      </w:pPr>
      <w:r>
        <w:t>The instruction for authors requires that Abstract should be written on the method rather than the results of a specific method, and that we should state about the purpose of the method, advantages, limitations, and applications. Thus, we have revised the long abstract and we have added the advantages, limitations, and applications in our methods.</w:t>
      </w:r>
    </w:p>
    <w:p w14:paraId="3A69CBFC" w14:textId="77777777" w:rsidR="00445673" w:rsidRPr="0083775C" w:rsidRDefault="00445673">
      <w:bookmarkStart w:id="0" w:name="_GoBack"/>
      <w:bookmarkEnd w:id="0"/>
    </w:p>
    <w:sectPr w:rsidR="00445673" w:rsidRPr="0083775C" w:rsidSect="00AD051E">
      <w:pgSz w:w="11900" w:h="16840"/>
      <w:pgMar w:top="1701" w:right="1701" w:bottom="1701" w:left="1701"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3D85"/>
    <w:multiLevelType w:val="hybridMultilevel"/>
    <w:tmpl w:val="E780B718"/>
    <w:lvl w:ilvl="0" w:tplc="866C4D2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380C63B9"/>
    <w:multiLevelType w:val="hybridMultilevel"/>
    <w:tmpl w:val="40B27B96"/>
    <w:lvl w:ilvl="0" w:tplc="2E18A85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5C"/>
    <w:rsid w:val="000109F4"/>
    <w:rsid w:val="0002261D"/>
    <w:rsid w:val="0002404C"/>
    <w:rsid w:val="000272F9"/>
    <w:rsid w:val="0003384E"/>
    <w:rsid w:val="00051270"/>
    <w:rsid w:val="00062EBA"/>
    <w:rsid w:val="0006632A"/>
    <w:rsid w:val="00067002"/>
    <w:rsid w:val="000734ED"/>
    <w:rsid w:val="00075FBE"/>
    <w:rsid w:val="0008374C"/>
    <w:rsid w:val="000937DC"/>
    <w:rsid w:val="000A1001"/>
    <w:rsid w:val="000B2595"/>
    <w:rsid w:val="000B48A5"/>
    <w:rsid w:val="000F347B"/>
    <w:rsid w:val="00104EA8"/>
    <w:rsid w:val="00107DEF"/>
    <w:rsid w:val="001343F4"/>
    <w:rsid w:val="00142CFD"/>
    <w:rsid w:val="00143E00"/>
    <w:rsid w:val="00146A61"/>
    <w:rsid w:val="00151E31"/>
    <w:rsid w:val="001614A3"/>
    <w:rsid w:val="00164782"/>
    <w:rsid w:val="001652F4"/>
    <w:rsid w:val="001778DB"/>
    <w:rsid w:val="001D4B06"/>
    <w:rsid w:val="001E19A9"/>
    <w:rsid w:val="00202E43"/>
    <w:rsid w:val="002130DE"/>
    <w:rsid w:val="00214038"/>
    <w:rsid w:val="00216375"/>
    <w:rsid w:val="0022326F"/>
    <w:rsid w:val="00247495"/>
    <w:rsid w:val="00250485"/>
    <w:rsid w:val="0026069C"/>
    <w:rsid w:val="0026638A"/>
    <w:rsid w:val="002A42AD"/>
    <w:rsid w:val="002B1E5C"/>
    <w:rsid w:val="002B4422"/>
    <w:rsid w:val="002C2423"/>
    <w:rsid w:val="002C5D0E"/>
    <w:rsid w:val="002D4320"/>
    <w:rsid w:val="002D47C6"/>
    <w:rsid w:val="002D55A2"/>
    <w:rsid w:val="002E203A"/>
    <w:rsid w:val="002E48F8"/>
    <w:rsid w:val="002F12FF"/>
    <w:rsid w:val="003023B1"/>
    <w:rsid w:val="00326935"/>
    <w:rsid w:val="00337248"/>
    <w:rsid w:val="00344182"/>
    <w:rsid w:val="00347466"/>
    <w:rsid w:val="00352F30"/>
    <w:rsid w:val="00354DB1"/>
    <w:rsid w:val="00364E17"/>
    <w:rsid w:val="00365288"/>
    <w:rsid w:val="00384746"/>
    <w:rsid w:val="00385D0C"/>
    <w:rsid w:val="00390E7F"/>
    <w:rsid w:val="00391DB1"/>
    <w:rsid w:val="003B1C11"/>
    <w:rsid w:val="003C6D10"/>
    <w:rsid w:val="003E09CE"/>
    <w:rsid w:val="003E1C72"/>
    <w:rsid w:val="003E7928"/>
    <w:rsid w:val="003F38E5"/>
    <w:rsid w:val="0040085E"/>
    <w:rsid w:val="00434923"/>
    <w:rsid w:val="0043701F"/>
    <w:rsid w:val="0043755F"/>
    <w:rsid w:val="00445673"/>
    <w:rsid w:val="00445B00"/>
    <w:rsid w:val="0044756F"/>
    <w:rsid w:val="004557B3"/>
    <w:rsid w:val="00465F41"/>
    <w:rsid w:val="00472109"/>
    <w:rsid w:val="004805FA"/>
    <w:rsid w:val="004942D4"/>
    <w:rsid w:val="0049477B"/>
    <w:rsid w:val="00494960"/>
    <w:rsid w:val="004A0253"/>
    <w:rsid w:val="004B21B5"/>
    <w:rsid w:val="004B7FEE"/>
    <w:rsid w:val="004E534A"/>
    <w:rsid w:val="004E5619"/>
    <w:rsid w:val="005000BF"/>
    <w:rsid w:val="00510542"/>
    <w:rsid w:val="005116C9"/>
    <w:rsid w:val="005140DC"/>
    <w:rsid w:val="0051680C"/>
    <w:rsid w:val="005260D3"/>
    <w:rsid w:val="005273E9"/>
    <w:rsid w:val="00535E75"/>
    <w:rsid w:val="00540E65"/>
    <w:rsid w:val="00546348"/>
    <w:rsid w:val="00574760"/>
    <w:rsid w:val="00592BFA"/>
    <w:rsid w:val="00593A0B"/>
    <w:rsid w:val="005A48EB"/>
    <w:rsid w:val="005B2BCD"/>
    <w:rsid w:val="005C044C"/>
    <w:rsid w:val="005D4BAE"/>
    <w:rsid w:val="005E50DE"/>
    <w:rsid w:val="005E568A"/>
    <w:rsid w:val="005F001E"/>
    <w:rsid w:val="005F0737"/>
    <w:rsid w:val="005F6AB4"/>
    <w:rsid w:val="00600C68"/>
    <w:rsid w:val="00612A70"/>
    <w:rsid w:val="00615D0A"/>
    <w:rsid w:val="00616E14"/>
    <w:rsid w:val="00620F59"/>
    <w:rsid w:val="0062358C"/>
    <w:rsid w:val="006311AB"/>
    <w:rsid w:val="00634151"/>
    <w:rsid w:val="00640563"/>
    <w:rsid w:val="006448B6"/>
    <w:rsid w:val="00650320"/>
    <w:rsid w:val="00681D2E"/>
    <w:rsid w:val="0068576B"/>
    <w:rsid w:val="006857D2"/>
    <w:rsid w:val="00687566"/>
    <w:rsid w:val="006953D9"/>
    <w:rsid w:val="006B2E51"/>
    <w:rsid w:val="006C2805"/>
    <w:rsid w:val="006E21FD"/>
    <w:rsid w:val="006E586C"/>
    <w:rsid w:val="006F3FA7"/>
    <w:rsid w:val="006F66C6"/>
    <w:rsid w:val="00701BE4"/>
    <w:rsid w:val="00716403"/>
    <w:rsid w:val="00735291"/>
    <w:rsid w:val="0073730C"/>
    <w:rsid w:val="007463BF"/>
    <w:rsid w:val="0076489B"/>
    <w:rsid w:val="00767039"/>
    <w:rsid w:val="00770DE5"/>
    <w:rsid w:val="0077366E"/>
    <w:rsid w:val="00773791"/>
    <w:rsid w:val="00774FFC"/>
    <w:rsid w:val="00781758"/>
    <w:rsid w:val="0079140D"/>
    <w:rsid w:val="007935C5"/>
    <w:rsid w:val="007A5828"/>
    <w:rsid w:val="007B05F8"/>
    <w:rsid w:val="007C17C9"/>
    <w:rsid w:val="007C2F6D"/>
    <w:rsid w:val="007C73D3"/>
    <w:rsid w:val="007C78E5"/>
    <w:rsid w:val="007D3D21"/>
    <w:rsid w:val="007D451D"/>
    <w:rsid w:val="007D5E4B"/>
    <w:rsid w:val="007E0B54"/>
    <w:rsid w:val="007F30AE"/>
    <w:rsid w:val="007F4E9D"/>
    <w:rsid w:val="007F559A"/>
    <w:rsid w:val="007F5B07"/>
    <w:rsid w:val="008014AC"/>
    <w:rsid w:val="008017FF"/>
    <w:rsid w:val="008035CA"/>
    <w:rsid w:val="00804C60"/>
    <w:rsid w:val="0081180E"/>
    <w:rsid w:val="008338D6"/>
    <w:rsid w:val="0083775C"/>
    <w:rsid w:val="00845D9E"/>
    <w:rsid w:val="00854BCF"/>
    <w:rsid w:val="008652E1"/>
    <w:rsid w:val="00874F71"/>
    <w:rsid w:val="008838D1"/>
    <w:rsid w:val="008843F8"/>
    <w:rsid w:val="008874D6"/>
    <w:rsid w:val="00890887"/>
    <w:rsid w:val="0089088E"/>
    <w:rsid w:val="008925CC"/>
    <w:rsid w:val="00895B94"/>
    <w:rsid w:val="008A5E9D"/>
    <w:rsid w:val="008B4172"/>
    <w:rsid w:val="008D1414"/>
    <w:rsid w:val="008D4A4D"/>
    <w:rsid w:val="008E65E9"/>
    <w:rsid w:val="008F23F8"/>
    <w:rsid w:val="008F33D4"/>
    <w:rsid w:val="00907F38"/>
    <w:rsid w:val="0091146B"/>
    <w:rsid w:val="00924214"/>
    <w:rsid w:val="00924892"/>
    <w:rsid w:val="00934013"/>
    <w:rsid w:val="009373FD"/>
    <w:rsid w:val="009422C4"/>
    <w:rsid w:val="00957B7A"/>
    <w:rsid w:val="00965663"/>
    <w:rsid w:val="0096739E"/>
    <w:rsid w:val="0099238E"/>
    <w:rsid w:val="009932F5"/>
    <w:rsid w:val="009B4770"/>
    <w:rsid w:val="009B676C"/>
    <w:rsid w:val="009C4FEE"/>
    <w:rsid w:val="009C71A1"/>
    <w:rsid w:val="009D5098"/>
    <w:rsid w:val="009E42E4"/>
    <w:rsid w:val="009E729B"/>
    <w:rsid w:val="009F6CF9"/>
    <w:rsid w:val="009F7AAF"/>
    <w:rsid w:val="00A20F1F"/>
    <w:rsid w:val="00A312DB"/>
    <w:rsid w:val="00A35EA6"/>
    <w:rsid w:val="00A44CD1"/>
    <w:rsid w:val="00A46C29"/>
    <w:rsid w:val="00A53138"/>
    <w:rsid w:val="00A60B56"/>
    <w:rsid w:val="00A75E88"/>
    <w:rsid w:val="00A80406"/>
    <w:rsid w:val="00A83BE1"/>
    <w:rsid w:val="00A84118"/>
    <w:rsid w:val="00A94668"/>
    <w:rsid w:val="00AA1D2C"/>
    <w:rsid w:val="00AA5EE0"/>
    <w:rsid w:val="00AA6085"/>
    <w:rsid w:val="00AA6F19"/>
    <w:rsid w:val="00AB18CC"/>
    <w:rsid w:val="00AB7911"/>
    <w:rsid w:val="00AC24D8"/>
    <w:rsid w:val="00AC286A"/>
    <w:rsid w:val="00AC495D"/>
    <w:rsid w:val="00AD4BD7"/>
    <w:rsid w:val="00AD79E4"/>
    <w:rsid w:val="00AE2D50"/>
    <w:rsid w:val="00AE64DE"/>
    <w:rsid w:val="00AF0DC3"/>
    <w:rsid w:val="00AF286B"/>
    <w:rsid w:val="00AF454C"/>
    <w:rsid w:val="00AF767E"/>
    <w:rsid w:val="00B07B73"/>
    <w:rsid w:val="00B10B1C"/>
    <w:rsid w:val="00B119BE"/>
    <w:rsid w:val="00B12E09"/>
    <w:rsid w:val="00B13C3F"/>
    <w:rsid w:val="00B36163"/>
    <w:rsid w:val="00B41300"/>
    <w:rsid w:val="00B56219"/>
    <w:rsid w:val="00B61D9F"/>
    <w:rsid w:val="00B64193"/>
    <w:rsid w:val="00B8317E"/>
    <w:rsid w:val="00BA5DA9"/>
    <w:rsid w:val="00BB5F55"/>
    <w:rsid w:val="00BC4845"/>
    <w:rsid w:val="00BD13DE"/>
    <w:rsid w:val="00BF07F0"/>
    <w:rsid w:val="00C14F00"/>
    <w:rsid w:val="00C15692"/>
    <w:rsid w:val="00C16AE9"/>
    <w:rsid w:val="00C22E1E"/>
    <w:rsid w:val="00C27EDB"/>
    <w:rsid w:val="00C332C7"/>
    <w:rsid w:val="00C4520E"/>
    <w:rsid w:val="00C81457"/>
    <w:rsid w:val="00C85AF9"/>
    <w:rsid w:val="00C92EA9"/>
    <w:rsid w:val="00C933B7"/>
    <w:rsid w:val="00C951DF"/>
    <w:rsid w:val="00CA704D"/>
    <w:rsid w:val="00CB2B3C"/>
    <w:rsid w:val="00CB2CA3"/>
    <w:rsid w:val="00CC36AA"/>
    <w:rsid w:val="00CD6098"/>
    <w:rsid w:val="00CE5119"/>
    <w:rsid w:val="00CE778D"/>
    <w:rsid w:val="00CF39C9"/>
    <w:rsid w:val="00CF49E6"/>
    <w:rsid w:val="00D0259E"/>
    <w:rsid w:val="00D15604"/>
    <w:rsid w:val="00D16125"/>
    <w:rsid w:val="00D26C3C"/>
    <w:rsid w:val="00D3069E"/>
    <w:rsid w:val="00D3291C"/>
    <w:rsid w:val="00D33B89"/>
    <w:rsid w:val="00D726DC"/>
    <w:rsid w:val="00D7423F"/>
    <w:rsid w:val="00D757D6"/>
    <w:rsid w:val="00D82EC0"/>
    <w:rsid w:val="00D8586A"/>
    <w:rsid w:val="00D93C88"/>
    <w:rsid w:val="00D94D9D"/>
    <w:rsid w:val="00DA1D12"/>
    <w:rsid w:val="00DA27CE"/>
    <w:rsid w:val="00DB1657"/>
    <w:rsid w:val="00DB42B1"/>
    <w:rsid w:val="00DB6933"/>
    <w:rsid w:val="00DB748A"/>
    <w:rsid w:val="00DC31DC"/>
    <w:rsid w:val="00DC55E0"/>
    <w:rsid w:val="00DE01C6"/>
    <w:rsid w:val="00E05149"/>
    <w:rsid w:val="00E22BE0"/>
    <w:rsid w:val="00E23A60"/>
    <w:rsid w:val="00E266D0"/>
    <w:rsid w:val="00E63908"/>
    <w:rsid w:val="00E6749D"/>
    <w:rsid w:val="00E828EF"/>
    <w:rsid w:val="00E840DB"/>
    <w:rsid w:val="00EA0F5B"/>
    <w:rsid w:val="00EA15A6"/>
    <w:rsid w:val="00EA27C7"/>
    <w:rsid w:val="00EB2989"/>
    <w:rsid w:val="00EB41AD"/>
    <w:rsid w:val="00EC3FF6"/>
    <w:rsid w:val="00ED0779"/>
    <w:rsid w:val="00EF63CF"/>
    <w:rsid w:val="00F101FE"/>
    <w:rsid w:val="00F14C69"/>
    <w:rsid w:val="00F22CC5"/>
    <w:rsid w:val="00F27CF9"/>
    <w:rsid w:val="00F369DF"/>
    <w:rsid w:val="00F3783C"/>
    <w:rsid w:val="00F50576"/>
    <w:rsid w:val="00F55A6E"/>
    <w:rsid w:val="00F6276A"/>
    <w:rsid w:val="00F62D40"/>
    <w:rsid w:val="00F633B4"/>
    <w:rsid w:val="00F745E5"/>
    <w:rsid w:val="00FA64C8"/>
    <w:rsid w:val="00FB50A0"/>
    <w:rsid w:val="00FB7B05"/>
    <w:rsid w:val="00FD2021"/>
    <w:rsid w:val="00FD496A"/>
    <w:rsid w:val="00FD74B0"/>
    <w:rsid w:val="00FE1D36"/>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219F81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3775C"/>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75C"/>
    <w:pPr>
      <w:widowControl w:val="0"/>
      <w:ind w:leftChars="400" w:left="960"/>
      <w:jc w:val="both"/>
    </w:pPr>
    <w:rPr>
      <w:rFonts w:asciiTheme="minorHAnsi" w:hAnsiTheme="minorHAnsi" w:cstheme="minorBidi"/>
      <w:kern w:val="2"/>
      <w:sz w:val="21"/>
      <w:szCs w:val="21"/>
    </w:rPr>
  </w:style>
  <w:style w:type="character" w:customStyle="1" w:styleId="apple-converted-space">
    <w:name w:val="apple-converted-space"/>
    <w:basedOn w:val="a0"/>
    <w:rsid w:val="0083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7910</Characters>
  <Application>Microsoft Macintosh Word</Application>
  <DocSecurity>0</DocSecurity>
  <Lines>65</Lines>
  <Paragraphs>18</Paragraphs>
  <ScaleCrop>false</ScaleCrop>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1</cp:revision>
  <dcterms:created xsi:type="dcterms:W3CDTF">2017-09-18T06:37:00Z</dcterms:created>
  <dcterms:modified xsi:type="dcterms:W3CDTF">2017-09-18T06:38:00Z</dcterms:modified>
</cp:coreProperties>
</file>