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98206" w14:textId="77777777" w:rsidR="008728E9" w:rsidRDefault="006B618F">
      <w:pPr>
        <w:rPr>
          <w:lang w:val="en-GB"/>
        </w:rPr>
      </w:pPr>
      <w:r>
        <w:rPr>
          <w:lang w:val="en-GB"/>
        </w:rPr>
        <w:t>Manuscript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1230"/>
        <w:gridCol w:w="7200"/>
      </w:tblGrid>
      <w:tr w:rsidR="001E5B9F" w14:paraId="2BB6209B" w14:textId="77777777" w:rsidTr="001E5B9F">
        <w:tc>
          <w:tcPr>
            <w:tcW w:w="1146" w:type="dxa"/>
          </w:tcPr>
          <w:p w14:paraId="7F7E23D3" w14:textId="77777777" w:rsidR="001E5B9F" w:rsidRDefault="001E5B9F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Page 1-line 8</w:t>
            </w:r>
          </w:p>
        </w:tc>
        <w:tc>
          <w:tcPr>
            <w:tcW w:w="1230" w:type="dxa"/>
          </w:tcPr>
          <w:p w14:paraId="25315B67" w14:textId="77777777" w:rsidR="001E5B9F" w:rsidRDefault="001E5B9F">
            <w:pPr>
              <w:ind w:firstLine="0"/>
              <w:rPr>
                <w:lang w:val="en-GB"/>
              </w:rPr>
            </w:pPr>
          </w:p>
        </w:tc>
        <w:tc>
          <w:tcPr>
            <w:tcW w:w="7200" w:type="dxa"/>
          </w:tcPr>
          <w:p w14:paraId="718C3ABC" w14:textId="77777777" w:rsidR="001E5B9F" w:rsidRDefault="001E5B9F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Between the word “Cambridge” and “UK” there are 2 commas</w:t>
            </w:r>
          </w:p>
        </w:tc>
      </w:tr>
      <w:tr w:rsidR="001E5B9F" w14:paraId="5E93290B" w14:textId="77777777" w:rsidTr="001E5B9F">
        <w:tc>
          <w:tcPr>
            <w:tcW w:w="1146" w:type="dxa"/>
          </w:tcPr>
          <w:p w14:paraId="050D99C7" w14:textId="77777777" w:rsidR="001E5B9F" w:rsidRDefault="001E5B9F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194</w:t>
            </w:r>
          </w:p>
        </w:tc>
        <w:tc>
          <w:tcPr>
            <w:tcW w:w="1230" w:type="dxa"/>
          </w:tcPr>
          <w:p w14:paraId="75D114FF" w14:textId="77777777" w:rsidR="001E5B9F" w:rsidRDefault="001E5B9F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1.1.6</w:t>
            </w:r>
          </w:p>
        </w:tc>
        <w:tc>
          <w:tcPr>
            <w:tcW w:w="7200" w:type="dxa"/>
          </w:tcPr>
          <w:p w14:paraId="711F7332" w14:textId="77777777" w:rsidR="001E5B9F" w:rsidRDefault="001E5B9F" w:rsidP="001E5B9F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Replace “</w:t>
            </w:r>
            <w:r w:rsidRPr="001E5B9F">
              <w:rPr>
                <w:lang w:val="en-GB"/>
              </w:rPr>
              <w:t>1.1.6.</w:t>
            </w:r>
            <w:r w:rsidRPr="001E5B9F">
              <w:rPr>
                <w:lang w:val="en-GB"/>
              </w:rPr>
              <w:tab/>
              <w:t>Dispense the 10 µL volume to the vial</w:t>
            </w:r>
            <w:r>
              <w:rPr>
                <w:lang w:val="en-GB"/>
              </w:rPr>
              <w:t xml:space="preserve">” to </w:t>
            </w:r>
            <w:r w:rsidRPr="001E5B9F">
              <w:rPr>
                <w:lang w:val="en-GB"/>
              </w:rPr>
              <w:t xml:space="preserve">Dispense the 10 µL volume to </w:t>
            </w:r>
            <w:r>
              <w:rPr>
                <w:lang w:val="en-GB"/>
              </w:rPr>
              <w:t xml:space="preserve">a </w:t>
            </w:r>
            <w:r w:rsidRPr="001E5B9F">
              <w:rPr>
                <w:b/>
                <w:lang w:val="en-GB"/>
              </w:rPr>
              <w:t>tared  capped</w:t>
            </w:r>
            <w:r>
              <w:rPr>
                <w:lang w:val="en-GB"/>
              </w:rPr>
              <w:t xml:space="preserve"> </w:t>
            </w:r>
            <w:r w:rsidRPr="001E5B9F">
              <w:rPr>
                <w:lang w:val="en-GB"/>
              </w:rPr>
              <w:t>vial</w:t>
            </w:r>
          </w:p>
        </w:tc>
      </w:tr>
      <w:tr w:rsidR="001E5B9F" w14:paraId="7C071129" w14:textId="77777777" w:rsidTr="001E5B9F">
        <w:tc>
          <w:tcPr>
            <w:tcW w:w="1146" w:type="dxa"/>
          </w:tcPr>
          <w:p w14:paraId="4E9A69C8" w14:textId="77777777" w:rsidR="001E5B9F" w:rsidRDefault="001E5B9F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21</w:t>
            </w:r>
            <w:r w:rsidR="00CB3669">
              <w:rPr>
                <w:lang w:val="en-GB"/>
              </w:rPr>
              <w:t>2</w:t>
            </w:r>
          </w:p>
        </w:tc>
        <w:tc>
          <w:tcPr>
            <w:tcW w:w="1230" w:type="dxa"/>
          </w:tcPr>
          <w:p w14:paraId="14D8EEE2" w14:textId="77777777" w:rsidR="001E5B9F" w:rsidRDefault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1.1.10</w:t>
            </w:r>
          </w:p>
        </w:tc>
        <w:tc>
          <w:tcPr>
            <w:tcW w:w="7200" w:type="dxa"/>
          </w:tcPr>
          <w:p w14:paraId="615103AE" w14:textId="77777777" w:rsidR="00CB3669" w:rsidRDefault="00CB3669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Replace X for Y in “</w:t>
            </w:r>
            <w:r w:rsidRPr="00CB3669">
              <w:rPr>
                <w:lang w:val="en-GB"/>
              </w:rPr>
              <w:t>Enter the values for the pipetted volume of solvent in µL in the y axis and the values in µL for the volumes calculated from the average weight in the x axis.</w:t>
            </w:r>
            <w:r>
              <w:rPr>
                <w:lang w:val="en-GB"/>
              </w:rPr>
              <w:t>” It should read “</w:t>
            </w:r>
            <w:r w:rsidRPr="00CB3669">
              <w:rPr>
                <w:lang w:val="en-GB"/>
              </w:rPr>
              <w:t xml:space="preserve">Enter the values for the pipetted volume of solvent in µL in the </w:t>
            </w:r>
            <w:r w:rsidRPr="00CB3669">
              <w:rPr>
                <w:b/>
                <w:lang w:val="en-GB"/>
              </w:rPr>
              <w:t>x axis</w:t>
            </w:r>
            <w:r w:rsidRPr="00CB3669">
              <w:rPr>
                <w:lang w:val="en-GB"/>
              </w:rPr>
              <w:t xml:space="preserve"> and the values in µL for the volumes calculated from the average weight in the </w:t>
            </w:r>
            <w:r w:rsidRPr="00CB3669">
              <w:rPr>
                <w:b/>
                <w:lang w:val="en-GB"/>
              </w:rPr>
              <w:t>y axis</w:t>
            </w:r>
            <w:r w:rsidRPr="00CB3669">
              <w:rPr>
                <w:lang w:val="en-GB"/>
              </w:rPr>
              <w:t>.</w:t>
            </w:r>
            <w:r>
              <w:rPr>
                <w:lang w:val="en-GB"/>
              </w:rPr>
              <w:t>”</w:t>
            </w:r>
          </w:p>
        </w:tc>
      </w:tr>
      <w:tr w:rsidR="00CB3669" w14:paraId="6B097BC6" w14:textId="77777777" w:rsidTr="001E5B9F">
        <w:tc>
          <w:tcPr>
            <w:tcW w:w="1146" w:type="dxa"/>
          </w:tcPr>
          <w:p w14:paraId="362A41C3" w14:textId="77777777" w:rsidR="00CB3669" w:rsidRDefault="00CB3669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214</w:t>
            </w:r>
          </w:p>
        </w:tc>
        <w:tc>
          <w:tcPr>
            <w:tcW w:w="1230" w:type="dxa"/>
          </w:tcPr>
          <w:p w14:paraId="0E29B706" w14:textId="77777777" w:rsidR="00CB3669" w:rsidRDefault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1.1.10</w:t>
            </w:r>
          </w:p>
        </w:tc>
        <w:tc>
          <w:tcPr>
            <w:tcW w:w="7200" w:type="dxa"/>
          </w:tcPr>
          <w:p w14:paraId="715F2B35" w14:textId="77777777" w:rsidR="00CB3669" w:rsidRDefault="00CB3669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Note: Figure 5 has been changed accordingly</w:t>
            </w:r>
          </w:p>
        </w:tc>
      </w:tr>
      <w:tr w:rsidR="00CB3669" w14:paraId="698CD977" w14:textId="77777777" w:rsidTr="001E5B9F">
        <w:tc>
          <w:tcPr>
            <w:tcW w:w="1146" w:type="dxa"/>
          </w:tcPr>
          <w:p w14:paraId="65DE4DF1" w14:textId="77777777" w:rsidR="00CB3669" w:rsidRDefault="00DE7ED5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521</w:t>
            </w:r>
          </w:p>
        </w:tc>
        <w:tc>
          <w:tcPr>
            <w:tcW w:w="1230" w:type="dxa"/>
          </w:tcPr>
          <w:p w14:paraId="1C610FDD" w14:textId="77777777" w:rsidR="00CB3669" w:rsidRDefault="00DE7ED5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3.2.4</w:t>
            </w:r>
          </w:p>
        </w:tc>
        <w:tc>
          <w:tcPr>
            <w:tcW w:w="7200" w:type="dxa"/>
          </w:tcPr>
          <w:p w14:paraId="52AA47AF" w14:textId="77777777" w:rsidR="00CB3669" w:rsidRDefault="00DE7ED5" w:rsidP="00DE7ED5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 xml:space="preserve">This part of sentence does not read well:” </w:t>
            </w:r>
            <w:r w:rsidRPr="00DE7ED5">
              <w:rPr>
                <w:lang w:val="en-GB"/>
              </w:rPr>
              <w:t xml:space="preserve">, the ball bearings from rolling to </w:t>
            </w:r>
            <w:r>
              <w:rPr>
                <w:lang w:val="en-GB"/>
              </w:rPr>
              <w:t>p</w:t>
            </w:r>
            <w:r w:rsidRPr="00DE7ED5">
              <w:rPr>
                <w:lang w:val="en-GB"/>
              </w:rPr>
              <w:t>revent later in the procedure.</w:t>
            </w:r>
            <w:r>
              <w:rPr>
                <w:lang w:val="en-GB"/>
              </w:rPr>
              <w:t>”  It would read better: “</w:t>
            </w:r>
            <w:r w:rsidRPr="00DE7ED5">
              <w:rPr>
                <w:b/>
                <w:lang w:val="en-GB"/>
              </w:rPr>
              <w:t>to prevent</w:t>
            </w:r>
            <w:r w:rsidRPr="00DE7ED5">
              <w:rPr>
                <w:lang w:val="en-GB"/>
              </w:rPr>
              <w:t xml:space="preserve"> the ball bearings from rolling later in the procedure.</w:t>
            </w:r>
            <w:r>
              <w:rPr>
                <w:lang w:val="en-GB"/>
              </w:rPr>
              <w:t>”</w:t>
            </w:r>
          </w:p>
        </w:tc>
      </w:tr>
      <w:tr w:rsidR="005E056A" w14:paraId="369B02E2" w14:textId="77777777" w:rsidTr="001E5B9F">
        <w:tc>
          <w:tcPr>
            <w:tcW w:w="1146" w:type="dxa"/>
          </w:tcPr>
          <w:p w14:paraId="5B7FA2B7" w14:textId="77777777" w:rsidR="005E056A" w:rsidRDefault="005E056A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627</w:t>
            </w:r>
          </w:p>
        </w:tc>
        <w:tc>
          <w:tcPr>
            <w:tcW w:w="1230" w:type="dxa"/>
          </w:tcPr>
          <w:p w14:paraId="4A922351" w14:textId="77777777" w:rsidR="005E056A" w:rsidRDefault="005E056A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4.2.1</w:t>
            </w:r>
          </w:p>
        </w:tc>
        <w:tc>
          <w:tcPr>
            <w:tcW w:w="7200" w:type="dxa"/>
          </w:tcPr>
          <w:p w14:paraId="6361B649" w14:textId="77777777" w:rsidR="005E056A" w:rsidRDefault="005E056A" w:rsidP="009659EA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This part of sentence does not read well:</w:t>
            </w:r>
            <w:r>
              <w:t xml:space="preserve"> </w:t>
            </w:r>
            <w:r>
              <w:rPr>
                <w:lang w:val="en-GB"/>
              </w:rPr>
              <w:t>“</w:t>
            </w:r>
            <w:r w:rsidRPr="005E056A">
              <w:rPr>
                <w:lang w:val="en-GB"/>
              </w:rPr>
              <w:t>Refine the instrumental contribution to peak broadening reduces the number of peak shape parameters.”  It would read bette</w:t>
            </w:r>
            <w:r w:rsidR="009659EA">
              <w:rPr>
                <w:lang w:val="en-GB"/>
              </w:rPr>
              <w:t>r: “</w:t>
            </w:r>
            <w:r w:rsidR="009659EA" w:rsidRPr="005E056A">
              <w:rPr>
                <w:lang w:val="en-GB"/>
              </w:rPr>
              <w:t>Refine the instrumental</w:t>
            </w:r>
            <w:bookmarkStart w:id="0" w:name="_GoBack"/>
            <w:bookmarkEnd w:id="0"/>
            <w:r w:rsidR="009659EA" w:rsidRPr="005E056A">
              <w:rPr>
                <w:lang w:val="en-GB"/>
              </w:rPr>
              <w:t xml:space="preserve"> contribution to peak broadening</w:t>
            </w:r>
            <w:r w:rsidR="009659EA">
              <w:rPr>
                <w:lang w:val="en-GB"/>
              </w:rPr>
              <w:t xml:space="preserve"> to reduce</w:t>
            </w:r>
            <w:r w:rsidR="009659EA" w:rsidRPr="005E056A">
              <w:rPr>
                <w:lang w:val="en-GB"/>
              </w:rPr>
              <w:t xml:space="preserve"> the number of peak shape parameters.”</w:t>
            </w:r>
          </w:p>
        </w:tc>
      </w:tr>
      <w:tr w:rsidR="00A10ED4" w14:paraId="0C35B64E" w14:textId="77777777" w:rsidTr="001E5B9F">
        <w:tc>
          <w:tcPr>
            <w:tcW w:w="1146" w:type="dxa"/>
          </w:tcPr>
          <w:p w14:paraId="73CA754F" w14:textId="77777777" w:rsidR="00A10ED4" w:rsidRDefault="00155993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694</w:t>
            </w:r>
          </w:p>
        </w:tc>
        <w:tc>
          <w:tcPr>
            <w:tcW w:w="1230" w:type="dxa"/>
          </w:tcPr>
          <w:p w14:paraId="39035667" w14:textId="77777777" w:rsidR="00A10ED4" w:rsidRDefault="00155993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Fig 1</w:t>
            </w:r>
          </w:p>
        </w:tc>
        <w:tc>
          <w:tcPr>
            <w:tcW w:w="7200" w:type="dxa"/>
          </w:tcPr>
          <w:p w14:paraId="50168D40" w14:textId="77777777" w:rsidR="00A10ED4" w:rsidRDefault="00155993" w:rsidP="003A361C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 xml:space="preserve">Changed from </w:t>
            </w:r>
            <w:r w:rsidR="007E626B">
              <w:rPr>
                <w:lang w:val="en-GB"/>
              </w:rPr>
              <w:t>“</w:t>
            </w:r>
            <w:r w:rsidR="007E626B" w:rsidRPr="007E626B">
              <w:rPr>
                <w:lang w:val="en-GB"/>
              </w:rPr>
              <w:t>This figure has been reprinted from the Supplementary information in Chem. Sci</w:t>
            </w:r>
            <w:r w:rsidR="007E626B">
              <w:rPr>
                <w:lang w:val="en-GB"/>
              </w:rPr>
              <w:t>..” to “</w:t>
            </w:r>
            <w:r w:rsidR="007E626B" w:rsidRPr="007E626B">
              <w:rPr>
                <w:lang w:val="en-GB"/>
              </w:rPr>
              <w:t xml:space="preserve">This figure has been reprinted </w:t>
            </w:r>
            <w:r w:rsidR="007E626B" w:rsidRPr="007E626B">
              <w:rPr>
                <w:b/>
                <w:lang w:val="en-GB"/>
              </w:rPr>
              <w:t>with minor changes</w:t>
            </w:r>
            <w:r w:rsidR="007E626B" w:rsidRPr="007E626B">
              <w:rPr>
                <w:lang w:val="en-GB"/>
              </w:rPr>
              <w:t xml:space="preserve"> from the Supplementary information in Chem. Sci</w:t>
            </w:r>
            <w:r w:rsidR="007E626B">
              <w:rPr>
                <w:lang w:val="en-GB"/>
              </w:rPr>
              <w:t>..”</w:t>
            </w:r>
          </w:p>
        </w:tc>
      </w:tr>
      <w:tr w:rsidR="003E67EE" w14:paraId="5E5C8D9F" w14:textId="77777777" w:rsidTr="001E5B9F">
        <w:tc>
          <w:tcPr>
            <w:tcW w:w="1146" w:type="dxa"/>
          </w:tcPr>
          <w:p w14:paraId="039F90F4" w14:textId="77777777" w:rsidR="003E67EE" w:rsidRDefault="003E67EE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726</w:t>
            </w:r>
          </w:p>
        </w:tc>
        <w:tc>
          <w:tcPr>
            <w:tcW w:w="1230" w:type="dxa"/>
          </w:tcPr>
          <w:p w14:paraId="1B88801D" w14:textId="77777777" w:rsidR="003E67EE" w:rsidRDefault="003E67EE" w:rsidP="003E67EE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Fig 5</w:t>
            </w:r>
          </w:p>
        </w:tc>
        <w:tc>
          <w:tcPr>
            <w:tcW w:w="7200" w:type="dxa"/>
          </w:tcPr>
          <w:p w14:paraId="5EA79719" w14:textId="77777777" w:rsidR="003E67EE" w:rsidRDefault="003E67EE" w:rsidP="003A361C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Changed from “</w:t>
            </w:r>
            <w:r w:rsidRPr="003E67EE">
              <w:rPr>
                <w:lang w:val="en-GB"/>
              </w:rPr>
              <w:t>This figure has been reprinted from the Supplementary information in Chem. Sci</w:t>
            </w:r>
            <w:r>
              <w:rPr>
                <w:lang w:val="en-GB"/>
              </w:rPr>
              <w:t>..” to “</w:t>
            </w:r>
            <w:r w:rsidRPr="003275EB">
              <w:rPr>
                <w:bCs/>
                <w:noProof/>
                <w:color w:val="000000" w:themeColor="text1"/>
                <w:shd w:val="clear" w:color="auto" w:fill="FFFFFF"/>
                <w:lang w:eastAsia="en-GB"/>
              </w:rPr>
              <w:t xml:space="preserve">This figure has been reprinted </w:t>
            </w:r>
            <w:r w:rsidRPr="007E626B">
              <w:rPr>
                <w:b/>
                <w:lang w:val="en-GB"/>
              </w:rPr>
              <w:t>with minor changes</w:t>
            </w:r>
            <w:r w:rsidRPr="007E626B">
              <w:rPr>
                <w:lang w:val="en-GB"/>
              </w:rPr>
              <w:t xml:space="preserve"> </w:t>
            </w:r>
            <w:r w:rsidRPr="003275EB">
              <w:rPr>
                <w:bCs/>
                <w:noProof/>
                <w:color w:val="000000" w:themeColor="text1"/>
                <w:shd w:val="clear" w:color="auto" w:fill="FFFFFF"/>
                <w:lang w:eastAsia="en-GB"/>
              </w:rPr>
              <w:t>from the Supplementary information in Chem. Sci</w:t>
            </w:r>
            <w:r w:rsidR="003A361C">
              <w:rPr>
                <w:bCs/>
                <w:noProof/>
                <w:color w:val="000000" w:themeColor="text1"/>
                <w:shd w:val="clear" w:color="auto" w:fill="FFFFFF"/>
                <w:lang w:eastAsia="en-GB"/>
              </w:rPr>
              <w:t xml:space="preserve"> </w:t>
            </w:r>
          </w:p>
        </w:tc>
      </w:tr>
      <w:tr w:rsidR="003A361C" w14:paraId="517375EF" w14:textId="77777777" w:rsidTr="001E5B9F">
        <w:tc>
          <w:tcPr>
            <w:tcW w:w="1146" w:type="dxa"/>
          </w:tcPr>
          <w:p w14:paraId="1FB1EA0D" w14:textId="77777777" w:rsidR="003A361C" w:rsidRDefault="003A361C" w:rsidP="00CB3669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883</w:t>
            </w:r>
          </w:p>
        </w:tc>
        <w:tc>
          <w:tcPr>
            <w:tcW w:w="1230" w:type="dxa"/>
          </w:tcPr>
          <w:p w14:paraId="076CADAC" w14:textId="77777777" w:rsidR="003A361C" w:rsidRDefault="003A361C" w:rsidP="003E67EE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Ref</w:t>
            </w:r>
            <w:r w:rsidR="00221CC2">
              <w:rPr>
                <w:lang w:val="en-GB"/>
              </w:rPr>
              <w:t xml:space="preserve"> 24</w:t>
            </w:r>
          </w:p>
        </w:tc>
        <w:tc>
          <w:tcPr>
            <w:tcW w:w="7200" w:type="dxa"/>
          </w:tcPr>
          <w:p w14:paraId="6F4F54C1" w14:textId="77777777" w:rsidR="003A361C" w:rsidRDefault="00221CC2" w:rsidP="00547591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Incomplete</w:t>
            </w:r>
            <w:r w:rsidR="007F5E2B">
              <w:rPr>
                <w:lang w:val="en-GB"/>
              </w:rPr>
              <w:t>:</w:t>
            </w:r>
            <w:r w:rsidR="00547591">
              <w:rPr>
                <w:lang w:val="en-GB"/>
              </w:rPr>
              <w:t xml:space="preserve"> </w:t>
            </w:r>
            <w:r w:rsidR="00547591" w:rsidRPr="00547591">
              <w:rPr>
                <w:lang w:val="en-GB"/>
              </w:rPr>
              <w:t xml:space="preserve">Tumanov, I. A., Michalchuk, A. A. L., Politov, A., Boldyreva, E. &amp; Boldyrev, V. V. Inadvertent Liquid Assisted Grinding: A Key to “Dry” Organic Mechano-Co-Crystallisation? </w:t>
            </w:r>
            <w:r w:rsidR="00547591" w:rsidRPr="00547591">
              <w:rPr>
                <w:i/>
                <w:lang w:val="en-GB"/>
              </w:rPr>
              <w:t>CrystEngComm.</w:t>
            </w:r>
            <w:r w:rsidR="00547591" w:rsidRPr="00547591">
              <w:rPr>
                <w:lang w:val="en-GB"/>
              </w:rPr>
              <w:t xml:space="preserve"> </w:t>
            </w:r>
            <w:r w:rsidR="00547591" w:rsidRPr="00547591">
              <w:rPr>
                <w:b/>
                <w:lang w:val="en-GB"/>
              </w:rPr>
              <w:t>19,</w:t>
            </w:r>
            <w:r w:rsidR="00547591" w:rsidRPr="00547591">
              <w:rPr>
                <w:lang w:val="en-GB"/>
              </w:rPr>
              <w:t xml:space="preserve"> 2830-2835 (2017).</w:t>
            </w:r>
          </w:p>
        </w:tc>
      </w:tr>
    </w:tbl>
    <w:p w14:paraId="55803B8C" w14:textId="77777777" w:rsidR="006B618F" w:rsidRPr="006B618F" w:rsidRDefault="006B618F">
      <w:pPr>
        <w:rPr>
          <w:lang w:val="en-GB"/>
        </w:rPr>
      </w:pPr>
    </w:p>
    <w:sectPr w:rsidR="006B618F" w:rsidRPr="006B6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42BD"/>
    <w:multiLevelType w:val="multilevel"/>
    <w:tmpl w:val="86D050F8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>
    <w:nsid w:val="54AA4ABE"/>
    <w:multiLevelType w:val="hybridMultilevel"/>
    <w:tmpl w:val="204C7670"/>
    <w:lvl w:ilvl="0" w:tplc="44CEF2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8F"/>
    <w:rsid w:val="00003DF3"/>
    <w:rsid w:val="00007745"/>
    <w:rsid w:val="000135BB"/>
    <w:rsid w:val="000270F0"/>
    <w:rsid w:val="0005640C"/>
    <w:rsid w:val="00062EE0"/>
    <w:rsid w:val="00075FF9"/>
    <w:rsid w:val="000865C5"/>
    <w:rsid w:val="000A298B"/>
    <w:rsid w:val="000C114B"/>
    <w:rsid w:val="000D464F"/>
    <w:rsid w:val="00127D20"/>
    <w:rsid w:val="00140AEB"/>
    <w:rsid w:val="00155993"/>
    <w:rsid w:val="00165A5D"/>
    <w:rsid w:val="00172557"/>
    <w:rsid w:val="00184AC2"/>
    <w:rsid w:val="001C0BD5"/>
    <w:rsid w:val="001C6789"/>
    <w:rsid w:val="001E5B9F"/>
    <w:rsid w:val="001E66D4"/>
    <w:rsid w:val="001F0190"/>
    <w:rsid w:val="002113CE"/>
    <w:rsid w:val="00221CC2"/>
    <w:rsid w:val="00235C8E"/>
    <w:rsid w:val="002454EF"/>
    <w:rsid w:val="00272F59"/>
    <w:rsid w:val="00274363"/>
    <w:rsid w:val="00277873"/>
    <w:rsid w:val="0028408B"/>
    <w:rsid w:val="002B3B5B"/>
    <w:rsid w:val="002E78BC"/>
    <w:rsid w:val="002F0F05"/>
    <w:rsid w:val="002F1929"/>
    <w:rsid w:val="00310535"/>
    <w:rsid w:val="00337F95"/>
    <w:rsid w:val="00354F81"/>
    <w:rsid w:val="003564EB"/>
    <w:rsid w:val="00365999"/>
    <w:rsid w:val="00371E95"/>
    <w:rsid w:val="00393078"/>
    <w:rsid w:val="003979F0"/>
    <w:rsid w:val="003A361C"/>
    <w:rsid w:val="003A5D4B"/>
    <w:rsid w:val="003B1A54"/>
    <w:rsid w:val="003E67EE"/>
    <w:rsid w:val="003F1194"/>
    <w:rsid w:val="003F5663"/>
    <w:rsid w:val="00400685"/>
    <w:rsid w:val="004347CF"/>
    <w:rsid w:val="0043545D"/>
    <w:rsid w:val="0045009E"/>
    <w:rsid w:val="00472695"/>
    <w:rsid w:val="0048163A"/>
    <w:rsid w:val="004915C8"/>
    <w:rsid w:val="00493D61"/>
    <w:rsid w:val="00496D28"/>
    <w:rsid w:val="004A0C18"/>
    <w:rsid w:val="004B17F3"/>
    <w:rsid w:val="004B33B2"/>
    <w:rsid w:val="004B6938"/>
    <w:rsid w:val="004D2947"/>
    <w:rsid w:val="004D3AC4"/>
    <w:rsid w:val="004F1915"/>
    <w:rsid w:val="004F3B02"/>
    <w:rsid w:val="004F681D"/>
    <w:rsid w:val="00500BB7"/>
    <w:rsid w:val="0050244C"/>
    <w:rsid w:val="00544910"/>
    <w:rsid w:val="00547591"/>
    <w:rsid w:val="00547E8A"/>
    <w:rsid w:val="0056094D"/>
    <w:rsid w:val="0056460C"/>
    <w:rsid w:val="005670FD"/>
    <w:rsid w:val="005A0D4D"/>
    <w:rsid w:val="005B5663"/>
    <w:rsid w:val="005C17B6"/>
    <w:rsid w:val="005C5F2F"/>
    <w:rsid w:val="005D0B79"/>
    <w:rsid w:val="005D3C7E"/>
    <w:rsid w:val="005E056A"/>
    <w:rsid w:val="005F28CF"/>
    <w:rsid w:val="0063597E"/>
    <w:rsid w:val="006531AA"/>
    <w:rsid w:val="00653B88"/>
    <w:rsid w:val="00674E38"/>
    <w:rsid w:val="006B618F"/>
    <w:rsid w:val="00704AAB"/>
    <w:rsid w:val="00711BB4"/>
    <w:rsid w:val="007304FF"/>
    <w:rsid w:val="007337F1"/>
    <w:rsid w:val="00744EC9"/>
    <w:rsid w:val="007945B3"/>
    <w:rsid w:val="0079731C"/>
    <w:rsid w:val="007A123E"/>
    <w:rsid w:val="007A1B06"/>
    <w:rsid w:val="007A1B08"/>
    <w:rsid w:val="007D7C95"/>
    <w:rsid w:val="007E2742"/>
    <w:rsid w:val="007E626B"/>
    <w:rsid w:val="007F5E2B"/>
    <w:rsid w:val="007F7228"/>
    <w:rsid w:val="008102F7"/>
    <w:rsid w:val="00813E8C"/>
    <w:rsid w:val="00814465"/>
    <w:rsid w:val="00815262"/>
    <w:rsid w:val="00824BC1"/>
    <w:rsid w:val="008623A9"/>
    <w:rsid w:val="008728E9"/>
    <w:rsid w:val="008A5DF8"/>
    <w:rsid w:val="008B3449"/>
    <w:rsid w:val="008D68CF"/>
    <w:rsid w:val="008D6B12"/>
    <w:rsid w:val="008E34FE"/>
    <w:rsid w:val="00903781"/>
    <w:rsid w:val="00904741"/>
    <w:rsid w:val="009372AF"/>
    <w:rsid w:val="009427F0"/>
    <w:rsid w:val="009563A9"/>
    <w:rsid w:val="009659EA"/>
    <w:rsid w:val="009704E3"/>
    <w:rsid w:val="009F2409"/>
    <w:rsid w:val="00A02864"/>
    <w:rsid w:val="00A042B6"/>
    <w:rsid w:val="00A10ED4"/>
    <w:rsid w:val="00A13E39"/>
    <w:rsid w:val="00A178DF"/>
    <w:rsid w:val="00A22515"/>
    <w:rsid w:val="00A3109C"/>
    <w:rsid w:val="00A46C3E"/>
    <w:rsid w:val="00A50608"/>
    <w:rsid w:val="00A51922"/>
    <w:rsid w:val="00A93548"/>
    <w:rsid w:val="00A956D9"/>
    <w:rsid w:val="00AB1F9A"/>
    <w:rsid w:val="00AD02C9"/>
    <w:rsid w:val="00AD4723"/>
    <w:rsid w:val="00AE3AAB"/>
    <w:rsid w:val="00AE7AC7"/>
    <w:rsid w:val="00AF0C59"/>
    <w:rsid w:val="00AF2BB8"/>
    <w:rsid w:val="00B04A9E"/>
    <w:rsid w:val="00B07592"/>
    <w:rsid w:val="00B10395"/>
    <w:rsid w:val="00B11F7E"/>
    <w:rsid w:val="00B13D71"/>
    <w:rsid w:val="00B212B1"/>
    <w:rsid w:val="00B26F53"/>
    <w:rsid w:val="00B56C89"/>
    <w:rsid w:val="00B67CDA"/>
    <w:rsid w:val="00B863E5"/>
    <w:rsid w:val="00B973A0"/>
    <w:rsid w:val="00BA0C9B"/>
    <w:rsid w:val="00BB1342"/>
    <w:rsid w:val="00BD5A0D"/>
    <w:rsid w:val="00BE79C4"/>
    <w:rsid w:val="00BE7CDE"/>
    <w:rsid w:val="00BF4197"/>
    <w:rsid w:val="00C04AB6"/>
    <w:rsid w:val="00C16158"/>
    <w:rsid w:val="00C37532"/>
    <w:rsid w:val="00C457C9"/>
    <w:rsid w:val="00C52CC7"/>
    <w:rsid w:val="00C77C86"/>
    <w:rsid w:val="00C932DC"/>
    <w:rsid w:val="00C95A5D"/>
    <w:rsid w:val="00CA50EC"/>
    <w:rsid w:val="00CB3669"/>
    <w:rsid w:val="00CD2123"/>
    <w:rsid w:val="00CE008A"/>
    <w:rsid w:val="00CF17B9"/>
    <w:rsid w:val="00D02236"/>
    <w:rsid w:val="00D217EA"/>
    <w:rsid w:val="00D323DD"/>
    <w:rsid w:val="00D42AA2"/>
    <w:rsid w:val="00DC09F9"/>
    <w:rsid w:val="00DD2A61"/>
    <w:rsid w:val="00DE7ED5"/>
    <w:rsid w:val="00E2418C"/>
    <w:rsid w:val="00E37508"/>
    <w:rsid w:val="00E43EC5"/>
    <w:rsid w:val="00E825D4"/>
    <w:rsid w:val="00E91D01"/>
    <w:rsid w:val="00E963BD"/>
    <w:rsid w:val="00EF0CF2"/>
    <w:rsid w:val="00F03B52"/>
    <w:rsid w:val="00F10AB2"/>
    <w:rsid w:val="00F41818"/>
    <w:rsid w:val="00F468CD"/>
    <w:rsid w:val="00FD54D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90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5"/>
  </w:style>
  <w:style w:type="paragraph" w:styleId="Heading1">
    <w:name w:val="heading 1"/>
    <w:basedOn w:val="Normal"/>
    <w:next w:val="Normal"/>
    <w:link w:val="Heading1Char"/>
    <w:uiPriority w:val="9"/>
    <w:qFormat/>
    <w:rsid w:val="00862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2 Ana"/>
    <w:basedOn w:val="Normal"/>
    <w:next w:val="Normal"/>
    <w:link w:val="Heading2Char"/>
    <w:autoRedefine/>
    <w:uiPriority w:val="9"/>
    <w:unhideWhenUsed/>
    <w:qFormat/>
    <w:rsid w:val="008623A9"/>
    <w:pPr>
      <w:spacing w:before="320" w:after="0" w:line="360" w:lineRule="auto"/>
      <w:ind w:left="786" w:hanging="3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8623A9"/>
    <w:pPr>
      <w:keepNext w:val="0"/>
      <w:keepLines w:val="0"/>
      <w:spacing w:before="600" w:line="360" w:lineRule="auto"/>
      <w:ind w:left="720" w:hanging="360"/>
    </w:pPr>
    <w:rPr>
      <w:rFonts w:eastAsia="MS Gothic"/>
      <w:i/>
      <w:iCs/>
      <w:color w:val="auto"/>
      <w:sz w:val="32"/>
      <w:szCs w:val="32"/>
      <w:lang w:bidi="en-US"/>
    </w:rPr>
  </w:style>
  <w:style w:type="character" w:customStyle="1" w:styleId="Style1Char">
    <w:name w:val="Style1 Char"/>
    <w:basedOn w:val="Heading1Char"/>
    <w:link w:val="Style1"/>
    <w:rsid w:val="008623A9"/>
    <w:rPr>
      <w:rFonts w:asciiTheme="majorHAnsi" w:eastAsia="MS Gothic" w:hAnsiTheme="majorHAnsi" w:cstheme="majorBidi"/>
      <w:b/>
      <w:bCs/>
      <w:i/>
      <w:iCs/>
      <w:color w:val="365F91" w:themeColor="accent1" w:themeShade="BF"/>
      <w:sz w:val="32"/>
      <w:szCs w:val="3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62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eading 2 Ana Char"/>
    <w:basedOn w:val="DefaultParagraphFont"/>
    <w:link w:val="Heading2"/>
    <w:uiPriority w:val="9"/>
    <w:rsid w:val="008623A9"/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6B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5"/>
  </w:style>
  <w:style w:type="paragraph" w:styleId="Heading1">
    <w:name w:val="heading 1"/>
    <w:basedOn w:val="Normal"/>
    <w:next w:val="Normal"/>
    <w:link w:val="Heading1Char"/>
    <w:uiPriority w:val="9"/>
    <w:qFormat/>
    <w:rsid w:val="00862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2 Ana"/>
    <w:basedOn w:val="Normal"/>
    <w:next w:val="Normal"/>
    <w:link w:val="Heading2Char"/>
    <w:autoRedefine/>
    <w:uiPriority w:val="9"/>
    <w:unhideWhenUsed/>
    <w:qFormat/>
    <w:rsid w:val="008623A9"/>
    <w:pPr>
      <w:spacing w:before="320" w:after="0" w:line="360" w:lineRule="auto"/>
      <w:ind w:left="786" w:hanging="3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8623A9"/>
    <w:pPr>
      <w:keepNext w:val="0"/>
      <w:keepLines w:val="0"/>
      <w:spacing w:before="600" w:line="360" w:lineRule="auto"/>
      <w:ind w:left="720" w:hanging="360"/>
    </w:pPr>
    <w:rPr>
      <w:rFonts w:eastAsia="MS Gothic"/>
      <w:i/>
      <w:iCs/>
      <w:color w:val="auto"/>
      <w:sz w:val="32"/>
      <w:szCs w:val="32"/>
      <w:lang w:bidi="en-US"/>
    </w:rPr>
  </w:style>
  <w:style w:type="character" w:customStyle="1" w:styleId="Style1Char">
    <w:name w:val="Style1 Char"/>
    <w:basedOn w:val="Heading1Char"/>
    <w:link w:val="Style1"/>
    <w:rsid w:val="008623A9"/>
    <w:rPr>
      <w:rFonts w:asciiTheme="majorHAnsi" w:eastAsia="MS Gothic" w:hAnsiTheme="majorHAnsi" w:cstheme="majorBidi"/>
      <w:b/>
      <w:bCs/>
      <w:i/>
      <w:iCs/>
      <w:color w:val="365F91" w:themeColor="accent1" w:themeShade="BF"/>
      <w:sz w:val="32"/>
      <w:szCs w:val="3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62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eading 2 Ana Char"/>
    <w:basedOn w:val="DefaultParagraphFont"/>
    <w:link w:val="Heading2"/>
    <w:uiPriority w:val="9"/>
    <w:rsid w:val="008623A9"/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6B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Giulio Isacco Lampronti</cp:lastModifiedBy>
  <cp:revision>3</cp:revision>
  <dcterms:created xsi:type="dcterms:W3CDTF">2017-11-14T13:50:00Z</dcterms:created>
  <dcterms:modified xsi:type="dcterms:W3CDTF">2017-11-16T15:47:00Z</dcterms:modified>
</cp:coreProperties>
</file>