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9D674" w14:textId="77777777" w:rsidR="008D3C74" w:rsidRPr="007C50E1" w:rsidRDefault="006305D7" w:rsidP="007C50E1">
      <w:pPr>
        <w:pStyle w:val="NormalWeb"/>
        <w:spacing w:before="0" w:beforeAutospacing="0" w:after="0" w:afterAutospacing="0"/>
        <w:jc w:val="left"/>
        <w:rPr>
          <w:rFonts w:cs="Arial"/>
          <w:color w:val="auto"/>
        </w:rPr>
      </w:pPr>
      <w:r w:rsidRPr="007C50E1">
        <w:rPr>
          <w:rFonts w:cs="Arial"/>
          <w:b/>
          <w:bCs/>
        </w:rPr>
        <w:t>TITLE</w:t>
      </w:r>
      <w:r w:rsidRPr="007C50E1">
        <w:rPr>
          <w:rFonts w:cs="Arial"/>
          <w:b/>
          <w:bCs/>
          <w:color w:val="auto"/>
        </w:rPr>
        <w:t>:</w:t>
      </w:r>
      <w:r w:rsidRPr="007C50E1">
        <w:rPr>
          <w:rFonts w:cs="Arial"/>
          <w:color w:val="auto"/>
        </w:rPr>
        <w:t xml:space="preserve"> </w:t>
      </w:r>
    </w:p>
    <w:p w14:paraId="5E928C16" w14:textId="697291A2" w:rsidR="006305D7" w:rsidRPr="007C50E1" w:rsidRDefault="00840607" w:rsidP="007C50E1">
      <w:pPr>
        <w:pStyle w:val="NormalWeb"/>
        <w:spacing w:before="0" w:beforeAutospacing="0" w:after="0" w:afterAutospacing="0"/>
        <w:jc w:val="left"/>
        <w:rPr>
          <w:rFonts w:cs="Arial"/>
        </w:rPr>
      </w:pPr>
      <w:r w:rsidRPr="007C50E1">
        <w:rPr>
          <w:rFonts w:cs="Arial"/>
          <w:color w:val="auto"/>
        </w:rPr>
        <w:t xml:space="preserve">Preparation and </w:t>
      </w:r>
      <w:r w:rsidR="00C744E4" w:rsidRPr="007C50E1">
        <w:rPr>
          <w:rFonts w:cs="Arial"/>
          <w:color w:val="auto"/>
        </w:rPr>
        <w:t>e</w:t>
      </w:r>
      <w:r w:rsidR="00FD2E14" w:rsidRPr="007C50E1">
        <w:rPr>
          <w:rFonts w:cs="Arial"/>
          <w:color w:val="auto"/>
        </w:rPr>
        <w:t xml:space="preserve">valuation of </w:t>
      </w:r>
      <w:r w:rsidR="00460010" w:rsidRPr="007C50E1">
        <w:rPr>
          <w:rFonts w:cs="Arial"/>
          <w:i/>
          <w:color w:val="auto"/>
          <w:vertAlign w:val="superscript"/>
        </w:rPr>
        <w:t>99m</w:t>
      </w:r>
      <w:r w:rsidR="00460010" w:rsidRPr="007C50E1">
        <w:rPr>
          <w:rFonts w:cs="Arial"/>
          <w:i/>
          <w:color w:val="auto"/>
        </w:rPr>
        <w:t>Tc</w:t>
      </w:r>
      <w:r w:rsidR="006717B0" w:rsidRPr="007C50E1">
        <w:rPr>
          <w:rFonts w:cs="Arial"/>
          <w:i/>
          <w:color w:val="auto"/>
        </w:rPr>
        <w:t>-</w:t>
      </w:r>
      <w:r w:rsidR="00460010" w:rsidRPr="007C50E1">
        <w:rPr>
          <w:rFonts w:cs="Arial"/>
          <w:i/>
          <w:color w:val="auto"/>
        </w:rPr>
        <w:t>labeled tridentate</w:t>
      </w:r>
      <w:r w:rsidR="005D5668" w:rsidRPr="007C50E1">
        <w:rPr>
          <w:rFonts w:cs="Arial"/>
          <w:i/>
          <w:color w:val="auto"/>
        </w:rPr>
        <w:t xml:space="preserve"> chelates for pre-</w:t>
      </w:r>
      <w:r w:rsidR="00FD2E14" w:rsidRPr="007C50E1">
        <w:rPr>
          <w:rFonts w:cs="Arial"/>
          <w:i/>
          <w:color w:val="auto"/>
        </w:rPr>
        <w:t xml:space="preserve">targeting </w:t>
      </w:r>
      <w:r w:rsidR="00460010" w:rsidRPr="007C50E1">
        <w:rPr>
          <w:rFonts w:cs="Arial"/>
          <w:i/>
          <w:color w:val="auto"/>
        </w:rPr>
        <w:t>using bioorthogonal chemistry</w:t>
      </w:r>
    </w:p>
    <w:p w14:paraId="37150906" w14:textId="77777777" w:rsidR="006305D7" w:rsidRPr="007C50E1" w:rsidRDefault="006305D7" w:rsidP="007C50E1">
      <w:pPr>
        <w:jc w:val="left"/>
        <w:rPr>
          <w:rFonts w:cs="Arial"/>
          <w:b/>
          <w:bCs/>
        </w:rPr>
      </w:pPr>
    </w:p>
    <w:p w14:paraId="471B8F64" w14:textId="35CC36ED" w:rsidR="00283B48" w:rsidRPr="007C50E1" w:rsidRDefault="00351AF3" w:rsidP="007C50E1">
      <w:pPr>
        <w:jc w:val="left"/>
        <w:rPr>
          <w:rFonts w:cs="Arial"/>
          <w:b/>
          <w:bCs/>
        </w:rPr>
      </w:pPr>
      <w:r w:rsidRPr="007C50E1">
        <w:rPr>
          <w:rFonts w:cs="Arial"/>
          <w:b/>
          <w:bCs/>
        </w:rPr>
        <w:t>AUTHORS:</w:t>
      </w:r>
      <w:r w:rsidR="00283B48" w:rsidRPr="007C50E1">
        <w:rPr>
          <w:rFonts w:cs="Arial"/>
          <w:b/>
          <w:bCs/>
        </w:rPr>
        <w:t xml:space="preserve"> </w:t>
      </w:r>
    </w:p>
    <w:p w14:paraId="79AD08C4" w14:textId="05A286D7" w:rsidR="00351AF3" w:rsidRPr="007C50E1" w:rsidRDefault="00351AF3" w:rsidP="007C50E1">
      <w:pPr>
        <w:jc w:val="left"/>
        <w:rPr>
          <w:rFonts w:cs="Arial"/>
          <w:bCs/>
          <w:color w:val="808080"/>
        </w:rPr>
      </w:pPr>
      <w:r w:rsidRPr="007C50E1">
        <w:rPr>
          <w:rFonts w:cs="Arial"/>
          <w:bCs/>
        </w:rPr>
        <w:t xml:space="preserve">Holly A. </w:t>
      </w:r>
      <w:r w:rsidRPr="007C50E1">
        <w:rPr>
          <w:rFonts w:cs="Arial"/>
          <w:bCs/>
          <w:color w:val="auto"/>
        </w:rPr>
        <w:t xml:space="preserve">Bilton†, Zainab Ahmad†, Nancy Janzen, Shannon Czorny, John F. Valliant. </w:t>
      </w:r>
    </w:p>
    <w:p w14:paraId="203BE20B" w14:textId="5DC70704" w:rsidR="00283B48" w:rsidRPr="007C50E1" w:rsidRDefault="00283B48" w:rsidP="007C50E1">
      <w:pPr>
        <w:pStyle w:val="NormalWeb"/>
        <w:spacing w:before="0" w:beforeAutospacing="0" w:after="0" w:afterAutospacing="0"/>
        <w:jc w:val="left"/>
        <w:rPr>
          <w:rFonts w:cs="Arial"/>
          <w:bCs/>
        </w:rPr>
      </w:pPr>
      <w:r w:rsidRPr="007C50E1">
        <w:rPr>
          <w:rFonts w:cs="Arial"/>
          <w:bCs/>
        </w:rPr>
        <w:t>† These authors contributed equally and are co-first authors.</w:t>
      </w:r>
    </w:p>
    <w:p w14:paraId="225BB26A" w14:textId="77777777" w:rsidR="00FE792F" w:rsidRPr="007C50E1" w:rsidRDefault="00FE792F" w:rsidP="007C50E1">
      <w:pPr>
        <w:jc w:val="left"/>
        <w:rPr>
          <w:rFonts w:cs="Arial"/>
          <w:bCs/>
          <w:color w:val="auto"/>
        </w:rPr>
      </w:pPr>
    </w:p>
    <w:p w14:paraId="038D8154" w14:textId="7C603A22" w:rsidR="00FD5A43" w:rsidRPr="007C50E1" w:rsidRDefault="00FD5A43" w:rsidP="007C50E1">
      <w:pPr>
        <w:jc w:val="left"/>
        <w:rPr>
          <w:rFonts w:cs="Arial"/>
          <w:bCs/>
          <w:color w:val="auto"/>
        </w:rPr>
      </w:pPr>
      <w:r w:rsidRPr="007C50E1">
        <w:rPr>
          <w:rFonts w:cs="Arial"/>
          <w:bCs/>
          <w:color w:val="auto"/>
        </w:rPr>
        <w:t>Bilton</w:t>
      </w:r>
      <w:r w:rsidR="004B3CE4" w:rsidRPr="007C50E1">
        <w:rPr>
          <w:rFonts w:cs="Arial"/>
          <w:bCs/>
          <w:color w:val="auto"/>
        </w:rPr>
        <w:t>, Holly A.</w:t>
      </w:r>
    </w:p>
    <w:p w14:paraId="0E31C03B" w14:textId="6F5B820E" w:rsidR="006305D7" w:rsidRPr="007C50E1" w:rsidRDefault="006305D7" w:rsidP="007C50E1">
      <w:pPr>
        <w:jc w:val="left"/>
        <w:rPr>
          <w:rFonts w:cs="Arial"/>
          <w:bCs/>
          <w:color w:val="auto"/>
        </w:rPr>
      </w:pPr>
      <w:r w:rsidRPr="007C50E1">
        <w:rPr>
          <w:rFonts w:cs="Arial"/>
          <w:bCs/>
          <w:color w:val="auto"/>
        </w:rPr>
        <w:t>Department</w:t>
      </w:r>
      <w:r w:rsidR="00460010" w:rsidRPr="007C50E1">
        <w:rPr>
          <w:rFonts w:cs="Arial"/>
          <w:bCs/>
          <w:color w:val="auto"/>
        </w:rPr>
        <w:t xml:space="preserve"> of Chemistry and Chemical Biology </w:t>
      </w:r>
    </w:p>
    <w:p w14:paraId="25A84405" w14:textId="260C5303" w:rsidR="006305D7" w:rsidRPr="007C50E1" w:rsidRDefault="00460010" w:rsidP="007C50E1">
      <w:pPr>
        <w:jc w:val="left"/>
        <w:rPr>
          <w:rFonts w:cs="Arial"/>
          <w:bCs/>
          <w:color w:val="auto"/>
        </w:rPr>
      </w:pPr>
      <w:r w:rsidRPr="007C50E1">
        <w:rPr>
          <w:rFonts w:cs="Arial"/>
          <w:bCs/>
          <w:color w:val="auto"/>
        </w:rPr>
        <w:t xml:space="preserve">McMaster University </w:t>
      </w:r>
    </w:p>
    <w:p w14:paraId="43462A37" w14:textId="4C66F879" w:rsidR="006305D7" w:rsidRPr="007C50E1" w:rsidRDefault="00460010" w:rsidP="007C50E1">
      <w:pPr>
        <w:jc w:val="left"/>
        <w:rPr>
          <w:rFonts w:cs="Arial"/>
          <w:bCs/>
          <w:color w:val="auto"/>
        </w:rPr>
      </w:pPr>
      <w:r w:rsidRPr="007C50E1">
        <w:rPr>
          <w:rFonts w:cs="Arial"/>
          <w:bCs/>
          <w:color w:val="auto"/>
        </w:rPr>
        <w:t xml:space="preserve">Hamilton, ON, Canada </w:t>
      </w:r>
    </w:p>
    <w:p w14:paraId="187D4BDC" w14:textId="19D3F677" w:rsidR="00FD5A43" w:rsidRPr="007C50E1" w:rsidRDefault="00FD5A43" w:rsidP="007C50E1">
      <w:pPr>
        <w:jc w:val="left"/>
        <w:rPr>
          <w:rFonts w:cs="Arial"/>
          <w:bCs/>
          <w:color w:val="auto"/>
        </w:rPr>
      </w:pPr>
      <w:r w:rsidRPr="007C50E1">
        <w:rPr>
          <w:rFonts w:cs="Arial"/>
          <w:bCs/>
          <w:color w:val="auto"/>
        </w:rPr>
        <w:t>biltonha@mcmaster.ca</w:t>
      </w:r>
    </w:p>
    <w:p w14:paraId="6AF35DFA" w14:textId="77777777" w:rsidR="00FD5A43" w:rsidRPr="007C50E1" w:rsidRDefault="00FD5A43" w:rsidP="007C50E1">
      <w:pPr>
        <w:jc w:val="left"/>
        <w:rPr>
          <w:rFonts w:cs="Arial"/>
          <w:bCs/>
          <w:color w:val="auto"/>
        </w:rPr>
      </w:pPr>
    </w:p>
    <w:p w14:paraId="15692EDE" w14:textId="2FAD2519" w:rsidR="00FD5A43" w:rsidRPr="007C50E1" w:rsidRDefault="00FD5A43" w:rsidP="007C50E1">
      <w:pPr>
        <w:jc w:val="left"/>
        <w:rPr>
          <w:rFonts w:cs="Arial"/>
          <w:bCs/>
          <w:color w:val="auto"/>
        </w:rPr>
      </w:pPr>
      <w:r w:rsidRPr="007C50E1">
        <w:rPr>
          <w:rFonts w:cs="Arial"/>
          <w:bCs/>
          <w:color w:val="auto"/>
        </w:rPr>
        <w:t>Ahmad</w:t>
      </w:r>
      <w:r w:rsidR="004B3CE4" w:rsidRPr="007C50E1">
        <w:rPr>
          <w:rFonts w:cs="Arial"/>
          <w:bCs/>
          <w:color w:val="auto"/>
        </w:rPr>
        <w:t>, Zainab</w:t>
      </w:r>
    </w:p>
    <w:p w14:paraId="1267B37F" w14:textId="77777777" w:rsidR="00FD5A43" w:rsidRPr="007C50E1" w:rsidRDefault="00FD5A43" w:rsidP="007C50E1">
      <w:pPr>
        <w:jc w:val="left"/>
        <w:rPr>
          <w:rFonts w:cs="Arial"/>
          <w:bCs/>
          <w:color w:val="auto"/>
        </w:rPr>
      </w:pPr>
      <w:r w:rsidRPr="007C50E1">
        <w:rPr>
          <w:rFonts w:cs="Arial"/>
          <w:bCs/>
          <w:color w:val="auto"/>
        </w:rPr>
        <w:t xml:space="preserve">Department of Chemistry and Chemical Biology </w:t>
      </w:r>
    </w:p>
    <w:p w14:paraId="2F5DD0A0" w14:textId="77777777" w:rsidR="00FD5A43" w:rsidRPr="007C50E1" w:rsidRDefault="00FD5A43" w:rsidP="007C50E1">
      <w:pPr>
        <w:jc w:val="left"/>
        <w:rPr>
          <w:rFonts w:cs="Arial"/>
          <w:bCs/>
          <w:color w:val="auto"/>
        </w:rPr>
      </w:pPr>
      <w:r w:rsidRPr="007C50E1">
        <w:rPr>
          <w:rFonts w:cs="Arial"/>
          <w:bCs/>
          <w:color w:val="auto"/>
        </w:rPr>
        <w:t xml:space="preserve">McMaster University </w:t>
      </w:r>
    </w:p>
    <w:p w14:paraId="3D195A86" w14:textId="77777777" w:rsidR="00FD5A43" w:rsidRPr="007C50E1" w:rsidRDefault="00FD5A43" w:rsidP="007C50E1">
      <w:pPr>
        <w:jc w:val="left"/>
        <w:rPr>
          <w:rFonts w:cs="Arial"/>
          <w:bCs/>
          <w:color w:val="auto"/>
        </w:rPr>
      </w:pPr>
      <w:r w:rsidRPr="007C50E1">
        <w:rPr>
          <w:rFonts w:cs="Arial"/>
          <w:bCs/>
          <w:color w:val="auto"/>
        </w:rPr>
        <w:t xml:space="preserve">Hamilton, ON, Canada </w:t>
      </w:r>
    </w:p>
    <w:p w14:paraId="37D91980" w14:textId="2FC1CE31" w:rsidR="00FD5A43" w:rsidRPr="007C50E1" w:rsidRDefault="008021AA" w:rsidP="007C50E1">
      <w:pPr>
        <w:jc w:val="left"/>
        <w:rPr>
          <w:rFonts w:cs="Arial"/>
          <w:bCs/>
          <w:color w:val="auto"/>
        </w:rPr>
      </w:pPr>
      <w:r w:rsidRPr="007C50E1">
        <w:rPr>
          <w:rFonts w:cs="Arial"/>
          <w:bCs/>
          <w:color w:val="auto"/>
        </w:rPr>
        <w:t>a</w:t>
      </w:r>
      <w:r w:rsidR="00FD5A43" w:rsidRPr="007C50E1">
        <w:rPr>
          <w:rFonts w:cs="Arial"/>
          <w:bCs/>
          <w:color w:val="auto"/>
        </w:rPr>
        <w:t>hmadz3@mcmaster.ca</w:t>
      </w:r>
    </w:p>
    <w:p w14:paraId="1EB4267C" w14:textId="77777777" w:rsidR="00FD5A43" w:rsidRPr="007C50E1" w:rsidRDefault="00FD5A43" w:rsidP="007C50E1">
      <w:pPr>
        <w:jc w:val="left"/>
        <w:rPr>
          <w:rFonts w:cs="Arial"/>
          <w:bCs/>
          <w:color w:val="auto"/>
        </w:rPr>
      </w:pPr>
    </w:p>
    <w:p w14:paraId="00351481" w14:textId="3A130B77" w:rsidR="00FD5A43" w:rsidRPr="007C50E1" w:rsidRDefault="00FD5A43" w:rsidP="007C50E1">
      <w:pPr>
        <w:jc w:val="left"/>
        <w:rPr>
          <w:rFonts w:cs="Arial"/>
          <w:bCs/>
          <w:color w:val="auto"/>
        </w:rPr>
      </w:pPr>
      <w:r w:rsidRPr="007C50E1">
        <w:rPr>
          <w:rFonts w:cs="Arial"/>
          <w:bCs/>
          <w:color w:val="auto"/>
        </w:rPr>
        <w:t>Janzen</w:t>
      </w:r>
      <w:r w:rsidR="004B3CE4" w:rsidRPr="007C50E1">
        <w:rPr>
          <w:rFonts w:cs="Arial"/>
          <w:bCs/>
          <w:color w:val="auto"/>
        </w:rPr>
        <w:t>, Nancy</w:t>
      </w:r>
    </w:p>
    <w:p w14:paraId="055224EB" w14:textId="77777777" w:rsidR="00FD5A43" w:rsidRPr="007C50E1" w:rsidRDefault="00FD5A43" w:rsidP="007C50E1">
      <w:pPr>
        <w:jc w:val="left"/>
        <w:rPr>
          <w:rFonts w:cs="Arial"/>
          <w:bCs/>
          <w:color w:val="auto"/>
        </w:rPr>
      </w:pPr>
      <w:r w:rsidRPr="007C50E1">
        <w:rPr>
          <w:rFonts w:cs="Arial"/>
          <w:bCs/>
          <w:color w:val="auto"/>
        </w:rPr>
        <w:t xml:space="preserve">Department of Chemistry and Chemical Biology </w:t>
      </w:r>
    </w:p>
    <w:p w14:paraId="3B5F013F" w14:textId="77777777" w:rsidR="00FD5A43" w:rsidRPr="007C50E1" w:rsidRDefault="00FD5A43" w:rsidP="007C50E1">
      <w:pPr>
        <w:jc w:val="left"/>
        <w:rPr>
          <w:rFonts w:cs="Arial"/>
          <w:bCs/>
          <w:color w:val="auto"/>
        </w:rPr>
      </w:pPr>
      <w:r w:rsidRPr="007C50E1">
        <w:rPr>
          <w:rFonts w:cs="Arial"/>
          <w:bCs/>
          <w:color w:val="auto"/>
        </w:rPr>
        <w:t xml:space="preserve">McMaster University </w:t>
      </w:r>
    </w:p>
    <w:p w14:paraId="46BF985E" w14:textId="77777777" w:rsidR="00FD5A43" w:rsidRPr="007C50E1" w:rsidRDefault="00FD5A43" w:rsidP="007C50E1">
      <w:pPr>
        <w:jc w:val="left"/>
        <w:rPr>
          <w:rFonts w:cs="Arial"/>
          <w:bCs/>
          <w:color w:val="auto"/>
        </w:rPr>
      </w:pPr>
      <w:r w:rsidRPr="007C50E1">
        <w:rPr>
          <w:rFonts w:cs="Arial"/>
          <w:bCs/>
          <w:color w:val="auto"/>
        </w:rPr>
        <w:t xml:space="preserve">Hamilton, ON, Canada </w:t>
      </w:r>
    </w:p>
    <w:p w14:paraId="55B34CAD" w14:textId="576CE667" w:rsidR="00FD5A43" w:rsidRPr="007C50E1" w:rsidRDefault="00FD5A43" w:rsidP="007C50E1">
      <w:pPr>
        <w:jc w:val="left"/>
        <w:rPr>
          <w:rFonts w:cs="Arial"/>
          <w:bCs/>
          <w:color w:val="auto"/>
        </w:rPr>
      </w:pPr>
      <w:r w:rsidRPr="007C50E1">
        <w:rPr>
          <w:rFonts w:cs="Arial"/>
          <w:bCs/>
          <w:color w:val="auto"/>
        </w:rPr>
        <w:t>janzen@mcmaster.ca</w:t>
      </w:r>
    </w:p>
    <w:p w14:paraId="5A915E1D" w14:textId="77777777" w:rsidR="00FD5A43" w:rsidRPr="007C50E1" w:rsidRDefault="00FD5A43" w:rsidP="007C50E1">
      <w:pPr>
        <w:jc w:val="left"/>
        <w:rPr>
          <w:rFonts w:cs="Arial"/>
          <w:bCs/>
          <w:color w:val="auto"/>
        </w:rPr>
      </w:pPr>
    </w:p>
    <w:p w14:paraId="15D47380" w14:textId="6772AB07" w:rsidR="00FD5A43" w:rsidRPr="007C50E1" w:rsidRDefault="00FD5A43" w:rsidP="007C50E1">
      <w:pPr>
        <w:jc w:val="left"/>
        <w:rPr>
          <w:rFonts w:cs="Arial"/>
          <w:bCs/>
          <w:color w:val="auto"/>
        </w:rPr>
      </w:pPr>
      <w:r w:rsidRPr="007C50E1">
        <w:rPr>
          <w:rFonts w:cs="Arial"/>
          <w:bCs/>
          <w:color w:val="auto"/>
        </w:rPr>
        <w:t>Czorny</w:t>
      </w:r>
      <w:r w:rsidR="004B3CE4" w:rsidRPr="007C50E1">
        <w:rPr>
          <w:rFonts w:cs="Arial"/>
          <w:bCs/>
          <w:color w:val="auto"/>
        </w:rPr>
        <w:t>, Shannon</w:t>
      </w:r>
    </w:p>
    <w:p w14:paraId="4B169094" w14:textId="77777777" w:rsidR="00FD5A43" w:rsidRPr="007C50E1" w:rsidRDefault="00FD5A43" w:rsidP="007C50E1">
      <w:pPr>
        <w:jc w:val="left"/>
        <w:rPr>
          <w:rFonts w:cs="Arial"/>
          <w:bCs/>
          <w:color w:val="auto"/>
        </w:rPr>
      </w:pPr>
      <w:r w:rsidRPr="007C50E1">
        <w:rPr>
          <w:rFonts w:cs="Arial"/>
          <w:bCs/>
          <w:color w:val="auto"/>
        </w:rPr>
        <w:t xml:space="preserve">Department of Chemistry and Chemical Biology </w:t>
      </w:r>
    </w:p>
    <w:p w14:paraId="3BB555A8" w14:textId="77777777" w:rsidR="00FD5A43" w:rsidRPr="007C50E1" w:rsidRDefault="00FD5A43" w:rsidP="007C50E1">
      <w:pPr>
        <w:jc w:val="left"/>
        <w:rPr>
          <w:rFonts w:cs="Arial"/>
          <w:bCs/>
          <w:color w:val="auto"/>
        </w:rPr>
      </w:pPr>
      <w:r w:rsidRPr="007C50E1">
        <w:rPr>
          <w:rFonts w:cs="Arial"/>
          <w:bCs/>
          <w:color w:val="auto"/>
        </w:rPr>
        <w:t xml:space="preserve">McMaster University </w:t>
      </w:r>
    </w:p>
    <w:p w14:paraId="36A3EA58" w14:textId="77777777" w:rsidR="00FD5A43" w:rsidRPr="007C50E1" w:rsidRDefault="00FD5A43" w:rsidP="007C50E1">
      <w:pPr>
        <w:jc w:val="left"/>
        <w:rPr>
          <w:rFonts w:cs="Arial"/>
          <w:bCs/>
          <w:color w:val="auto"/>
        </w:rPr>
      </w:pPr>
      <w:r w:rsidRPr="007C50E1">
        <w:rPr>
          <w:rFonts w:cs="Arial"/>
          <w:bCs/>
          <w:color w:val="auto"/>
        </w:rPr>
        <w:t xml:space="preserve">Hamilton, ON, Canada </w:t>
      </w:r>
    </w:p>
    <w:p w14:paraId="6BA5B57B" w14:textId="5C8B17EF" w:rsidR="00FD5A43" w:rsidRPr="007C50E1" w:rsidRDefault="00FD5A43" w:rsidP="007C50E1">
      <w:pPr>
        <w:jc w:val="left"/>
        <w:rPr>
          <w:rFonts w:cs="Arial"/>
          <w:bCs/>
          <w:color w:val="auto"/>
        </w:rPr>
      </w:pPr>
      <w:r w:rsidRPr="007C50E1">
        <w:rPr>
          <w:rFonts w:cs="Arial"/>
          <w:bCs/>
          <w:color w:val="auto"/>
        </w:rPr>
        <w:t>caornys@mcmaster.ca</w:t>
      </w:r>
    </w:p>
    <w:p w14:paraId="4F3015BC" w14:textId="77777777" w:rsidR="00FD5A43" w:rsidRPr="007C50E1" w:rsidRDefault="00FD5A43" w:rsidP="007C50E1">
      <w:pPr>
        <w:jc w:val="left"/>
        <w:rPr>
          <w:rFonts w:cs="Arial"/>
          <w:bCs/>
          <w:color w:val="auto"/>
        </w:rPr>
      </w:pPr>
    </w:p>
    <w:p w14:paraId="02BEB66D" w14:textId="0F70FD0B" w:rsidR="00FD5A43" w:rsidRPr="007C50E1" w:rsidRDefault="00FD5A43" w:rsidP="007C50E1">
      <w:pPr>
        <w:jc w:val="left"/>
        <w:rPr>
          <w:rFonts w:cs="Arial"/>
          <w:bCs/>
          <w:color w:val="auto"/>
        </w:rPr>
      </w:pPr>
      <w:r w:rsidRPr="007C50E1">
        <w:rPr>
          <w:rFonts w:cs="Arial"/>
          <w:bCs/>
          <w:color w:val="auto"/>
        </w:rPr>
        <w:t>Valliant</w:t>
      </w:r>
      <w:r w:rsidR="004B3CE4" w:rsidRPr="007C50E1">
        <w:rPr>
          <w:rFonts w:cs="Arial"/>
          <w:bCs/>
          <w:color w:val="auto"/>
        </w:rPr>
        <w:t>, John F.</w:t>
      </w:r>
    </w:p>
    <w:p w14:paraId="7E1AA59E" w14:textId="77777777" w:rsidR="00FD5A43" w:rsidRPr="007C50E1" w:rsidRDefault="00FD5A43" w:rsidP="007C50E1">
      <w:pPr>
        <w:jc w:val="left"/>
        <w:rPr>
          <w:rFonts w:cs="Arial"/>
          <w:bCs/>
          <w:color w:val="auto"/>
        </w:rPr>
      </w:pPr>
      <w:r w:rsidRPr="007C50E1">
        <w:rPr>
          <w:rFonts w:cs="Arial"/>
          <w:bCs/>
          <w:color w:val="auto"/>
        </w:rPr>
        <w:t xml:space="preserve">Department of Chemistry and Chemical Biology </w:t>
      </w:r>
    </w:p>
    <w:p w14:paraId="5F50A4BE" w14:textId="77777777" w:rsidR="00FD5A43" w:rsidRPr="007C50E1" w:rsidRDefault="00FD5A43" w:rsidP="007C50E1">
      <w:pPr>
        <w:jc w:val="left"/>
        <w:rPr>
          <w:rFonts w:cs="Arial"/>
          <w:bCs/>
          <w:color w:val="auto"/>
        </w:rPr>
      </w:pPr>
      <w:r w:rsidRPr="007C50E1">
        <w:rPr>
          <w:rFonts w:cs="Arial"/>
          <w:bCs/>
          <w:color w:val="auto"/>
        </w:rPr>
        <w:t xml:space="preserve">McMaster University </w:t>
      </w:r>
    </w:p>
    <w:p w14:paraId="33CD0117" w14:textId="77777777" w:rsidR="00FD5A43" w:rsidRPr="007C50E1" w:rsidRDefault="00FD5A43" w:rsidP="007C50E1">
      <w:pPr>
        <w:jc w:val="left"/>
        <w:rPr>
          <w:rFonts w:cs="Arial"/>
          <w:bCs/>
          <w:color w:val="auto"/>
        </w:rPr>
      </w:pPr>
      <w:r w:rsidRPr="007C50E1">
        <w:rPr>
          <w:rFonts w:cs="Arial"/>
          <w:bCs/>
          <w:color w:val="auto"/>
        </w:rPr>
        <w:t xml:space="preserve">Hamilton, ON, Canada </w:t>
      </w:r>
    </w:p>
    <w:p w14:paraId="079AE780" w14:textId="4423A730" w:rsidR="006305D7" w:rsidRPr="007C50E1" w:rsidRDefault="00FD5A43" w:rsidP="007C50E1">
      <w:pPr>
        <w:pStyle w:val="NormalWeb"/>
        <w:spacing w:before="0" w:beforeAutospacing="0" w:after="0" w:afterAutospacing="0"/>
        <w:jc w:val="left"/>
        <w:rPr>
          <w:rFonts w:cs="Arial"/>
          <w:bCs/>
        </w:rPr>
      </w:pPr>
      <w:r w:rsidRPr="007C50E1">
        <w:rPr>
          <w:rFonts w:cs="Arial"/>
          <w:bCs/>
        </w:rPr>
        <w:t>valliant@mcmaster.ca</w:t>
      </w:r>
    </w:p>
    <w:p w14:paraId="5AAF90B1" w14:textId="77777777" w:rsidR="00FD5A43" w:rsidRPr="007C50E1" w:rsidRDefault="00FD5A43" w:rsidP="007C50E1">
      <w:pPr>
        <w:pStyle w:val="NormalWeb"/>
        <w:spacing w:before="0" w:beforeAutospacing="0" w:after="0" w:afterAutospacing="0"/>
        <w:jc w:val="left"/>
        <w:rPr>
          <w:rFonts w:cs="Arial"/>
          <w:bCs/>
        </w:rPr>
      </w:pPr>
    </w:p>
    <w:p w14:paraId="007F74D5" w14:textId="77777777" w:rsidR="00283B48" w:rsidRPr="007C50E1" w:rsidRDefault="006305D7" w:rsidP="007C50E1">
      <w:pPr>
        <w:jc w:val="left"/>
        <w:rPr>
          <w:rFonts w:cs="Arial"/>
        </w:rPr>
      </w:pPr>
      <w:r w:rsidRPr="007C50E1">
        <w:rPr>
          <w:rFonts w:cs="Arial"/>
          <w:b/>
          <w:bCs/>
        </w:rPr>
        <w:t>CORRESPONDING AUTHOR:</w:t>
      </w:r>
      <w:r w:rsidRPr="007C50E1">
        <w:rPr>
          <w:rFonts w:cs="Arial"/>
        </w:rPr>
        <w:t xml:space="preserve"> </w:t>
      </w:r>
    </w:p>
    <w:p w14:paraId="73879A3B" w14:textId="3D505D4F" w:rsidR="00283B48" w:rsidRPr="007C50E1" w:rsidRDefault="00D73014" w:rsidP="007C50E1">
      <w:pPr>
        <w:jc w:val="left"/>
        <w:rPr>
          <w:rFonts w:cs="Arial"/>
          <w:bCs/>
          <w:color w:val="auto"/>
        </w:rPr>
      </w:pPr>
      <w:r w:rsidRPr="007C50E1">
        <w:rPr>
          <w:rFonts w:cs="Arial"/>
          <w:bCs/>
          <w:color w:val="auto"/>
        </w:rPr>
        <w:t>Valliant, John F.</w:t>
      </w:r>
      <w:r w:rsidR="00283B48" w:rsidRPr="007C50E1">
        <w:rPr>
          <w:rFonts w:cs="Arial"/>
          <w:bCs/>
          <w:color w:val="auto"/>
        </w:rPr>
        <w:t xml:space="preserve"> </w:t>
      </w:r>
    </w:p>
    <w:p w14:paraId="5F0DDCB4" w14:textId="77D08240" w:rsidR="00D73014" w:rsidRPr="007C50E1" w:rsidRDefault="00FD5A43" w:rsidP="007C50E1">
      <w:pPr>
        <w:jc w:val="left"/>
        <w:rPr>
          <w:rFonts w:cs="Arial"/>
          <w:bCs/>
          <w:color w:val="808080"/>
        </w:rPr>
      </w:pPr>
      <w:r w:rsidRPr="007C50E1">
        <w:rPr>
          <w:rFonts w:cs="Arial"/>
          <w:bCs/>
          <w:color w:val="auto"/>
        </w:rPr>
        <w:t>valliant@mcmaster.ca</w:t>
      </w:r>
    </w:p>
    <w:p w14:paraId="5FCA5F51" w14:textId="77777777" w:rsidR="006305D7" w:rsidRPr="007C50E1" w:rsidRDefault="006305D7" w:rsidP="007C50E1">
      <w:pPr>
        <w:pStyle w:val="NormalWeb"/>
        <w:spacing w:before="0" w:beforeAutospacing="0" w:after="0" w:afterAutospacing="0"/>
        <w:jc w:val="left"/>
        <w:rPr>
          <w:rFonts w:cs="Arial"/>
          <w:b/>
          <w:bCs/>
        </w:rPr>
      </w:pPr>
    </w:p>
    <w:p w14:paraId="41117783" w14:textId="77777777" w:rsidR="00283B48" w:rsidRPr="007C50E1" w:rsidRDefault="006305D7" w:rsidP="007C50E1">
      <w:pPr>
        <w:pStyle w:val="NormalWeb"/>
        <w:spacing w:before="0" w:beforeAutospacing="0" w:after="0" w:afterAutospacing="0"/>
        <w:jc w:val="left"/>
        <w:rPr>
          <w:rFonts w:cs="Arial"/>
          <w:color w:val="auto"/>
        </w:rPr>
      </w:pPr>
      <w:r w:rsidRPr="007C50E1">
        <w:rPr>
          <w:rFonts w:cs="Arial"/>
          <w:b/>
          <w:bCs/>
          <w:color w:val="auto"/>
        </w:rPr>
        <w:t>KEYWORDS:</w:t>
      </w:r>
      <w:r w:rsidRPr="007C50E1">
        <w:rPr>
          <w:rFonts w:cs="Arial"/>
          <w:color w:val="auto"/>
        </w:rPr>
        <w:t xml:space="preserve"> </w:t>
      </w:r>
    </w:p>
    <w:p w14:paraId="2BBA1498" w14:textId="3D7B5FA8" w:rsidR="006305D7" w:rsidRPr="007C50E1" w:rsidRDefault="00460010" w:rsidP="007C50E1">
      <w:pPr>
        <w:pStyle w:val="NormalWeb"/>
        <w:spacing w:before="0" w:beforeAutospacing="0" w:after="0" w:afterAutospacing="0"/>
        <w:jc w:val="left"/>
        <w:rPr>
          <w:rFonts w:cs="Arial"/>
          <w:color w:val="auto"/>
        </w:rPr>
      </w:pPr>
      <w:r w:rsidRPr="007C50E1">
        <w:rPr>
          <w:rFonts w:cs="Arial"/>
          <w:color w:val="auto"/>
          <w:vertAlign w:val="superscript"/>
        </w:rPr>
        <w:t>99m</w:t>
      </w:r>
      <w:r w:rsidR="00D73014" w:rsidRPr="007C50E1">
        <w:rPr>
          <w:rFonts w:cs="Arial"/>
          <w:color w:val="auto"/>
        </w:rPr>
        <w:t xml:space="preserve">Tc, </w:t>
      </w:r>
      <w:r w:rsidR="00262944" w:rsidRPr="007C50E1">
        <w:rPr>
          <w:rFonts w:cs="Arial"/>
          <w:color w:val="auto"/>
        </w:rPr>
        <w:t>t</w:t>
      </w:r>
      <w:r w:rsidRPr="007C50E1">
        <w:rPr>
          <w:rFonts w:cs="Arial"/>
          <w:color w:val="auto"/>
        </w:rPr>
        <w:t>etrazine,</w:t>
      </w:r>
      <w:r w:rsidR="00D73014" w:rsidRPr="007C50E1">
        <w:rPr>
          <w:rFonts w:cs="Arial"/>
          <w:color w:val="auto"/>
        </w:rPr>
        <w:t xml:space="preserve"> </w:t>
      </w:r>
      <w:r w:rsidR="00262944" w:rsidRPr="007C50E1">
        <w:rPr>
          <w:rFonts w:cs="Arial"/>
          <w:i/>
          <w:color w:val="auto"/>
        </w:rPr>
        <w:t>t</w:t>
      </w:r>
      <w:r w:rsidR="00D73014" w:rsidRPr="007C50E1">
        <w:rPr>
          <w:rFonts w:cs="Arial"/>
          <w:i/>
          <w:color w:val="auto"/>
        </w:rPr>
        <w:t>rans</w:t>
      </w:r>
      <w:r w:rsidR="00D73014" w:rsidRPr="007C50E1">
        <w:rPr>
          <w:rFonts w:cs="Arial"/>
          <w:color w:val="auto"/>
        </w:rPr>
        <w:t xml:space="preserve">-cyclooctene, </w:t>
      </w:r>
      <w:r w:rsidR="00262944" w:rsidRPr="007C50E1">
        <w:rPr>
          <w:rFonts w:cs="Arial"/>
          <w:color w:val="auto"/>
        </w:rPr>
        <w:t>b</w:t>
      </w:r>
      <w:r w:rsidRPr="007C50E1">
        <w:rPr>
          <w:rFonts w:cs="Arial"/>
          <w:color w:val="auto"/>
        </w:rPr>
        <w:t xml:space="preserve">ioorthogonal </w:t>
      </w:r>
      <w:r w:rsidR="00D73014" w:rsidRPr="007C50E1">
        <w:rPr>
          <w:rFonts w:cs="Arial"/>
          <w:color w:val="auto"/>
        </w:rPr>
        <w:t xml:space="preserve">chemistry, </w:t>
      </w:r>
      <w:r w:rsidR="00FD2E14" w:rsidRPr="007C50E1">
        <w:rPr>
          <w:rFonts w:cs="Arial"/>
          <w:color w:val="auto"/>
        </w:rPr>
        <w:t>pre</w:t>
      </w:r>
      <w:r w:rsidR="00262944" w:rsidRPr="007C50E1">
        <w:rPr>
          <w:rFonts w:cs="Arial"/>
          <w:color w:val="auto"/>
        </w:rPr>
        <w:t>-</w:t>
      </w:r>
      <w:r w:rsidR="00D73014" w:rsidRPr="007C50E1">
        <w:rPr>
          <w:rFonts w:cs="Arial"/>
          <w:color w:val="auto"/>
        </w:rPr>
        <w:t>targeting</w:t>
      </w:r>
      <w:r w:rsidR="00FD2E14" w:rsidRPr="007C50E1">
        <w:rPr>
          <w:rFonts w:cs="Arial"/>
          <w:color w:val="auto"/>
        </w:rPr>
        <w:t>, imaging</w:t>
      </w:r>
      <w:r w:rsidR="00D73014" w:rsidRPr="007C50E1">
        <w:rPr>
          <w:rFonts w:cs="Arial"/>
          <w:color w:val="auto"/>
        </w:rPr>
        <w:t xml:space="preserve">. </w:t>
      </w:r>
    </w:p>
    <w:p w14:paraId="4F73D12C" w14:textId="77777777" w:rsidR="00283B48" w:rsidRPr="007C50E1" w:rsidRDefault="00283B48" w:rsidP="007C50E1">
      <w:pPr>
        <w:pStyle w:val="NormalWeb"/>
        <w:spacing w:before="0" w:beforeAutospacing="0" w:after="0" w:afterAutospacing="0"/>
        <w:jc w:val="left"/>
        <w:rPr>
          <w:rFonts w:cs="Arial"/>
        </w:rPr>
      </w:pPr>
    </w:p>
    <w:p w14:paraId="00B20E5E" w14:textId="77777777" w:rsidR="00DF5577" w:rsidRPr="007C50E1" w:rsidRDefault="006305D7" w:rsidP="007C50E1">
      <w:pPr>
        <w:jc w:val="left"/>
        <w:rPr>
          <w:rFonts w:cs="Arial"/>
          <w:color w:val="auto"/>
        </w:rPr>
      </w:pPr>
      <w:r w:rsidRPr="007C50E1">
        <w:rPr>
          <w:rFonts w:cs="Arial"/>
          <w:b/>
          <w:bCs/>
          <w:color w:val="auto"/>
        </w:rPr>
        <w:t>SHORT ABSTRACT:</w:t>
      </w:r>
      <w:r w:rsidRPr="007C50E1">
        <w:rPr>
          <w:rFonts w:cs="Arial"/>
          <w:color w:val="auto"/>
        </w:rPr>
        <w:t xml:space="preserve"> </w:t>
      </w:r>
    </w:p>
    <w:p w14:paraId="00A932D8" w14:textId="74F2F982" w:rsidR="006305D7" w:rsidRPr="007C50E1" w:rsidRDefault="00D95265" w:rsidP="007C50E1">
      <w:pPr>
        <w:jc w:val="left"/>
        <w:rPr>
          <w:rFonts w:cs="Arial"/>
          <w:color w:val="auto"/>
        </w:rPr>
      </w:pPr>
      <w:r>
        <w:rPr>
          <w:rFonts w:cs="Arial"/>
          <w:color w:val="auto"/>
        </w:rPr>
        <w:t>Here, we describe a</w:t>
      </w:r>
      <w:r w:rsidR="00460010" w:rsidRPr="007C50E1">
        <w:rPr>
          <w:rFonts w:cs="Arial"/>
          <w:color w:val="auto"/>
        </w:rPr>
        <w:t xml:space="preserve"> protocol for </w:t>
      </w:r>
      <w:r w:rsidR="00E81E3C" w:rsidRPr="007C50E1">
        <w:rPr>
          <w:rFonts w:cs="Arial"/>
          <w:color w:val="auto"/>
        </w:rPr>
        <w:t xml:space="preserve">radiolabeling and </w:t>
      </w:r>
      <w:r w:rsidR="00E81E3C" w:rsidRPr="007C50E1">
        <w:rPr>
          <w:rFonts w:cs="Arial"/>
          <w:i/>
          <w:color w:val="auto"/>
        </w:rPr>
        <w:t>in vivo</w:t>
      </w:r>
      <w:r w:rsidR="00E81E3C" w:rsidRPr="007C50E1">
        <w:rPr>
          <w:rFonts w:cs="Arial"/>
          <w:color w:val="auto"/>
        </w:rPr>
        <w:t xml:space="preserve"> testing</w:t>
      </w:r>
      <w:r w:rsidR="00FD2E14" w:rsidRPr="007C50E1">
        <w:rPr>
          <w:rFonts w:cs="Arial"/>
          <w:color w:val="auto"/>
        </w:rPr>
        <w:t xml:space="preserve"> of</w:t>
      </w:r>
      <w:r w:rsidR="00E81E3C" w:rsidRPr="007C50E1">
        <w:rPr>
          <w:rFonts w:cs="Arial"/>
          <w:color w:val="auto"/>
        </w:rPr>
        <w:t xml:space="preserve"> </w:t>
      </w:r>
      <w:r w:rsidR="00460010" w:rsidRPr="007C50E1">
        <w:rPr>
          <w:rFonts w:cs="Arial"/>
          <w:color w:val="auto"/>
        </w:rPr>
        <w:t xml:space="preserve">tridentate </w:t>
      </w:r>
      <w:r w:rsidR="00FD2E14" w:rsidRPr="007C50E1">
        <w:rPr>
          <w:rFonts w:cs="Arial"/>
          <w:color w:val="auto"/>
          <w:vertAlign w:val="superscript"/>
        </w:rPr>
        <w:t>99m</w:t>
      </w:r>
      <w:r w:rsidR="00FD2E14" w:rsidRPr="007C50E1">
        <w:rPr>
          <w:rFonts w:cs="Arial"/>
          <w:color w:val="auto"/>
        </w:rPr>
        <w:t xml:space="preserve">Tc(I) </w:t>
      </w:r>
      <w:r w:rsidR="00460010" w:rsidRPr="007C50E1">
        <w:rPr>
          <w:rFonts w:cs="Arial"/>
          <w:color w:val="auto"/>
        </w:rPr>
        <w:t>chelate</w:t>
      </w:r>
      <w:r w:rsidR="00E81E3C" w:rsidRPr="007C50E1">
        <w:rPr>
          <w:rFonts w:cs="Arial"/>
          <w:color w:val="auto"/>
        </w:rPr>
        <w:t xml:space="preserve">-tetrazine </w:t>
      </w:r>
      <w:r w:rsidR="00FD2E14" w:rsidRPr="007C50E1">
        <w:rPr>
          <w:rFonts w:cs="Arial"/>
          <w:color w:val="auto"/>
        </w:rPr>
        <w:t>derivatives</w:t>
      </w:r>
      <w:r w:rsidR="00460010" w:rsidRPr="007C50E1">
        <w:rPr>
          <w:rFonts w:cs="Arial"/>
          <w:color w:val="auto"/>
        </w:rPr>
        <w:t xml:space="preserve"> for pre-</w:t>
      </w:r>
      <w:r w:rsidR="00E61315" w:rsidRPr="007C50E1">
        <w:rPr>
          <w:rFonts w:cs="Arial"/>
          <w:color w:val="auto"/>
        </w:rPr>
        <w:t>targeting</w:t>
      </w:r>
      <w:r w:rsidR="00DE7384" w:rsidRPr="007C50E1">
        <w:rPr>
          <w:rFonts w:cs="Arial"/>
          <w:color w:val="auto"/>
        </w:rPr>
        <w:t xml:space="preserve"> and bioorthogonal chemistry</w:t>
      </w:r>
      <w:r w:rsidR="00460010" w:rsidRPr="007C50E1">
        <w:rPr>
          <w:rFonts w:cs="Arial"/>
          <w:color w:val="auto"/>
        </w:rPr>
        <w:t xml:space="preserve">. </w:t>
      </w:r>
    </w:p>
    <w:p w14:paraId="761028D6" w14:textId="77777777" w:rsidR="006305D7" w:rsidRPr="007C50E1" w:rsidRDefault="006305D7" w:rsidP="007C50E1">
      <w:pPr>
        <w:jc w:val="left"/>
        <w:rPr>
          <w:rFonts w:cs="Arial"/>
        </w:rPr>
      </w:pPr>
    </w:p>
    <w:p w14:paraId="6048E9C1" w14:textId="77777777" w:rsidR="00DF5577" w:rsidRPr="007C50E1" w:rsidRDefault="006305D7" w:rsidP="007C50E1">
      <w:pPr>
        <w:jc w:val="left"/>
        <w:rPr>
          <w:rFonts w:cs="Arial"/>
        </w:rPr>
      </w:pPr>
      <w:r w:rsidRPr="007C50E1">
        <w:rPr>
          <w:rFonts w:cs="Arial"/>
          <w:b/>
          <w:bCs/>
        </w:rPr>
        <w:t>LONG ABSTRACT:</w:t>
      </w:r>
      <w:r w:rsidRPr="007C50E1">
        <w:rPr>
          <w:rFonts w:cs="Arial"/>
        </w:rPr>
        <w:t xml:space="preserve"> </w:t>
      </w:r>
    </w:p>
    <w:p w14:paraId="203FD93B" w14:textId="38BC4758" w:rsidR="006305D7" w:rsidRPr="007C50E1" w:rsidRDefault="00E61315" w:rsidP="007C50E1">
      <w:pPr>
        <w:jc w:val="left"/>
        <w:rPr>
          <w:rFonts w:cs="Arial"/>
        </w:rPr>
      </w:pPr>
      <w:r w:rsidRPr="007C50E1">
        <w:rPr>
          <w:rFonts w:cs="Arial"/>
        </w:rPr>
        <w:t xml:space="preserve">Pre-targeting combined with bioorthogonal </w:t>
      </w:r>
      <w:r w:rsidR="00D73014" w:rsidRPr="007C50E1">
        <w:rPr>
          <w:rFonts w:cs="Arial"/>
        </w:rPr>
        <w:t xml:space="preserve">chemistry </w:t>
      </w:r>
      <w:r w:rsidR="00E81E3C" w:rsidRPr="007C50E1">
        <w:rPr>
          <w:rFonts w:cs="Arial"/>
        </w:rPr>
        <w:t xml:space="preserve">is emerging as </w:t>
      </w:r>
      <w:r w:rsidR="00D73014" w:rsidRPr="007C50E1">
        <w:rPr>
          <w:rFonts w:cs="Arial"/>
        </w:rPr>
        <w:t>a</w:t>
      </w:r>
      <w:r w:rsidR="00E81E3C" w:rsidRPr="007C50E1">
        <w:rPr>
          <w:rFonts w:cs="Arial"/>
        </w:rPr>
        <w:t>n effective way to create new</w:t>
      </w:r>
      <w:r w:rsidR="00D73014" w:rsidRPr="007C50E1">
        <w:rPr>
          <w:rFonts w:cs="Arial"/>
        </w:rPr>
        <w:t xml:space="preserve"> </w:t>
      </w:r>
      <w:r w:rsidR="00E81E3C" w:rsidRPr="007C50E1">
        <w:rPr>
          <w:rFonts w:cs="Arial"/>
        </w:rPr>
        <w:t>radiopharmaceuticals</w:t>
      </w:r>
      <w:r w:rsidR="00D73014" w:rsidRPr="007C50E1">
        <w:rPr>
          <w:rFonts w:cs="Arial"/>
        </w:rPr>
        <w:t>.</w:t>
      </w:r>
      <w:r w:rsidR="00F13501" w:rsidRPr="007C50E1">
        <w:rPr>
          <w:rFonts w:cs="Arial"/>
        </w:rPr>
        <w:t xml:space="preserve"> </w:t>
      </w:r>
      <w:r w:rsidR="00B90FD2" w:rsidRPr="007C50E1">
        <w:rPr>
          <w:rFonts w:cs="Arial"/>
        </w:rPr>
        <w:t>Of the methods available, t</w:t>
      </w:r>
      <w:r w:rsidRPr="007C50E1">
        <w:rPr>
          <w:rFonts w:cs="Arial"/>
        </w:rPr>
        <w:t xml:space="preserve">he inverse electron demand Diels-Alder (IEDDA) cycloaddition between </w:t>
      </w:r>
      <w:r w:rsidR="00DE7384" w:rsidRPr="007C50E1">
        <w:rPr>
          <w:rFonts w:cs="Arial"/>
        </w:rPr>
        <w:t xml:space="preserve">a </w:t>
      </w:r>
      <w:r w:rsidR="00F13501" w:rsidRPr="007C50E1">
        <w:rPr>
          <w:rFonts w:cs="Arial"/>
        </w:rPr>
        <w:t xml:space="preserve">radiolabeled </w:t>
      </w:r>
      <w:r w:rsidR="006717B0" w:rsidRPr="007C50E1">
        <w:rPr>
          <w:rFonts w:cs="Arial"/>
        </w:rPr>
        <w:t>tetrazine</w:t>
      </w:r>
      <w:r w:rsidR="00840607" w:rsidRPr="007C50E1">
        <w:rPr>
          <w:rFonts w:cs="Arial"/>
        </w:rPr>
        <w:t>s</w:t>
      </w:r>
      <w:r w:rsidRPr="007C50E1">
        <w:rPr>
          <w:rFonts w:cs="Arial"/>
        </w:rPr>
        <w:t xml:space="preserve"> and </w:t>
      </w:r>
      <w:r w:rsidRPr="007C50E1">
        <w:rPr>
          <w:rFonts w:cs="Arial"/>
          <w:i/>
        </w:rPr>
        <w:t>trans</w:t>
      </w:r>
      <w:r w:rsidRPr="007C50E1">
        <w:rPr>
          <w:rFonts w:cs="Arial"/>
        </w:rPr>
        <w:t>-cyclooctene (TCO)</w:t>
      </w:r>
      <w:r w:rsidR="00F13501" w:rsidRPr="007C50E1">
        <w:rPr>
          <w:rFonts w:cs="Arial"/>
        </w:rPr>
        <w:t xml:space="preserve"> linked to a biomolecule</w:t>
      </w:r>
      <w:r w:rsidRPr="007C50E1">
        <w:rPr>
          <w:rFonts w:cs="Arial"/>
        </w:rPr>
        <w:t xml:space="preserve"> has proven to be a highly effective</w:t>
      </w:r>
      <w:r w:rsidR="00F13501" w:rsidRPr="007C50E1">
        <w:rPr>
          <w:rFonts w:cs="Arial"/>
        </w:rPr>
        <w:t xml:space="preserve"> </w:t>
      </w:r>
      <w:r w:rsidR="00B90FD2" w:rsidRPr="007C50E1">
        <w:rPr>
          <w:rFonts w:cs="Arial"/>
        </w:rPr>
        <w:t xml:space="preserve">bioorthogonal approach to </w:t>
      </w:r>
      <w:r w:rsidR="00F13501" w:rsidRPr="007C50E1">
        <w:rPr>
          <w:rFonts w:cs="Arial"/>
        </w:rPr>
        <w:t xml:space="preserve">imaging </w:t>
      </w:r>
      <w:r w:rsidR="00DE7384" w:rsidRPr="007C50E1">
        <w:rPr>
          <w:rFonts w:cs="Arial"/>
        </w:rPr>
        <w:t>specific</w:t>
      </w:r>
      <w:r w:rsidR="00F13501" w:rsidRPr="007C50E1">
        <w:rPr>
          <w:rFonts w:cs="Arial"/>
        </w:rPr>
        <w:t xml:space="preserve"> biological targets. </w:t>
      </w:r>
      <w:r w:rsidR="00353C8C" w:rsidRPr="007C50E1">
        <w:rPr>
          <w:rFonts w:cs="Arial"/>
        </w:rPr>
        <w:t xml:space="preserve">Despite the fact that technetium-99m remains the most widely used isotope in diagnostic nuclear medicine, </w:t>
      </w:r>
      <w:r w:rsidR="00F13501" w:rsidRPr="007C50E1">
        <w:rPr>
          <w:rFonts w:cs="Arial"/>
        </w:rPr>
        <w:t xml:space="preserve">there is a </w:t>
      </w:r>
      <w:r w:rsidR="00DE7384" w:rsidRPr="007C50E1">
        <w:rPr>
          <w:rFonts w:cs="Arial"/>
        </w:rPr>
        <w:t>scarcity</w:t>
      </w:r>
      <w:r w:rsidR="00F13501" w:rsidRPr="007C50E1">
        <w:rPr>
          <w:rFonts w:cs="Arial"/>
        </w:rPr>
        <w:t xml:space="preserve"> of</w:t>
      </w:r>
      <w:r w:rsidR="00DE7384" w:rsidRPr="007C50E1">
        <w:rPr>
          <w:rFonts w:cs="Arial"/>
        </w:rPr>
        <w:t xml:space="preserve"> methods for preparing</w:t>
      </w:r>
      <w:r w:rsidR="00DF5577" w:rsidRPr="007C50E1">
        <w:rPr>
          <w:rFonts w:cs="Arial"/>
        </w:rPr>
        <w:t xml:space="preserve"> </w:t>
      </w:r>
      <w:r w:rsidR="00DF5577" w:rsidRPr="007C50E1">
        <w:rPr>
          <w:rFonts w:cs="Arial"/>
          <w:vertAlign w:val="superscript"/>
        </w:rPr>
        <w:t>99m</w:t>
      </w:r>
      <w:r w:rsidR="00DF5577" w:rsidRPr="007C50E1">
        <w:rPr>
          <w:rFonts w:cs="Arial"/>
        </w:rPr>
        <w:t>Tc</w:t>
      </w:r>
      <w:r w:rsidR="006717B0" w:rsidRPr="007C50E1">
        <w:rPr>
          <w:rFonts w:cs="Arial"/>
        </w:rPr>
        <w:t>-</w:t>
      </w:r>
      <w:r w:rsidR="00F13501" w:rsidRPr="007C50E1">
        <w:rPr>
          <w:rFonts w:cs="Arial"/>
        </w:rPr>
        <w:t>labeled tetrazines. Herein we report the preparation of a family of tridentate-chelate-</w:t>
      </w:r>
      <w:r w:rsidR="006717B0" w:rsidRPr="007C50E1">
        <w:rPr>
          <w:rFonts w:cs="Arial"/>
        </w:rPr>
        <w:t>tetrazine</w:t>
      </w:r>
      <w:r w:rsidR="00F13501" w:rsidRPr="007C50E1">
        <w:rPr>
          <w:rFonts w:cs="Arial"/>
        </w:rPr>
        <w:t xml:space="preserve"> derivatives</w:t>
      </w:r>
      <w:r w:rsidR="00DE7384" w:rsidRPr="007C50E1">
        <w:rPr>
          <w:rFonts w:cs="Arial"/>
        </w:rPr>
        <w:t xml:space="preserve"> and their Tc(I) complexes</w:t>
      </w:r>
      <w:r w:rsidR="00F13501" w:rsidRPr="007C50E1">
        <w:rPr>
          <w:rFonts w:cs="Arial"/>
        </w:rPr>
        <w:t xml:space="preserve">. These </w:t>
      </w:r>
      <w:r w:rsidR="00B90FD2" w:rsidRPr="007C50E1">
        <w:rPr>
          <w:rFonts w:cs="Arial"/>
        </w:rPr>
        <w:t xml:space="preserve">hitherto unknown </w:t>
      </w:r>
      <w:r w:rsidR="00F13501" w:rsidRPr="007C50E1">
        <w:rPr>
          <w:rFonts w:cs="Arial"/>
        </w:rPr>
        <w:t xml:space="preserve">compounds were radiolabeled with </w:t>
      </w:r>
      <w:r w:rsidR="00F13501" w:rsidRPr="007C50E1">
        <w:rPr>
          <w:rFonts w:cs="Arial"/>
          <w:vertAlign w:val="superscript"/>
        </w:rPr>
        <w:t>99m</w:t>
      </w:r>
      <w:r w:rsidR="00DE7384" w:rsidRPr="007C50E1">
        <w:rPr>
          <w:rFonts w:cs="Arial"/>
        </w:rPr>
        <w:t xml:space="preserve">Tc using </w:t>
      </w:r>
      <w:r w:rsidR="00B90FD2" w:rsidRPr="007C50E1">
        <w:rPr>
          <w:rFonts w:cs="Arial"/>
        </w:rPr>
        <w:t xml:space="preserve">a </w:t>
      </w:r>
      <w:r w:rsidR="00F13501" w:rsidRPr="007C50E1">
        <w:rPr>
          <w:rFonts w:cs="Arial"/>
        </w:rPr>
        <w:t>micr</w:t>
      </w:r>
      <w:r w:rsidR="00DE7384" w:rsidRPr="007C50E1">
        <w:rPr>
          <w:rFonts w:cs="Arial"/>
        </w:rPr>
        <w:t>o</w:t>
      </w:r>
      <w:r w:rsidR="00F13501" w:rsidRPr="007C50E1">
        <w:rPr>
          <w:rFonts w:cs="Arial"/>
        </w:rPr>
        <w:t>wave</w:t>
      </w:r>
      <w:r w:rsidR="00B90FD2" w:rsidRPr="007C50E1">
        <w:rPr>
          <w:rFonts w:cs="Arial"/>
        </w:rPr>
        <w:t>-</w:t>
      </w:r>
      <w:r w:rsidR="00F13501" w:rsidRPr="007C50E1">
        <w:rPr>
          <w:rFonts w:cs="Arial"/>
        </w:rPr>
        <w:t xml:space="preserve">assisted method in </w:t>
      </w:r>
      <w:r w:rsidR="00513A2D" w:rsidRPr="007C50E1">
        <w:rPr>
          <w:rFonts w:cs="Arial"/>
        </w:rPr>
        <w:t>31</w:t>
      </w:r>
      <w:r w:rsidR="00D95265">
        <w:rPr>
          <w:rFonts w:cs="Arial"/>
        </w:rPr>
        <w:t>%</w:t>
      </w:r>
      <w:r w:rsidR="00F13501" w:rsidRPr="007C50E1">
        <w:rPr>
          <w:rFonts w:cs="Arial"/>
        </w:rPr>
        <w:t xml:space="preserve"> to </w:t>
      </w:r>
      <w:r w:rsidR="003305D4" w:rsidRPr="007C50E1">
        <w:rPr>
          <w:rFonts w:cs="Arial"/>
        </w:rPr>
        <w:t>83</w:t>
      </w:r>
      <w:r w:rsidR="00D95265">
        <w:rPr>
          <w:rFonts w:cs="Arial"/>
        </w:rPr>
        <w:t>%</w:t>
      </w:r>
      <w:r w:rsidR="00F13501" w:rsidRPr="007C50E1">
        <w:rPr>
          <w:rFonts w:cs="Arial"/>
        </w:rPr>
        <w:t xml:space="preserve"> </w:t>
      </w:r>
      <w:r w:rsidR="003305D4" w:rsidRPr="007C50E1">
        <w:rPr>
          <w:rFonts w:cs="Arial"/>
        </w:rPr>
        <w:t xml:space="preserve">radiochemical </w:t>
      </w:r>
      <w:r w:rsidR="00F13501" w:rsidRPr="007C50E1">
        <w:rPr>
          <w:rFonts w:cs="Arial"/>
        </w:rPr>
        <w:t>yield. Th</w:t>
      </w:r>
      <w:r w:rsidR="00A76F7B" w:rsidRPr="007C50E1">
        <w:rPr>
          <w:rFonts w:cs="Arial"/>
        </w:rPr>
        <w:t xml:space="preserve">e products are stable in saline </w:t>
      </w:r>
      <w:r w:rsidR="00B90FD2" w:rsidRPr="007C50E1">
        <w:rPr>
          <w:rFonts w:cs="Arial"/>
        </w:rPr>
        <w:t xml:space="preserve">and </w:t>
      </w:r>
      <w:r w:rsidR="00F13501" w:rsidRPr="007C50E1">
        <w:rPr>
          <w:rFonts w:cs="Arial"/>
        </w:rPr>
        <w:t>PBS and react rapidly with TCO</w:t>
      </w:r>
      <w:r w:rsidR="00B90FD2" w:rsidRPr="007C50E1">
        <w:rPr>
          <w:rFonts w:cs="Arial"/>
        </w:rPr>
        <w:t xml:space="preserve"> derivatives</w:t>
      </w:r>
      <w:r w:rsidR="00F13501" w:rsidRPr="007C50E1">
        <w:rPr>
          <w:rFonts w:cs="Arial"/>
        </w:rPr>
        <w:t xml:space="preserve"> </w:t>
      </w:r>
      <w:r w:rsidR="00F13501" w:rsidRPr="007C50E1">
        <w:rPr>
          <w:rFonts w:cs="Arial"/>
          <w:i/>
        </w:rPr>
        <w:t>in vitro</w:t>
      </w:r>
      <w:r w:rsidR="00F13501" w:rsidRPr="007C50E1">
        <w:rPr>
          <w:rFonts w:cs="Arial"/>
        </w:rPr>
        <w:t xml:space="preserve">. Their </w:t>
      </w:r>
      <w:r w:rsidR="00A76F7B" w:rsidRPr="007C50E1">
        <w:rPr>
          <w:rFonts w:cs="Arial"/>
          <w:i/>
        </w:rPr>
        <w:t>in vivo</w:t>
      </w:r>
      <w:r w:rsidR="00A76F7B" w:rsidRPr="007C50E1">
        <w:rPr>
          <w:rFonts w:cs="Arial"/>
        </w:rPr>
        <w:t xml:space="preserve"> pre-targeting </w:t>
      </w:r>
      <w:r w:rsidR="00F13501" w:rsidRPr="007C50E1">
        <w:rPr>
          <w:rFonts w:cs="Arial"/>
        </w:rPr>
        <w:t>abilit</w:t>
      </w:r>
      <w:r w:rsidR="00A76F7B" w:rsidRPr="007C50E1">
        <w:rPr>
          <w:rFonts w:cs="Arial"/>
        </w:rPr>
        <w:t xml:space="preserve">ies were </w:t>
      </w:r>
      <w:r w:rsidR="00F13501" w:rsidRPr="007C50E1">
        <w:rPr>
          <w:rFonts w:cs="Arial"/>
        </w:rPr>
        <w:t xml:space="preserve">demonstrated using a TCO-bisphosphonate (TCO-BP) derivative </w:t>
      </w:r>
      <w:r w:rsidR="00A76F7B" w:rsidRPr="007C50E1">
        <w:rPr>
          <w:rFonts w:cs="Arial"/>
        </w:rPr>
        <w:t>that</w:t>
      </w:r>
      <w:r w:rsidR="00F13501" w:rsidRPr="007C50E1">
        <w:rPr>
          <w:rFonts w:cs="Arial"/>
        </w:rPr>
        <w:t xml:space="preserve"> localizes to regions of active bone metabolism or injury. </w:t>
      </w:r>
      <w:r w:rsidR="00B90FD2" w:rsidRPr="007C50E1">
        <w:rPr>
          <w:rFonts w:cs="Arial"/>
        </w:rPr>
        <w:t xml:space="preserve">In murine studies, the </w:t>
      </w:r>
      <w:r w:rsidR="00A76F7B" w:rsidRPr="007C50E1">
        <w:rPr>
          <w:rFonts w:cs="Arial"/>
          <w:vertAlign w:val="superscript"/>
        </w:rPr>
        <w:t>99m</w:t>
      </w:r>
      <w:r w:rsidR="00A76F7B" w:rsidRPr="007C50E1">
        <w:rPr>
          <w:rFonts w:cs="Arial"/>
        </w:rPr>
        <w:t>Tc</w:t>
      </w:r>
      <w:r w:rsidR="006717B0" w:rsidRPr="007C50E1">
        <w:rPr>
          <w:rFonts w:cs="Arial"/>
        </w:rPr>
        <w:t>-tetrazine</w:t>
      </w:r>
      <w:r w:rsidR="00B90FD2" w:rsidRPr="007C50E1">
        <w:rPr>
          <w:rFonts w:cs="Arial"/>
        </w:rPr>
        <w:t xml:space="preserve">s </w:t>
      </w:r>
      <w:r w:rsidR="00F13501" w:rsidRPr="007C50E1">
        <w:rPr>
          <w:rFonts w:cs="Arial"/>
        </w:rPr>
        <w:t>showed high activity concentrations in knee</w:t>
      </w:r>
      <w:r w:rsidR="00DE7384" w:rsidRPr="007C50E1">
        <w:rPr>
          <w:rFonts w:cs="Arial"/>
        </w:rPr>
        <w:t>s</w:t>
      </w:r>
      <w:r w:rsidR="00F13501" w:rsidRPr="007C50E1">
        <w:rPr>
          <w:rFonts w:cs="Arial"/>
        </w:rPr>
        <w:t xml:space="preserve"> and shoulder</w:t>
      </w:r>
      <w:r w:rsidR="004A6ADD" w:rsidRPr="007C50E1">
        <w:rPr>
          <w:rFonts w:cs="Arial"/>
        </w:rPr>
        <w:t xml:space="preserve"> joints</w:t>
      </w:r>
      <w:r w:rsidR="00A76F7B" w:rsidRPr="007C50E1">
        <w:rPr>
          <w:rFonts w:cs="Arial"/>
        </w:rPr>
        <w:t>,</w:t>
      </w:r>
      <w:r w:rsidR="004A6ADD" w:rsidRPr="007C50E1">
        <w:rPr>
          <w:rFonts w:cs="Arial"/>
        </w:rPr>
        <w:t xml:space="preserve"> which was not observed when experiments were performed in the absenc</w:t>
      </w:r>
      <w:r w:rsidR="00DE7384" w:rsidRPr="007C50E1">
        <w:rPr>
          <w:rFonts w:cs="Arial"/>
        </w:rPr>
        <w:t>e of TCO-BP. The overall uptake in</w:t>
      </w:r>
      <w:r w:rsidR="004A6ADD" w:rsidRPr="007C50E1">
        <w:rPr>
          <w:rFonts w:cs="Arial"/>
        </w:rPr>
        <w:t xml:space="preserve"> non-target organs</w:t>
      </w:r>
      <w:r w:rsidR="00DE7384" w:rsidRPr="007C50E1">
        <w:rPr>
          <w:rFonts w:cs="Arial"/>
        </w:rPr>
        <w:t xml:space="preserve"> and pharmacokinetics</w:t>
      </w:r>
      <w:r w:rsidR="004A6ADD" w:rsidRPr="007C50E1">
        <w:rPr>
          <w:rFonts w:cs="Arial"/>
        </w:rPr>
        <w:t xml:space="preserve"> varied great</w:t>
      </w:r>
      <w:r w:rsidR="00425BCA" w:rsidRPr="007C50E1">
        <w:rPr>
          <w:rFonts w:cs="Arial"/>
        </w:rPr>
        <w:t xml:space="preserve">ly depending on the nature of the linker and polarity of the chelate. </w:t>
      </w:r>
    </w:p>
    <w:p w14:paraId="0216C83C" w14:textId="77777777" w:rsidR="00F13501" w:rsidRPr="007C50E1" w:rsidRDefault="00F13501" w:rsidP="007C50E1">
      <w:pPr>
        <w:jc w:val="left"/>
        <w:rPr>
          <w:rFonts w:cs="Arial"/>
        </w:rPr>
      </w:pPr>
    </w:p>
    <w:p w14:paraId="7E84D4C8" w14:textId="77777777" w:rsidR="00D16DF5" w:rsidRPr="007C50E1" w:rsidRDefault="006305D7" w:rsidP="007C50E1">
      <w:pPr>
        <w:jc w:val="left"/>
        <w:rPr>
          <w:rFonts w:cs="Arial"/>
        </w:rPr>
      </w:pPr>
      <w:r w:rsidRPr="007C50E1">
        <w:rPr>
          <w:rFonts w:cs="Arial"/>
          <w:b/>
        </w:rPr>
        <w:t>INTRODUCTION</w:t>
      </w:r>
      <w:r w:rsidRPr="007C50E1">
        <w:rPr>
          <w:rFonts w:cs="Arial"/>
          <w:b/>
          <w:bCs/>
        </w:rPr>
        <w:t>:</w:t>
      </w:r>
      <w:r w:rsidRPr="007C50E1">
        <w:rPr>
          <w:rFonts w:cs="Arial"/>
        </w:rPr>
        <w:t xml:space="preserve"> </w:t>
      </w:r>
    </w:p>
    <w:p w14:paraId="6D07CE80" w14:textId="6144C827" w:rsidR="00425BCA" w:rsidRPr="007C50E1" w:rsidRDefault="00D73014" w:rsidP="007C50E1">
      <w:pPr>
        <w:jc w:val="left"/>
        <w:rPr>
          <w:rFonts w:cs="Arial"/>
        </w:rPr>
      </w:pPr>
      <w:r w:rsidRPr="007C50E1">
        <w:rPr>
          <w:rFonts w:cs="Arial"/>
          <w:vertAlign w:val="superscript"/>
        </w:rPr>
        <w:t>99m</w:t>
      </w:r>
      <w:r w:rsidRPr="007C50E1">
        <w:rPr>
          <w:rFonts w:cs="Arial"/>
        </w:rPr>
        <w:t>Tc remains the dominant radioisotope used</w:t>
      </w:r>
      <w:r w:rsidR="00425BCA" w:rsidRPr="007C50E1">
        <w:rPr>
          <w:rFonts w:cs="Arial"/>
        </w:rPr>
        <w:t xml:space="preserve"> in diagnostic nuclear medicine</w:t>
      </w:r>
      <w:r w:rsidRPr="007C50E1">
        <w:rPr>
          <w:rFonts w:cs="Arial"/>
        </w:rPr>
        <w:t>, with over 50 millio</w:t>
      </w:r>
      <w:r w:rsidR="00425BCA" w:rsidRPr="007C50E1">
        <w:rPr>
          <w:rFonts w:cs="Arial"/>
        </w:rPr>
        <w:t xml:space="preserve">n </w:t>
      </w:r>
      <w:r w:rsidRPr="007C50E1">
        <w:rPr>
          <w:rFonts w:cs="Arial"/>
        </w:rPr>
        <w:t>imaging procedures conducted per year worldwide</w:t>
      </w:r>
      <w:r w:rsidR="007736AB" w:rsidRPr="007C50E1">
        <w:rPr>
          <w:rFonts w:cs="Arial"/>
        </w:rPr>
        <w:fldChar w:fldCharType="begin" w:fldLock="1"/>
      </w:r>
      <w:r w:rsidR="007736AB" w:rsidRPr="007C50E1">
        <w:rPr>
          <w:rFonts w:cs="Arial"/>
        </w:rPr>
        <w:instrText>ADDIN CSL_CITATION { "citationItems" : [ { "id" : "ITEM-1", "itemData" : { "DOI" : "10.1021/cr980435t", "ISSN" : "0009-2665", "author" : [ { "dropping-particle" : "", "family" : "Jurisson", "given" : "Silvia S.", "non-dropping-particle" : "", "parse-names" : false, "suffix" : "" }, { "dropping-particle" : "", "family" : "Lydon", "given" : "John D.", "non-dropping-particle" : "", "parse-names" : false, "suffix" : "" } ], "container-title" : "Chemical Reviews", "id" : "ITEM-1", "issue" : "9", "issued" : { "date-parts" : [ [ "1999", "9" ] ] }, "page" : "2205-2218", "title" : "Potential Technetium Small Molecule Radiopharmaceuticals", "type" : "article-journal", "volume" : "99" }, "uris" : [ "http://www.mendeley.com/documents/?uuid=9e299f7f-0846-4f9a-af90-7759e1dae5c8" ] }, { "id" : "ITEM-2", "itemData" : { "DOI" : "10.3390/molecules18033206", "ISBN" : "1420-3049", "ISSN" : "14203049", "PMID" : "23481882", "abstract" : "The Click-to-Chelate approach is a highly efficient strategy for the radiolabeling of molecules of medicinal interest with technetium and rhenium-tricarbonyl cores. Reaction of azide-functionalized molecules with alkyne prochelators by the Cu(I)-catalyzed azide-alkyne cycloaddition (CuAAC; click reaction) enables the simultaneous synthesis and conjugation of tridentate chelating systems for the stable complexation of the radiometals. In many cases, the functionalization of (bio)molecules with the ligand system and radiolabeling can be achieved by convenient one-pot procedures. Since its first report in 2006, Click-to-Chelate has been applied to the development of numerous novel radiotracers with promising potential for translation into the clinic. This review summarizes the use of the Click-to-Chelate approach in radiopharmaceutical sciences and provides a perspective for future applications.", "author" : [ { "dropping-particle" : "", "family" : "Kluba", "given" : "Christiane A.", "non-dropping-particle" : "", "parse-names" : false, "suffix" : "" }, { "dropping-particle" : "", "family" : "Mindt", "given" : "Thomas L.", "non-dropping-particle" : "", "parse-names" : false, "suffix" : "" } ], "container-title" : "Molecules", "id" : "ITEM-2", "issued" : { "date-parts" : [ [ "2013" ] ] }, "page" : "3206-3226", "title" : "Click-to-chelate: Development of technetium and rhenium-tricarbonyl labeled radiopharmaceuticals", "type" : "article-journal", "volume" : "18" }, "uris" : [ "http://www.mendeley.com/documents/?uuid=48642e5c-a9d1-498f-8da1-8d1960e00248" ] }, { "id" : "ITEM-3", "itemData" : { "author" : [ { "dropping-particle" : "", "family" : "Amato", "given" : "I", "non-dropping-particle" : "", "parse-names" : false, "suffix" : "" } ], "container-title" : "Chem. Eng. News.", "id" : "ITEM-3", "issue" : "36", "issued" : { "date-parts" : [ [ "2009" ] ] }, "page" : "58-70", "title" : "Nuclear Medicines Conundrum", "type" : "article-journal", "volume" : "87" }, "uris" : [ "http://www.mendeley.com/documents/?uuid=9f7fff73-c09e-4549-9d83-d74526ca31cd" ] } ], "mendeley" : { "formattedCitation" : "&lt;sup&gt;1\u20133&lt;/sup&gt;", "plainTextFormattedCitation" : "1\u20133", "previouslyFormattedCitation" : "&lt;sup&gt;1\u20133&lt;/sup&gt;" }, "properties" : { "noteIndex" : 0 }, "schema" : "https://github.com/citation-style-language/schema/raw/master/csl-citation.json" }</w:instrText>
      </w:r>
      <w:r w:rsidR="007736AB" w:rsidRPr="007C50E1">
        <w:rPr>
          <w:rFonts w:cs="Arial"/>
        </w:rPr>
        <w:fldChar w:fldCharType="separate"/>
      </w:r>
      <w:r w:rsidR="007736AB" w:rsidRPr="007C50E1">
        <w:rPr>
          <w:rFonts w:cs="Arial"/>
          <w:noProof/>
          <w:vertAlign w:val="superscript"/>
        </w:rPr>
        <w:t>1–3</w:t>
      </w:r>
      <w:r w:rsidR="007736AB" w:rsidRPr="007C50E1">
        <w:rPr>
          <w:rFonts w:cs="Arial"/>
        </w:rPr>
        <w:fldChar w:fldCharType="end"/>
      </w:r>
      <w:r w:rsidR="009032FC" w:rsidRPr="007C50E1">
        <w:rPr>
          <w:rFonts w:cs="Arial"/>
        </w:rPr>
        <w:t>.</w:t>
      </w:r>
      <w:r w:rsidR="00A34A81" w:rsidRPr="007C50E1">
        <w:rPr>
          <w:rFonts w:cs="Arial"/>
        </w:rPr>
        <w:t xml:space="preserve"> </w:t>
      </w:r>
      <w:r w:rsidR="00425BCA" w:rsidRPr="007C50E1">
        <w:rPr>
          <w:rFonts w:cs="Arial"/>
        </w:rPr>
        <w:t xml:space="preserve">The majority of </w:t>
      </w:r>
      <w:r w:rsidR="00425BCA" w:rsidRPr="007C50E1">
        <w:rPr>
          <w:rFonts w:cs="Arial"/>
          <w:vertAlign w:val="superscript"/>
        </w:rPr>
        <w:t>99m</w:t>
      </w:r>
      <w:r w:rsidR="00425BCA" w:rsidRPr="007C50E1">
        <w:rPr>
          <w:rFonts w:cs="Arial"/>
        </w:rPr>
        <w:t xml:space="preserve">Tc agents used </w:t>
      </w:r>
      <w:r w:rsidR="00367258" w:rsidRPr="007C50E1">
        <w:rPr>
          <w:rFonts w:cs="Arial"/>
        </w:rPr>
        <w:t>clinically</w:t>
      </w:r>
      <w:r w:rsidR="00425BCA" w:rsidRPr="007C50E1">
        <w:rPr>
          <w:rFonts w:cs="Arial"/>
        </w:rPr>
        <w:t xml:space="preserve"> are perfusion type </w:t>
      </w:r>
      <w:r w:rsidR="00367258" w:rsidRPr="007C50E1">
        <w:rPr>
          <w:rFonts w:cs="Arial"/>
        </w:rPr>
        <w:t>radiopharmaceuticals</w:t>
      </w:r>
      <w:r w:rsidR="00425BCA" w:rsidRPr="007C50E1">
        <w:rPr>
          <w:rFonts w:cs="Arial"/>
        </w:rPr>
        <w:t xml:space="preserve">. There are a limited number of actively targeted compounds in which </w:t>
      </w:r>
      <w:r w:rsidR="00425BCA" w:rsidRPr="007C50E1">
        <w:rPr>
          <w:rFonts w:cs="Arial"/>
          <w:vertAlign w:val="superscript"/>
        </w:rPr>
        <w:t>99m</w:t>
      </w:r>
      <w:r w:rsidR="00425BCA" w:rsidRPr="007C50E1">
        <w:rPr>
          <w:rFonts w:cs="Arial"/>
        </w:rPr>
        <w:t>Tc is directed to bind a specific biomarker through ligation to a targeting construct.</w:t>
      </w:r>
      <w:r w:rsidR="00283B48" w:rsidRPr="007C50E1">
        <w:rPr>
          <w:rFonts w:cs="Arial"/>
        </w:rPr>
        <w:t xml:space="preserve"> </w:t>
      </w:r>
      <w:r w:rsidR="00425BCA" w:rsidRPr="007C50E1">
        <w:rPr>
          <w:rFonts w:cs="Arial"/>
        </w:rPr>
        <w:t xml:space="preserve">The creation of targeted </w:t>
      </w:r>
      <w:r w:rsidR="00840607" w:rsidRPr="007C50E1">
        <w:rPr>
          <w:rFonts w:cs="Arial"/>
          <w:vertAlign w:val="superscript"/>
        </w:rPr>
        <w:t>99m</w:t>
      </w:r>
      <w:r w:rsidR="00425BCA" w:rsidRPr="007C50E1">
        <w:rPr>
          <w:rFonts w:cs="Arial"/>
        </w:rPr>
        <w:t xml:space="preserve">Tc radiopharmaceuticals is often hindered by the influence of </w:t>
      </w:r>
      <w:r w:rsidR="00840607" w:rsidRPr="007C50E1">
        <w:rPr>
          <w:rFonts w:cs="Arial"/>
          <w:vertAlign w:val="superscript"/>
        </w:rPr>
        <w:t>99m</w:t>
      </w:r>
      <w:r w:rsidR="00425BCA" w:rsidRPr="007C50E1">
        <w:rPr>
          <w:rFonts w:cs="Arial"/>
        </w:rPr>
        <w:t xml:space="preserve">Tc-ligand complexes on the ability of the targeting molecule to bind the </w:t>
      </w:r>
      <w:r w:rsidR="00367258" w:rsidRPr="007C50E1">
        <w:rPr>
          <w:rFonts w:cs="Arial"/>
        </w:rPr>
        <w:t>biomarker</w:t>
      </w:r>
      <w:r w:rsidR="00425BCA" w:rsidRPr="007C50E1">
        <w:rPr>
          <w:rFonts w:cs="Arial"/>
        </w:rPr>
        <w:t xml:space="preserve"> of interest</w:t>
      </w:r>
      <w:r w:rsidR="003F011A" w:rsidRPr="007C50E1">
        <w:rPr>
          <w:rFonts w:cs="Arial"/>
        </w:rPr>
        <w:t>,</w:t>
      </w:r>
      <w:r w:rsidR="00425BCA" w:rsidRPr="007C50E1">
        <w:rPr>
          <w:rFonts w:cs="Arial"/>
        </w:rPr>
        <w:t xml:space="preserve"> or the isotopes half</w:t>
      </w:r>
      <w:r w:rsidR="00367258" w:rsidRPr="007C50E1">
        <w:rPr>
          <w:rFonts w:cs="Arial"/>
        </w:rPr>
        <w:t>-</w:t>
      </w:r>
      <w:r w:rsidR="00425BCA" w:rsidRPr="007C50E1">
        <w:rPr>
          <w:rFonts w:cs="Arial"/>
        </w:rPr>
        <w:t xml:space="preserve">life is not long enough </w:t>
      </w:r>
      <w:r w:rsidR="00367258" w:rsidRPr="007C50E1">
        <w:rPr>
          <w:rFonts w:cs="Arial"/>
        </w:rPr>
        <w:t>for</w:t>
      </w:r>
      <w:r w:rsidR="00425BCA" w:rsidRPr="007C50E1">
        <w:rPr>
          <w:rFonts w:cs="Arial"/>
        </w:rPr>
        <w:t xml:space="preserve"> use </w:t>
      </w:r>
      <w:r w:rsidR="00367258" w:rsidRPr="007C50E1">
        <w:rPr>
          <w:rFonts w:cs="Arial"/>
        </w:rPr>
        <w:t xml:space="preserve">with </w:t>
      </w:r>
      <w:r w:rsidR="00425BCA" w:rsidRPr="007C50E1">
        <w:rPr>
          <w:rFonts w:cs="Arial"/>
        </w:rPr>
        <w:t xml:space="preserve">higher </w:t>
      </w:r>
      <w:r w:rsidR="00367258" w:rsidRPr="007C50E1">
        <w:rPr>
          <w:rFonts w:cs="Arial"/>
        </w:rPr>
        <w:t xml:space="preserve">molecular weight </w:t>
      </w:r>
      <w:r w:rsidR="00425BCA" w:rsidRPr="007C50E1">
        <w:rPr>
          <w:rFonts w:cs="Arial"/>
        </w:rPr>
        <w:t>biomolecules such as antibodies</w:t>
      </w:r>
      <w:r w:rsidR="00367258" w:rsidRPr="007C50E1">
        <w:rPr>
          <w:rFonts w:cs="Arial"/>
        </w:rPr>
        <w:t xml:space="preserve">. The latter typically </w:t>
      </w:r>
      <w:r w:rsidR="00425BCA" w:rsidRPr="007C50E1">
        <w:rPr>
          <w:rFonts w:cs="Arial"/>
        </w:rPr>
        <w:t>require</w:t>
      </w:r>
      <w:r w:rsidR="0071078E" w:rsidRPr="007C50E1">
        <w:rPr>
          <w:rFonts w:cs="Arial"/>
        </w:rPr>
        <w:t>s</w:t>
      </w:r>
      <w:r w:rsidR="00425BCA" w:rsidRPr="007C50E1">
        <w:rPr>
          <w:rFonts w:cs="Arial"/>
        </w:rPr>
        <w:t xml:space="preserve"> </w:t>
      </w:r>
      <w:r w:rsidR="00367258" w:rsidRPr="007C50E1">
        <w:rPr>
          <w:rFonts w:cs="Arial"/>
        </w:rPr>
        <w:t>several</w:t>
      </w:r>
      <w:r w:rsidR="00425BCA" w:rsidRPr="007C50E1">
        <w:rPr>
          <w:rFonts w:cs="Arial"/>
        </w:rPr>
        <w:t xml:space="preserve"> days</w:t>
      </w:r>
      <w:r w:rsidR="00367258" w:rsidRPr="007C50E1">
        <w:rPr>
          <w:rFonts w:cs="Arial"/>
        </w:rPr>
        <w:t xml:space="preserve"> before images are acquired in order for the biomolecule</w:t>
      </w:r>
      <w:r w:rsidR="00425BCA" w:rsidRPr="007C50E1">
        <w:rPr>
          <w:rFonts w:cs="Arial"/>
        </w:rPr>
        <w:t xml:space="preserve"> to clear from non-target </w:t>
      </w:r>
      <w:r w:rsidR="00367258" w:rsidRPr="007C50E1">
        <w:rPr>
          <w:rFonts w:cs="Arial"/>
        </w:rPr>
        <w:t>tissues</w:t>
      </w:r>
      <w:r w:rsidR="00425BCA" w:rsidRPr="007C50E1">
        <w:rPr>
          <w:rFonts w:cs="Arial"/>
        </w:rPr>
        <w:t xml:space="preserve">. Pre-targeting offers an alternative approach to overcome these challenges. </w:t>
      </w:r>
    </w:p>
    <w:p w14:paraId="4B7ECF2C" w14:textId="77777777" w:rsidR="00425BCA" w:rsidRPr="007C50E1" w:rsidRDefault="00425BCA" w:rsidP="007C50E1">
      <w:pPr>
        <w:jc w:val="left"/>
        <w:rPr>
          <w:rFonts w:cs="Arial"/>
        </w:rPr>
      </w:pPr>
    </w:p>
    <w:p w14:paraId="7A52D8F3" w14:textId="3C8F2CE4" w:rsidR="00335713" w:rsidRPr="007C50E1" w:rsidRDefault="00425BCA" w:rsidP="007C50E1">
      <w:pPr>
        <w:jc w:val="left"/>
        <w:rPr>
          <w:rFonts w:cs="Arial"/>
        </w:rPr>
      </w:pPr>
      <w:r w:rsidRPr="007C50E1">
        <w:rPr>
          <w:rFonts w:cs="Arial"/>
        </w:rPr>
        <w:t xml:space="preserve">Pre-targeting </w:t>
      </w:r>
      <w:r w:rsidR="005E13A7" w:rsidRPr="007C50E1">
        <w:rPr>
          <w:rFonts w:cs="Arial"/>
        </w:rPr>
        <w:t xml:space="preserve">combined with bioorthogonal chemistry </w:t>
      </w:r>
      <w:r w:rsidRPr="007C50E1">
        <w:rPr>
          <w:rFonts w:cs="Arial"/>
        </w:rPr>
        <w:t xml:space="preserve">has been shown to be an effective way to develop new molecular imaging probes for both </w:t>
      </w:r>
      <w:r w:rsidR="00B90FD2" w:rsidRPr="007C50E1">
        <w:rPr>
          <w:rFonts w:cs="Arial"/>
        </w:rPr>
        <w:t xml:space="preserve">fluorescence </w:t>
      </w:r>
      <w:r w:rsidRPr="007C50E1">
        <w:rPr>
          <w:rFonts w:cs="Arial"/>
        </w:rPr>
        <w:t xml:space="preserve">and </w:t>
      </w:r>
      <w:r w:rsidR="00367258" w:rsidRPr="007C50E1">
        <w:rPr>
          <w:rFonts w:cs="Arial"/>
        </w:rPr>
        <w:t>radio-</w:t>
      </w:r>
      <w:r w:rsidR="00D73014" w:rsidRPr="007C50E1">
        <w:rPr>
          <w:rFonts w:cs="Arial"/>
        </w:rPr>
        <w:t>imaging</w:t>
      </w:r>
      <w:r w:rsidR="007736AB" w:rsidRPr="007C50E1">
        <w:rPr>
          <w:rFonts w:cs="Arial"/>
        </w:rPr>
        <w:fldChar w:fldCharType="begin" w:fldLock="1"/>
      </w:r>
      <w:r w:rsidR="007736AB" w:rsidRPr="007C50E1">
        <w:rPr>
          <w:rFonts w:cs="Arial"/>
        </w:rPr>
        <w:instrText>ADDIN CSL_CITATION { "citationItems" : [ { "id" : "ITEM-1", "itemData" : { "ISBN" : "0161-5505 (Print)", "ISSN" : "0161-5505", "PMID" : "3612292", "abstract" : "The attractive properties of avidin (streptavidin) and biotin, in particular their strong affinities (Kd = 10(-15)M), may be used to advantage in imaging applications. These molecules have been used in this preliminary investigation to improve the targeting of 111In in animals. Antibodies have been conjugated with biotin and administered unlabeled while, at a later time, the radiolabel was administered attached to DTPA-coupled avidin or streptavidin. An alternative procedure was also considered whereby the antibodies were conjugated with avidin and administered before the administration of radiolabeled biotin. Using a model in which the target consisted of conjugated agarose beads deposited in the peritoneum of mice, it has been shown that the target/nontarget radioactivity ratios may be significantly improved with respect to the conventional procedures through the use of this approach.", "author" : [ { "dropping-particle" : "", "family" : "Hnatowich", "given" : "D J", "non-dropping-particle" : "", "parse-names" : false, "suffix" : "" }, { "dropping-particle" : "", "family" : "Virzi", "given" : "F", "non-dropping-particle" : "", "parse-names" : false, "suffix" : "" }, { "dropping-particle" : "", "family" : "Rusckowski", "given" : "M", "non-dropping-particle" : "", "parse-names" : false, "suffix" : "" } ], "container-title" : "Journal of nuclear medicine : official publication, Society of Nuclear Medicine", "id" : "ITEM-1", "issue" : "8", "issued" : { "date-parts" : [ [ "1987" ] ] }, "page" : "1294-302", "title" : "Investigations of avidin and biotin for imaging applications.", "type" : "article-journal", "volume" : "28" }, "uris" : [ "http://www.mendeley.com/documents/?uuid=61c3ed21-0e5d-447e-a89f-a3ece7f1b15b" ] }, { "id" : "ITEM-2", "itemData" : { "author" : [ { "dropping-particle" : "", "family" : "Blackman", "given" : "Melissa L.", "non-dropping-particle" : "", "parse-names" : false, "suffix" : "" }, { "dropping-particle" : "", "family" : "Royzen", "given" : "Maksim", "non-dropping-particle" : "", "parse-names" : false, "suffix" : "" }, { "dropping-particle" : "", "family" : "Fox", "given" : "Joseph M.", "non-dropping-particle" : "", "parse-names" : false, "suffix" : "" } ], "container-title" : "Journal of American Chemical Society", "id" : "ITEM-2", "issued" : { "date-parts" : [ [ "2008" ] ] }, "page" : "13518-13519", "title" : "Tetrazine Ligation: Fast Bioconjugation Based on Inverse-Electron-Demand Diels-Alder Reactivity", "type" : "article-journal", "volume" : "130" }, "uris" : [ "http://www.mendeley.com/documents/?uuid=44b40a1f-19d4-4bd8-81c6-db310e38fdbd" ] }, { "id" : "ITEM-3", "itemData" : { "DOI" : "10.1021/bc8004446", "ISSN" : "1520-4812", "PMID" : "19053305", "abstract" : "Bioorthogonal tetrazine cycloadditions have been applied to live cell labeling. Tetrazines react irreversibly with the strained dienophile norbornene forming dihydropyrazine products and dinitrogen. The reaction is high yielding, selective, and fast in aqueous media. Her2/neu receptors on live human breast cancer cells were targeted with a monoclonal antibody modified with a norbornene. Tetrazines conjugated to a near-infrared fluorochrome selectively and rapidly label the pretargeted antibody in the presence of serum. These findings indicate that this chemistry is suitable for in vitro labeling experiments, and suggests that it may prove a useful strategy for in vivo pretargeted imaging under numerous modalities.", "author" : [ { "dropping-particle" : "", "family" : "Devaraj", "given" : "Neal K.", "non-dropping-particle" : "", "parse-names" : false, "suffix" : "" }, { "dropping-particle" : "", "family" : "Weissleder", "given" : "Ralph", "non-dropping-particle" : "", "parse-names" : false, "suffix" : "" }, { "dropping-particle" : "", "family" : "Hilderbrand", "given" : "Scott A.", "non-dropping-particle" : "", "parse-names" : false, "suffix" : "" } ], "container-title" : "Bioconjugate Chem", "id" : "ITEM-3", "issue" : "12", "issued" : { "date-parts" : [ [ "2008", "12" ] ] }, "page" : "2297-9", "title" : "Tetrazine-based cycloadditions: application to pretargeted live cell imaging.", "type" : "article-journal", "volume" : "19" }, "uris" : [ "http://www.mendeley.com/documents/?uuid=854a90dd-bb4c-4a1e-afce-bbcae2ad8d70" ] }, { "id" : "ITEM-4", "itemData" : { "DOI" : "10.1002/anie.200906294", "ISBN" : "1521-3773", "ISSN" : "14337851", "author" : [ { "dropping-particle" : "", "family" : "Rossin", "given" : "Raffaella", "non-dropping-particle" : "", "parse-names" : false, "suffix" : "" }, { "dropping-particle" : "", "family" : "Renart Verkerk", "given" : "Pascal", "non-dropping-particle" : "", "parse-names" : false, "suffix" : "" }, { "dropping-particle" : "", "family" : "Bosch", "given" : "Sandra M.", "non-dropping-particle" : "van den", "parse-names" : false, "suffix" : "" }, { "dropping-particle" : "", "family" : "Vulders", "given" : "Roland C. M.", "non-dropping-particle" : "", "parse-names" : false, "suffix" : "" }, { "dropping-particle" : "", "family" : "Verel", "given" : "Iris", "non-dropping-particle" : "", "parse-names" : false, "suffix" : "" }, { "dropping-particle" : "", "family" : "Lub", "given" : "Johan", "non-dropping-particle" : "", "parse-names" : false, "suffix" : "" }, { "dropping-particle" : "", "family" : "Robillard", "given" : "Marc S.", "non-dropping-particle" : "", "parse-names" : false, "suffix" : "" } ], "container-title" : "Angewandte Chemie International Edition", "id" : "ITEM-4", "issue" : "19", "issued" : { "date-parts" : [ [ "2010" ] ] }, "page" : "3375-3378", "title" : "Supplemental: In Vivo Chemistry for Pretargeted Tumor Imaging in Live Mice", "type" : "article-journal", "volume" : "49" }, "uris" : [ "http://www.mendeley.com/documents/?uuid=9cfbecfa-1366-4f34-864d-6591a77e6a4d" ] }, { "id" : "ITEM-5", "itemData" : { "DOI" : "10.1021/acs.molpharmaceut.5b00294", "ISSN" : "1543-8384", "PMID" : "26287993", "author" : [ { "dropping-particle" : "", "family" : "Zeglis", "given" : "Brian M.", "non-dropping-particle" : "", "parse-names" : false, "suffix" : "" }, { "dropping-particle" : "", "family" : "Brand", "given" : "Christian", "non-dropping-particle" : "", "parse-names" : false, "suffix" : "" }, { "dropping-particle" : "", "family" : "Abdel-Atti", "given" : "Dalya", "non-dropping-particle" : "", "parse-names" : false, "suffix" : "" }, { "dropping-particle" : "", "family" : "Carnazza", "given" : "Kathryn E.", "non-dropping-particle" : "", "parse-names" : false, "suffix" : "" }, { "dropping-particle" : "", "family" : "Cook", "given" : "Brendon E.", "non-dropping-particle" : "", "parse-names" : false, "suffix" : "" }, { "dropping-particle" : "", "family" : "Carlin", "given" : "Sean", "non-dropping-particle" : "", "parse-names" : false, "suffix" : "" }, { "dropping-particle" : "", "family" : "Reiner", "given" : "Thomas", "non-dropping-particle" : "", "parse-names" : false, "suffix" : "" }, { "dropping-particle" : "", "family" : "Lewis", "given" : "Jason S.", "non-dropping-particle" : "", "parse-names" : false, "suffix" : "" } ], "container-title" : "Molecular Pharmaceutics", "id" : "ITEM-5", "issue" : "10", "issued" : { "date-parts" : [ [ "2015" ] ] }, "page" : "3575-3587", "title" : "Optimization of a Pretargeted Strategy for the PET Imaging of Colorectal Carcinoma via the Modulation of Radioligand Pharmacokinetics", "type" : "article-journal", "volume" : "12" }, "uris" : [ "http://www.mendeley.com/documents/?uuid=f5a91eaf-01c4-461f-a28e-035bcb84aec1" ] } ], "mendeley" : { "formattedCitation" : "&lt;sup&gt;4\u20138&lt;/sup&gt;", "plainTextFormattedCitation" : "4\u20138", "previouslyFormattedCitation" : "&lt;sup&gt;4\u20138&lt;/sup&gt;" }, "properties" : { "noteIndex" : 0 }, "schema" : "https://github.com/citation-style-language/schema/raw/master/csl-citation.json" }</w:instrText>
      </w:r>
      <w:r w:rsidR="007736AB" w:rsidRPr="007C50E1">
        <w:rPr>
          <w:rFonts w:cs="Arial"/>
        </w:rPr>
        <w:fldChar w:fldCharType="separate"/>
      </w:r>
      <w:r w:rsidR="007736AB" w:rsidRPr="007C50E1">
        <w:rPr>
          <w:rFonts w:cs="Arial"/>
          <w:noProof/>
          <w:vertAlign w:val="superscript"/>
        </w:rPr>
        <w:t>4–8</w:t>
      </w:r>
      <w:r w:rsidR="007736AB" w:rsidRPr="007C50E1">
        <w:rPr>
          <w:rFonts w:cs="Arial"/>
        </w:rPr>
        <w:fldChar w:fldCharType="end"/>
      </w:r>
      <w:r w:rsidR="009032FC" w:rsidRPr="007C50E1">
        <w:rPr>
          <w:rFonts w:cs="Arial"/>
        </w:rPr>
        <w:t>.</w:t>
      </w:r>
      <w:r w:rsidR="00D73014" w:rsidRPr="007C50E1">
        <w:rPr>
          <w:rFonts w:cs="Arial"/>
        </w:rPr>
        <w:t xml:space="preserve"> </w:t>
      </w:r>
      <w:r w:rsidR="005E13A7" w:rsidRPr="007C50E1">
        <w:rPr>
          <w:rFonts w:cs="Arial"/>
        </w:rPr>
        <w:t>The inverse electron demand Diels-alder (</w:t>
      </w:r>
      <w:r w:rsidR="006169B2" w:rsidRPr="007C50E1">
        <w:rPr>
          <w:rFonts w:cs="Arial"/>
        </w:rPr>
        <w:t>IEDDA</w:t>
      </w:r>
      <w:r w:rsidR="005E13A7" w:rsidRPr="007C50E1">
        <w:rPr>
          <w:rFonts w:cs="Arial"/>
        </w:rPr>
        <w:t xml:space="preserve">) reaction between 1,2,4,5-tetrazine (Tz) and </w:t>
      </w:r>
      <w:r w:rsidR="005E13A7" w:rsidRPr="007C50E1">
        <w:rPr>
          <w:rFonts w:cs="Arial"/>
          <w:i/>
        </w:rPr>
        <w:t>trans</w:t>
      </w:r>
      <w:r w:rsidR="005E13A7" w:rsidRPr="007C50E1">
        <w:rPr>
          <w:rFonts w:cs="Arial"/>
        </w:rPr>
        <w:t>-cyclooctene</w:t>
      </w:r>
      <w:r w:rsidR="00367258" w:rsidRPr="007C50E1">
        <w:rPr>
          <w:rFonts w:cs="Arial"/>
        </w:rPr>
        <w:t xml:space="preserve"> (TCO)</w:t>
      </w:r>
      <w:r w:rsidR="00B90FD2" w:rsidRPr="007C50E1">
        <w:rPr>
          <w:rFonts w:cs="Arial"/>
        </w:rPr>
        <w:t xml:space="preserve"> derivatives</w:t>
      </w:r>
      <w:r w:rsidR="00367258" w:rsidRPr="007C50E1">
        <w:rPr>
          <w:rFonts w:cs="Arial"/>
        </w:rPr>
        <w:t>, as shown in Figure 1</w:t>
      </w:r>
      <w:r w:rsidR="00F229DA" w:rsidRPr="007C50E1">
        <w:rPr>
          <w:rFonts w:cs="Arial"/>
        </w:rPr>
        <w:t>,</w:t>
      </w:r>
      <w:r w:rsidR="005E13A7" w:rsidRPr="007C50E1">
        <w:rPr>
          <w:rFonts w:cs="Arial"/>
        </w:rPr>
        <w:t xml:space="preserve"> has been </w:t>
      </w:r>
      <w:r w:rsidR="00367258" w:rsidRPr="007C50E1">
        <w:rPr>
          <w:rFonts w:cs="Arial"/>
        </w:rPr>
        <w:t>shown to be particularly effective</w:t>
      </w:r>
      <w:r w:rsidR="009032FC" w:rsidRPr="007C50E1">
        <w:rPr>
          <w:rFonts w:cs="Arial"/>
          <w:vertAlign w:val="superscript"/>
        </w:rPr>
        <w:t>6</w:t>
      </w:r>
      <w:r w:rsidR="000E458C" w:rsidRPr="007C50E1">
        <w:rPr>
          <w:rFonts w:cs="Arial"/>
        </w:rPr>
        <w:t xml:space="preserve">. </w:t>
      </w:r>
      <w:r w:rsidR="005E13A7" w:rsidRPr="007C50E1">
        <w:rPr>
          <w:rFonts w:cs="Arial"/>
        </w:rPr>
        <w:t>Th</w:t>
      </w:r>
      <w:r w:rsidR="000E458C" w:rsidRPr="007C50E1">
        <w:rPr>
          <w:rFonts w:cs="Arial"/>
        </w:rPr>
        <w:t>e</w:t>
      </w:r>
      <w:r w:rsidR="005E13A7" w:rsidRPr="007C50E1">
        <w:rPr>
          <w:rFonts w:cs="Arial"/>
        </w:rPr>
        <w:t xml:space="preserve"> </w:t>
      </w:r>
      <w:r w:rsidR="006169B2" w:rsidRPr="007C50E1">
        <w:rPr>
          <w:rFonts w:cs="Arial"/>
        </w:rPr>
        <w:t>IEDD</w:t>
      </w:r>
      <w:r w:rsidR="000E458C" w:rsidRPr="007C50E1">
        <w:rPr>
          <w:rFonts w:cs="Arial"/>
        </w:rPr>
        <w:t xml:space="preserve">A </w:t>
      </w:r>
      <w:r w:rsidR="005E13A7" w:rsidRPr="007C50E1">
        <w:rPr>
          <w:rFonts w:cs="Arial"/>
        </w:rPr>
        <w:t xml:space="preserve">reaction </w:t>
      </w:r>
      <w:r w:rsidR="00B90FD2" w:rsidRPr="007C50E1">
        <w:rPr>
          <w:rFonts w:cs="Arial"/>
        </w:rPr>
        <w:t xml:space="preserve">with these components can exhibit </w:t>
      </w:r>
      <w:r w:rsidR="005E13A7" w:rsidRPr="007C50E1">
        <w:rPr>
          <w:rFonts w:cs="Arial"/>
        </w:rPr>
        <w:t>fast kinetics</w:t>
      </w:r>
      <w:r w:rsidR="00E93C61" w:rsidRPr="007C50E1">
        <w:rPr>
          <w:rFonts w:cs="Arial"/>
        </w:rPr>
        <w:t xml:space="preserve"> in PBS</w:t>
      </w:r>
      <w:r w:rsidR="005E13A7" w:rsidRPr="007C50E1">
        <w:rPr>
          <w:rFonts w:cs="Arial"/>
        </w:rPr>
        <w:t xml:space="preserve"> (k</w:t>
      </w:r>
      <w:r w:rsidR="005E13A7" w:rsidRPr="007C50E1">
        <w:rPr>
          <w:rFonts w:cs="Arial"/>
          <w:vertAlign w:val="subscript"/>
        </w:rPr>
        <w:t>2</w:t>
      </w:r>
      <w:r w:rsidR="005E13A7" w:rsidRPr="007C50E1">
        <w:rPr>
          <w:rFonts w:cs="Arial"/>
        </w:rPr>
        <w:t xml:space="preserve"> </w:t>
      </w:r>
      <w:r w:rsidR="00B90FD2" w:rsidRPr="007C50E1">
        <w:rPr>
          <w:rFonts w:cs="Arial"/>
        </w:rPr>
        <w:t>≈</w:t>
      </w:r>
      <w:r w:rsidR="005E13A7" w:rsidRPr="007C50E1">
        <w:rPr>
          <w:rFonts w:cs="Arial"/>
        </w:rPr>
        <w:t xml:space="preserve"> 6000 M</w:t>
      </w:r>
      <w:r w:rsidR="005E13A7" w:rsidRPr="007C50E1">
        <w:rPr>
          <w:rFonts w:cs="Arial"/>
          <w:vertAlign w:val="superscript"/>
        </w:rPr>
        <w:t>-1</w:t>
      </w:r>
      <w:r w:rsidR="005E13A7" w:rsidRPr="007C50E1">
        <w:rPr>
          <w:rFonts w:cs="Arial"/>
        </w:rPr>
        <w:t xml:space="preserve"> s</w:t>
      </w:r>
      <w:r w:rsidR="005E13A7" w:rsidRPr="007C50E1">
        <w:rPr>
          <w:rFonts w:cs="Arial"/>
          <w:vertAlign w:val="superscript"/>
        </w:rPr>
        <w:t>-1</w:t>
      </w:r>
      <w:r w:rsidR="005E13A7" w:rsidRPr="007C50E1">
        <w:rPr>
          <w:rFonts w:cs="Arial"/>
        </w:rPr>
        <w:t xml:space="preserve">) and high selectivity, making it ideal for </w:t>
      </w:r>
      <w:r w:rsidR="005E13A7" w:rsidRPr="007C50E1">
        <w:rPr>
          <w:rFonts w:cs="Arial"/>
          <w:i/>
        </w:rPr>
        <w:t>in vivo</w:t>
      </w:r>
      <w:r w:rsidR="000E458C" w:rsidRPr="007C50E1">
        <w:rPr>
          <w:rFonts w:cs="Arial"/>
          <w:i/>
        </w:rPr>
        <w:t xml:space="preserve"> </w:t>
      </w:r>
      <w:r w:rsidR="000E458C" w:rsidRPr="007C50E1">
        <w:rPr>
          <w:rFonts w:cs="Arial"/>
        </w:rPr>
        <w:t>pre-targeting applications</w:t>
      </w:r>
      <w:r w:rsidR="007736AB" w:rsidRPr="007C50E1">
        <w:rPr>
          <w:rFonts w:cs="Arial"/>
        </w:rPr>
        <w:fldChar w:fldCharType="begin" w:fldLock="1"/>
      </w:r>
      <w:r w:rsidR="007736AB" w:rsidRPr="007C50E1">
        <w:rPr>
          <w:rFonts w:cs="Arial"/>
        </w:rPr>
        <w:instrText>ADDIN CSL_CITATION { "citationItems" : [ { "id" : "ITEM-1", "itemData" : { "ISSN" : "10431802", "abstract" : "One of the challenges of pretargeted radioimmunotherapy, which centers on the capture of a radiolabeled probe by a preinjected tumor-bound antibody, is the potential immunogenicity of biological capturing systems. A bioorthogonal chemical approach may circumvent this drawback, but effective in vivo chemistry in mice, larger animals, and eventually humans, requires very high reagent reactivity, sufficient stability, and retained selectivity. We report here that the reactivity of the fastest bioorthogonal reaction, the inverse-electron-demand-Diels?Alder cycloaddition between a tetrazine probe and a trans-cyclooctene-tagged antibody, can be increased 10-fold (k2 = 2.7 ? 105 M?1 s?1) via the trans-cyclooctene, approaching the speed of biological interactions, while also increasing its stability. This was enabled by the finding that the trans-cyclooctene tag is probably deactivated through isomerization to the unreactive cis-cyclooctene isomer by interactions with copper-containing proteins, and that increasing the steric hindrance on the tag can impede this process. Next, we found that the higher reactivity of axial vs equatorial linked TCO can be augmented by the choice of linker. The new, stabilized, and more reactive tag allowed for improved tumor-to-nontumor ratios in pretargeted tumor-bearing mice.", "author" : [ { "dropping-particle" : "", "family" : "Rossin", "given" : "Raffaella", "non-dropping-particle" : "", "parse-names" : false, "suffix" : "" }, { "dropping-particle" : "", "family" : "Bosch", "given" : "Sandra M", "non-dropping-particle" : "van den", "parse-names" : false, "suffix" : "" }, { "dropping-particle" : "", "family" : "Hoeve", "given" : "Wolter", "non-dropping-particle" : "ten", "parse-names" : false, "suffix" : "" }, { "dropping-particle" : "", "family" : "Carvelli", "given" : "Marco", "non-dropping-particle" : "", "parse-names" : false, "suffix" : "" }, { "dropping-particle" : "", "family" : "Versteegen", "given" : "Ron M", "non-dropping-particle" : "", "parse-names" : false, "suffix" : "" }, { "dropping-particle" : "", "family" : "Lub", "given" : "Johan", "non-dropping-particle" : "", "parse-names" : false, "suffix" : "" }, { "dropping-particle" : "", "family" : "Robillard", "given" : "Marc S", "non-dropping-particle" : "", "parse-names" : false, "suffix" : "" } ], "container-title" : "Bioconjugate Chemistry", "id" : "ITEM-1", "issued" : { "date-parts" : [ [ "2013" ] ] }, "page" : "1210-1217", "title" : "Highly Reactive trans-Cyclooctene Tags with Improved Stability for Diels-Alder Chemistry in Living Systems", "type" : "article-journal", "volume" : "24" }, "uris" : [ "http://www.mendeley.com/documents/?uuid=b2a59f3c-4d2d-4254-b094-07d357c4566c" ] }, { "id" : "ITEM-2", "itemData" : { "DOI" : "10.1016/j.cbpa.2014.07.023", "ISSN" : "1879-0402", "PMID" : "25159021", "abstract" : "Following the successful application of in vivo chemistry in chemical biology there has been growing interest in extending the application scope to non-invasive molecular imaging and therapy in living animals and eventually humans. A typical example of such an application is pretargeted radioimmuno-imaging and -therapy: the tumor targeting of a tagged antibody followed by administration and binding of a small radiolabeled probe to the tag of the tumor-bound antibody. In this review, we describe the requirements to take the step to non-invasive applications in animals, summarize recent achievements in this field, and we offer a perspective on future developments.", "author" : [ { "dropping-particle" : "", "family" : "Rossin", "given" : "Raffaella", "non-dropping-particle" : "", "parse-names" : false, "suffix" : "" }, { "dropping-particle" : "", "family" : "Robillard", "given" : "Marc S", "non-dropping-particle" : "", "parse-names" : false, "suffix" : "" } ], "container-title" : "Current opinion in chemical biology", "id" : "ITEM-2", "issued" : { "date-parts" : [ [ "2014" ] ] }, "page" : "161-9", "publisher" : "Elsevier Ltd", "title" : "Pretargeted imaging using bioorthogonal chemistry in mice.", "type" : "article-journal", "volume" : "21" }, "uris" : [ "http://www.mendeley.com/documents/?uuid=78162b35-468e-40a3-a92a-571fee8f80c4" ] } ], "mendeley" : { "formattedCitation" : "&lt;sup&gt;9,10&lt;/sup&gt;", "plainTextFormattedCitation" : "9,10", "previouslyFormattedCitation" : "&lt;sup&gt;9,10&lt;/sup&gt;" }, "properties" : { "noteIndex" : 0 }, "schema" : "https://github.com/citation-style-language/schema/raw/master/csl-citation.json" }</w:instrText>
      </w:r>
      <w:r w:rsidR="007736AB" w:rsidRPr="007C50E1">
        <w:rPr>
          <w:rFonts w:cs="Arial"/>
        </w:rPr>
        <w:fldChar w:fldCharType="separate"/>
      </w:r>
      <w:r w:rsidR="007736AB" w:rsidRPr="007C50E1">
        <w:rPr>
          <w:rFonts w:cs="Arial"/>
          <w:noProof/>
          <w:vertAlign w:val="superscript"/>
        </w:rPr>
        <w:t>9,10</w:t>
      </w:r>
      <w:r w:rsidR="007736AB" w:rsidRPr="007C50E1">
        <w:rPr>
          <w:rFonts w:cs="Arial"/>
        </w:rPr>
        <w:fldChar w:fldCharType="end"/>
      </w:r>
      <w:r w:rsidR="009032FC" w:rsidRPr="007C50E1">
        <w:rPr>
          <w:rFonts w:cs="Arial"/>
        </w:rPr>
        <w:t>.</w:t>
      </w:r>
      <w:r w:rsidR="000E458C" w:rsidRPr="007C50E1">
        <w:rPr>
          <w:rFonts w:cs="Arial"/>
          <w:vertAlign w:val="superscript"/>
        </w:rPr>
        <w:t xml:space="preserve"> </w:t>
      </w:r>
    </w:p>
    <w:p w14:paraId="249C3F11" w14:textId="77777777" w:rsidR="000E458C" w:rsidRPr="007C50E1" w:rsidRDefault="000E458C" w:rsidP="007C50E1">
      <w:pPr>
        <w:jc w:val="left"/>
        <w:rPr>
          <w:rFonts w:cs="Arial"/>
        </w:rPr>
      </w:pPr>
    </w:p>
    <w:p w14:paraId="122965A8" w14:textId="0A95C7D7" w:rsidR="00283B48" w:rsidRPr="007C50E1" w:rsidRDefault="000E458C" w:rsidP="007C50E1">
      <w:pPr>
        <w:jc w:val="left"/>
        <w:rPr>
          <w:rFonts w:cs="Arial"/>
        </w:rPr>
      </w:pPr>
      <w:r w:rsidRPr="007C50E1">
        <w:rPr>
          <w:rFonts w:cs="Arial"/>
        </w:rPr>
        <w:t xml:space="preserve">The most common approach used involves administering a TCO-derived targeting vector and </w:t>
      </w:r>
      <w:r w:rsidR="0071078E" w:rsidRPr="007C50E1">
        <w:rPr>
          <w:rFonts w:cs="Arial"/>
        </w:rPr>
        <w:t>following a</w:t>
      </w:r>
      <w:r w:rsidRPr="007C50E1">
        <w:rPr>
          <w:rFonts w:cs="Arial"/>
        </w:rPr>
        <w:t xml:space="preserve"> sufficient delay period</w:t>
      </w:r>
      <w:r w:rsidR="004D0331" w:rsidRPr="007C50E1">
        <w:rPr>
          <w:rFonts w:cs="Arial"/>
        </w:rPr>
        <w:t>,</w:t>
      </w:r>
      <w:r w:rsidRPr="007C50E1">
        <w:rPr>
          <w:rFonts w:cs="Arial"/>
        </w:rPr>
        <w:t xml:space="preserve"> a radiolabeled tetrazine is administered. Radiolabeled </w:t>
      </w:r>
      <w:r w:rsidRPr="007C50E1">
        <w:rPr>
          <w:rFonts w:cs="Arial"/>
        </w:rPr>
        <w:lastRenderedPageBreak/>
        <w:t xml:space="preserve">tetrazines based on </w:t>
      </w:r>
      <w:r w:rsidRPr="007C50E1">
        <w:rPr>
          <w:rFonts w:cs="Arial"/>
          <w:vertAlign w:val="superscript"/>
        </w:rPr>
        <w:t>11</w:t>
      </w:r>
      <w:r w:rsidRPr="007C50E1">
        <w:rPr>
          <w:rFonts w:cs="Arial"/>
        </w:rPr>
        <w:t xml:space="preserve">C, </w:t>
      </w:r>
      <w:r w:rsidRPr="007C50E1">
        <w:rPr>
          <w:rFonts w:cs="Arial"/>
          <w:vertAlign w:val="superscript"/>
        </w:rPr>
        <w:t>18</w:t>
      </w:r>
      <w:r w:rsidRPr="007C50E1">
        <w:rPr>
          <w:rFonts w:cs="Arial"/>
        </w:rPr>
        <w:t xml:space="preserve">F, </w:t>
      </w:r>
      <w:r w:rsidRPr="007C50E1">
        <w:rPr>
          <w:rFonts w:cs="Arial"/>
          <w:vertAlign w:val="superscript"/>
        </w:rPr>
        <w:t>64</w:t>
      </w:r>
      <w:r w:rsidRPr="007C50E1">
        <w:rPr>
          <w:rFonts w:cs="Arial"/>
        </w:rPr>
        <w:t xml:space="preserve">Cu, </w:t>
      </w:r>
      <w:r w:rsidRPr="007C50E1">
        <w:rPr>
          <w:rFonts w:cs="Arial"/>
          <w:vertAlign w:val="superscript"/>
        </w:rPr>
        <w:t>89</w:t>
      </w:r>
      <w:r w:rsidRPr="007C50E1">
        <w:rPr>
          <w:rFonts w:cs="Arial"/>
        </w:rPr>
        <w:t xml:space="preserve">Zr, and </w:t>
      </w:r>
      <w:r w:rsidRPr="007C50E1">
        <w:rPr>
          <w:rFonts w:cs="Arial"/>
          <w:vertAlign w:val="superscript"/>
        </w:rPr>
        <w:t>111</w:t>
      </w:r>
      <w:r w:rsidRPr="007C50E1">
        <w:rPr>
          <w:rFonts w:cs="Arial"/>
        </w:rPr>
        <w:t>In have been reported</w:t>
      </w:r>
      <w:r w:rsidR="00A37E52" w:rsidRPr="007C50E1">
        <w:rPr>
          <w:rFonts w:cs="Arial"/>
        </w:rPr>
        <w:fldChar w:fldCharType="begin" w:fldLock="1"/>
      </w:r>
      <w:r w:rsidR="00A37E52" w:rsidRPr="007C50E1">
        <w:rPr>
          <w:rFonts w:cs="Arial"/>
        </w:rPr>
        <w:instrText>ADDIN CSL_CITATION { "citationItems" : [ { "id" : "ITEM-1", "itemData" : { "DOI" : "10.1002/anie.201404277", "ISSN" : "1521-3773", "PMID" : "24989029", "abstract" : "A low-molecular-weight (18) F-labeled tetrazine derivative was developed as a highly versatile tool for bioorthogonal PET imaging. Prosthetic groups and undesired carrying of (18) F through additional steps were evaded by direct (18) F-fluorination of an appropriate tetrazine precursor. Reaction kinetics of the cycloaddition with trans-cyclooctenes were investigated by applying quantum chemical calculations and stopped-flow measurements in human plasma; the results indicated that the labeled tetrazine is suitable as a bioorthogonal probe for the imaging of dienophile-tagged (bio)molecules. In vitro and in vivo investigations revealed high stability and PET/MRI in mice showed fast homogeneous biodistribution of the (18) F-labeled tetrazine that also passes the blood-brain barrier. An in vivo click experiment confirmed the bioorthogonal behavior of this novel tetrazine probe. Due to favorable chemical and pharmacokinetic properties this bioorthogonal agent should find application in bioimaging and biomedical research.", "author" : [ { "dropping-particle" : "", "family" : "Denk", "given" : "Christoph", "non-dropping-particle" : "", "parse-names" : false, "suffix" : "" }, { "dropping-particle" : "", "family" : "Svatunek", "given" : "Dennis", "non-dropping-particle" : "", "parse-names" : false, "suffix" : "" }, { "dropping-particle" : "", "family" : "Filip", "given" : "Thomas", "non-dropping-particle" : "", "parse-names" : false, "suffix" : "" }, { "dropping-particle" : "", "family" : "Wanek", "given" : "Thomas", "non-dropping-particle" : "", "parse-names" : false, "suffix" : "" }, { "dropping-particle" : "", "family" : "Lumpi", "given" : "Daniel", "non-dropping-particle" : "", "parse-names" : false, "suffix" : "" }, { "dropping-particle" : "", "family" : "Fr\u00f6hlich", "given" : "Johannes", "non-dropping-particle" : "", "parse-names" : false, "suffix" : "" }, { "dropping-particle" : "", "family" : "Kuntner", "given" : "Claudia", "non-dropping-particle" : "", "parse-names" : false, "suffix" : "" }, { "dropping-particle" : "", "family" : "Mikula", "given" : "Hannes", "non-dropping-particle" : "", "parse-names" : false, "suffix" : "" } ], "container-title" : "Angewandte Chemie International Edition", "id" : "ITEM-1", "issue" : "36", "issued" : { "date-parts" : [ [ "2014", "9", "1" ] ] }, "page" : "9655-9", "title" : "Development of a (18) F-labeled tetrazine with favorable pharmacokinetics for bioorthogonal PET imaging.", "type" : "article-journal", "volume" : "53" }, "uris" : [ "http://www.mendeley.com/documents/?uuid=89447001-ece1-4d3b-8f2e-ef3bec865e7f" ] }, { "id" : "ITEM-2", "itemData" : { "DOI" : "10.1039/c3cc41027g", "ISBN" : "1359-7345", "ISSN" : "1364-548X", "PMID" : "23535705", "abstract" : "Tetrazine-trans-cyclooctene ligations are remarkably fast and selective reactions even at low micro-molar concentrations. In bioorthogonal radiochemistry, tools that enable conjugation of radioactive probes to pre-targeted vectors are of great interest. Herein, we describe the successful development of the first (11)C-labelled tetrazine and its reaction with trans-cyclooctenol.", "author" : [ { "dropping-particle" : "", "family" : "Herth", "given" : "Matthias M", "non-dropping-particle" : "", "parse-names" : false, "suffix" : "" }, { "dropping-particle" : "", "family" : "Andersen", "given" : "Valdemar L", "non-dropping-particle" : "", "parse-names" : false, "suffix" : "" }, { "dropping-particle" : "", "family" : "Lehel", "given" : "Szabolcs", "non-dropping-particle" : "", "parse-names" : false, "suffix" : "" }, { "dropping-particle" : "", "family" : "Madsen", "given" : "Jacob", "non-dropping-particle" : "", "parse-names" : false, "suffix" : "" }, { "dropping-particle" : "", "family" : "Knudsen", "given" : "Gitte M", "non-dropping-particle" : "", "parse-names" : false, "suffix" : "" }, { "dropping-particle" : "", "family" : "Kristensen", "given" : "Jesper L", "non-dropping-particle" : "", "parse-names" : false, "suffix" : "" } ], "container-title" : "Chemical communications (Cambridge, England)", "id" : "ITEM-2", "issue" : "36", "issued" : { "date-parts" : [ [ "2013" ] ] }, "page" : "3805-7", "title" : "Development of a (11)C-labeled tetrazine for rapid tetrazine-trans-cyclooctene ligation.", "type" : "article-journal", "volume" : "49" }, "uris" : [ "http://www.mendeley.com/documents/?uuid=b2c1c29a-aad1-4e36-9811-4f00ec5144e0" ] }, { "id" : "ITEM-3", "itemData" : { "DOI" : "10.1039/c0cc03078c", "ISSN" : "1359-7345", "author" : [ { "dropping-particle" : "", "family" : "Li", "given" : "Zibo", "non-dropping-particle" : "", "parse-names" : false, "suffix" : "" }, { "dropping-particle" : "", "family" : "Cai", "given" : "Hancheng", "non-dropping-particle" : "", "parse-names" : false, "suffix" : "" }, { "dropping-particle" : "", "family" : "Hassink", "given" : "Matthew", "non-dropping-particle" : "", "parse-names" : false, "suffix" : "" }, { "dropping-particle" : "", "family" : "Blackman", "given" : "Melissa L.", "non-dropping-particle" : "", "parse-names" : false, "suffix" : "" }, { "dropping-particle" : "", "family" : "Brown", "given" : "Richard C. D.", "non-dropping-particle" : "", "parse-names" : false, "suffix" : "" }, { "dropping-particle" : "", "family" : "Conti", "given" : "Peter S.", "non-dropping-particle" : "", "parse-names" : false, "suffix" : "" }, { "dropping-particle" : "", "family" : "Fox", "given" : "Joseph M.", "non-dropping-particle" : "", "parse-names" : false, "suffix" : "" } ], "container-title" : "Chemical Communications", "id" : "ITEM-3", "issue" : "42", "issued" : { "date-parts" : [ [ "2010" ] ] }, "page" : "8043", "title" : "Tetrazine\u2013trans-cyclooctene ligation for the rapid construction of 18F labeled probes", "type" : "article-journal", "volume" : "46" }, "uris" : [ "http://www.mendeley.com/documents/?uuid=b5cfc86a-60b6-40e1-80a0-7905f42a63b7" ] }, { "id" : "ITEM-4", "itemData" : { "DOI" : "10.1039/c3cc49530b", "ISSN" : "1364-548X", "PMID" : "24589653", "abstract" : "We have developed a (68)Ga metal chelating bioorthogonal tetrazine dextran probe that is highly reactive with trans-cyclooctene modified monoclonal antibodies for multistep imaging applications. Confocal microscopy and positron emission tomography (PET) were used to characterize the dextran probe in vitro and in vivo.", "author" : [ { "dropping-particle" : "", "family" : "Nichols", "given" : "Brandon", "non-dropping-particle" : "", "parse-names" : false, "suffix" : "" }, { "dropping-particle" : "", "family" : "Qin", "given" : "Zhengtao", "non-dropping-particle" : "", "parse-names" : false, "suffix" : "" }, { "dropping-particle" : "", "family" : "Yang", "given" : "Jun", "non-dropping-particle" : "", "parse-names" : false, "suffix" : "" }, { "dropping-particle" : "", "family" : "Vera", "given" : "David R", "non-dropping-particle" : "", "parse-names" : false, "suffix" : "" }, { "dropping-particle" : "", "family" : "Devaraj", "given" : "Neal K", "non-dropping-particle" : "", "parse-names" : false, "suffix" : "" } ], "container-title" : "Chemical Communications", "id" : "ITEM-4", "issue" : "40", "issued" : { "date-parts" : [ [ "2014", "5", "25" ] ] }, "page" : "5215-7", "title" : "68Ga chelating bioorthogonal tetrazine polymers for the multistep labeling of cancer biomarkers.", "type" : "article-journal", "volume" : "50" }, "uris" : [ "http://www.mendeley.com/documents/?uuid=5f2b7238-42d3-4fa7-9b85-04feadb4c83d" ] }, { "id" : "ITEM-5", "itemData" : { "DOI" : "10.2967/jnumed.112.115840", "ISSN" : "0161-5505", "author" : [ { "dropping-particle" : "", "family" : "Zeglis", "given" : "B. M.", "non-dropping-particle" : "", "parse-names" : false, "suffix" : "" }, { "dropping-particle" : "", "family" : "Sevak", "given" : "K. K.", "non-dropping-particle" : "", "parse-names" : false, "suffix" : "" }, { "dropping-particle" : "", "family" : "Reiner", "given" : "T.", "non-dropping-particle" : "", "parse-names" : false, "suffix" : "" }, { "dropping-particle" : "", "family" : "Mohindra", "given" : "P.", "non-dropping-particle" : "", "parse-names" : false, "suffix" : "" }, { "dropping-particle" : "", "family" : "Carlin", "given" : "S. D.", "non-dropping-particle" : "", "parse-names" : false, "suffix" : "" }, { "dropping-particle" : "", "family" : "Zanzonico", "given" : "P.", "non-dropping-particle" : "", "parse-names" : false, "suffix" : "" }, { "dropping-particle" : "", "family" : "Weissleder", "given" : "R.", "non-dropping-particle" : "", "parse-names" : false, "suffix" : "" }, { "dropping-particle" : "", "family" : "Lewis", "given" : "J. S.", "non-dropping-particle" : "", "parse-names" : false, "suffix" : "" } ], "container-title" : "Journal of Nuclear Medicine", "id" : "ITEM-5", "issue" : "8", "issued" : { "date-parts" : [ [ "2013" ] ] }, "page" : "1389-1396", "title" : "A Pretargeted PET Imaging Strategy Based on Bioorthogonal Diels-Alder Click Chemistry", "type" : "article-journal", "volume" : "54" }, "uris" : [ "http://www.mendeley.com/documents/?uuid=6f2a9473-7512-4eac-bdf0-7756b913ef3f" ] } ], "mendeley" : { "formattedCitation" : "&lt;sup&gt;11\u201315&lt;/sup&gt;", "plainTextFormattedCitation" : "11\u201315", "previouslyFormattedCitation" : "&lt;sup&gt;11\u201315&lt;/sup&gt;" }, "properties" : { "noteIndex" : 0 }, "schema" : "https://github.com/citation-style-language/schema/raw/master/csl-citation.json" }</w:instrText>
      </w:r>
      <w:r w:rsidR="00A37E52" w:rsidRPr="007C50E1">
        <w:rPr>
          <w:rFonts w:cs="Arial"/>
        </w:rPr>
        <w:fldChar w:fldCharType="separate"/>
      </w:r>
      <w:r w:rsidR="00A37E52" w:rsidRPr="007C50E1">
        <w:rPr>
          <w:rFonts w:cs="Arial"/>
          <w:noProof/>
          <w:vertAlign w:val="superscript"/>
        </w:rPr>
        <w:t>11–15</w:t>
      </w:r>
      <w:r w:rsidR="00A37E52" w:rsidRPr="007C50E1">
        <w:rPr>
          <w:rFonts w:cs="Arial"/>
        </w:rPr>
        <w:fldChar w:fldCharType="end"/>
      </w:r>
      <w:r w:rsidR="00A37E52" w:rsidRPr="007C50E1">
        <w:rPr>
          <w:rFonts w:cs="Arial"/>
        </w:rPr>
        <w:t xml:space="preserve">. </w:t>
      </w:r>
      <w:r w:rsidRPr="007C50E1">
        <w:rPr>
          <w:rFonts w:cs="Arial"/>
        </w:rPr>
        <w:t>In contrast</w:t>
      </w:r>
      <w:r w:rsidR="004D0331" w:rsidRPr="007C50E1">
        <w:rPr>
          <w:rFonts w:cs="Arial"/>
        </w:rPr>
        <w:t>,</w:t>
      </w:r>
      <w:r w:rsidRPr="007C50E1">
        <w:rPr>
          <w:rFonts w:cs="Arial"/>
        </w:rPr>
        <w:t xml:space="preserve"> there is only one report of a </w:t>
      </w:r>
      <w:r w:rsidRPr="007C50E1">
        <w:rPr>
          <w:rFonts w:cs="Arial"/>
          <w:vertAlign w:val="superscript"/>
        </w:rPr>
        <w:t>99m</w:t>
      </w:r>
      <w:r w:rsidRPr="007C50E1">
        <w:rPr>
          <w:rFonts w:cs="Arial"/>
        </w:rPr>
        <w:t>Tc</w:t>
      </w:r>
      <w:r w:rsidR="007D6953" w:rsidRPr="007C50E1">
        <w:rPr>
          <w:rFonts w:cs="Arial"/>
        </w:rPr>
        <w:t>-</w:t>
      </w:r>
      <w:r w:rsidRPr="007C50E1">
        <w:rPr>
          <w:rFonts w:cs="Arial"/>
        </w:rPr>
        <w:t xml:space="preserve">labeled </w:t>
      </w:r>
      <w:r w:rsidR="006717B0" w:rsidRPr="007C50E1">
        <w:rPr>
          <w:rFonts w:cs="Arial"/>
        </w:rPr>
        <w:t>Tz</w:t>
      </w:r>
      <w:r w:rsidR="007736AB" w:rsidRPr="007C50E1">
        <w:rPr>
          <w:rFonts w:cs="Arial"/>
        </w:rPr>
        <w:t>,</w:t>
      </w:r>
      <w:r w:rsidRPr="007C50E1">
        <w:rPr>
          <w:rFonts w:cs="Arial"/>
        </w:rPr>
        <w:t xml:space="preserve"> which was prepared using a HYNIC type ligand </w:t>
      </w:r>
      <w:r w:rsidR="00367258" w:rsidRPr="007C50E1">
        <w:rPr>
          <w:rFonts w:cs="Arial"/>
        </w:rPr>
        <w:t>requiring</w:t>
      </w:r>
      <w:r w:rsidRPr="007C50E1">
        <w:rPr>
          <w:rFonts w:cs="Arial"/>
        </w:rPr>
        <w:t xml:space="preserve"> the use of co-l</w:t>
      </w:r>
      <w:r w:rsidR="007736AB" w:rsidRPr="007C50E1">
        <w:rPr>
          <w:rFonts w:cs="Arial"/>
        </w:rPr>
        <w:t>i</w:t>
      </w:r>
      <w:r w:rsidRPr="007C50E1">
        <w:rPr>
          <w:rFonts w:cs="Arial"/>
        </w:rPr>
        <w:t xml:space="preserve">gands to prevent protein binding </w:t>
      </w:r>
      <w:r w:rsidR="00367258" w:rsidRPr="007C50E1">
        <w:rPr>
          <w:rFonts w:cs="Arial"/>
        </w:rPr>
        <w:t>and</w:t>
      </w:r>
      <w:r w:rsidRPr="007C50E1">
        <w:rPr>
          <w:rFonts w:cs="Arial"/>
        </w:rPr>
        <w:t xml:space="preserve"> degradation </w:t>
      </w:r>
      <w:r w:rsidRPr="007C50E1">
        <w:rPr>
          <w:rFonts w:cs="Arial"/>
          <w:i/>
        </w:rPr>
        <w:t>in vivo</w:t>
      </w:r>
      <w:r w:rsidR="00A37E52" w:rsidRPr="007C50E1">
        <w:rPr>
          <w:rFonts w:cs="Arial"/>
          <w:noProof/>
        </w:rPr>
        <w:fldChar w:fldCharType="begin" w:fldLock="1"/>
      </w:r>
      <w:r w:rsidR="00A37E52" w:rsidRPr="007C50E1">
        <w:rPr>
          <w:rFonts w:cs="Arial"/>
          <w:noProof/>
        </w:rPr>
        <w:instrText>ADDIN CSL_CITATION { "citationItems" : [ { "id" : "ITEM-1", "itemData" : { "DOI" : "10.1016/j.bmc.2016.01.046", "ISSN" : "09680896", "author" : [ { "dropping-particle" : "", "family" : "Garc\u00eda", "given" : "Mar\u00eda Fernanda", "non-dropping-particle" : "", "parse-names" : false, "suffix" : "" }, { "dropping-particle" : "", "family" : "Zhang", "given" : "Xiuli", "non-dropping-particle" : "", "parse-names" : false, "suffix" : "" }, { "dropping-particle" : "", "family" : "Shah", "given" : "Manankumar", "non-dropping-particle" : "", "parse-names" : false, "suffix" : "" }, { "dropping-particle" : "", "family" : "Newton-Northup", "given" : "Jessica", "non-dropping-particle" : "", "parse-names" : false, "suffix" : "" }, { "dropping-particle" : "", "family" : "Cabral", "given" : "Pablo", "non-dropping-particle" : "", "parse-names" : false, "suffix" : "" }, { "dropping-particle" : "", "family" : "Cerecetto", "given" : "Hugo", "non-dropping-particle" : "", "parse-names" : false, "suffix" : "" }, { "dropping-particle" : "", "family" : "Quinn", "given" : "Thomas", "non-dropping-particle" : "", "parse-names" : false, "suffix" : "" } ], "container-title" : "Bioorganic &amp; Medicinal Chemistry", "id" : "ITEM-1", "issued" : { "date-parts" : [ [ "2016" ] ] }, "publisher" : "Elsevier Ltd", "title" : "99mTc-bioorthogonal click chemistry reagent for in vivo pretargeted imaging", "type" : "article-journal" }, "uris" : [ "http://www.mendeley.com/documents/?uuid=3133fc0d-2a2f-4f0f-9ca0-dc4ce11ca6d3" ] } ], "mendeley" : { "formattedCitation" : "&lt;sup&gt;16&lt;/sup&gt;", "plainTextFormattedCitation" : "16", "previouslyFormattedCitation" : "&lt;sup&gt;16&lt;/sup&gt;" }, "properties" : { "noteIndex" : 0 }, "schema" : "https://github.com/citation-style-language/schema/raw/master/csl-citation.json" }</w:instrText>
      </w:r>
      <w:r w:rsidR="00A37E52" w:rsidRPr="007C50E1">
        <w:rPr>
          <w:rFonts w:cs="Arial"/>
          <w:noProof/>
        </w:rPr>
        <w:fldChar w:fldCharType="separate"/>
      </w:r>
      <w:r w:rsidR="00A37E52" w:rsidRPr="007C50E1">
        <w:rPr>
          <w:rFonts w:cs="Arial"/>
          <w:noProof/>
          <w:vertAlign w:val="superscript"/>
        </w:rPr>
        <w:t>16</w:t>
      </w:r>
      <w:r w:rsidR="00A37E52" w:rsidRPr="007C50E1">
        <w:rPr>
          <w:rFonts w:cs="Arial"/>
          <w:noProof/>
        </w:rPr>
        <w:fldChar w:fldCharType="end"/>
      </w:r>
      <w:r w:rsidR="00A37E52" w:rsidRPr="007C50E1">
        <w:rPr>
          <w:rFonts w:cs="Arial"/>
          <w:noProof/>
        </w:rPr>
        <w:t>.</w:t>
      </w:r>
      <w:r w:rsidRPr="007C50E1">
        <w:rPr>
          <w:rFonts w:cs="Arial"/>
        </w:rPr>
        <w:t xml:space="preserve"> As an </w:t>
      </w:r>
      <w:r w:rsidR="00367258" w:rsidRPr="007C50E1">
        <w:rPr>
          <w:rFonts w:cs="Arial"/>
        </w:rPr>
        <w:t>a</w:t>
      </w:r>
      <w:r w:rsidRPr="007C50E1">
        <w:rPr>
          <w:rFonts w:cs="Arial"/>
        </w:rPr>
        <w:t xml:space="preserve">lternative, we report here the synthesis of </w:t>
      </w:r>
      <w:r w:rsidR="0071078E" w:rsidRPr="007C50E1">
        <w:rPr>
          <w:rFonts w:cs="Arial"/>
          <w:vertAlign w:val="superscript"/>
        </w:rPr>
        <w:t>99m</w:t>
      </w:r>
      <w:r w:rsidRPr="007C50E1">
        <w:rPr>
          <w:rFonts w:cs="Arial"/>
        </w:rPr>
        <w:t xml:space="preserve">Tc(I) labeled tetrazines using a family of ligands which form stable tridentate complexes with </w:t>
      </w:r>
      <w:r w:rsidR="0071078E" w:rsidRPr="007C50E1">
        <w:rPr>
          <w:rFonts w:cs="Arial"/>
        </w:rPr>
        <w:t>a</w:t>
      </w:r>
      <w:r w:rsidRPr="007C50E1">
        <w:rPr>
          <w:rFonts w:cs="Arial"/>
        </w:rPr>
        <w:t xml:space="preserve"> [</w:t>
      </w:r>
      <w:r w:rsidR="0071078E" w:rsidRPr="007C50E1">
        <w:rPr>
          <w:rFonts w:cs="Arial"/>
          <w:vertAlign w:val="superscript"/>
        </w:rPr>
        <w:t>99m</w:t>
      </w:r>
      <w:r w:rsidRPr="007C50E1">
        <w:rPr>
          <w:rFonts w:cs="Arial"/>
        </w:rPr>
        <w:t>Tc(CO)</w:t>
      </w:r>
      <w:r w:rsidRPr="007C50E1">
        <w:rPr>
          <w:rFonts w:cs="Arial"/>
          <w:vertAlign w:val="subscript"/>
        </w:rPr>
        <w:t>3</w:t>
      </w:r>
      <w:r w:rsidRPr="007C50E1">
        <w:rPr>
          <w:rFonts w:cs="Arial"/>
        </w:rPr>
        <w:t>]</w:t>
      </w:r>
      <w:r w:rsidRPr="007C50E1">
        <w:rPr>
          <w:rFonts w:cs="Arial"/>
          <w:vertAlign w:val="superscript"/>
        </w:rPr>
        <w:t>+</w:t>
      </w:r>
      <w:r w:rsidRPr="007C50E1">
        <w:rPr>
          <w:rFonts w:cs="Arial"/>
        </w:rPr>
        <w:t xml:space="preserve"> core. </w:t>
      </w:r>
    </w:p>
    <w:p w14:paraId="5A68B541" w14:textId="77777777" w:rsidR="00283B48" w:rsidRPr="007C50E1" w:rsidRDefault="00283B48" w:rsidP="007C50E1">
      <w:pPr>
        <w:jc w:val="left"/>
        <w:rPr>
          <w:rFonts w:cs="Arial"/>
        </w:rPr>
      </w:pPr>
    </w:p>
    <w:p w14:paraId="65E47C8B" w14:textId="49A502C9" w:rsidR="00D73014" w:rsidRPr="007C50E1" w:rsidRDefault="00B63B1C" w:rsidP="007C50E1">
      <w:pPr>
        <w:jc w:val="left"/>
        <w:rPr>
          <w:rFonts w:cs="Arial"/>
          <w:b/>
        </w:rPr>
      </w:pPr>
      <w:r w:rsidRPr="007C50E1">
        <w:rPr>
          <w:rFonts w:cs="Arial"/>
          <w:b/>
          <w:i/>
        </w:rPr>
        <w:t>[please place Figure 1 here]</w:t>
      </w:r>
    </w:p>
    <w:p w14:paraId="4AE17B12" w14:textId="77777777" w:rsidR="00D73014" w:rsidRPr="007C50E1" w:rsidRDefault="00D73014" w:rsidP="007C50E1">
      <w:pPr>
        <w:jc w:val="left"/>
        <w:rPr>
          <w:rFonts w:cs="Arial"/>
        </w:rPr>
      </w:pPr>
    </w:p>
    <w:p w14:paraId="21A475ED" w14:textId="0708471D" w:rsidR="006305D7" w:rsidRPr="007C50E1" w:rsidRDefault="00D73014" w:rsidP="007C50E1">
      <w:pPr>
        <w:jc w:val="left"/>
        <w:rPr>
          <w:rFonts w:cs="Arial"/>
        </w:rPr>
      </w:pPr>
      <w:r w:rsidRPr="007C50E1">
        <w:rPr>
          <w:rFonts w:cs="Arial"/>
        </w:rPr>
        <w:t>The family of</w:t>
      </w:r>
      <w:r w:rsidR="00367258" w:rsidRPr="007C50E1">
        <w:rPr>
          <w:rFonts w:cs="Arial"/>
        </w:rPr>
        <w:t xml:space="preserve"> ligands prepared contain</w:t>
      </w:r>
      <w:r w:rsidR="000E458C" w:rsidRPr="007C50E1">
        <w:rPr>
          <w:rFonts w:cs="Arial"/>
        </w:rPr>
        <w:t xml:space="preserve"> tridentate</w:t>
      </w:r>
      <w:r w:rsidRPr="007C50E1">
        <w:rPr>
          <w:rFonts w:cs="Arial"/>
        </w:rPr>
        <w:t xml:space="preserve"> chelate</w:t>
      </w:r>
      <w:r w:rsidR="000E458C" w:rsidRPr="007C50E1">
        <w:rPr>
          <w:rFonts w:cs="Arial"/>
        </w:rPr>
        <w:t xml:space="preserve">s that </w:t>
      </w:r>
      <w:r w:rsidR="00B90FD2" w:rsidRPr="007C50E1">
        <w:rPr>
          <w:rFonts w:cs="Arial"/>
        </w:rPr>
        <w:t xml:space="preserve">vary </w:t>
      </w:r>
      <w:r w:rsidR="000E458C" w:rsidRPr="007C50E1">
        <w:rPr>
          <w:rFonts w:cs="Arial"/>
        </w:rPr>
        <w:t>in</w:t>
      </w:r>
      <w:r w:rsidRPr="007C50E1">
        <w:rPr>
          <w:rFonts w:cs="Arial"/>
        </w:rPr>
        <w:t xml:space="preserve"> polarity</w:t>
      </w:r>
      <w:r w:rsidR="000E458C" w:rsidRPr="007C50E1">
        <w:rPr>
          <w:rFonts w:cs="Arial"/>
        </w:rPr>
        <w:t xml:space="preserve"> and</w:t>
      </w:r>
      <w:r w:rsidR="002C02FD" w:rsidRPr="007C50E1">
        <w:rPr>
          <w:rFonts w:cs="Arial"/>
        </w:rPr>
        <w:t xml:space="preserve"> </w:t>
      </w:r>
      <w:r w:rsidR="00B90FD2" w:rsidRPr="007C50E1">
        <w:rPr>
          <w:rFonts w:cs="Arial"/>
        </w:rPr>
        <w:t>the nature of the</w:t>
      </w:r>
      <w:r w:rsidR="002C02FD" w:rsidRPr="007C50E1">
        <w:rPr>
          <w:rFonts w:cs="Arial"/>
        </w:rPr>
        <w:t xml:space="preserve"> </w:t>
      </w:r>
      <w:r w:rsidR="0071078E" w:rsidRPr="007C50E1">
        <w:rPr>
          <w:rFonts w:cs="Arial"/>
        </w:rPr>
        <w:t>linker</w:t>
      </w:r>
      <w:r w:rsidR="002C02FD" w:rsidRPr="007C50E1">
        <w:rPr>
          <w:rFonts w:cs="Arial"/>
        </w:rPr>
        <w:t xml:space="preserve"> group between the metal binding region</w:t>
      </w:r>
      <w:r w:rsidR="000E458C" w:rsidRPr="007C50E1">
        <w:rPr>
          <w:rFonts w:cs="Arial"/>
        </w:rPr>
        <w:t xml:space="preserve"> and the </w:t>
      </w:r>
      <w:r w:rsidR="006717B0" w:rsidRPr="007C50E1">
        <w:rPr>
          <w:rFonts w:cs="Arial"/>
        </w:rPr>
        <w:t>Tz</w:t>
      </w:r>
      <w:r w:rsidR="00967931" w:rsidRPr="007C50E1">
        <w:rPr>
          <w:rFonts w:cs="Arial"/>
        </w:rPr>
        <w:t xml:space="preserve"> (Figure 2)</w:t>
      </w:r>
      <w:r w:rsidR="000E458C" w:rsidRPr="007C50E1">
        <w:rPr>
          <w:rFonts w:cs="Arial"/>
        </w:rPr>
        <w:t xml:space="preserve">. The goal was to identify a </w:t>
      </w:r>
      <w:r w:rsidR="0071078E" w:rsidRPr="007C50E1">
        <w:rPr>
          <w:rFonts w:cs="Arial"/>
          <w:vertAlign w:val="superscript"/>
        </w:rPr>
        <w:t>99m</w:t>
      </w:r>
      <w:r w:rsidR="000E458C" w:rsidRPr="007C50E1">
        <w:rPr>
          <w:rFonts w:cs="Arial"/>
        </w:rPr>
        <w:t>Tc-</w:t>
      </w:r>
      <w:r w:rsidR="006717B0" w:rsidRPr="007C50E1">
        <w:rPr>
          <w:rFonts w:cs="Arial"/>
        </w:rPr>
        <w:t>T</w:t>
      </w:r>
      <w:r w:rsidR="003227FB" w:rsidRPr="007C50E1">
        <w:rPr>
          <w:rFonts w:cs="Arial"/>
        </w:rPr>
        <w:t>etrazine</w:t>
      </w:r>
      <w:r w:rsidR="000E458C" w:rsidRPr="007C50E1">
        <w:rPr>
          <w:rFonts w:cs="Arial"/>
        </w:rPr>
        <w:t xml:space="preserve"> </w:t>
      </w:r>
      <w:r w:rsidR="006717B0" w:rsidRPr="007C50E1">
        <w:rPr>
          <w:rFonts w:cs="Arial"/>
        </w:rPr>
        <w:t xml:space="preserve">construct </w:t>
      </w:r>
      <w:r w:rsidR="000E458C" w:rsidRPr="007C50E1">
        <w:rPr>
          <w:rFonts w:cs="Arial"/>
        </w:rPr>
        <w:t>that could effectively localize</w:t>
      </w:r>
      <w:r w:rsidR="002C02FD" w:rsidRPr="007C50E1">
        <w:rPr>
          <w:rFonts w:cs="Arial"/>
        </w:rPr>
        <w:t xml:space="preserve"> and react with </w:t>
      </w:r>
      <w:r w:rsidR="000E458C" w:rsidRPr="007C50E1">
        <w:rPr>
          <w:rFonts w:cs="Arial"/>
        </w:rPr>
        <w:t>TCO</w:t>
      </w:r>
      <w:r w:rsidR="002C02FD" w:rsidRPr="007C50E1">
        <w:rPr>
          <w:rFonts w:cs="Arial"/>
        </w:rPr>
        <w:t xml:space="preserve">-labeled sites </w:t>
      </w:r>
      <w:r w:rsidR="002C02FD" w:rsidRPr="007C50E1">
        <w:rPr>
          <w:rFonts w:cs="Arial"/>
          <w:i/>
        </w:rPr>
        <w:t>in vivo</w:t>
      </w:r>
      <w:r w:rsidR="000E458C" w:rsidRPr="007C50E1">
        <w:rPr>
          <w:rFonts w:cs="Arial"/>
        </w:rPr>
        <w:t xml:space="preserve"> and </w:t>
      </w:r>
      <w:r w:rsidR="007D6953" w:rsidRPr="007C50E1">
        <w:rPr>
          <w:rFonts w:cs="Arial"/>
        </w:rPr>
        <w:t xml:space="preserve">rapidly </w:t>
      </w:r>
      <w:r w:rsidR="000E458C" w:rsidRPr="007C50E1">
        <w:rPr>
          <w:rFonts w:cs="Arial"/>
        </w:rPr>
        <w:t>clear when not bound</w:t>
      </w:r>
      <w:r w:rsidR="009E5A15" w:rsidRPr="007C50E1">
        <w:rPr>
          <w:rFonts w:cs="Arial"/>
        </w:rPr>
        <w:t>,</w:t>
      </w:r>
      <w:r w:rsidR="002C02FD" w:rsidRPr="007C50E1">
        <w:rPr>
          <w:rFonts w:cs="Arial"/>
        </w:rPr>
        <w:t xml:space="preserve"> in order</w:t>
      </w:r>
      <w:r w:rsidR="000E458C" w:rsidRPr="007C50E1">
        <w:rPr>
          <w:rFonts w:cs="Arial"/>
        </w:rPr>
        <w:t xml:space="preserve"> to yield high </w:t>
      </w:r>
      <w:r w:rsidR="002C02FD" w:rsidRPr="007C50E1">
        <w:rPr>
          <w:rFonts w:cs="Arial"/>
        </w:rPr>
        <w:t xml:space="preserve">target-to-non-target </w:t>
      </w:r>
      <w:r w:rsidR="000E458C" w:rsidRPr="007C50E1">
        <w:rPr>
          <w:rFonts w:cs="Arial"/>
        </w:rPr>
        <w:t xml:space="preserve">ratios. </w:t>
      </w:r>
      <w:r w:rsidRPr="007C50E1">
        <w:rPr>
          <w:rFonts w:cs="Arial"/>
        </w:rPr>
        <w:t>T</w:t>
      </w:r>
      <w:r w:rsidR="000E458C" w:rsidRPr="007C50E1">
        <w:rPr>
          <w:rFonts w:cs="Arial"/>
        </w:rPr>
        <w:t>o test the ligands</w:t>
      </w:r>
      <w:r w:rsidR="004D0331" w:rsidRPr="007C50E1">
        <w:rPr>
          <w:rFonts w:cs="Arial"/>
        </w:rPr>
        <w:t>,</w:t>
      </w:r>
      <w:r w:rsidR="000E458C" w:rsidRPr="007C50E1">
        <w:rPr>
          <w:rFonts w:cs="Arial"/>
        </w:rPr>
        <w:t xml:space="preserve"> </w:t>
      </w:r>
      <w:r w:rsidRPr="007C50E1">
        <w:rPr>
          <w:rFonts w:cs="Arial"/>
        </w:rPr>
        <w:t xml:space="preserve">a </w:t>
      </w:r>
      <w:r w:rsidR="009727E1" w:rsidRPr="007C50E1">
        <w:rPr>
          <w:rFonts w:cs="Arial"/>
        </w:rPr>
        <w:t>TCO-</w:t>
      </w:r>
      <w:r w:rsidR="000E458C" w:rsidRPr="007C50E1">
        <w:rPr>
          <w:rFonts w:cs="Arial"/>
        </w:rPr>
        <w:t xml:space="preserve">derivative </w:t>
      </w:r>
      <w:r w:rsidR="002C02FD" w:rsidRPr="007C50E1">
        <w:rPr>
          <w:rFonts w:cs="Arial"/>
        </w:rPr>
        <w:t>of a bisphosphonate</w:t>
      </w:r>
      <w:r w:rsidR="00E771A6" w:rsidRPr="007C50E1">
        <w:rPr>
          <w:rFonts w:cs="Arial"/>
        </w:rPr>
        <w:t xml:space="preserve"> (TCO-</w:t>
      </w:r>
      <w:r w:rsidR="009E5F54" w:rsidRPr="007C50E1">
        <w:rPr>
          <w:rFonts w:cs="Arial"/>
        </w:rPr>
        <w:t>BP</w:t>
      </w:r>
      <w:r w:rsidR="00E771A6" w:rsidRPr="007C50E1">
        <w:rPr>
          <w:rFonts w:cs="Arial"/>
        </w:rPr>
        <w:t>)</w:t>
      </w:r>
      <w:r w:rsidR="000E458C" w:rsidRPr="007C50E1">
        <w:rPr>
          <w:rFonts w:cs="Arial"/>
        </w:rPr>
        <w:t xml:space="preserve"> was used</w:t>
      </w:r>
      <w:r w:rsidR="00A37E52" w:rsidRPr="007C50E1">
        <w:rPr>
          <w:rFonts w:cs="Arial"/>
        </w:rPr>
        <w:fldChar w:fldCharType="begin" w:fldLock="1"/>
      </w:r>
      <w:r w:rsidR="00A37E52" w:rsidRPr="007C50E1">
        <w:rPr>
          <w:rFonts w:cs="Arial"/>
        </w:rPr>
        <w:instrText>ADDIN CSL_CITATION { "citationItems" : [ { "id" : "ITEM-1", "itemData" : { "DOI" : "10.1016/j.bone.2011.04.022", "ISBN" : "8756-3282", "ISSN" : "87563282", "PMID" : "21555003", "abstract" : "The first full publications on the biological effects of the diphosphonates, later renamed bisphosphonates, appeared in 1969, so it is timely after 40. years to review the history of their development and their impact on clinical medicine.This special issue of BONE contains a series of review articles covering the basic science and clinical aspects of these drugs, written by some of many scientists who have participated in the advances made in this field.The discovery and development of the bisphosphonates (BPs) as a major class of drugs for the treatment of bone diseases has been a fascinating story, and is a paradigm of a successful journey from 'bench to bedside'.Bisphosphonates are chemically stable analogues of inorganic pyrophosphate (PPi), and it was studies on the role of PPi as the body's natural 'water softener' in the control of soft tissue and skeletal mineralisation that led to the need to find inhibitors of calcification that would resist hydrolysis by alkaline phosphatase.The observation that PPi and BPs could not only retard the growth but also the dissolution of hydroxyapatite crystals prompted studies on their ability to inhibit bone resorption. Although PPi was unable to do this, BPs turned out to be remarkably effective inhibitors of bone resorption, both in vitro and in vivo experimental systems, and eventually in humans.As ever more potent BPs were synthesised and studied, it became apparent that physico-chemical effects were insufficient to explain their biological effects, and that cellular actions must be involved. Despite many attempts, it was not until the 1990s that their biochemical actions were elucidated.It is now clear that bisphosphonates inhibit bone resorption by being selectively taken up and adsorbed to mineral surfaces in bone, where they interfere with the action of the bone-resorbing osteoclasts. Bisphosphonates are internalised by osteoclasts and interfere with specific biochemical processes. Bisphosphonates can be classified into at least two groups with different molecular modes of action. The simpler non-nitrogen containing bisphosphonates (such as etidronate and clodronate) can be metabolically incorporated into non-hydrolysable analogues of ATP, which interfere with ATP-dependent intracellular pathways. The more potent, nitrogen-containing bisphosphonates (including pamidronate, alendronate, risedronate, ibandronate and zoledronate) are not metabolised in this way but inhibit key enzymes of the mevalonate/ch\u2026", "author" : [ { "dropping-particle" : "", "family" : "Russell", "given" : "R. Graham G", "non-dropping-particle" : "", "parse-names" : false, "suffix" : "" } ], "container-title" : "Bone", "id" : "ITEM-1", "issue" : "1", "issued" : { "date-parts" : [ [ "2011" ] ] }, "page" : "2-19", "title" : "Bisphosphonates: The first 40 years", "type" : "article-journal", "volume" : "49" }, "uris" : [ "http://www.mendeley.com/documents/?uuid=bfb98e1c-5c0e-4e03-87a8-1e5856a89590" ] } ], "mendeley" : { "formattedCitation" : "&lt;sup&gt;17&lt;/sup&gt;", "plainTextFormattedCitation" : "17", "previouslyFormattedCitation" : "&lt;sup&gt;17&lt;/sup&gt;" }, "properties" : { "noteIndex" : 0 }, "schema" : "https://github.com/citation-style-language/schema/raw/master/csl-citation.json" }</w:instrText>
      </w:r>
      <w:r w:rsidR="00A37E52" w:rsidRPr="007C50E1">
        <w:rPr>
          <w:rFonts w:cs="Arial"/>
        </w:rPr>
        <w:fldChar w:fldCharType="separate"/>
      </w:r>
      <w:r w:rsidR="00A37E52" w:rsidRPr="007C50E1">
        <w:rPr>
          <w:rFonts w:cs="Arial"/>
          <w:vertAlign w:val="superscript"/>
        </w:rPr>
        <w:t>17</w:t>
      </w:r>
      <w:r w:rsidR="00A37E52" w:rsidRPr="007C50E1">
        <w:rPr>
          <w:rFonts w:cs="Arial"/>
        </w:rPr>
        <w:fldChar w:fldCharType="end"/>
      </w:r>
      <w:r w:rsidR="00A37E52" w:rsidRPr="007C50E1">
        <w:rPr>
          <w:rFonts w:cs="Arial"/>
        </w:rPr>
        <w:t>.</w:t>
      </w:r>
      <w:r w:rsidRPr="007C50E1">
        <w:rPr>
          <w:rFonts w:cs="Arial"/>
        </w:rPr>
        <w:t xml:space="preserve"> </w:t>
      </w:r>
      <w:r w:rsidR="000E458C" w:rsidRPr="007C50E1">
        <w:rPr>
          <w:rFonts w:cs="Arial"/>
        </w:rPr>
        <w:t xml:space="preserve">We have shown previously that TCO-BP localizes to areas of active bone metabolism and can react with </w:t>
      </w:r>
      <w:r w:rsidR="004E3858" w:rsidRPr="007C50E1">
        <w:rPr>
          <w:rFonts w:cs="Arial"/>
        </w:rPr>
        <w:t xml:space="preserve">radiolabeled tetrazines </w:t>
      </w:r>
      <w:r w:rsidR="004E3858" w:rsidRPr="007C50E1">
        <w:rPr>
          <w:rFonts w:cs="Arial"/>
          <w:i/>
        </w:rPr>
        <w:t>in vivo</w:t>
      </w:r>
      <w:r w:rsidR="003012E0" w:rsidRPr="007C50E1">
        <w:rPr>
          <w:rFonts w:cs="Arial"/>
        </w:rPr>
        <w:fldChar w:fldCharType="begin" w:fldLock="1"/>
      </w:r>
      <w:r w:rsidR="009908AA" w:rsidRPr="007C50E1">
        <w:rPr>
          <w:rFonts w:cs="Arial"/>
        </w:rPr>
        <w:instrText>ADDIN CSL_CITATION { "citationItems" : [ { "id" : "ITEM-1", "itemData" : { "author" : [ { "dropping-particle" : "", "family" : "Yazdani", "given" : "A", "non-dropping-particle" : "", "parse-names" : false, "suffix" : "" }, { "dropping-particle" : "", "family" : "Bilton", "given" : "H", "non-dropping-particle" : "", "parse-names" : false, "suffix" : "" }, { "dropping-particle" : "", "family" : "Vito", "given" : "A", "non-dropping-particle" : "", "parse-names" : false, "suffix" : "" } ], "container-title" : "J. Med. Chem. (submitted)", "id" : "ITEM-1", "issued" : { "date-parts" : [ [ "2016" ] ] }, "title" : "A Bone-Seeking Trans-Cyclooctene for Pretargeting and Bioorthogonal Chemistry: A Proof of Concept Study Using 99mTc and 177Lu-Labeled Tetrazines", "type" : "article-journal" }, "uris" : [ "http://www.mendeley.com/documents/?uuid=5ec00fc5-9b06-459d-a320-0d2f89e80076" ] } ], "mendeley" : { "formattedCitation" : "&lt;sup&gt;18&lt;/sup&gt;", "plainTextFormattedCitation" : "18", "previouslyFormattedCitation" : "&lt;sup&gt;18&lt;/sup&gt;" }, "properties" : { "noteIndex" : 0 }, "schema" : "https://github.com/citation-style-language/schema/raw/master/csl-citation.json" }</w:instrText>
      </w:r>
      <w:r w:rsidR="003012E0" w:rsidRPr="007C50E1">
        <w:rPr>
          <w:rFonts w:cs="Arial"/>
        </w:rPr>
        <w:fldChar w:fldCharType="separate"/>
      </w:r>
      <w:r w:rsidR="003012E0" w:rsidRPr="007C50E1">
        <w:rPr>
          <w:rFonts w:cs="Arial"/>
          <w:noProof/>
          <w:vertAlign w:val="superscript"/>
        </w:rPr>
        <w:t>18</w:t>
      </w:r>
      <w:r w:rsidR="003012E0" w:rsidRPr="007C50E1">
        <w:rPr>
          <w:rFonts w:cs="Arial"/>
        </w:rPr>
        <w:fldChar w:fldCharType="end"/>
      </w:r>
      <w:r w:rsidR="00376747" w:rsidRPr="007C50E1">
        <w:rPr>
          <w:rFonts w:cs="Arial"/>
        </w:rPr>
        <w:t xml:space="preserve">. </w:t>
      </w:r>
      <w:r w:rsidR="004E3858" w:rsidRPr="007C50E1">
        <w:rPr>
          <w:rFonts w:cs="Arial"/>
        </w:rPr>
        <w:t>It is a convenient reagent to test new tetrazines</w:t>
      </w:r>
      <w:r w:rsidR="009E5A15" w:rsidRPr="007C50E1">
        <w:rPr>
          <w:rFonts w:cs="Arial"/>
        </w:rPr>
        <w:t>,</w:t>
      </w:r>
      <w:r w:rsidR="004E3858" w:rsidRPr="007C50E1">
        <w:rPr>
          <w:rFonts w:cs="Arial"/>
        </w:rPr>
        <w:t xml:space="preserve"> </w:t>
      </w:r>
      <w:r w:rsidR="00353C8C" w:rsidRPr="007C50E1">
        <w:rPr>
          <w:rFonts w:cs="Arial"/>
        </w:rPr>
        <w:t>because</w:t>
      </w:r>
      <w:r w:rsidR="004E3858" w:rsidRPr="007C50E1">
        <w:rPr>
          <w:rFonts w:cs="Arial"/>
        </w:rPr>
        <w:t xml:space="preserve"> it can be prepared in a single step and experiments can be performed in normal mice where localization occurs primarily in the joints</w:t>
      </w:r>
      <w:r w:rsidR="002C02FD" w:rsidRPr="007C50E1">
        <w:rPr>
          <w:rFonts w:cs="Arial"/>
        </w:rPr>
        <w:t xml:space="preserve"> (knees and shoulders)</w:t>
      </w:r>
      <w:r w:rsidRPr="007C50E1">
        <w:rPr>
          <w:rFonts w:cs="Arial"/>
        </w:rPr>
        <w:t xml:space="preserve">. </w:t>
      </w:r>
    </w:p>
    <w:p w14:paraId="6EEC5D63" w14:textId="77777777" w:rsidR="002C1CFE" w:rsidRPr="007C50E1" w:rsidRDefault="002C1CFE" w:rsidP="007C50E1">
      <w:pPr>
        <w:jc w:val="left"/>
        <w:rPr>
          <w:rFonts w:cs="Arial"/>
          <w:b/>
          <w:highlight w:val="yellow"/>
        </w:rPr>
      </w:pPr>
    </w:p>
    <w:p w14:paraId="70EC160E" w14:textId="07B6EEEE" w:rsidR="002C1CFE" w:rsidRPr="007C50E1" w:rsidRDefault="00C55C8B" w:rsidP="007C50E1">
      <w:pPr>
        <w:jc w:val="left"/>
        <w:rPr>
          <w:rFonts w:cs="Arial"/>
          <w:b/>
        </w:rPr>
      </w:pPr>
      <w:r w:rsidRPr="007C50E1">
        <w:rPr>
          <w:rFonts w:cs="Arial"/>
          <w:b/>
        </w:rPr>
        <w:t>PROTOCOL:</w:t>
      </w:r>
    </w:p>
    <w:p w14:paraId="159F41DD" w14:textId="77777777" w:rsidR="007C50E1" w:rsidRPr="00DA1869" w:rsidRDefault="007C50E1" w:rsidP="007C50E1">
      <w:pPr>
        <w:jc w:val="left"/>
        <w:rPr>
          <w:rFonts w:cs="Arial"/>
        </w:rPr>
      </w:pPr>
    </w:p>
    <w:p w14:paraId="19AE6EC3" w14:textId="77777777" w:rsidR="007C50E1" w:rsidRPr="00DA1869" w:rsidRDefault="007C50E1" w:rsidP="007C50E1">
      <w:pPr>
        <w:jc w:val="left"/>
        <w:rPr>
          <w:rFonts w:cs="Arial"/>
          <w:b/>
        </w:rPr>
      </w:pPr>
      <w:r w:rsidRPr="00DA1869">
        <w:rPr>
          <w:rFonts w:cs="Arial"/>
        </w:rPr>
        <w:t>Animal studies were approved by the Animal Research Ethics Board at McMaster University in accordance with Canadian Council on Animal Care (CCAC) guidelines.</w:t>
      </w:r>
    </w:p>
    <w:p w14:paraId="0FF8DFEE" w14:textId="77777777" w:rsidR="00283B48" w:rsidRPr="007C50E1" w:rsidRDefault="00283B48" w:rsidP="007C50E1">
      <w:pPr>
        <w:jc w:val="left"/>
        <w:rPr>
          <w:rFonts w:cs="Arial"/>
          <w:color w:val="808080"/>
        </w:rPr>
      </w:pPr>
    </w:p>
    <w:p w14:paraId="4DCC171D" w14:textId="1C819E65" w:rsidR="00C40C56" w:rsidRPr="007C50E1" w:rsidRDefault="00C40C56" w:rsidP="007C50E1">
      <w:pPr>
        <w:pStyle w:val="ListParagraph"/>
        <w:widowControl/>
        <w:numPr>
          <w:ilvl w:val="0"/>
          <w:numId w:val="1"/>
        </w:numPr>
        <w:autoSpaceDE/>
        <w:autoSpaceDN/>
        <w:adjustRightInd/>
        <w:ind w:left="0" w:firstLine="0"/>
        <w:jc w:val="left"/>
        <w:rPr>
          <w:rFonts w:cs="Arial"/>
          <w:b/>
        </w:rPr>
      </w:pPr>
      <w:r w:rsidRPr="007C50E1">
        <w:rPr>
          <w:rFonts w:cs="Arial"/>
          <w:b/>
        </w:rPr>
        <w:t xml:space="preserve">Radiolabeling of Tz-tridentate ligands with </w:t>
      </w:r>
      <w:r w:rsidRPr="007C50E1">
        <w:rPr>
          <w:rFonts w:cs="Arial"/>
          <w:b/>
          <w:vertAlign w:val="superscript"/>
        </w:rPr>
        <w:t>99m</w:t>
      </w:r>
      <w:r w:rsidRPr="007C50E1">
        <w:rPr>
          <w:rFonts w:cs="Arial"/>
          <w:b/>
        </w:rPr>
        <w:t>Tc.</w:t>
      </w:r>
    </w:p>
    <w:p w14:paraId="299FA175" w14:textId="33A65A24" w:rsidR="00C40C56" w:rsidRPr="007C50E1" w:rsidRDefault="00C40C56" w:rsidP="007C50E1">
      <w:pPr>
        <w:pStyle w:val="ListParagraph"/>
        <w:ind w:left="0"/>
        <w:jc w:val="left"/>
        <w:rPr>
          <w:rFonts w:cs="Arial"/>
        </w:rPr>
      </w:pPr>
      <w:r w:rsidRPr="007C50E1">
        <w:rPr>
          <w:rFonts w:cs="Arial"/>
          <w:b/>
          <w:i/>
        </w:rPr>
        <w:t>CAUTION:</w:t>
      </w:r>
      <w:r w:rsidRPr="007C50E1">
        <w:rPr>
          <w:rFonts w:cs="Arial"/>
        </w:rPr>
        <w:t xml:space="preserve"> The following procedures require the use of radioactive compounds.</w:t>
      </w:r>
      <w:r w:rsidR="00283B48" w:rsidRPr="007C50E1">
        <w:rPr>
          <w:rFonts w:cs="Arial"/>
        </w:rPr>
        <w:t xml:space="preserve"> </w:t>
      </w:r>
      <w:r w:rsidR="00B90FD2" w:rsidRPr="007C50E1">
        <w:rPr>
          <w:rFonts w:cs="Arial"/>
        </w:rPr>
        <w:t>Work should only be done in a licensed laboratory with</w:t>
      </w:r>
      <w:r w:rsidRPr="007C50E1">
        <w:rPr>
          <w:rFonts w:cs="Arial"/>
        </w:rPr>
        <w:t xml:space="preserve"> adherence to safety and disposal regulations.</w:t>
      </w:r>
      <w:r w:rsidR="00226810" w:rsidRPr="007C50E1">
        <w:rPr>
          <w:rFonts w:cs="Arial"/>
        </w:rPr>
        <w:t xml:space="preserve"> Microwave reactions should be performed in a microwave specifically designed for chemical synthesis.</w:t>
      </w:r>
    </w:p>
    <w:p w14:paraId="6C01CAE3" w14:textId="77777777" w:rsidR="00C40C56" w:rsidRPr="007C50E1" w:rsidRDefault="00C40C56" w:rsidP="007C50E1">
      <w:pPr>
        <w:pStyle w:val="ListParagraph"/>
        <w:ind w:left="0"/>
        <w:jc w:val="left"/>
        <w:rPr>
          <w:rFonts w:cs="Arial"/>
        </w:rPr>
      </w:pPr>
      <w:r w:rsidRPr="007C50E1">
        <w:rPr>
          <w:rFonts w:cs="Arial"/>
        </w:rPr>
        <w:t xml:space="preserve"> </w:t>
      </w:r>
    </w:p>
    <w:p w14:paraId="46C1F4E4" w14:textId="3E378E4B" w:rsidR="00C40C56" w:rsidRPr="00D95265" w:rsidRDefault="00C40C56" w:rsidP="007C50E1">
      <w:pPr>
        <w:widowControl/>
        <w:autoSpaceDE/>
        <w:autoSpaceDN/>
        <w:adjustRightInd/>
        <w:jc w:val="left"/>
        <w:rPr>
          <w:rFonts w:cs="Arial"/>
          <w:highlight w:val="yellow"/>
        </w:rPr>
      </w:pPr>
      <w:r w:rsidRPr="00D95265">
        <w:rPr>
          <w:rFonts w:cs="Arial"/>
          <w:b/>
          <w:highlight w:val="yellow"/>
        </w:rPr>
        <w:t>1.1)</w:t>
      </w:r>
      <w:r w:rsidRPr="00D95265">
        <w:rPr>
          <w:rFonts w:cs="Arial"/>
          <w:highlight w:val="yellow"/>
        </w:rPr>
        <w:tab/>
      </w:r>
      <w:r w:rsidRPr="00D95265">
        <w:rPr>
          <w:rFonts w:cs="Arial"/>
          <w:b/>
          <w:highlight w:val="yellow"/>
        </w:rPr>
        <w:t>Synthesis of [</w:t>
      </w:r>
      <w:r w:rsidRPr="00D95265">
        <w:rPr>
          <w:rFonts w:cs="Arial"/>
          <w:b/>
          <w:highlight w:val="yellow"/>
          <w:vertAlign w:val="superscript"/>
        </w:rPr>
        <w:t>99m</w:t>
      </w:r>
      <w:r w:rsidRPr="00D95265">
        <w:rPr>
          <w:rFonts w:cs="Arial"/>
          <w:b/>
          <w:highlight w:val="yellow"/>
        </w:rPr>
        <w:t>Tc(CO)</w:t>
      </w:r>
      <w:r w:rsidRPr="00D95265">
        <w:rPr>
          <w:rFonts w:cs="Arial"/>
          <w:b/>
          <w:highlight w:val="yellow"/>
          <w:vertAlign w:val="subscript"/>
        </w:rPr>
        <w:t>3</w:t>
      </w:r>
      <w:r w:rsidRPr="00D95265">
        <w:rPr>
          <w:rFonts w:cs="Arial"/>
          <w:b/>
          <w:highlight w:val="yellow"/>
        </w:rPr>
        <w:t>(H</w:t>
      </w:r>
      <w:r w:rsidRPr="00D95265">
        <w:rPr>
          <w:rFonts w:cs="Arial"/>
          <w:b/>
          <w:highlight w:val="yellow"/>
          <w:vertAlign w:val="subscript"/>
        </w:rPr>
        <w:t>2</w:t>
      </w:r>
      <w:r w:rsidRPr="00D95265">
        <w:rPr>
          <w:rFonts w:cs="Arial"/>
          <w:b/>
          <w:highlight w:val="yellow"/>
        </w:rPr>
        <w:t>O)</w:t>
      </w:r>
      <w:r w:rsidRPr="00D95265">
        <w:rPr>
          <w:rFonts w:cs="Arial"/>
          <w:b/>
          <w:highlight w:val="yellow"/>
          <w:vertAlign w:val="subscript"/>
        </w:rPr>
        <w:t>3</w:t>
      </w:r>
      <w:r w:rsidRPr="00D95265">
        <w:rPr>
          <w:rFonts w:cs="Arial"/>
          <w:b/>
          <w:highlight w:val="yellow"/>
        </w:rPr>
        <w:t>]</w:t>
      </w:r>
      <w:r w:rsidRPr="00D95265">
        <w:rPr>
          <w:rFonts w:cs="Arial"/>
          <w:b/>
          <w:highlight w:val="yellow"/>
          <w:vertAlign w:val="superscript"/>
        </w:rPr>
        <w:t>+</w:t>
      </w:r>
      <w:r w:rsidR="00283B48" w:rsidRPr="00D95265">
        <w:rPr>
          <w:rFonts w:cs="Arial"/>
          <w:highlight w:val="yellow"/>
          <w:vertAlign w:val="superscript"/>
        </w:rPr>
        <w:t xml:space="preserve"> </w:t>
      </w:r>
      <w:r w:rsidR="00A37E52" w:rsidRPr="00D95265">
        <w:rPr>
          <w:rFonts w:cs="Arial"/>
          <w:highlight w:val="yellow"/>
          <w:vertAlign w:val="superscript"/>
        </w:rPr>
        <w:fldChar w:fldCharType="begin" w:fldLock="1"/>
      </w:r>
      <w:r w:rsidR="00A37E52" w:rsidRPr="00D95265">
        <w:rPr>
          <w:rFonts w:cs="Arial"/>
          <w:highlight w:val="yellow"/>
          <w:vertAlign w:val="superscript"/>
        </w:rPr>
        <w:instrText>ADDIN CSL_CITATION { "citationItems" : [ { "id" : "ITEM-1", "itemData" : { "DOI" : "10.1021/ja980745t", "ISBN" : "0002-7863", "ISSN" : "00027863", "abstract" : "[99mTc(CO)3(OH2)3]+, readily formed from [99Tc(CO)3Cl3]2- in H2O, was prepd. from 99mTcO4- and CO in THF and in saline soln. with small amts. of NaBH4 as reducing agent. [188ReO4]- reacted similarly. [99Tc(CO)3Cl3]2- or [99Tc(CO)3(OH2)3]+reacted with picolinamine-N,N-diacetic acid (HPADA) to give [99Tc(CO)3(PADA)] (I). I is orthorhombic, space group Pbca, a 13.225(1), b 14.660(1), c 14.942(2) \u00c5, Z = 8, R = 0.0386, Rw = 0.1082. In H2O I is readily converted to [99Tc(CO)3(OH2)3]+. I is stable in serum. [on SciFinder(R)]", "author" : [ { "dropping-particle" : "", "family" : "Alberto", "given" : "R.", "non-dropping-particle" : "", "parse-names" : false, "suffix" : "" }, { "dropping-particle" : "", "family" : "Schibli", "given" : "R.", "non-dropping-particle" : "", "parse-names" : false, "suffix" : "" }, { "dropping-particle" : "", "family" : "Egli", "given" : "a.", "non-dropping-particle" : "", "parse-names" : false, "suffix" : "" }, { "dropping-particle" : "", "family" : "Schubiger", "given" : "a. P.", "non-dropping-particle" : "", "parse-names" : false, "suffix" : "" }, { "dropping-particle" : "", "family" : "Abram", "given" : "U.", "non-dropping-particle" : "", "parse-names" : false, "suffix" : "" }, { "dropping-particle" : "", "family" : "Kaden", "given" : "T. a.", "non-dropping-particle" : "", "parse-names" : false, "suffix" : "" } ], "container-title" : "Journal of the American Chemical Society", "id" : "ITEM-1", "issue" : "31", "issued" : { "date-parts" : [ [ "1998" ] ] }, "page" : "7987-7988", "title" : "A novel organometallic aqua complex of technetium for the labeling of biomolecules: Synthesis of [99mTc(OH2)3(CO)3]+ from [99mTcO4]- in aqueous solution and its reaction with a bifunctional ligand [8]", "type" : "article-journal", "volume" : "120" }, "uris" : [ "http://www.mendeley.com/documents/?uuid=c7396649-96e9-4892-98a3-5c1fe13eabf8" ] }, { "id" : "ITEM-2", "itemData" : { "DOI" : "10.1021/ja003932b", "ISBN" : "0002-7863 (Print)\\n0002-7863 (Linking)", "ISSN" : "00027863", "PMID" : "11457025", "abstract" : "Using a boron-based carbonylating agent, [H3BCO2]- which acts as an in situ CO source and a reducing agent at the same time, an organometallic transition-metal complex [99mTc(OH2)3(CO)3]+ was feasibly prepd. for the first time. K[H3BCO2] (2) was prepd. from H3BCO and KOH in alc. Crystals of [K(cryptand)]H3BCO2H were obtained after dissoln. of 2 in a THF soln. of 4,7,13,16,21,24-hexaoxa-1,10-diazabicyclo[8.8.8.]hexacosane. Aq. solns. of 2 are strongly alk. and quite stable toward heating, but the addn. of a borate buffer allows the decompn. with half-lives in the order of tens of minutes. Kinetic measurements in buffered solns. show a second-order dependence of the rate of boranocarboxylate decompn. on proton decompn. Borane carbonyl is formed when boranocarbonate salts are treated with strong acids. [on SciFinder(R)]", "author" : [ { "dropping-particle" : "", "family" : "Alberto", "given" : "R.", "non-dropping-particle" : "", "parse-names" : false, "suffix" : "" }, { "dropping-particle" : "", "family" : "Ortner", "given" : "K.", "non-dropping-particle" : "", "parse-names" : false, "suffix" : "" }, { "dropping-particle" : "", "family" : "Wheatley", "given" : "N.", "non-dropping-particle" : "", "parse-names" : false, "suffix" : "" }, { "dropping-particle" : "", "family" : "Schibli", "given" : "R.", "non-dropping-particle" : "", "parse-names" : false, "suffix" : "" }, { "dropping-particle" : "", "family" : "Schubiger", "given" : "a. P.", "non-dropping-particle" : "", "parse-names" : false, "suffix" : "" } ], "container-title" : "Journal of the American Chemical Society", "id" : "ITEM-2", "issue" : "13", "issued" : { "date-parts" : [ [ "2001" ] ] }, "page" : "3135-6", "title" : "Synthesis and properties of boranocarbonate: A convenient in situ CO source for the aqueous preparation of [99mTc(OH2)3(CO)3]+", "type" : "article-journal", "volume" : "123" }, "uris" : [ "http://www.mendeley.com/documents/?uuid=a1bb7183-a264-440b-9e15-48a9603d33a5" ] } ], "mendeley" : { "formattedCitation" : "&lt;sup&gt;19,20&lt;/sup&gt;", "plainTextFormattedCitation" : "19,20", "previouslyFormattedCitation" : "&lt;sup&gt;19,20&lt;/sup&gt;" }, "properties" : { "noteIndex" : 0 }, "schema" : "https://github.com/citation-style-language/schema/raw/master/csl-citation.json" }</w:instrText>
      </w:r>
      <w:r w:rsidR="00A37E52" w:rsidRPr="00D95265">
        <w:rPr>
          <w:rFonts w:cs="Arial"/>
          <w:highlight w:val="yellow"/>
          <w:vertAlign w:val="superscript"/>
        </w:rPr>
        <w:fldChar w:fldCharType="separate"/>
      </w:r>
      <w:r w:rsidR="00A37E52" w:rsidRPr="00D95265">
        <w:rPr>
          <w:rFonts w:cs="Arial"/>
          <w:highlight w:val="yellow"/>
          <w:vertAlign w:val="superscript"/>
        </w:rPr>
        <w:t>19,20</w:t>
      </w:r>
      <w:r w:rsidR="00A37E52" w:rsidRPr="00D95265">
        <w:rPr>
          <w:rFonts w:cs="Arial"/>
          <w:highlight w:val="yellow"/>
          <w:vertAlign w:val="superscript"/>
        </w:rPr>
        <w:fldChar w:fldCharType="end"/>
      </w:r>
    </w:p>
    <w:p w14:paraId="19DCB0D6" w14:textId="15B32AEF" w:rsidR="00C40C56" w:rsidRPr="00D95265" w:rsidRDefault="00C40C56" w:rsidP="007C50E1">
      <w:pPr>
        <w:widowControl/>
        <w:autoSpaceDE/>
        <w:autoSpaceDN/>
        <w:adjustRightInd/>
        <w:jc w:val="left"/>
        <w:rPr>
          <w:rFonts w:cs="Arial"/>
          <w:bCs/>
          <w:highlight w:val="yellow"/>
        </w:rPr>
      </w:pPr>
      <w:r w:rsidRPr="00D95265">
        <w:rPr>
          <w:rFonts w:cs="Arial"/>
          <w:highlight w:val="yellow"/>
        </w:rPr>
        <w:t>1.1.1)</w:t>
      </w:r>
      <w:r w:rsidRPr="00D95265">
        <w:rPr>
          <w:rFonts w:cs="Arial"/>
          <w:highlight w:val="yellow"/>
        </w:rPr>
        <w:tab/>
        <w:t>In a microwave vial, combine 8 mg K</w:t>
      </w:r>
      <w:r w:rsidRPr="00D95265">
        <w:rPr>
          <w:rFonts w:cs="Arial"/>
          <w:highlight w:val="yellow"/>
          <w:vertAlign w:val="subscript"/>
        </w:rPr>
        <w:t>2</w:t>
      </w:r>
      <w:r w:rsidRPr="00D95265">
        <w:rPr>
          <w:rFonts w:cs="Arial"/>
          <w:highlight w:val="yellow"/>
        </w:rPr>
        <w:t>[BH</w:t>
      </w:r>
      <w:r w:rsidRPr="00D95265">
        <w:rPr>
          <w:rFonts w:cs="Arial"/>
          <w:highlight w:val="yellow"/>
          <w:vertAlign w:val="subscript"/>
        </w:rPr>
        <w:t>3</w:t>
      </w:r>
      <w:r w:rsidRPr="00D95265">
        <w:rPr>
          <w:rFonts w:cs="Arial"/>
          <w:highlight w:val="yellow"/>
        </w:rPr>
        <w:t>CO</w:t>
      </w:r>
      <w:r w:rsidRPr="00D95265">
        <w:rPr>
          <w:rFonts w:cs="Arial"/>
          <w:highlight w:val="yellow"/>
          <w:vertAlign w:val="subscript"/>
        </w:rPr>
        <w:t>2</w:t>
      </w:r>
      <w:r w:rsidRPr="00D95265">
        <w:rPr>
          <w:rFonts w:cs="Arial"/>
          <w:highlight w:val="yellow"/>
        </w:rPr>
        <w:t>], 15 mg Na</w:t>
      </w:r>
      <w:r w:rsidRPr="00D95265">
        <w:rPr>
          <w:rFonts w:cs="Arial"/>
          <w:highlight w:val="yellow"/>
          <w:vertAlign w:val="subscript"/>
        </w:rPr>
        <w:t>2</w:t>
      </w:r>
      <w:r w:rsidRPr="00D95265">
        <w:rPr>
          <w:rFonts w:cs="Arial"/>
          <w:highlight w:val="yellow"/>
        </w:rPr>
        <w:t>CO</w:t>
      </w:r>
      <w:r w:rsidRPr="00D95265">
        <w:rPr>
          <w:rFonts w:cs="Arial"/>
          <w:highlight w:val="yellow"/>
          <w:vertAlign w:val="subscript"/>
        </w:rPr>
        <w:t>3</w:t>
      </w:r>
      <w:r w:rsidRPr="00D95265">
        <w:rPr>
          <w:rFonts w:cs="Arial"/>
          <w:highlight w:val="yellow"/>
        </w:rPr>
        <w:t>, 20 mg Na</w:t>
      </w:r>
      <w:r w:rsidRPr="00D95265">
        <w:rPr>
          <w:rFonts w:cs="Arial"/>
          <w:highlight w:val="yellow"/>
          <w:vertAlign w:val="subscript"/>
        </w:rPr>
        <w:t>2</w:t>
      </w:r>
      <w:r w:rsidRPr="00D95265">
        <w:rPr>
          <w:rFonts w:cs="Arial"/>
          <w:highlight w:val="yellow"/>
        </w:rPr>
        <w:t>B</w:t>
      </w:r>
      <w:r w:rsidRPr="00D95265">
        <w:rPr>
          <w:rFonts w:cs="Arial"/>
          <w:highlight w:val="yellow"/>
          <w:vertAlign w:val="subscript"/>
        </w:rPr>
        <w:t>4</w:t>
      </w:r>
      <w:r w:rsidRPr="00D95265">
        <w:rPr>
          <w:rFonts w:cs="Arial"/>
          <w:highlight w:val="yellow"/>
        </w:rPr>
        <w:t>O</w:t>
      </w:r>
      <w:r w:rsidRPr="00D95265">
        <w:rPr>
          <w:rFonts w:cs="Arial"/>
          <w:highlight w:val="yellow"/>
          <w:vertAlign w:val="subscript"/>
        </w:rPr>
        <w:t>7</w:t>
      </w:r>
      <w:r w:rsidRPr="00D95265">
        <w:rPr>
          <w:rFonts w:cs="Arial"/>
          <w:highlight w:val="yellow"/>
        </w:rPr>
        <w:t>·10H</w:t>
      </w:r>
      <w:r w:rsidRPr="00D95265">
        <w:rPr>
          <w:rFonts w:cs="Arial"/>
          <w:highlight w:val="yellow"/>
          <w:vertAlign w:val="subscript"/>
        </w:rPr>
        <w:t>2</w:t>
      </w:r>
      <w:r w:rsidRPr="00D95265">
        <w:rPr>
          <w:rFonts w:cs="Arial"/>
          <w:highlight w:val="yellow"/>
        </w:rPr>
        <w:t>O,</w:t>
      </w:r>
      <w:r w:rsidR="00CB3DD5" w:rsidRPr="00D95265">
        <w:rPr>
          <w:rFonts w:cs="Arial"/>
          <w:highlight w:val="yellow"/>
        </w:rPr>
        <w:t xml:space="preserve"> and</w:t>
      </w:r>
      <w:r w:rsidRPr="00D95265">
        <w:rPr>
          <w:rFonts w:cs="Arial"/>
          <w:highlight w:val="yellow"/>
        </w:rPr>
        <w:t xml:space="preserve"> 25 mg KOCO[CH(OH)]</w:t>
      </w:r>
      <w:r w:rsidRPr="00D95265">
        <w:rPr>
          <w:rFonts w:cs="Arial"/>
          <w:highlight w:val="yellow"/>
          <w:vertAlign w:val="subscript"/>
        </w:rPr>
        <w:t>2</w:t>
      </w:r>
      <w:r w:rsidRPr="00D95265">
        <w:rPr>
          <w:rFonts w:cs="Arial"/>
          <w:highlight w:val="yellow"/>
        </w:rPr>
        <w:t>COONa·</w:t>
      </w:r>
      <w:r w:rsidRPr="00D95265">
        <w:rPr>
          <w:rFonts w:cs="Arial"/>
          <w:bCs/>
          <w:highlight w:val="yellow"/>
        </w:rPr>
        <w:t>4H</w:t>
      </w:r>
      <w:r w:rsidRPr="00D95265">
        <w:rPr>
          <w:rFonts w:cs="Arial"/>
          <w:bCs/>
          <w:highlight w:val="yellow"/>
          <w:vertAlign w:val="subscript"/>
        </w:rPr>
        <w:t>2</w:t>
      </w:r>
      <w:r w:rsidRPr="00D95265">
        <w:rPr>
          <w:rFonts w:cs="Arial"/>
          <w:bCs/>
          <w:highlight w:val="yellow"/>
        </w:rPr>
        <w:t>O. Purge the vial for 10 min with argon gas.</w:t>
      </w:r>
    </w:p>
    <w:p w14:paraId="4278CBB2" w14:textId="2B713E67" w:rsidR="00C40C56" w:rsidRPr="00D95265" w:rsidRDefault="00283B48" w:rsidP="007C50E1">
      <w:pPr>
        <w:widowControl/>
        <w:autoSpaceDE/>
        <w:autoSpaceDN/>
        <w:adjustRightInd/>
        <w:jc w:val="left"/>
        <w:rPr>
          <w:rFonts w:cs="Arial"/>
          <w:highlight w:val="yellow"/>
          <w:vertAlign w:val="superscript"/>
        </w:rPr>
      </w:pPr>
      <w:r w:rsidRPr="00D95265">
        <w:rPr>
          <w:rFonts w:cs="Arial"/>
          <w:bCs/>
          <w:highlight w:val="yellow"/>
        </w:rPr>
        <w:t xml:space="preserve"> </w:t>
      </w:r>
    </w:p>
    <w:p w14:paraId="2F2B5038" w14:textId="0DD3EEAA" w:rsidR="00C40C56" w:rsidRPr="00D95265" w:rsidRDefault="00C40C56" w:rsidP="007C50E1">
      <w:pPr>
        <w:widowControl/>
        <w:autoSpaceDE/>
        <w:autoSpaceDN/>
        <w:adjustRightInd/>
        <w:jc w:val="left"/>
        <w:rPr>
          <w:rFonts w:cs="Arial"/>
          <w:bCs/>
          <w:highlight w:val="yellow"/>
        </w:rPr>
      </w:pPr>
      <w:r w:rsidRPr="00D95265">
        <w:rPr>
          <w:rFonts w:cs="Arial"/>
          <w:bCs/>
          <w:highlight w:val="yellow"/>
        </w:rPr>
        <w:t>1.1.2)</w:t>
      </w:r>
      <w:r w:rsidRPr="00D95265">
        <w:rPr>
          <w:rFonts w:cs="Arial"/>
          <w:bCs/>
          <w:highlight w:val="yellow"/>
        </w:rPr>
        <w:tab/>
        <w:t xml:space="preserve">Add </w:t>
      </w:r>
      <w:r w:rsidR="00DE720B" w:rsidRPr="00D95265">
        <w:rPr>
          <w:rFonts w:cs="Arial"/>
          <w:bCs/>
          <w:highlight w:val="yellow"/>
        </w:rPr>
        <w:t>4</w:t>
      </w:r>
      <w:r w:rsidRPr="00D95265">
        <w:rPr>
          <w:rFonts w:cs="Arial"/>
          <w:bCs/>
          <w:highlight w:val="yellow"/>
        </w:rPr>
        <w:t xml:space="preserve"> mL of </w:t>
      </w:r>
      <w:r w:rsidRPr="00D95265">
        <w:rPr>
          <w:rFonts w:cs="Arial"/>
          <w:bCs/>
          <w:highlight w:val="yellow"/>
          <w:vertAlign w:val="superscript"/>
        </w:rPr>
        <w:t>99m</w:t>
      </w:r>
      <w:r w:rsidRPr="00D95265">
        <w:rPr>
          <w:rFonts w:cs="Arial"/>
          <w:bCs/>
          <w:highlight w:val="yellow"/>
        </w:rPr>
        <w:t>TcO</w:t>
      </w:r>
      <w:r w:rsidRPr="00D95265">
        <w:rPr>
          <w:rFonts w:cs="Arial"/>
          <w:bCs/>
          <w:highlight w:val="yellow"/>
          <w:vertAlign w:val="subscript"/>
        </w:rPr>
        <w:t>4</w:t>
      </w:r>
      <w:r w:rsidRPr="00D95265">
        <w:rPr>
          <w:rFonts w:cs="Arial"/>
          <w:bCs/>
          <w:highlight w:val="yellow"/>
          <w:vertAlign w:val="superscript"/>
        </w:rPr>
        <w:t>-</w:t>
      </w:r>
      <w:r w:rsidRPr="00D95265">
        <w:rPr>
          <w:rFonts w:cs="Arial"/>
          <w:bCs/>
          <w:highlight w:val="yellow"/>
        </w:rPr>
        <w:t xml:space="preserve"> (~ 1100 MBq</w:t>
      </w:r>
      <w:r w:rsidR="00351AF3" w:rsidRPr="00D95265">
        <w:rPr>
          <w:rFonts w:cs="Arial"/>
          <w:bCs/>
          <w:highlight w:val="yellow"/>
        </w:rPr>
        <w:t>, ~30 mCi</w:t>
      </w:r>
      <w:r w:rsidRPr="00D95265">
        <w:rPr>
          <w:rFonts w:cs="Arial"/>
          <w:bCs/>
          <w:highlight w:val="yellow"/>
        </w:rPr>
        <w:t xml:space="preserve">) in </w:t>
      </w:r>
      <w:r w:rsidR="00532227" w:rsidRPr="00D95265">
        <w:rPr>
          <w:rFonts w:cs="Arial"/>
          <w:bCs/>
          <w:highlight w:val="yellow"/>
        </w:rPr>
        <w:t xml:space="preserve">0.9% </w:t>
      </w:r>
      <w:r w:rsidRPr="00D95265">
        <w:rPr>
          <w:rFonts w:cs="Arial"/>
          <w:bCs/>
          <w:highlight w:val="yellow"/>
        </w:rPr>
        <w:t>saline to the vial.</w:t>
      </w:r>
    </w:p>
    <w:p w14:paraId="2BB1450B" w14:textId="77777777" w:rsidR="00C40C56" w:rsidRPr="00D95265" w:rsidRDefault="00C40C56" w:rsidP="007C50E1">
      <w:pPr>
        <w:widowControl/>
        <w:autoSpaceDE/>
        <w:autoSpaceDN/>
        <w:adjustRightInd/>
        <w:jc w:val="left"/>
        <w:rPr>
          <w:rFonts w:cs="Arial"/>
          <w:highlight w:val="yellow"/>
          <w:vertAlign w:val="superscript"/>
        </w:rPr>
      </w:pPr>
      <w:r w:rsidRPr="00D95265">
        <w:rPr>
          <w:rFonts w:cs="Arial"/>
          <w:bCs/>
          <w:highlight w:val="yellow"/>
        </w:rPr>
        <w:t xml:space="preserve"> </w:t>
      </w:r>
    </w:p>
    <w:p w14:paraId="4AB28286" w14:textId="60C142CD" w:rsidR="00C40C56" w:rsidRPr="00D95265" w:rsidRDefault="00C40C56" w:rsidP="007C50E1">
      <w:pPr>
        <w:widowControl/>
        <w:autoSpaceDE/>
        <w:autoSpaceDN/>
        <w:adjustRightInd/>
        <w:jc w:val="left"/>
        <w:rPr>
          <w:rFonts w:cs="Arial"/>
          <w:highlight w:val="yellow"/>
        </w:rPr>
      </w:pPr>
      <w:r w:rsidRPr="00D95265">
        <w:rPr>
          <w:rFonts w:cs="Arial"/>
          <w:bCs/>
          <w:highlight w:val="yellow"/>
        </w:rPr>
        <w:t>1.1.3)</w:t>
      </w:r>
      <w:r w:rsidRPr="00D95265">
        <w:rPr>
          <w:rFonts w:cs="Arial"/>
          <w:bCs/>
          <w:highlight w:val="yellow"/>
        </w:rPr>
        <w:tab/>
        <w:t xml:space="preserve">Heat the reaction in </w:t>
      </w:r>
      <w:r w:rsidR="00532227" w:rsidRPr="00D95265">
        <w:rPr>
          <w:rFonts w:cs="Arial"/>
          <w:bCs/>
          <w:highlight w:val="yellow"/>
        </w:rPr>
        <w:t xml:space="preserve">a </w:t>
      </w:r>
      <w:r w:rsidRPr="00D95265">
        <w:rPr>
          <w:rFonts w:cs="Arial"/>
          <w:bCs/>
          <w:highlight w:val="yellow"/>
        </w:rPr>
        <w:t xml:space="preserve">microwave for 3.5 min </w:t>
      </w:r>
      <w:r w:rsidRPr="00D95265">
        <w:rPr>
          <w:rFonts w:cs="Arial"/>
          <w:highlight w:val="yellow"/>
        </w:rPr>
        <w:t xml:space="preserve">at 110 </w:t>
      </w:r>
      <w:r w:rsidRPr="00D95265">
        <w:rPr>
          <w:rFonts w:cs="Arial"/>
          <w:highlight w:val="yellow"/>
        </w:rPr>
        <w:sym w:font="Symbol" w:char="F0B0"/>
      </w:r>
      <w:r w:rsidRPr="00D95265">
        <w:rPr>
          <w:rFonts w:cs="Arial"/>
          <w:highlight w:val="yellow"/>
        </w:rPr>
        <w:t xml:space="preserve">C </w:t>
      </w:r>
      <w:r w:rsidR="00532227" w:rsidRPr="00D95265">
        <w:rPr>
          <w:rFonts w:cs="Arial"/>
          <w:highlight w:val="yellow"/>
        </w:rPr>
        <w:t xml:space="preserve">after </w:t>
      </w:r>
      <w:r w:rsidRPr="00D95265">
        <w:rPr>
          <w:rFonts w:cs="Arial"/>
          <w:highlight w:val="yellow"/>
        </w:rPr>
        <w:t xml:space="preserve">10 </w:t>
      </w:r>
      <w:r w:rsidR="00283B48" w:rsidRPr="00D95265">
        <w:rPr>
          <w:rFonts w:cs="Arial"/>
          <w:highlight w:val="yellow"/>
        </w:rPr>
        <w:t xml:space="preserve">s </w:t>
      </w:r>
      <w:r w:rsidR="00061E5B" w:rsidRPr="00D95265">
        <w:rPr>
          <w:rFonts w:cs="Arial"/>
          <w:highlight w:val="yellow"/>
        </w:rPr>
        <w:t xml:space="preserve">of </w:t>
      </w:r>
      <w:r w:rsidRPr="00D95265">
        <w:rPr>
          <w:rFonts w:cs="Arial"/>
          <w:highlight w:val="yellow"/>
        </w:rPr>
        <w:t>stirring</w:t>
      </w:r>
      <w:r w:rsidR="00353C8C" w:rsidRPr="00D95265">
        <w:rPr>
          <w:rFonts w:cs="Arial"/>
          <w:highlight w:val="yellow"/>
        </w:rPr>
        <w:t xml:space="preserve"> </w:t>
      </w:r>
      <w:r w:rsidR="00253E55" w:rsidRPr="00D95265">
        <w:rPr>
          <w:rFonts w:cs="Arial"/>
          <w:highlight w:val="yellow"/>
        </w:rPr>
        <w:t xml:space="preserve">to ensure </w:t>
      </w:r>
      <w:r w:rsidR="00532227" w:rsidRPr="00D95265">
        <w:rPr>
          <w:rFonts w:cs="Arial"/>
          <w:highlight w:val="yellow"/>
        </w:rPr>
        <w:t xml:space="preserve">thorough </w:t>
      </w:r>
      <w:r w:rsidR="00253E55" w:rsidRPr="00D95265">
        <w:rPr>
          <w:rFonts w:cs="Arial"/>
          <w:highlight w:val="yellow"/>
        </w:rPr>
        <w:t>mixing of reagents</w:t>
      </w:r>
      <w:r w:rsidRPr="00D95265">
        <w:rPr>
          <w:rFonts w:cs="Arial"/>
          <w:highlight w:val="yellow"/>
        </w:rPr>
        <w:t>.</w:t>
      </w:r>
    </w:p>
    <w:p w14:paraId="3D462C1E" w14:textId="77777777" w:rsidR="00C40C56" w:rsidRPr="00D95265" w:rsidRDefault="00C40C56" w:rsidP="007C50E1">
      <w:pPr>
        <w:widowControl/>
        <w:autoSpaceDE/>
        <w:autoSpaceDN/>
        <w:adjustRightInd/>
        <w:jc w:val="left"/>
        <w:rPr>
          <w:rFonts w:cs="Arial"/>
          <w:highlight w:val="yellow"/>
          <w:vertAlign w:val="superscript"/>
        </w:rPr>
      </w:pPr>
      <w:r w:rsidRPr="00D95265">
        <w:rPr>
          <w:rFonts w:cs="Arial"/>
          <w:highlight w:val="yellow"/>
        </w:rPr>
        <w:t xml:space="preserve"> </w:t>
      </w:r>
    </w:p>
    <w:p w14:paraId="481741C8" w14:textId="55A90135" w:rsidR="00C40C56" w:rsidRPr="00D95265" w:rsidRDefault="00C40C56" w:rsidP="007C50E1">
      <w:pPr>
        <w:jc w:val="left"/>
        <w:rPr>
          <w:rFonts w:cs="Arial"/>
          <w:highlight w:val="yellow"/>
        </w:rPr>
      </w:pPr>
      <w:r w:rsidRPr="00D95265">
        <w:rPr>
          <w:rFonts w:cs="Arial"/>
          <w:highlight w:val="yellow"/>
        </w:rPr>
        <w:t>1.1.4)</w:t>
      </w:r>
      <w:r w:rsidRPr="00D95265">
        <w:rPr>
          <w:rFonts w:cs="Arial"/>
          <w:highlight w:val="yellow"/>
        </w:rPr>
        <w:tab/>
        <w:t>Adjust the pH of the solution to 3.5-4 using ~400</w:t>
      </w:r>
      <w:r w:rsidR="00D95265" w:rsidRPr="00D95265">
        <w:rPr>
          <w:rFonts w:cs="Arial"/>
          <w:highlight w:val="yellow"/>
        </w:rPr>
        <w:t xml:space="preserve"> </w:t>
      </w:r>
      <w:r w:rsidRPr="00D95265">
        <w:rPr>
          <w:rFonts w:cs="Arial"/>
          <w:highlight w:val="yellow"/>
        </w:rPr>
        <w:sym w:font="Symbol" w:char="F06D"/>
      </w:r>
      <w:r w:rsidRPr="00D95265">
        <w:rPr>
          <w:rFonts w:cs="Arial"/>
          <w:highlight w:val="yellow"/>
        </w:rPr>
        <w:t>L of 1 M HCl. Verify using pH paper.</w:t>
      </w:r>
    </w:p>
    <w:p w14:paraId="3BF9B3AF" w14:textId="2D3278FA" w:rsidR="002C1CFE" w:rsidRPr="00D95265" w:rsidRDefault="002C1CFE" w:rsidP="007C50E1">
      <w:pPr>
        <w:jc w:val="left"/>
        <w:rPr>
          <w:rFonts w:cs="Arial"/>
          <w:highlight w:val="yellow"/>
        </w:rPr>
      </w:pPr>
    </w:p>
    <w:p w14:paraId="392A1B49" w14:textId="712C9334" w:rsidR="00C40C56" w:rsidRPr="00D95265" w:rsidRDefault="00C40C56" w:rsidP="007C50E1">
      <w:pPr>
        <w:widowControl/>
        <w:autoSpaceDE/>
        <w:autoSpaceDN/>
        <w:adjustRightInd/>
        <w:jc w:val="left"/>
        <w:rPr>
          <w:rFonts w:cs="Arial"/>
          <w:highlight w:val="yellow"/>
        </w:rPr>
      </w:pPr>
      <w:r w:rsidRPr="00D95265">
        <w:rPr>
          <w:rFonts w:cs="Arial"/>
          <w:b/>
          <w:highlight w:val="yellow"/>
        </w:rPr>
        <w:t>1.2)</w:t>
      </w:r>
      <w:r w:rsidRPr="00D95265">
        <w:rPr>
          <w:rFonts w:cs="Arial"/>
          <w:highlight w:val="yellow"/>
        </w:rPr>
        <w:t xml:space="preserve"> </w:t>
      </w:r>
      <w:r w:rsidRPr="00D95265">
        <w:rPr>
          <w:rFonts w:cs="Arial"/>
          <w:highlight w:val="yellow"/>
        </w:rPr>
        <w:tab/>
      </w:r>
      <w:r w:rsidRPr="00D95265">
        <w:rPr>
          <w:rFonts w:cs="Arial"/>
          <w:b/>
          <w:highlight w:val="yellow"/>
        </w:rPr>
        <w:t xml:space="preserve">Radiolabeling of </w:t>
      </w:r>
      <w:r w:rsidR="00532227" w:rsidRPr="00D95265">
        <w:rPr>
          <w:rFonts w:cs="Arial"/>
          <w:b/>
          <w:highlight w:val="yellow"/>
        </w:rPr>
        <w:t xml:space="preserve">Tetrazine </w:t>
      </w:r>
      <w:r w:rsidRPr="00D95265">
        <w:rPr>
          <w:rFonts w:cs="Arial"/>
          <w:b/>
          <w:highlight w:val="yellow"/>
        </w:rPr>
        <w:t>ligands</w:t>
      </w:r>
      <w:r w:rsidRPr="00D95265">
        <w:rPr>
          <w:rFonts w:cs="Arial"/>
          <w:highlight w:val="yellow"/>
        </w:rPr>
        <w:t xml:space="preserve"> </w:t>
      </w:r>
      <w:r w:rsidRPr="00D95265">
        <w:rPr>
          <w:rFonts w:cs="Arial"/>
          <w:b/>
          <w:highlight w:val="yellow"/>
        </w:rPr>
        <w:t>1-5</w:t>
      </w:r>
    </w:p>
    <w:p w14:paraId="1F659D7B" w14:textId="293780A3" w:rsidR="00C40C56" w:rsidRPr="00D95265" w:rsidRDefault="00C40C56" w:rsidP="007C50E1">
      <w:pPr>
        <w:widowControl/>
        <w:autoSpaceDE/>
        <w:autoSpaceDN/>
        <w:adjustRightInd/>
        <w:jc w:val="left"/>
        <w:rPr>
          <w:rFonts w:cs="Arial"/>
          <w:highlight w:val="yellow"/>
        </w:rPr>
      </w:pPr>
      <w:r w:rsidRPr="00D95265">
        <w:rPr>
          <w:rFonts w:cs="Arial"/>
          <w:highlight w:val="yellow"/>
        </w:rPr>
        <w:t>1.2.1)</w:t>
      </w:r>
      <w:r w:rsidRPr="00D95265">
        <w:rPr>
          <w:rFonts w:cs="Arial"/>
          <w:highlight w:val="yellow"/>
        </w:rPr>
        <w:tab/>
        <w:t xml:space="preserve">Dissolve 2 mg of </w:t>
      </w:r>
      <w:r w:rsidR="00532227" w:rsidRPr="00D95265">
        <w:rPr>
          <w:rFonts w:cs="Arial"/>
          <w:highlight w:val="yellow"/>
        </w:rPr>
        <w:t>each ligand</w:t>
      </w:r>
      <w:r w:rsidRPr="00D95265">
        <w:rPr>
          <w:rFonts w:cs="Arial"/>
          <w:highlight w:val="yellow"/>
        </w:rPr>
        <w:t xml:space="preserve"> </w:t>
      </w:r>
      <w:r w:rsidR="00532227" w:rsidRPr="00D95265">
        <w:rPr>
          <w:rFonts w:cs="Arial"/>
          <w:highlight w:val="yellow"/>
        </w:rPr>
        <w:t xml:space="preserve">(compounds </w:t>
      </w:r>
      <w:r w:rsidRPr="00D95265">
        <w:rPr>
          <w:rFonts w:cs="Arial"/>
          <w:b/>
          <w:highlight w:val="yellow"/>
        </w:rPr>
        <w:t>1-</w:t>
      </w:r>
      <w:r w:rsidR="00DB1FD2" w:rsidRPr="00D95265">
        <w:rPr>
          <w:rFonts w:cs="Arial"/>
          <w:b/>
          <w:highlight w:val="yellow"/>
        </w:rPr>
        <w:t>5</w:t>
      </w:r>
      <w:r w:rsidR="00532227" w:rsidRPr="00D95265">
        <w:rPr>
          <w:rFonts w:cs="Arial"/>
          <w:highlight w:val="yellow"/>
        </w:rPr>
        <w:t>)</w:t>
      </w:r>
      <w:r w:rsidRPr="00D95265">
        <w:rPr>
          <w:rFonts w:cs="Arial"/>
          <w:highlight w:val="yellow"/>
        </w:rPr>
        <w:t xml:space="preserve"> in 250 </w:t>
      </w:r>
      <w:r w:rsidRPr="00D95265">
        <w:rPr>
          <w:rFonts w:cs="Arial"/>
          <w:highlight w:val="yellow"/>
        </w:rPr>
        <w:sym w:font="Symbol" w:char="F06D"/>
      </w:r>
      <w:r w:rsidRPr="00D95265">
        <w:rPr>
          <w:rFonts w:cs="Arial"/>
          <w:highlight w:val="yellow"/>
        </w:rPr>
        <w:t>L MeOH</w:t>
      </w:r>
      <w:r w:rsidR="00A37E52" w:rsidRPr="00D95265">
        <w:rPr>
          <w:rFonts w:cs="Arial"/>
          <w:highlight w:val="yellow"/>
        </w:rPr>
        <w:fldChar w:fldCharType="begin" w:fldLock="1"/>
      </w:r>
      <w:r w:rsidR="00A37E52" w:rsidRPr="00D95265">
        <w:rPr>
          <w:rFonts w:cs="Arial"/>
          <w:highlight w:val="yellow"/>
        </w:rPr>
        <w:instrText>ADDIN CSL_CITATION { "citationItems" : [ { "id" : "ITEM-1", "itemData" : { "DOI" : "10.1016/j.bmcl.2012.09.014", "ISSN" : "1464-3405", "PMID" : "23333070", "abstract" : "Prostate specific membrane antigen (PSMA) is recognized as an attractive molecular target for the development of radiopharmaceuticals to image and potentially treat metastatic prostate cancer. A series of novel (99m)Tc/Re-tricarbonyl radiolabeled PSMA inhibitors were therefore synthesized by the attachment of glutamate-urea-lysine (Glu-urea-Lys) and glutamate-urea-glutamate (Glu-urea-Glu) pharmacophore to single amino acid chelate (SAAC) where the SAAC ligand was either bis(pyridin-2-ylmethyl)amino (DPA), bis((1-methyl-1H-imidazol-2-yl)methyl)amino (NMI), bis((1-(carboxymethyl)-1H-imidazol-2-yl)methyl)amino (CIM) or bis((1-(2-(bis(carboxymethyl)amino)-2-oxoethyl)-1H-imidazol-2-yl)methyl)amino (TIM). The in vitro binding affinity of the rhenium complexes was evaluated using PSMA-expressing human prostate cancer LNCaP cells. IC(50) values ranged from 3.8 \u00b1 2 to &gt;2000 nM. A linker between the SAAC chelate and pharmacophore was required for high affinity binding. However, extending the length of the linker did not substantially improve binding. PSMA binding was also influenced by the nature of the SAAC chelate. One of the most potent compounds, 23b (IC(50)=4.8 \u00b1 2.7 nM), was radiolabeled with technetium tricarbonyl ({(99m)Tc(CO)(3)}(+)) to afford the {(99m)Tc(CO)(3)}(+) complex in excellent yield and high purity. This effort has led to the identification of a diverse series of promising high affinity {(99m)Tc(CO)(3)}(+) radiolabeled PSMA inhibitors.", "author" : [ { "dropping-particle" : "", "family" : "Lu", "given" : "Genliang", "non-dropping-particle" : "", "parse-names" : false, "suffix" : "" }, { "dropping-particle" : "", "family" : "Maresca", "given" : "Kevin P", "non-dropping-particle" : "", "parse-names" : false, "suffix" : "" }, { "dropping-particle" : "", "family" : "Hillier", "given" : "Shawn M", "non-dropping-particle" : "", "parse-names" : false, "suffix" : "" }, { "dropping-particle" : "", "family" : "Zimmerman", "given" : "Craig N", "non-dropping-particle" : "", "parse-names" : false, "suffix" : "" }, { "dropping-particle" : "", "family" : "Eckelman", "given" : "William C", "non-dropping-particle" : "", "parse-names" : false, "suffix" : "" }, { "dropping-particle" : "", "family" : "Joyal", "given" : "John L", "non-dropping-particle" : "", "parse-names" : false, "suffix" : "" }, { "dropping-particle" : "", "family" : "Babich", "given" : "John W", "non-dropping-particle" : "", "parse-names" : false, "suffix" : "" } ], "container-title" : "Bioorganic &amp; medicinal chemistry letters", "id" : "ITEM-1", "issued" : { "date-parts" : [ [ "2013" ] ] }, "page" : "1557-63", "title" : "Synthesis and SAR of \u2079\u2079mTc/Re-labeled small molecule prostate specific membrane antigen inhibitors with novel polar chelates.", "type" : "article-journal", "volume" : "23" }, "uris" : [ "http://www.mendeley.com/documents/?uuid=ca4414d7-7161-462b-b345-09bf851d41dd" ] } ], "mendeley" : { "formattedCitation" : "&lt;sup&gt;21&lt;/sup&gt;", "plainTextFormattedCitation" : "21", "previouslyFormattedCitation" : "&lt;sup&gt;21&lt;/sup&gt;" }, "properties" : { "noteIndex" : 0 }, "schema" : "https://github.com/citation-style-language/schema/raw/master/csl-citation.json" }</w:instrText>
      </w:r>
      <w:r w:rsidR="00A37E52" w:rsidRPr="00D95265">
        <w:rPr>
          <w:rFonts w:cs="Arial"/>
          <w:highlight w:val="yellow"/>
        </w:rPr>
        <w:fldChar w:fldCharType="separate"/>
      </w:r>
      <w:r w:rsidR="00A37E52" w:rsidRPr="00D95265">
        <w:rPr>
          <w:rFonts w:cs="Arial"/>
          <w:noProof/>
          <w:highlight w:val="yellow"/>
          <w:vertAlign w:val="superscript"/>
        </w:rPr>
        <w:t>21</w:t>
      </w:r>
      <w:r w:rsidR="00A37E52" w:rsidRPr="00D95265">
        <w:rPr>
          <w:rFonts w:cs="Arial"/>
          <w:highlight w:val="yellow"/>
        </w:rPr>
        <w:fldChar w:fldCharType="end"/>
      </w:r>
      <w:r w:rsidR="00A37E52" w:rsidRPr="00D95265">
        <w:rPr>
          <w:rFonts w:cs="Arial"/>
          <w:highlight w:val="yellow"/>
        </w:rPr>
        <w:t>.</w:t>
      </w:r>
    </w:p>
    <w:p w14:paraId="185748FC" w14:textId="77777777" w:rsidR="00C40C56" w:rsidRPr="00D95265" w:rsidRDefault="00C40C56" w:rsidP="007C50E1">
      <w:pPr>
        <w:widowControl/>
        <w:autoSpaceDE/>
        <w:autoSpaceDN/>
        <w:adjustRightInd/>
        <w:jc w:val="left"/>
        <w:rPr>
          <w:rFonts w:cs="Arial"/>
          <w:highlight w:val="yellow"/>
        </w:rPr>
      </w:pPr>
      <w:r w:rsidRPr="00D95265">
        <w:rPr>
          <w:rFonts w:cs="Arial"/>
          <w:highlight w:val="yellow"/>
        </w:rPr>
        <w:t xml:space="preserve"> </w:t>
      </w:r>
    </w:p>
    <w:p w14:paraId="6797A218" w14:textId="0B331DA1" w:rsidR="00C40C56" w:rsidRPr="00D95265" w:rsidRDefault="00C40C56" w:rsidP="007C50E1">
      <w:pPr>
        <w:widowControl/>
        <w:autoSpaceDE/>
        <w:autoSpaceDN/>
        <w:adjustRightInd/>
        <w:jc w:val="left"/>
        <w:rPr>
          <w:rFonts w:cs="Arial"/>
          <w:highlight w:val="yellow"/>
        </w:rPr>
      </w:pPr>
      <w:r w:rsidRPr="00D95265">
        <w:rPr>
          <w:rFonts w:cs="Arial"/>
          <w:highlight w:val="yellow"/>
        </w:rPr>
        <w:t>1.2.2)</w:t>
      </w:r>
      <w:r w:rsidRPr="00D95265">
        <w:rPr>
          <w:rFonts w:cs="Arial"/>
          <w:highlight w:val="yellow"/>
        </w:rPr>
        <w:tab/>
        <w:t xml:space="preserve">Add 250 </w:t>
      </w:r>
      <w:r w:rsidRPr="00D95265">
        <w:rPr>
          <w:rFonts w:cs="Arial"/>
          <w:highlight w:val="yellow"/>
        </w:rPr>
        <w:sym w:font="Symbol" w:char="F06D"/>
      </w:r>
      <w:r w:rsidRPr="00D95265">
        <w:rPr>
          <w:rFonts w:cs="Arial"/>
          <w:highlight w:val="yellow"/>
        </w:rPr>
        <w:t>L of [</w:t>
      </w:r>
      <w:r w:rsidRPr="00D95265">
        <w:rPr>
          <w:rFonts w:cs="Arial"/>
          <w:highlight w:val="yellow"/>
          <w:vertAlign w:val="superscript"/>
        </w:rPr>
        <w:t>99m</w:t>
      </w:r>
      <w:r w:rsidRPr="00D95265">
        <w:rPr>
          <w:rFonts w:cs="Arial"/>
          <w:highlight w:val="yellow"/>
        </w:rPr>
        <w:t>Tc(CO)</w:t>
      </w:r>
      <w:r w:rsidRPr="00D95265">
        <w:rPr>
          <w:rFonts w:cs="Arial"/>
          <w:highlight w:val="yellow"/>
          <w:vertAlign w:val="subscript"/>
        </w:rPr>
        <w:t>3</w:t>
      </w:r>
      <w:r w:rsidRPr="00D95265">
        <w:rPr>
          <w:rFonts w:cs="Arial"/>
          <w:highlight w:val="yellow"/>
        </w:rPr>
        <w:t>(H</w:t>
      </w:r>
      <w:r w:rsidRPr="00D95265">
        <w:rPr>
          <w:rFonts w:cs="Arial"/>
          <w:highlight w:val="yellow"/>
          <w:vertAlign w:val="subscript"/>
        </w:rPr>
        <w:t>2</w:t>
      </w:r>
      <w:r w:rsidRPr="00D95265">
        <w:rPr>
          <w:rFonts w:cs="Arial"/>
          <w:highlight w:val="yellow"/>
        </w:rPr>
        <w:t>O)</w:t>
      </w:r>
      <w:r w:rsidRPr="00D95265">
        <w:rPr>
          <w:rFonts w:cs="Arial"/>
          <w:highlight w:val="yellow"/>
          <w:vertAlign w:val="subscript"/>
        </w:rPr>
        <w:t>3</w:t>
      </w:r>
      <w:r w:rsidRPr="00D95265">
        <w:rPr>
          <w:rFonts w:cs="Arial"/>
          <w:highlight w:val="yellow"/>
        </w:rPr>
        <w:t>]</w:t>
      </w:r>
      <w:r w:rsidRPr="00D95265">
        <w:rPr>
          <w:rFonts w:cs="Arial"/>
          <w:highlight w:val="yellow"/>
          <w:vertAlign w:val="superscript"/>
        </w:rPr>
        <w:t>+</w:t>
      </w:r>
      <w:r w:rsidRPr="00D95265">
        <w:rPr>
          <w:rFonts w:cs="Arial"/>
          <w:highlight w:val="yellow"/>
        </w:rPr>
        <w:t xml:space="preserve"> (~ 74 MBq</w:t>
      </w:r>
      <w:r w:rsidR="001031F9" w:rsidRPr="00D95265">
        <w:rPr>
          <w:rFonts w:cs="Arial"/>
          <w:highlight w:val="yellow"/>
        </w:rPr>
        <w:t>, ~ 2 mCi</w:t>
      </w:r>
      <w:r w:rsidRPr="00D95265">
        <w:rPr>
          <w:rFonts w:cs="Arial"/>
          <w:highlight w:val="yellow"/>
        </w:rPr>
        <w:t xml:space="preserve">) to each </w:t>
      </w:r>
      <w:r w:rsidR="00532227" w:rsidRPr="00D95265">
        <w:rPr>
          <w:rFonts w:cs="Arial"/>
          <w:highlight w:val="yellow"/>
        </w:rPr>
        <w:t>solution</w:t>
      </w:r>
      <w:r w:rsidRPr="00D95265">
        <w:rPr>
          <w:rFonts w:cs="Arial"/>
          <w:highlight w:val="yellow"/>
        </w:rPr>
        <w:t>.</w:t>
      </w:r>
    </w:p>
    <w:p w14:paraId="3F32558D" w14:textId="77777777" w:rsidR="00C40C56" w:rsidRPr="00D95265" w:rsidRDefault="00C40C56" w:rsidP="007C50E1">
      <w:pPr>
        <w:widowControl/>
        <w:autoSpaceDE/>
        <w:autoSpaceDN/>
        <w:adjustRightInd/>
        <w:jc w:val="left"/>
        <w:rPr>
          <w:rFonts w:cs="Arial"/>
          <w:highlight w:val="yellow"/>
        </w:rPr>
      </w:pPr>
      <w:r w:rsidRPr="00D95265">
        <w:rPr>
          <w:rFonts w:cs="Arial"/>
          <w:highlight w:val="yellow"/>
        </w:rPr>
        <w:lastRenderedPageBreak/>
        <w:t xml:space="preserve"> </w:t>
      </w:r>
    </w:p>
    <w:p w14:paraId="0EC365BC" w14:textId="77777777" w:rsidR="00283B48" w:rsidRPr="00D95265" w:rsidRDefault="00C40C56" w:rsidP="007C50E1">
      <w:pPr>
        <w:widowControl/>
        <w:autoSpaceDE/>
        <w:autoSpaceDN/>
        <w:adjustRightInd/>
        <w:jc w:val="left"/>
        <w:rPr>
          <w:rFonts w:cs="Arial"/>
          <w:highlight w:val="yellow"/>
        </w:rPr>
      </w:pPr>
      <w:r w:rsidRPr="00D95265">
        <w:rPr>
          <w:rFonts w:cs="Arial"/>
          <w:highlight w:val="yellow"/>
        </w:rPr>
        <w:t>1.2.3)</w:t>
      </w:r>
      <w:r w:rsidRPr="00D95265">
        <w:rPr>
          <w:rFonts w:cs="Arial"/>
          <w:highlight w:val="yellow"/>
        </w:rPr>
        <w:tab/>
        <w:t xml:space="preserve">Heat the reaction mixture </w:t>
      </w:r>
      <w:r w:rsidR="00226810" w:rsidRPr="00D95265">
        <w:rPr>
          <w:rFonts w:cs="Arial"/>
          <w:highlight w:val="yellow"/>
        </w:rPr>
        <w:t xml:space="preserve">using a </w:t>
      </w:r>
      <w:r w:rsidRPr="00D95265">
        <w:rPr>
          <w:rFonts w:cs="Arial"/>
          <w:highlight w:val="yellow"/>
        </w:rPr>
        <w:t xml:space="preserve">microwave for 20 min at 60 </w:t>
      </w:r>
      <w:r w:rsidRPr="00D95265">
        <w:rPr>
          <w:rFonts w:cs="Arial"/>
          <w:highlight w:val="yellow"/>
        </w:rPr>
        <w:sym w:font="Symbol" w:char="F0B0"/>
      </w:r>
      <w:r w:rsidRPr="00D95265">
        <w:rPr>
          <w:rFonts w:cs="Arial"/>
          <w:highlight w:val="yellow"/>
        </w:rPr>
        <w:t xml:space="preserve">C. </w:t>
      </w:r>
    </w:p>
    <w:p w14:paraId="018EA048" w14:textId="77777777" w:rsidR="00283B48" w:rsidRPr="00D95265" w:rsidRDefault="00283B48" w:rsidP="007C50E1">
      <w:pPr>
        <w:widowControl/>
        <w:autoSpaceDE/>
        <w:autoSpaceDN/>
        <w:adjustRightInd/>
        <w:jc w:val="left"/>
        <w:rPr>
          <w:rFonts w:cs="Arial"/>
          <w:highlight w:val="yellow"/>
        </w:rPr>
      </w:pPr>
    </w:p>
    <w:p w14:paraId="0908CC1B" w14:textId="76C869C5" w:rsidR="00C40C56" w:rsidRPr="00D95265" w:rsidRDefault="00C40C56" w:rsidP="007C50E1">
      <w:pPr>
        <w:widowControl/>
        <w:autoSpaceDE/>
        <w:autoSpaceDN/>
        <w:adjustRightInd/>
        <w:jc w:val="left"/>
        <w:rPr>
          <w:rFonts w:cs="Arial"/>
          <w:highlight w:val="yellow"/>
        </w:rPr>
      </w:pPr>
      <w:r w:rsidRPr="00D95265">
        <w:rPr>
          <w:rFonts w:cs="Arial"/>
          <w:highlight w:val="yellow"/>
        </w:rPr>
        <w:t xml:space="preserve">NOTE: This step was identical for all </w:t>
      </w:r>
      <w:r w:rsidR="00F229DA" w:rsidRPr="00D95265">
        <w:rPr>
          <w:rFonts w:cs="Arial"/>
          <w:highlight w:val="yellow"/>
        </w:rPr>
        <w:t>5</w:t>
      </w:r>
      <w:r w:rsidRPr="00D95265">
        <w:rPr>
          <w:rFonts w:cs="Arial"/>
          <w:highlight w:val="yellow"/>
        </w:rPr>
        <w:t xml:space="preserve"> </w:t>
      </w:r>
      <w:r w:rsidR="00532227" w:rsidRPr="00D95265">
        <w:rPr>
          <w:rFonts w:cs="Arial"/>
          <w:highlight w:val="yellow"/>
        </w:rPr>
        <w:t>tetrazines</w:t>
      </w:r>
      <w:r w:rsidRPr="00D95265">
        <w:rPr>
          <w:rFonts w:cs="Arial"/>
          <w:highlight w:val="yellow"/>
        </w:rPr>
        <w:t xml:space="preserve">. </w:t>
      </w:r>
    </w:p>
    <w:p w14:paraId="318ADF08" w14:textId="77777777" w:rsidR="00C40C56" w:rsidRPr="00D95265" w:rsidRDefault="00C40C56" w:rsidP="007C50E1">
      <w:pPr>
        <w:widowControl/>
        <w:autoSpaceDE/>
        <w:autoSpaceDN/>
        <w:adjustRightInd/>
        <w:jc w:val="left"/>
        <w:rPr>
          <w:rFonts w:cs="Arial"/>
          <w:highlight w:val="yellow"/>
        </w:rPr>
      </w:pPr>
    </w:p>
    <w:p w14:paraId="379B0ABA" w14:textId="33A5B7FD" w:rsidR="00C40C56" w:rsidRPr="00D95265" w:rsidRDefault="00C40C56" w:rsidP="007C50E1">
      <w:pPr>
        <w:jc w:val="left"/>
        <w:rPr>
          <w:rFonts w:cs="Arial"/>
          <w:highlight w:val="yellow"/>
        </w:rPr>
      </w:pPr>
      <w:r w:rsidRPr="00D95265">
        <w:rPr>
          <w:rFonts w:cs="Arial"/>
          <w:highlight w:val="yellow"/>
        </w:rPr>
        <w:t>1.2.4)</w:t>
      </w:r>
      <w:r w:rsidRPr="00D95265">
        <w:rPr>
          <w:rFonts w:cs="Arial"/>
          <w:highlight w:val="yellow"/>
        </w:rPr>
        <w:tab/>
        <w:t xml:space="preserve">For compounds </w:t>
      </w:r>
      <w:r w:rsidRPr="00D95265">
        <w:rPr>
          <w:rFonts w:cs="Arial"/>
          <w:b/>
          <w:highlight w:val="yellow"/>
        </w:rPr>
        <w:t>2</w:t>
      </w:r>
      <w:r w:rsidRPr="00D95265">
        <w:rPr>
          <w:rFonts w:cs="Arial"/>
          <w:highlight w:val="yellow"/>
        </w:rPr>
        <w:t>-</w:t>
      </w:r>
      <w:r w:rsidRPr="00D95265">
        <w:rPr>
          <w:rFonts w:cs="Arial"/>
          <w:b/>
          <w:highlight w:val="yellow"/>
        </w:rPr>
        <w:t>5</w:t>
      </w:r>
      <w:r w:rsidRPr="00D95265">
        <w:rPr>
          <w:rFonts w:cs="Arial"/>
          <w:highlight w:val="yellow"/>
        </w:rPr>
        <w:t xml:space="preserve">, </w:t>
      </w:r>
      <w:r w:rsidR="00720D0A" w:rsidRPr="00D95265">
        <w:rPr>
          <w:rFonts w:cs="Arial"/>
          <w:highlight w:val="yellow"/>
        </w:rPr>
        <w:t xml:space="preserve">evaporate </w:t>
      </w:r>
      <w:r w:rsidRPr="00D95265">
        <w:rPr>
          <w:rFonts w:cs="Arial"/>
          <w:highlight w:val="yellow"/>
        </w:rPr>
        <w:t>the solvent and</w:t>
      </w:r>
      <w:r w:rsidR="00720D0A" w:rsidRPr="00D95265">
        <w:rPr>
          <w:rFonts w:cs="Arial"/>
          <w:highlight w:val="yellow"/>
        </w:rPr>
        <w:t xml:space="preserve"> re-dissolve</w:t>
      </w:r>
      <w:r w:rsidRPr="00D95265">
        <w:rPr>
          <w:rFonts w:cs="Arial"/>
          <w:highlight w:val="yellow"/>
        </w:rPr>
        <w:t xml:space="preserve"> the resulting products </w:t>
      </w:r>
      <w:r w:rsidR="00DB1FD2" w:rsidRPr="00D95265">
        <w:rPr>
          <w:rFonts w:cs="Arial"/>
          <w:highlight w:val="yellow"/>
        </w:rPr>
        <w:t xml:space="preserve">in </w:t>
      </w:r>
      <w:r w:rsidRPr="00D95265">
        <w:rPr>
          <w:rFonts w:cs="Arial"/>
          <w:highlight w:val="yellow"/>
        </w:rPr>
        <w:t>1 mL of 1:1</w:t>
      </w:r>
      <w:r w:rsidR="00226810" w:rsidRPr="00D95265">
        <w:rPr>
          <w:rFonts w:cs="Arial"/>
          <w:highlight w:val="yellow"/>
        </w:rPr>
        <w:t xml:space="preserve"> v/v</w:t>
      </w:r>
      <w:r w:rsidRPr="00D95265">
        <w:rPr>
          <w:rFonts w:cs="Arial"/>
          <w:highlight w:val="yellow"/>
        </w:rPr>
        <w:t xml:space="preserve"> DCM:TFA.</w:t>
      </w:r>
    </w:p>
    <w:p w14:paraId="51F74CB9" w14:textId="77777777" w:rsidR="00C40C56" w:rsidRPr="00D95265" w:rsidRDefault="00C40C56" w:rsidP="007C50E1">
      <w:pPr>
        <w:jc w:val="left"/>
        <w:rPr>
          <w:rFonts w:cs="Arial"/>
          <w:highlight w:val="yellow"/>
        </w:rPr>
      </w:pPr>
      <w:r w:rsidRPr="00D95265">
        <w:rPr>
          <w:rFonts w:cs="Arial"/>
          <w:highlight w:val="yellow"/>
        </w:rPr>
        <w:t xml:space="preserve"> </w:t>
      </w:r>
    </w:p>
    <w:p w14:paraId="1747362B" w14:textId="09B70216" w:rsidR="00C40C56" w:rsidRPr="00D95265" w:rsidRDefault="00C40C56" w:rsidP="007C50E1">
      <w:pPr>
        <w:widowControl/>
        <w:autoSpaceDE/>
        <w:autoSpaceDN/>
        <w:adjustRightInd/>
        <w:jc w:val="left"/>
        <w:rPr>
          <w:rFonts w:cs="Arial"/>
          <w:highlight w:val="yellow"/>
        </w:rPr>
      </w:pPr>
      <w:r w:rsidRPr="00D95265">
        <w:rPr>
          <w:rFonts w:cs="Arial"/>
          <w:highlight w:val="yellow"/>
        </w:rPr>
        <w:t>1.2.5)</w:t>
      </w:r>
      <w:r w:rsidRPr="00D95265">
        <w:rPr>
          <w:rFonts w:cs="Arial"/>
          <w:highlight w:val="yellow"/>
        </w:rPr>
        <w:tab/>
      </w:r>
      <w:r w:rsidR="00720D0A" w:rsidRPr="00D95265">
        <w:rPr>
          <w:rFonts w:cs="Arial"/>
          <w:highlight w:val="yellow"/>
        </w:rPr>
        <w:t>Heat the</w:t>
      </w:r>
      <w:r w:rsidRPr="00D95265">
        <w:rPr>
          <w:rFonts w:cs="Arial"/>
          <w:highlight w:val="yellow"/>
        </w:rPr>
        <w:t xml:space="preserve"> dissolved reaction products </w:t>
      </w:r>
      <w:r w:rsidR="00F229DA" w:rsidRPr="00D95265">
        <w:rPr>
          <w:rFonts w:cs="Arial"/>
          <w:highlight w:val="yellow"/>
        </w:rPr>
        <w:t>(</w:t>
      </w:r>
      <w:r w:rsidR="00F229DA" w:rsidRPr="00D95265">
        <w:rPr>
          <w:rFonts w:cs="Arial"/>
          <w:b/>
          <w:highlight w:val="yellow"/>
        </w:rPr>
        <w:t>2-5</w:t>
      </w:r>
      <w:r w:rsidR="00F229DA" w:rsidRPr="00D95265">
        <w:rPr>
          <w:rFonts w:cs="Arial"/>
          <w:highlight w:val="yellow"/>
        </w:rPr>
        <w:t xml:space="preserve">) </w:t>
      </w:r>
      <w:r w:rsidR="00DB1FD2" w:rsidRPr="00D95265">
        <w:rPr>
          <w:rFonts w:cs="Arial"/>
          <w:highlight w:val="yellow"/>
        </w:rPr>
        <w:t xml:space="preserve">at 60 </w:t>
      </w:r>
      <w:r w:rsidR="00DB1FD2" w:rsidRPr="00D95265">
        <w:rPr>
          <w:rFonts w:cs="Arial"/>
          <w:highlight w:val="yellow"/>
        </w:rPr>
        <w:sym w:font="Symbol" w:char="F0B0"/>
      </w:r>
      <w:r w:rsidR="00DB1FD2" w:rsidRPr="00D95265">
        <w:rPr>
          <w:rFonts w:cs="Arial"/>
          <w:highlight w:val="yellow"/>
        </w:rPr>
        <w:t>C</w:t>
      </w:r>
      <w:r w:rsidRPr="00D95265">
        <w:rPr>
          <w:rFonts w:cs="Arial"/>
          <w:highlight w:val="yellow"/>
        </w:rPr>
        <w:t xml:space="preserve"> in </w:t>
      </w:r>
      <w:r w:rsidR="00226810" w:rsidRPr="00D95265">
        <w:rPr>
          <w:rFonts w:cs="Arial"/>
          <w:highlight w:val="yellow"/>
        </w:rPr>
        <w:t xml:space="preserve">a </w:t>
      </w:r>
      <w:r w:rsidRPr="00D95265">
        <w:rPr>
          <w:rFonts w:cs="Arial"/>
          <w:highlight w:val="yellow"/>
        </w:rPr>
        <w:t>microwave for 6</w:t>
      </w:r>
      <w:r w:rsidR="00253E55" w:rsidRPr="00D95265">
        <w:rPr>
          <w:rFonts w:cs="Arial"/>
          <w:highlight w:val="yellow"/>
        </w:rPr>
        <w:t xml:space="preserve"> min (</w:t>
      </w:r>
      <w:r w:rsidR="00253E55" w:rsidRPr="00D95265">
        <w:rPr>
          <w:rFonts w:cs="Arial"/>
          <w:b/>
          <w:highlight w:val="yellow"/>
        </w:rPr>
        <w:t>2-4</w:t>
      </w:r>
      <w:r w:rsidR="00253E55" w:rsidRPr="00D95265">
        <w:rPr>
          <w:rFonts w:cs="Arial"/>
          <w:highlight w:val="yellow"/>
        </w:rPr>
        <w:t xml:space="preserve">) or </w:t>
      </w:r>
      <w:r w:rsidRPr="00D95265">
        <w:rPr>
          <w:rFonts w:cs="Arial"/>
          <w:highlight w:val="yellow"/>
        </w:rPr>
        <w:t>10 min</w:t>
      </w:r>
      <w:r w:rsidR="00253E55" w:rsidRPr="00D95265">
        <w:rPr>
          <w:rFonts w:cs="Arial"/>
          <w:highlight w:val="yellow"/>
        </w:rPr>
        <w:t xml:space="preserve"> (</w:t>
      </w:r>
      <w:r w:rsidR="00253E55" w:rsidRPr="00D95265">
        <w:rPr>
          <w:rFonts w:cs="Arial"/>
          <w:b/>
          <w:highlight w:val="yellow"/>
        </w:rPr>
        <w:t>5</w:t>
      </w:r>
      <w:r w:rsidR="00253E55" w:rsidRPr="00D95265">
        <w:rPr>
          <w:rFonts w:cs="Arial"/>
          <w:highlight w:val="yellow"/>
        </w:rPr>
        <w:t>).</w:t>
      </w:r>
    </w:p>
    <w:p w14:paraId="21F5C4BF" w14:textId="77777777" w:rsidR="00C40C56" w:rsidRPr="00D95265" w:rsidRDefault="00C40C56" w:rsidP="007C50E1">
      <w:pPr>
        <w:widowControl/>
        <w:autoSpaceDE/>
        <w:autoSpaceDN/>
        <w:adjustRightInd/>
        <w:jc w:val="left"/>
        <w:rPr>
          <w:rFonts w:cs="Arial"/>
          <w:highlight w:val="yellow"/>
        </w:rPr>
      </w:pPr>
    </w:p>
    <w:p w14:paraId="6C89A4E8" w14:textId="384338E5" w:rsidR="00C40C56" w:rsidRPr="00D95265" w:rsidRDefault="00C40C56" w:rsidP="007C50E1">
      <w:pPr>
        <w:widowControl/>
        <w:autoSpaceDE/>
        <w:autoSpaceDN/>
        <w:adjustRightInd/>
        <w:jc w:val="left"/>
        <w:rPr>
          <w:rFonts w:cs="Arial"/>
          <w:highlight w:val="yellow"/>
        </w:rPr>
      </w:pPr>
      <w:r w:rsidRPr="00D95265">
        <w:rPr>
          <w:rFonts w:cs="Arial"/>
          <w:highlight w:val="yellow"/>
        </w:rPr>
        <w:t>1.2.6)</w:t>
      </w:r>
      <w:r w:rsidRPr="00D95265">
        <w:rPr>
          <w:rFonts w:cs="Arial"/>
          <w:highlight w:val="yellow"/>
        </w:rPr>
        <w:tab/>
        <w:t xml:space="preserve">After </w:t>
      </w:r>
      <w:r w:rsidR="006256BE" w:rsidRPr="00D95265">
        <w:rPr>
          <w:rFonts w:cs="Arial"/>
          <w:highlight w:val="yellow"/>
        </w:rPr>
        <w:t>cooling to room temperature</w:t>
      </w:r>
      <w:r w:rsidR="00720D0A" w:rsidRPr="00D95265">
        <w:rPr>
          <w:rFonts w:cs="Arial"/>
          <w:highlight w:val="yellow"/>
        </w:rPr>
        <w:t>, evaporate</w:t>
      </w:r>
      <w:r w:rsidRPr="00D95265">
        <w:rPr>
          <w:rFonts w:cs="Arial"/>
          <w:highlight w:val="yellow"/>
        </w:rPr>
        <w:t xml:space="preserve"> the solvent</w:t>
      </w:r>
      <w:r w:rsidR="006256BE" w:rsidRPr="00D95265">
        <w:rPr>
          <w:rFonts w:cs="Arial"/>
          <w:highlight w:val="yellow"/>
        </w:rPr>
        <w:t xml:space="preserve"> using a</w:t>
      </w:r>
      <w:r w:rsidR="00D95265" w:rsidRPr="00D95265">
        <w:rPr>
          <w:rFonts w:cs="Arial"/>
          <w:highlight w:val="yellow"/>
        </w:rPr>
        <w:t xml:space="preserve">n </w:t>
      </w:r>
      <w:r w:rsidR="00F27762" w:rsidRPr="00D95265">
        <w:rPr>
          <w:rFonts w:cs="Arial"/>
          <w:highlight w:val="yellow"/>
        </w:rPr>
        <w:t xml:space="preserve">evaporator </w:t>
      </w:r>
      <w:r w:rsidR="005140BF" w:rsidRPr="00D95265">
        <w:rPr>
          <w:rFonts w:cs="Arial"/>
          <w:highlight w:val="yellow"/>
        </w:rPr>
        <w:t>(</w:t>
      </w:r>
      <w:r w:rsidR="00F27762" w:rsidRPr="00D95265">
        <w:rPr>
          <w:rFonts w:cs="Arial"/>
          <w:highlight w:val="yellow"/>
        </w:rPr>
        <w:t xml:space="preserve">36 </w:t>
      </w:r>
      <w:r w:rsidR="00F27762" w:rsidRPr="00D95265">
        <w:rPr>
          <w:rFonts w:cs="Arial"/>
          <w:highlight w:val="yellow"/>
        </w:rPr>
        <w:sym w:font="Symbol" w:char="F0B0"/>
      </w:r>
      <w:r w:rsidR="00F27762" w:rsidRPr="00D95265">
        <w:rPr>
          <w:rFonts w:cs="Arial"/>
          <w:highlight w:val="yellow"/>
        </w:rPr>
        <w:t>C, 8 mbar, 3 min, 6000 rpm)</w:t>
      </w:r>
      <w:r w:rsidRPr="00D95265">
        <w:rPr>
          <w:rFonts w:cs="Arial"/>
          <w:highlight w:val="yellow"/>
        </w:rPr>
        <w:t xml:space="preserve"> and</w:t>
      </w:r>
      <w:r w:rsidR="00720D0A" w:rsidRPr="00D95265">
        <w:rPr>
          <w:rFonts w:cs="Arial"/>
          <w:highlight w:val="yellow"/>
        </w:rPr>
        <w:t xml:space="preserve"> dissolve</w:t>
      </w:r>
      <w:r w:rsidRPr="00D95265">
        <w:rPr>
          <w:rFonts w:cs="Arial"/>
          <w:highlight w:val="yellow"/>
        </w:rPr>
        <w:t xml:space="preserve"> the dried compound in 1:1 ACN:H</w:t>
      </w:r>
      <w:r w:rsidRPr="00D95265">
        <w:rPr>
          <w:rFonts w:cs="Arial"/>
          <w:highlight w:val="yellow"/>
          <w:vertAlign w:val="subscript"/>
        </w:rPr>
        <w:t>2</w:t>
      </w:r>
      <w:r w:rsidRPr="00D95265">
        <w:rPr>
          <w:rFonts w:cs="Arial"/>
          <w:highlight w:val="yellow"/>
        </w:rPr>
        <w:t>O or 1:1 MeOH:H</w:t>
      </w:r>
      <w:r w:rsidRPr="00D95265">
        <w:rPr>
          <w:rFonts w:cs="Arial"/>
          <w:highlight w:val="yellow"/>
          <w:vertAlign w:val="subscript"/>
        </w:rPr>
        <w:t>2</w:t>
      </w:r>
      <w:r w:rsidRPr="00D95265">
        <w:rPr>
          <w:rFonts w:cs="Arial"/>
          <w:highlight w:val="yellow"/>
        </w:rPr>
        <w:t>O, prior to HPLC purification.</w:t>
      </w:r>
    </w:p>
    <w:p w14:paraId="77884A18" w14:textId="77777777" w:rsidR="00C40C56" w:rsidRPr="00D95265" w:rsidRDefault="00C40C56" w:rsidP="007C50E1">
      <w:pPr>
        <w:widowControl/>
        <w:autoSpaceDE/>
        <w:autoSpaceDN/>
        <w:adjustRightInd/>
        <w:jc w:val="left"/>
        <w:rPr>
          <w:rFonts w:cs="Arial"/>
          <w:highlight w:val="yellow"/>
        </w:rPr>
      </w:pPr>
    </w:p>
    <w:p w14:paraId="27B66953" w14:textId="022C26FE" w:rsidR="00283B48" w:rsidRPr="00D95265" w:rsidRDefault="00C40C56" w:rsidP="007C50E1">
      <w:pPr>
        <w:jc w:val="left"/>
        <w:rPr>
          <w:rFonts w:cs="Arial"/>
          <w:highlight w:val="yellow"/>
        </w:rPr>
      </w:pPr>
      <w:r w:rsidRPr="00D95265">
        <w:rPr>
          <w:rFonts w:cs="Arial"/>
          <w:highlight w:val="yellow"/>
        </w:rPr>
        <w:t>1.2.7)</w:t>
      </w:r>
      <w:r w:rsidRPr="00D95265">
        <w:rPr>
          <w:rFonts w:cs="Arial"/>
          <w:highlight w:val="yellow"/>
        </w:rPr>
        <w:tab/>
        <w:t xml:space="preserve">Purify the </w:t>
      </w:r>
      <w:r w:rsidR="00F27762" w:rsidRPr="00D95265">
        <w:rPr>
          <w:rFonts w:cs="Arial"/>
          <w:highlight w:val="yellow"/>
          <w:vertAlign w:val="superscript"/>
        </w:rPr>
        <w:t>99m</w:t>
      </w:r>
      <w:r w:rsidRPr="00D95265">
        <w:rPr>
          <w:rFonts w:cs="Arial"/>
          <w:highlight w:val="yellow"/>
        </w:rPr>
        <w:t>Tc-labeled compounds</w:t>
      </w:r>
      <w:r w:rsidR="00253E55" w:rsidRPr="00D95265">
        <w:rPr>
          <w:rFonts w:cs="Arial"/>
          <w:highlight w:val="yellow"/>
        </w:rPr>
        <w:t xml:space="preserve"> (</w:t>
      </w:r>
      <w:r w:rsidR="00253E55" w:rsidRPr="00D95265">
        <w:rPr>
          <w:rFonts w:cs="Arial"/>
          <w:b/>
          <w:highlight w:val="yellow"/>
        </w:rPr>
        <w:t>1-5</w:t>
      </w:r>
      <w:r w:rsidR="00253E55" w:rsidRPr="00D95265">
        <w:rPr>
          <w:rFonts w:cs="Arial"/>
          <w:highlight w:val="yellow"/>
        </w:rPr>
        <w:t>)</w:t>
      </w:r>
      <w:r w:rsidR="007C2A36" w:rsidRPr="00D95265">
        <w:rPr>
          <w:rFonts w:cs="Arial"/>
          <w:highlight w:val="yellow"/>
        </w:rPr>
        <w:t>,</w:t>
      </w:r>
      <w:r w:rsidR="007003D4" w:rsidRPr="00D95265">
        <w:rPr>
          <w:rFonts w:cs="Arial"/>
          <w:highlight w:val="yellow"/>
        </w:rPr>
        <w:t xml:space="preserve"> </w:t>
      </w:r>
      <w:r w:rsidR="00610450" w:rsidRPr="00D95265">
        <w:rPr>
          <w:rFonts w:cs="Arial"/>
          <w:highlight w:val="yellow"/>
        </w:rPr>
        <w:t>including separating the labeled product from</w:t>
      </w:r>
      <w:r w:rsidR="007003D4" w:rsidRPr="00D95265">
        <w:rPr>
          <w:rFonts w:cs="Arial"/>
          <w:highlight w:val="yellow"/>
        </w:rPr>
        <w:t xml:space="preserve"> unlabeled tetrazine</w:t>
      </w:r>
      <w:r w:rsidR="00610450" w:rsidRPr="00D95265">
        <w:rPr>
          <w:rFonts w:cs="Arial"/>
          <w:highlight w:val="yellow"/>
        </w:rPr>
        <w:t xml:space="preserve"> ligand</w:t>
      </w:r>
      <w:r w:rsidR="007C2A36" w:rsidRPr="00D95265">
        <w:rPr>
          <w:rFonts w:cs="Arial"/>
          <w:highlight w:val="yellow"/>
        </w:rPr>
        <w:t xml:space="preserve">, </w:t>
      </w:r>
      <w:r w:rsidRPr="00D95265">
        <w:rPr>
          <w:rFonts w:cs="Arial"/>
          <w:highlight w:val="yellow"/>
        </w:rPr>
        <w:t>using</w:t>
      </w:r>
      <w:r w:rsidR="006256BE" w:rsidRPr="00D95265">
        <w:rPr>
          <w:rFonts w:cs="Arial"/>
          <w:highlight w:val="yellow"/>
        </w:rPr>
        <w:t xml:space="preserve"> HPLC (</w:t>
      </w:r>
      <w:r w:rsidRPr="00D95265">
        <w:rPr>
          <w:rFonts w:cs="Arial"/>
          <w:highlight w:val="yellow"/>
        </w:rPr>
        <w:t>C</w:t>
      </w:r>
      <w:r w:rsidRPr="00D95265">
        <w:rPr>
          <w:rFonts w:cs="Arial"/>
          <w:highlight w:val="yellow"/>
          <w:vertAlign w:val="subscript"/>
        </w:rPr>
        <w:t>18</w:t>
      </w:r>
      <w:r w:rsidRPr="00D95265">
        <w:rPr>
          <w:rFonts w:cs="Arial"/>
          <w:highlight w:val="yellow"/>
        </w:rPr>
        <w:t xml:space="preserve"> reversed-phase</w:t>
      </w:r>
      <w:r w:rsidR="006256BE" w:rsidRPr="00D95265">
        <w:rPr>
          <w:rFonts w:cs="Arial"/>
          <w:highlight w:val="yellow"/>
        </w:rPr>
        <w:t>)</w:t>
      </w:r>
      <w:r w:rsidRPr="00D95265">
        <w:rPr>
          <w:rFonts w:cs="Arial"/>
          <w:highlight w:val="yellow"/>
        </w:rPr>
        <w:t xml:space="preserve">. </w:t>
      </w:r>
      <w:r w:rsidR="00283B48" w:rsidRPr="00D95265">
        <w:rPr>
          <w:rFonts w:cs="Arial"/>
          <w:highlight w:val="yellow"/>
        </w:rPr>
        <w:t xml:space="preserve">Typically, use an elution </w:t>
      </w:r>
      <w:r w:rsidRPr="00D95265">
        <w:rPr>
          <w:rFonts w:cs="Arial"/>
          <w:highlight w:val="yellow"/>
        </w:rPr>
        <w:t>gradient of 30:70 ACN:H</w:t>
      </w:r>
      <w:r w:rsidRPr="00D95265">
        <w:rPr>
          <w:rFonts w:cs="Arial"/>
          <w:highlight w:val="yellow"/>
          <w:vertAlign w:val="subscript"/>
        </w:rPr>
        <w:t>2</w:t>
      </w:r>
      <w:r w:rsidRPr="00D95265">
        <w:rPr>
          <w:rFonts w:cs="Arial"/>
          <w:highlight w:val="yellow"/>
        </w:rPr>
        <w:t>O (both with 0.1% TFA) to 40:60 ACN:H</w:t>
      </w:r>
      <w:r w:rsidRPr="00D95265">
        <w:rPr>
          <w:rFonts w:cs="Arial"/>
          <w:highlight w:val="yellow"/>
          <w:vertAlign w:val="subscript"/>
        </w:rPr>
        <w:t>2</w:t>
      </w:r>
      <w:r w:rsidRPr="00D95265">
        <w:rPr>
          <w:rFonts w:cs="Arial"/>
          <w:highlight w:val="yellow"/>
        </w:rPr>
        <w:t xml:space="preserve">O over 20 min (18 min) </w:t>
      </w:r>
      <w:r w:rsidR="006256BE" w:rsidRPr="00D95265">
        <w:rPr>
          <w:rFonts w:cs="Arial"/>
          <w:highlight w:val="yellow"/>
        </w:rPr>
        <w:t xml:space="preserve">and </w:t>
      </w:r>
      <w:r w:rsidRPr="00D95265">
        <w:rPr>
          <w:rFonts w:cs="Arial"/>
          <w:highlight w:val="yellow"/>
        </w:rPr>
        <w:t>a</w:t>
      </w:r>
      <w:r w:rsidR="009D1F6C" w:rsidRPr="00D95265">
        <w:rPr>
          <w:rFonts w:cs="Arial"/>
          <w:highlight w:val="yellow"/>
        </w:rPr>
        <w:t xml:space="preserve"> </w:t>
      </w:r>
      <w:r w:rsidR="001031F9" w:rsidRPr="00D95265">
        <w:rPr>
          <w:rFonts w:cs="Arial"/>
          <w:highlight w:val="yellow"/>
        </w:rPr>
        <w:t>C</w:t>
      </w:r>
      <w:r w:rsidR="001031F9" w:rsidRPr="00D95265">
        <w:rPr>
          <w:rFonts w:cs="Arial"/>
          <w:highlight w:val="yellow"/>
          <w:vertAlign w:val="subscript"/>
        </w:rPr>
        <w:t>18</w:t>
      </w:r>
      <w:r w:rsidR="001031F9" w:rsidRPr="00D95265" w:rsidDel="00CF4B50">
        <w:rPr>
          <w:rFonts w:cs="Arial"/>
          <w:highlight w:val="yellow"/>
        </w:rPr>
        <w:t xml:space="preserve"> </w:t>
      </w:r>
      <w:r w:rsidRPr="00D95265">
        <w:rPr>
          <w:rFonts w:cs="Arial"/>
          <w:highlight w:val="yellow"/>
        </w:rPr>
        <w:t>analytical 4.6 x 100 mm column</w:t>
      </w:r>
      <w:r w:rsidR="006256BE" w:rsidRPr="00D95265">
        <w:rPr>
          <w:rFonts w:cs="Arial"/>
          <w:highlight w:val="yellow"/>
        </w:rPr>
        <w:t xml:space="preserve">. </w:t>
      </w:r>
      <w:r w:rsidR="00283B48" w:rsidRPr="00D95265">
        <w:rPr>
          <w:rFonts w:cs="Arial"/>
          <w:highlight w:val="yellow"/>
        </w:rPr>
        <w:t>Use b</w:t>
      </w:r>
      <w:r w:rsidR="009D1F6C" w:rsidRPr="00D95265">
        <w:rPr>
          <w:rFonts w:cs="Arial"/>
          <w:highlight w:val="yellow"/>
        </w:rPr>
        <w:t>oth UV (</w:t>
      </w:r>
      <w:r w:rsidRPr="00D95265">
        <w:rPr>
          <w:rFonts w:cs="Arial"/>
          <w:highlight w:val="yellow"/>
        </w:rPr>
        <w:t>254 nm</w:t>
      </w:r>
      <w:r w:rsidR="009D1F6C" w:rsidRPr="00D95265">
        <w:rPr>
          <w:rFonts w:cs="Arial"/>
          <w:highlight w:val="yellow"/>
        </w:rPr>
        <w:t>) and gamma detection</w:t>
      </w:r>
      <w:r w:rsidRPr="00D95265">
        <w:rPr>
          <w:rFonts w:cs="Arial"/>
          <w:highlight w:val="yellow"/>
        </w:rPr>
        <w:t>.</w:t>
      </w:r>
      <w:r w:rsidR="009D1F6C" w:rsidRPr="00D95265">
        <w:rPr>
          <w:rFonts w:cs="Arial"/>
          <w:highlight w:val="yellow"/>
        </w:rPr>
        <w:t xml:space="preserve"> </w:t>
      </w:r>
    </w:p>
    <w:p w14:paraId="5E58FF13" w14:textId="77777777" w:rsidR="00283B48" w:rsidRPr="00D95265" w:rsidRDefault="00283B48" w:rsidP="007C50E1">
      <w:pPr>
        <w:jc w:val="left"/>
        <w:rPr>
          <w:rFonts w:cs="Arial"/>
          <w:highlight w:val="yellow"/>
        </w:rPr>
      </w:pPr>
    </w:p>
    <w:p w14:paraId="428F77A0" w14:textId="762625FD" w:rsidR="00C40C56" w:rsidRPr="00D95265" w:rsidRDefault="00283B48" w:rsidP="007C50E1">
      <w:pPr>
        <w:jc w:val="left"/>
        <w:rPr>
          <w:rFonts w:cs="Arial"/>
          <w:highlight w:val="yellow"/>
        </w:rPr>
      </w:pPr>
      <w:r w:rsidRPr="00D95265">
        <w:rPr>
          <w:rFonts w:cs="Arial"/>
          <w:highlight w:val="yellow"/>
        </w:rPr>
        <w:t>1.2.7.1) Take a</w:t>
      </w:r>
      <w:r w:rsidR="009D1F6C" w:rsidRPr="00D95265">
        <w:rPr>
          <w:rFonts w:cs="Arial"/>
          <w:highlight w:val="yellow"/>
        </w:rPr>
        <w:t xml:space="preserve"> small sample of each </w:t>
      </w:r>
      <w:r w:rsidR="00CF4B50" w:rsidRPr="00D95265">
        <w:rPr>
          <w:rFonts w:cs="Arial"/>
          <w:highlight w:val="yellow"/>
        </w:rPr>
        <w:t xml:space="preserve">labeled </w:t>
      </w:r>
      <w:r w:rsidR="009D1F6C" w:rsidRPr="00D95265">
        <w:rPr>
          <w:rFonts w:cs="Arial"/>
          <w:highlight w:val="yellow"/>
        </w:rPr>
        <w:t>product and</w:t>
      </w:r>
      <w:r w:rsidRPr="00D95265">
        <w:rPr>
          <w:rFonts w:cs="Arial"/>
          <w:highlight w:val="yellow"/>
        </w:rPr>
        <w:t xml:space="preserve"> compare</w:t>
      </w:r>
      <w:r w:rsidR="009D1F6C" w:rsidRPr="00D95265">
        <w:rPr>
          <w:rFonts w:cs="Arial"/>
          <w:highlight w:val="yellow"/>
        </w:rPr>
        <w:t xml:space="preserve"> </w:t>
      </w:r>
      <w:r w:rsidR="00CF4B50" w:rsidRPr="00D95265">
        <w:rPr>
          <w:rFonts w:cs="Arial"/>
          <w:highlight w:val="yellow"/>
        </w:rPr>
        <w:t xml:space="preserve">its </w:t>
      </w:r>
      <w:r w:rsidR="009D1F6C" w:rsidRPr="00D95265">
        <w:rPr>
          <w:rFonts w:cs="Arial"/>
          <w:highlight w:val="yellow"/>
        </w:rPr>
        <w:t>HPLC retention time to that</w:t>
      </w:r>
      <w:r w:rsidR="001156E9" w:rsidRPr="00D95265">
        <w:rPr>
          <w:rFonts w:cs="Arial"/>
          <w:highlight w:val="yellow"/>
        </w:rPr>
        <w:t xml:space="preserve"> of a</w:t>
      </w:r>
      <w:r w:rsidR="009D1F6C" w:rsidRPr="00D95265">
        <w:rPr>
          <w:rFonts w:cs="Arial"/>
          <w:highlight w:val="yellow"/>
        </w:rPr>
        <w:t xml:space="preserve"> co</w:t>
      </w:r>
      <w:r w:rsidRPr="00D95265">
        <w:rPr>
          <w:rFonts w:cs="Arial"/>
          <w:highlight w:val="yellow"/>
        </w:rPr>
        <w:t>-</w:t>
      </w:r>
      <w:r w:rsidR="009D1F6C" w:rsidRPr="00D95265">
        <w:rPr>
          <w:rFonts w:cs="Arial"/>
          <w:highlight w:val="yellow"/>
        </w:rPr>
        <w:t>injected</w:t>
      </w:r>
      <w:r w:rsidR="00052188" w:rsidRPr="00D95265">
        <w:rPr>
          <w:rFonts w:cs="Arial"/>
          <w:highlight w:val="yellow"/>
        </w:rPr>
        <w:t>,</w:t>
      </w:r>
      <w:r w:rsidR="009D1F6C" w:rsidRPr="00D95265">
        <w:rPr>
          <w:rFonts w:cs="Arial"/>
          <w:highlight w:val="yellow"/>
        </w:rPr>
        <w:t xml:space="preserve"> </w:t>
      </w:r>
      <w:r w:rsidR="001156E9" w:rsidRPr="00D95265">
        <w:rPr>
          <w:rFonts w:cs="Arial"/>
          <w:highlight w:val="yellow"/>
        </w:rPr>
        <w:t>non-radioactive</w:t>
      </w:r>
      <w:r w:rsidR="00052188" w:rsidRPr="00D95265">
        <w:rPr>
          <w:rFonts w:cs="Arial"/>
          <w:highlight w:val="yellow"/>
        </w:rPr>
        <w:t>,</w:t>
      </w:r>
      <w:r w:rsidR="001156E9" w:rsidRPr="00D95265">
        <w:rPr>
          <w:rFonts w:cs="Arial"/>
          <w:highlight w:val="yellow"/>
        </w:rPr>
        <w:t xml:space="preserve"> </w:t>
      </w:r>
      <w:r w:rsidR="00D95265" w:rsidRPr="00D95265">
        <w:rPr>
          <w:rFonts w:cs="Arial"/>
          <w:highlight w:val="yellow"/>
        </w:rPr>
        <w:t>R</w:t>
      </w:r>
      <w:r w:rsidR="007C50E1" w:rsidRPr="00D95265">
        <w:rPr>
          <w:rFonts w:cs="Arial"/>
          <w:highlight w:val="yellow"/>
        </w:rPr>
        <w:t>e</w:t>
      </w:r>
      <w:r w:rsidR="009D1F6C" w:rsidRPr="00D95265">
        <w:rPr>
          <w:rFonts w:cs="Arial"/>
          <w:highlight w:val="yellow"/>
        </w:rPr>
        <w:t>-labeled standard</w:t>
      </w:r>
      <w:r w:rsidR="001156E9" w:rsidRPr="00D95265">
        <w:rPr>
          <w:rFonts w:cs="Arial"/>
          <w:highlight w:val="yellow"/>
        </w:rPr>
        <w:t xml:space="preserve"> (0.125 mg</w:t>
      </w:r>
      <w:r w:rsidR="007C2A36" w:rsidRPr="00D95265">
        <w:rPr>
          <w:rFonts w:cs="Arial"/>
          <w:highlight w:val="yellow"/>
        </w:rPr>
        <w:t xml:space="preserve"> in</w:t>
      </w:r>
      <w:r w:rsidR="005140BF" w:rsidRPr="00D95265">
        <w:rPr>
          <w:rFonts w:cs="Arial"/>
          <w:highlight w:val="yellow"/>
        </w:rPr>
        <w:t xml:space="preserve"> 20% methanol</w:t>
      </w:r>
      <w:r w:rsidR="007C2A36" w:rsidRPr="00D95265">
        <w:rPr>
          <w:rFonts w:cs="Arial"/>
          <w:highlight w:val="yellow"/>
        </w:rPr>
        <w:t>-</w:t>
      </w:r>
      <w:r w:rsidR="005140BF" w:rsidRPr="00D95265">
        <w:rPr>
          <w:rFonts w:cs="Arial"/>
          <w:highlight w:val="yellow"/>
        </w:rPr>
        <w:t>H</w:t>
      </w:r>
      <w:r w:rsidR="005140BF" w:rsidRPr="00D95265">
        <w:rPr>
          <w:rFonts w:cs="Arial"/>
          <w:highlight w:val="yellow"/>
          <w:vertAlign w:val="subscript"/>
        </w:rPr>
        <w:t>2</w:t>
      </w:r>
      <w:r w:rsidR="005140BF" w:rsidRPr="00D95265">
        <w:rPr>
          <w:rFonts w:cs="Arial"/>
          <w:highlight w:val="yellow"/>
        </w:rPr>
        <w:t>O</w:t>
      </w:r>
      <w:r w:rsidR="001156E9" w:rsidRPr="00D95265">
        <w:rPr>
          <w:rFonts w:cs="Arial"/>
          <w:highlight w:val="yellow"/>
        </w:rPr>
        <w:t>)</w:t>
      </w:r>
      <w:r w:rsidR="00052188" w:rsidRPr="00D95265">
        <w:rPr>
          <w:rFonts w:cs="Arial"/>
          <w:highlight w:val="yellow"/>
        </w:rPr>
        <w:t>.</w:t>
      </w:r>
      <w:r w:rsidR="00D95265" w:rsidRPr="00D95265">
        <w:rPr>
          <w:rFonts w:cs="Arial"/>
          <w:highlight w:val="yellow"/>
        </w:rPr>
        <w:t xml:space="preserve"> </w:t>
      </w:r>
      <w:r w:rsidR="00052188" w:rsidRPr="00D95265">
        <w:rPr>
          <w:rFonts w:cs="Arial"/>
          <w:highlight w:val="yellow"/>
        </w:rPr>
        <w:t>The Re-labeled standard is identified in the UV HPLC trace</w:t>
      </w:r>
      <w:r w:rsidR="001156E9" w:rsidRPr="00D95265">
        <w:rPr>
          <w:rFonts w:cs="Arial"/>
          <w:highlight w:val="yellow"/>
        </w:rPr>
        <w:t xml:space="preserve">, </w:t>
      </w:r>
      <w:r w:rsidR="00052188" w:rsidRPr="00D95265">
        <w:rPr>
          <w:rFonts w:cs="Arial"/>
          <w:highlight w:val="yellow"/>
        </w:rPr>
        <w:t xml:space="preserve">and will elute at the same time as the </w:t>
      </w:r>
      <w:r w:rsidR="00F27762" w:rsidRPr="00D95265">
        <w:rPr>
          <w:rFonts w:cs="Arial"/>
          <w:highlight w:val="yellow"/>
          <w:vertAlign w:val="superscript"/>
        </w:rPr>
        <w:t>99m</w:t>
      </w:r>
      <w:r w:rsidR="001156E9" w:rsidRPr="00D95265">
        <w:rPr>
          <w:rFonts w:cs="Arial"/>
          <w:highlight w:val="yellow"/>
        </w:rPr>
        <w:t>Tc-labeled compound</w:t>
      </w:r>
      <w:r w:rsidR="005140BF" w:rsidRPr="00D95265">
        <w:rPr>
          <w:rFonts w:cs="Arial"/>
          <w:highlight w:val="yellow"/>
        </w:rPr>
        <w:t xml:space="preserve"> in the γ-HPLC trace</w:t>
      </w:r>
      <w:r w:rsidR="00052188" w:rsidRPr="00D95265">
        <w:rPr>
          <w:rFonts w:cs="Arial"/>
          <w:highlight w:val="yellow"/>
        </w:rPr>
        <w:t>.</w:t>
      </w:r>
      <w:r w:rsidR="00D95265" w:rsidRPr="00D95265">
        <w:rPr>
          <w:rFonts w:cs="Arial"/>
          <w:highlight w:val="yellow"/>
        </w:rPr>
        <w:t xml:space="preserve"> </w:t>
      </w:r>
      <w:r w:rsidR="001156E9" w:rsidRPr="00D95265">
        <w:rPr>
          <w:rFonts w:cs="Arial"/>
          <w:highlight w:val="yellow"/>
        </w:rPr>
        <w:t xml:space="preserve">This co-injection </w:t>
      </w:r>
      <w:r w:rsidR="00610450" w:rsidRPr="00D95265">
        <w:rPr>
          <w:rFonts w:cs="Arial"/>
          <w:highlight w:val="yellow"/>
        </w:rPr>
        <w:t>show</w:t>
      </w:r>
      <w:r w:rsidR="005140BF" w:rsidRPr="00D95265">
        <w:rPr>
          <w:rFonts w:cs="Arial"/>
          <w:highlight w:val="yellow"/>
        </w:rPr>
        <w:t xml:space="preserve">s </w:t>
      </w:r>
      <w:r w:rsidR="00610450" w:rsidRPr="00D95265">
        <w:rPr>
          <w:rFonts w:cs="Arial"/>
          <w:highlight w:val="yellow"/>
        </w:rPr>
        <w:t>peaks at comparable retention times</w:t>
      </w:r>
      <w:r w:rsidR="005140BF" w:rsidRPr="00D95265">
        <w:rPr>
          <w:rFonts w:cs="Arial"/>
          <w:highlight w:val="yellow"/>
        </w:rPr>
        <w:t>,</w:t>
      </w:r>
      <w:r w:rsidR="001156E9" w:rsidRPr="00D95265">
        <w:rPr>
          <w:rFonts w:cs="Arial"/>
          <w:highlight w:val="yellow"/>
        </w:rPr>
        <w:t xml:space="preserve"> confirm</w:t>
      </w:r>
      <w:r w:rsidR="00610450" w:rsidRPr="00D95265">
        <w:rPr>
          <w:rFonts w:cs="Arial"/>
          <w:highlight w:val="yellow"/>
        </w:rPr>
        <w:t>ing</w:t>
      </w:r>
      <w:r w:rsidR="001156E9" w:rsidRPr="00D95265">
        <w:rPr>
          <w:rFonts w:cs="Arial"/>
          <w:highlight w:val="yellow"/>
        </w:rPr>
        <w:t xml:space="preserve"> the identity of the </w:t>
      </w:r>
      <w:r w:rsidR="00F27762" w:rsidRPr="00D95265">
        <w:rPr>
          <w:rFonts w:cs="Arial"/>
          <w:highlight w:val="yellow"/>
          <w:vertAlign w:val="superscript"/>
        </w:rPr>
        <w:t>99m</w:t>
      </w:r>
      <w:r w:rsidR="001156E9" w:rsidRPr="00D95265">
        <w:rPr>
          <w:rFonts w:cs="Arial"/>
          <w:highlight w:val="yellow"/>
        </w:rPr>
        <w:t>Tc-labeled compound</w:t>
      </w:r>
      <w:r w:rsidR="00F27762" w:rsidRPr="00D95265">
        <w:rPr>
          <w:rFonts w:cs="Arial"/>
          <w:highlight w:val="yellow"/>
        </w:rPr>
        <w:t>.</w:t>
      </w:r>
    </w:p>
    <w:p w14:paraId="14ED072D" w14:textId="77777777" w:rsidR="00C40C56" w:rsidRPr="00D95265" w:rsidRDefault="00C40C56" w:rsidP="007C50E1">
      <w:pPr>
        <w:jc w:val="left"/>
        <w:rPr>
          <w:rFonts w:cs="Arial"/>
          <w:highlight w:val="yellow"/>
        </w:rPr>
      </w:pPr>
    </w:p>
    <w:p w14:paraId="6438F8DA" w14:textId="53D22B06" w:rsidR="00C40C56" w:rsidRPr="00D95265" w:rsidRDefault="00C40C56" w:rsidP="007C50E1">
      <w:pPr>
        <w:jc w:val="left"/>
        <w:rPr>
          <w:rFonts w:cs="Arial"/>
          <w:highlight w:val="yellow"/>
        </w:rPr>
      </w:pPr>
      <w:r w:rsidRPr="00D95265">
        <w:rPr>
          <w:rFonts w:cs="Arial"/>
          <w:highlight w:val="yellow"/>
        </w:rPr>
        <w:t>1.2.8)</w:t>
      </w:r>
      <w:r w:rsidRPr="00D95265">
        <w:rPr>
          <w:rFonts w:cs="Arial"/>
          <w:highlight w:val="yellow"/>
        </w:rPr>
        <w:tab/>
        <w:t>Evaporate the solvent from HPLC fractions</w:t>
      </w:r>
      <w:r w:rsidR="009D1F6C" w:rsidRPr="00D95265">
        <w:rPr>
          <w:rFonts w:cs="Arial"/>
          <w:highlight w:val="yellow"/>
        </w:rPr>
        <w:t xml:space="preserve"> using </w:t>
      </w:r>
      <w:r w:rsidR="007C50E1" w:rsidRPr="00D95265">
        <w:rPr>
          <w:rFonts w:cs="Arial"/>
          <w:highlight w:val="yellow"/>
        </w:rPr>
        <w:t>an</w:t>
      </w:r>
      <w:r w:rsidR="00283B48" w:rsidRPr="00D95265">
        <w:rPr>
          <w:rFonts w:cs="Arial"/>
          <w:highlight w:val="yellow"/>
        </w:rPr>
        <w:t xml:space="preserve"> </w:t>
      </w:r>
      <w:r w:rsidR="009D1F6C" w:rsidRPr="00D95265">
        <w:rPr>
          <w:rFonts w:cs="Arial"/>
          <w:highlight w:val="yellow"/>
        </w:rPr>
        <w:t>evaporator</w:t>
      </w:r>
      <w:r w:rsidR="001156E9" w:rsidRPr="00D95265">
        <w:rPr>
          <w:rFonts w:cs="Arial"/>
          <w:highlight w:val="yellow"/>
        </w:rPr>
        <w:t xml:space="preserve"> </w:t>
      </w:r>
      <w:r w:rsidR="00196B6D" w:rsidRPr="00D95265">
        <w:rPr>
          <w:rFonts w:cs="Arial"/>
          <w:highlight w:val="yellow"/>
        </w:rPr>
        <w:t xml:space="preserve">(36 </w:t>
      </w:r>
      <w:r w:rsidR="00196B6D" w:rsidRPr="00D95265">
        <w:rPr>
          <w:rFonts w:cs="Arial"/>
          <w:highlight w:val="yellow"/>
        </w:rPr>
        <w:sym w:font="Symbol" w:char="F0B0"/>
      </w:r>
      <w:r w:rsidR="00196B6D" w:rsidRPr="00D95265">
        <w:rPr>
          <w:rFonts w:cs="Arial"/>
          <w:highlight w:val="yellow"/>
        </w:rPr>
        <w:t>C, 8 mbar, 3 min, 6000 rpm)</w:t>
      </w:r>
      <w:r w:rsidRPr="00D95265">
        <w:rPr>
          <w:rFonts w:cs="Arial"/>
          <w:highlight w:val="yellow"/>
        </w:rPr>
        <w:t>.</w:t>
      </w:r>
    </w:p>
    <w:p w14:paraId="78AFA32D" w14:textId="77777777" w:rsidR="00C40C56" w:rsidRPr="00D95265" w:rsidRDefault="00C40C56" w:rsidP="007C50E1">
      <w:pPr>
        <w:jc w:val="left"/>
        <w:rPr>
          <w:rFonts w:cs="Arial"/>
          <w:highlight w:val="yellow"/>
        </w:rPr>
      </w:pPr>
    </w:p>
    <w:p w14:paraId="0513E957" w14:textId="0B45F25A" w:rsidR="00C40C56" w:rsidRPr="007C50E1" w:rsidRDefault="00C40C56" w:rsidP="007C50E1">
      <w:pPr>
        <w:widowControl/>
        <w:autoSpaceDE/>
        <w:autoSpaceDN/>
        <w:adjustRightInd/>
        <w:jc w:val="left"/>
        <w:rPr>
          <w:rFonts w:cs="Arial"/>
        </w:rPr>
      </w:pPr>
      <w:r w:rsidRPr="00D95265">
        <w:rPr>
          <w:rFonts w:cs="Arial"/>
          <w:highlight w:val="yellow"/>
        </w:rPr>
        <w:t>1.2.9)</w:t>
      </w:r>
      <w:r w:rsidRPr="00D95265">
        <w:rPr>
          <w:rFonts w:cs="Arial"/>
          <w:highlight w:val="yellow"/>
        </w:rPr>
        <w:tab/>
        <w:t>Formulate the purified compound</w:t>
      </w:r>
      <w:r w:rsidR="00170A86" w:rsidRPr="00D95265">
        <w:rPr>
          <w:rFonts w:cs="Arial"/>
          <w:highlight w:val="yellow"/>
        </w:rPr>
        <w:t xml:space="preserve"> at a concentration of 7</w:t>
      </w:r>
      <w:r w:rsidR="00610450" w:rsidRPr="00D95265">
        <w:rPr>
          <w:rFonts w:cs="Arial"/>
          <w:highlight w:val="yellow"/>
        </w:rPr>
        <w:t>.</w:t>
      </w:r>
      <w:r w:rsidR="00170A86" w:rsidRPr="00D95265">
        <w:rPr>
          <w:rFonts w:cs="Arial"/>
          <w:highlight w:val="yellow"/>
        </w:rPr>
        <w:t xml:space="preserve">4 </w:t>
      </w:r>
      <w:r w:rsidR="00A44F55" w:rsidRPr="00D95265">
        <w:rPr>
          <w:rFonts w:cs="Arial"/>
          <w:highlight w:val="yellow"/>
        </w:rPr>
        <w:t>k</w:t>
      </w:r>
      <w:r w:rsidR="00170A86" w:rsidRPr="00D95265">
        <w:rPr>
          <w:rFonts w:cs="Arial"/>
          <w:highlight w:val="yellow"/>
        </w:rPr>
        <w:t>Bq</w:t>
      </w:r>
      <w:r w:rsidR="007C50E1" w:rsidRPr="00D95265">
        <w:rPr>
          <w:rFonts w:cs="Arial"/>
          <w:highlight w:val="yellow"/>
        </w:rPr>
        <w:t>/</w:t>
      </w:r>
      <w:r w:rsidR="00170A86" w:rsidRPr="00D95265">
        <w:rPr>
          <w:rFonts w:cs="Arial"/>
          <w:highlight w:val="yellow"/>
        </w:rPr>
        <w:t>µL</w:t>
      </w:r>
      <w:r w:rsidRPr="00D95265">
        <w:rPr>
          <w:rFonts w:cs="Arial"/>
          <w:highlight w:val="yellow"/>
        </w:rPr>
        <w:t xml:space="preserve"> in PBS</w:t>
      </w:r>
      <w:r w:rsidR="00A44F55" w:rsidRPr="00D95265">
        <w:rPr>
          <w:rFonts w:cs="Arial"/>
          <w:highlight w:val="yellow"/>
        </w:rPr>
        <w:t>,</w:t>
      </w:r>
      <w:r w:rsidRPr="00D95265">
        <w:rPr>
          <w:rFonts w:cs="Arial"/>
          <w:highlight w:val="yellow"/>
        </w:rPr>
        <w:t xml:space="preserve"> </w:t>
      </w:r>
      <w:r w:rsidR="009D1F6C" w:rsidRPr="00D95265">
        <w:rPr>
          <w:rFonts w:cs="Arial"/>
          <w:highlight w:val="yellow"/>
        </w:rPr>
        <w:t xml:space="preserve">containing </w:t>
      </w:r>
      <w:r w:rsidRPr="00D95265">
        <w:rPr>
          <w:rFonts w:cs="Arial"/>
          <w:highlight w:val="yellow"/>
        </w:rPr>
        <w:t xml:space="preserve">0.5% BSA </w:t>
      </w:r>
      <w:r w:rsidR="009D1F6C" w:rsidRPr="00D95265">
        <w:rPr>
          <w:rFonts w:cs="Arial"/>
          <w:highlight w:val="yellow"/>
        </w:rPr>
        <w:t xml:space="preserve">and </w:t>
      </w:r>
      <w:r w:rsidRPr="00D95265">
        <w:rPr>
          <w:rFonts w:cs="Arial"/>
          <w:highlight w:val="yellow"/>
        </w:rPr>
        <w:t>0.01% Tween</w:t>
      </w:r>
      <w:r w:rsidR="00283B48" w:rsidRPr="00D95265">
        <w:rPr>
          <w:rFonts w:cs="Arial"/>
          <w:highlight w:val="yellow"/>
        </w:rPr>
        <w:t>-</w:t>
      </w:r>
      <w:r w:rsidRPr="00D95265">
        <w:rPr>
          <w:rFonts w:cs="Arial"/>
          <w:highlight w:val="yellow"/>
        </w:rPr>
        <w:t>80.</w:t>
      </w:r>
    </w:p>
    <w:p w14:paraId="23508971" w14:textId="77777777" w:rsidR="004C770C" w:rsidRPr="007C50E1" w:rsidRDefault="004C770C" w:rsidP="007C50E1">
      <w:pPr>
        <w:widowControl/>
        <w:autoSpaceDE/>
        <w:autoSpaceDN/>
        <w:adjustRightInd/>
        <w:jc w:val="left"/>
        <w:rPr>
          <w:rFonts w:cs="Arial"/>
        </w:rPr>
      </w:pPr>
    </w:p>
    <w:p w14:paraId="22556030" w14:textId="66273294" w:rsidR="004C770C" w:rsidRPr="007C50E1" w:rsidRDefault="004C770C" w:rsidP="007C50E1">
      <w:pPr>
        <w:widowControl/>
        <w:autoSpaceDE/>
        <w:autoSpaceDN/>
        <w:adjustRightInd/>
        <w:jc w:val="left"/>
        <w:rPr>
          <w:rFonts w:cs="Arial"/>
        </w:rPr>
      </w:pPr>
      <w:r w:rsidRPr="007C50E1">
        <w:rPr>
          <w:rFonts w:cs="Arial"/>
        </w:rPr>
        <w:t xml:space="preserve">1.2.10) </w:t>
      </w:r>
      <w:r w:rsidR="00A44F55" w:rsidRPr="007C50E1">
        <w:rPr>
          <w:rFonts w:cs="Arial"/>
        </w:rPr>
        <w:t xml:space="preserve">To ensure the labelled compounds are stable, </w:t>
      </w:r>
      <w:r w:rsidR="00D95265">
        <w:rPr>
          <w:rFonts w:cs="Arial"/>
        </w:rPr>
        <w:t xml:space="preserve">perform </w:t>
      </w:r>
      <w:r w:rsidR="00A44F55" w:rsidRPr="007C50E1">
        <w:rPr>
          <w:rFonts w:cs="Arial"/>
        </w:rPr>
        <w:t xml:space="preserve">an </w:t>
      </w:r>
      <w:r w:rsidR="00A44F55" w:rsidRPr="007C50E1">
        <w:rPr>
          <w:rFonts w:cs="Arial"/>
          <w:i/>
        </w:rPr>
        <w:t>in vitro</w:t>
      </w:r>
      <w:r w:rsidR="00D95265">
        <w:rPr>
          <w:rFonts w:cs="Arial"/>
        </w:rPr>
        <w:t xml:space="preserve"> stability study</w:t>
      </w:r>
      <w:r w:rsidR="00A44F55" w:rsidRPr="007C50E1">
        <w:rPr>
          <w:rFonts w:cs="Arial"/>
        </w:rPr>
        <w:t xml:space="preserve">. </w:t>
      </w:r>
      <w:r w:rsidRPr="007C50E1">
        <w:rPr>
          <w:rFonts w:cs="Arial"/>
        </w:rPr>
        <w:t xml:space="preserve">Incubate the formulated compound at 37 </w:t>
      </w:r>
      <w:r w:rsidRPr="007C50E1">
        <w:rPr>
          <w:rFonts w:cs="Arial"/>
        </w:rPr>
        <w:sym w:font="Symbol" w:char="F0B0"/>
      </w:r>
      <w:r w:rsidRPr="007C50E1">
        <w:rPr>
          <w:rFonts w:cs="Arial"/>
        </w:rPr>
        <w:t>C for 1, 4 and 6 hours, injecting a small amount</w:t>
      </w:r>
      <w:r w:rsidR="00610450" w:rsidRPr="007C50E1">
        <w:rPr>
          <w:rFonts w:cs="Arial"/>
        </w:rPr>
        <w:t xml:space="preserve"> (</w:t>
      </w:r>
      <w:r w:rsidR="00A44F55" w:rsidRPr="007C50E1">
        <w:rPr>
          <w:rFonts w:cs="Arial"/>
        </w:rPr>
        <w:t>3</w:t>
      </w:r>
      <w:r w:rsidR="005F36D2" w:rsidRPr="007C50E1">
        <w:rPr>
          <w:rFonts w:cs="Arial"/>
        </w:rPr>
        <w:t>.</w:t>
      </w:r>
      <w:r w:rsidR="00A44F55" w:rsidRPr="007C50E1">
        <w:rPr>
          <w:rFonts w:cs="Arial"/>
        </w:rPr>
        <w:t xml:space="preserve">7 </w:t>
      </w:r>
      <w:r w:rsidR="005957D1" w:rsidRPr="007C50E1">
        <w:rPr>
          <w:rFonts w:cs="Arial"/>
        </w:rPr>
        <w:t>M</w:t>
      </w:r>
      <w:r w:rsidR="00A44F55" w:rsidRPr="007C50E1">
        <w:rPr>
          <w:rFonts w:cs="Arial"/>
        </w:rPr>
        <w:t>Bq)</w:t>
      </w:r>
      <w:r w:rsidRPr="007C50E1">
        <w:rPr>
          <w:rFonts w:cs="Arial"/>
        </w:rPr>
        <w:t xml:space="preserve"> of the mixture on the HPLC at each time point to assess stability</w:t>
      </w:r>
      <w:r w:rsidR="00C54BF0" w:rsidRPr="007C50E1">
        <w:rPr>
          <w:rFonts w:cs="Arial"/>
        </w:rPr>
        <w:t>.</w:t>
      </w:r>
      <w:r w:rsidRPr="007C50E1">
        <w:rPr>
          <w:rFonts w:cs="Arial"/>
        </w:rPr>
        <w:t xml:space="preserve"> </w:t>
      </w:r>
    </w:p>
    <w:p w14:paraId="7601D490" w14:textId="77777777" w:rsidR="002C1CFE" w:rsidRPr="007C50E1" w:rsidRDefault="002C1CFE" w:rsidP="007C50E1">
      <w:pPr>
        <w:jc w:val="left"/>
        <w:rPr>
          <w:rFonts w:cs="Arial"/>
        </w:rPr>
      </w:pPr>
    </w:p>
    <w:p w14:paraId="0683EF48" w14:textId="274815EB" w:rsidR="003012E0" w:rsidRPr="00D95265" w:rsidRDefault="009E5F54" w:rsidP="007C50E1">
      <w:pPr>
        <w:pStyle w:val="ListParagraph"/>
        <w:numPr>
          <w:ilvl w:val="0"/>
          <w:numId w:val="1"/>
        </w:numPr>
        <w:ind w:left="426" w:hanging="426"/>
        <w:jc w:val="left"/>
        <w:rPr>
          <w:highlight w:val="yellow"/>
        </w:rPr>
      </w:pPr>
      <w:r w:rsidRPr="00D95265">
        <w:rPr>
          <w:rFonts w:cs="Arial"/>
          <w:b/>
          <w:highlight w:val="yellow"/>
        </w:rPr>
        <w:t>Pre</w:t>
      </w:r>
      <w:r w:rsidR="00865583" w:rsidRPr="00D95265">
        <w:rPr>
          <w:rFonts w:cs="Arial"/>
          <w:b/>
          <w:highlight w:val="yellow"/>
        </w:rPr>
        <w:t>-</w:t>
      </w:r>
      <w:r w:rsidRPr="00D95265">
        <w:rPr>
          <w:rFonts w:cs="Arial"/>
          <w:b/>
          <w:highlight w:val="yellow"/>
        </w:rPr>
        <w:t xml:space="preserve">targeted </w:t>
      </w:r>
      <w:r w:rsidR="00D95265">
        <w:rPr>
          <w:rFonts w:cs="Arial"/>
          <w:b/>
          <w:highlight w:val="yellow"/>
        </w:rPr>
        <w:t xml:space="preserve">Bio-distribution </w:t>
      </w:r>
      <w:r w:rsidRPr="00D95265">
        <w:rPr>
          <w:rFonts w:cs="Arial"/>
          <w:b/>
          <w:highlight w:val="yellow"/>
        </w:rPr>
        <w:t>Studies</w:t>
      </w:r>
    </w:p>
    <w:p w14:paraId="322D2996" w14:textId="64642BC7" w:rsidR="009E5F54" w:rsidRPr="00D95265" w:rsidRDefault="009E5F54" w:rsidP="007C50E1">
      <w:pPr>
        <w:jc w:val="left"/>
        <w:rPr>
          <w:rFonts w:cs="Arial"/>
          <w:highlight w:val="yellow"/>
        </w:rPr>
      </w:pPr>
      <w:r w:rsidRPr="00D95265">
        <w:rPr>
          <w:rFonts w:cs="Arial"/>
          <w:b/>
          <w:highlight w:val="yellow"/>
        </w:rPr>
        <w:t>2.1)</w:t>
      </w:r>
      <w:r w:rsidRPr="00D95265">
        <w:rPr>
          <w:rFonts w:cs="Arial"/>
          <w:b/>
          <w:highlight w:val="yellow"/>
        </w:rPr>
        <w:tab/>
        <w:t>Preparation of animals</w:t>
      </w:r>
    </w:p>
    <w:p w14:paraId="0993B778" w14:textId="6DC7E1F2" w:rsidR="007C50E1" w:rsidRPr="00D95265" w:rsidRDefault="009E5F54" w:rsidP="007C50E1">
      <w:pPr>
        <w:jc w:val="left"/>
        <w:rPr>
          <w:rFonts w:cs="Arial"/>
          <w:highlight w:val="yellow"/>
        </w:rPr>
      </w:pPr>
      <w:r w:rsidRPr="00D95265">
        <w:rPr>
          <w:rFonts w:cs="Arial"/>
          <w:highlight w:val="yellow"/>
        </w:rPr>
        <w:t>2.1.1)</w:t>
      </w:r>
      <w:r w:rsidRPr="00D95265">
        <w:rPr>
          <w:rFonts w:cs="Arial"/>
          <w:highlight w:val="yellow"/>
        </w:rPr>
        <w:tab/>
        <w:t xml:space="preserve">Using </w:t>
      </w:r>
      <w:r w:rsidR="005F36D2" w:rsidRPr="00D95265">
        <w:rPr>
          <w:rFonts w:cs="Arial"/>
          <w:highlight w:val="yellow"/>
        </w:rPr>
        <w:t xml:space="preserve">7-9 </w:t>
      </w:r>
      <w:r w:rsidR="003E1183" w:rsidRPr="00D95265">
        <w:rPr>
          <w:rFonts w:cs="Arial"/>
          <w:highlight w:val="yellow"/>
        </w:rPr>
        <w:t xml:space="preserve">week old, </w:t>
      </w:r>
      <w:r w:rsidRPr="00D95265">
        <w:rPr>
          <w:rFonts w:cs="Arial"/>
          <w:highlight w:val="yellow"/>
        </w:rPr>
        <w:t>female Balb/c mice (n=3), administer TCO-BP formulated in saline (20 mg</w:t>
      </w:r>
      <w:r w:rsidR="00D95265" w:rsidRPr="00D95265">
        <w:rPr>
          <w:rFonts w:cs="Arial"/>
          <w:highlight w:val="yellow"/>
        </w:rPr>
        <w:t>/</w:t>
      </w:r>
      <w:r w:rsidRPr="00D95265">
        <w:rPr>
          <w:rFonts w:cs="Arial"/>
          <w:highlight w:val="yellow"/>
        </w:rPr>
        <w:t xml:space="preserve">kg) (5 </w:t>
      </w:r>
      <w:r w:rsidRPr="00D95265">
        <w:rPr>
          <w:rFonts w:cs="Arial"/>
          <w:highlight w:val="yellow"/>
        </w:rPr>
        <w:sym w:font="Symbol" w:char="F06D"/>
      </w:r>
      <w:r w:rsidRPr="00D95265">
        <w:rPr>
          <w:rFonts w:cs="Arial"/>
          <w:highlight w:val="yellow"/>
        </w:rPr>
        <w:t>g</w:t>
      </w:r>
      <w:r w:rsidR="00D95265" w:rsidRPr="00D95265">
        <w:rPr>
          <w:rFonts w:cs="Arial"/>
          <w:highlight w:val="yellow"/>
        </w:rPr>
        <w:t>/</w:t>
      </w:r>
      <w:r w:rsidRPr="00D95265">
        <w:rPr>
          <w:rFonts w:cs="Arial"/>
          <w:highlight w:val="yellow"/>
        </w:rPr>
        <w:sym w:font="Symbol" w:char="F06D"/>
      </w:r>
      <w:r w:rsidRPr="00D95265">
        <w:rPr>
          <w:rFonts w:cs="Arial"/>
          <w:highlight w:val="yellow"/>
        </w:rPr>
        <w:t>L), via tail-vein injection.</w:t>
      </w:r>
      <w:r w:rsidR="008675BE" w:rsidRPr="00D95265">
        <w:rPr>
          <w:rFonts w:cs="Arial"/>
          <w:highlight w:val="yellow"/>
        </w:rPr>
        <w:t xml:space="preserve"> </w:t>
      </w:r>
    </w:p>
    <w:p w14:paraId="38FD9653" w14:textId="77777777" w:rsidR="007C50E1" w:rsidRPr="00D95265" w:rsidRDefault="007C50E1" w:rsidP="007C50E1">
      <w:pPr>
        <w:jc w:val="left"/>
        <w:rPr>
          <w:rFonts w:cs="Arial"/>
          <w:highlight w:val="yellow"/>
        </w:rPr>
      </w:pPr>
    </w:p>
    <w:p w14:paraId="09A13870" w14:textId="0B6E917C" w:rsidR="009E5F54" w:rsidRPr="00D95265" w:rsidRDefault="007C50E1" w:rsidP="007C50E1">
      <w:pPr>
        <w:jc w:val="left"/>
        <w:rPr>
          <w:rFonts w:cs="Arial"/>
          <w:highlight w:val="yellow"/>
        </w:rPr>
      </w:pPr>
      <w:r w:rsidRPr="00D95265">
        <w:rPr>
          <w:rFonts w:cs="Arial"/>
          <w:highlight w:val="yellow"/>
        </w:rPr>
        <w:t xml:space="preserve">2.1.2) </w:t>
      </w:r>
      <w:r w:rsidR="008675BE" w:rsidRPr="00D95265">
        <w:rPr>
          <w:rFonts w:cs="Arial"/>
          <w:highlight w:val="yellow"/>
        </w:rPr>
        <w:t xml:space="preserve">Place mouse in physical restraint device, and identify the veins located on the lateral surfaces of the tail and wipe with an alcohol swab. At approximately 2 cm from the end of the </w:t>
      </w:r>
      <w:r w:rsidR="008675BE" w:rsidRPr="00D95265">
        <w:rPr>
          <w:rFonts w:cs="Arial"/>
          <w:highlight w:val="yellow"/>
        </w:rPr>
        <w:lastRenderedPageBreak/>
        <w:t xml:space="preserve">tail, insert a 30-gauge needle at a shallow angle, parallel to the vein. Slowly depress the plunger to inject, remove needle and apply clean gauze sponge at injection site with slight pressure until bleeding stops. </w:t>
      </w:r>
    </w:p>
    <w:p w14:paraId="08FEC51B" w14:textId="77777777" w:rsidR="009E5F54" w:rsidRPr="00D95265" w:rsidRDefault="009E5F54" w:rsidP="007C50E1">
      <w:pPr>
        <w:jc w:val="left"/>
        <w:rPr>
          <w:rFonts w:cs="Arial"/>
          <w:highlight w:val="yellow"/>
        </w:rPr>
      </w:pPr>
    </w:p>
    <w:p w14:paraId="30DC5AED" w14:textId="0671D785" w:rsidR="009E5F54" w:rsidRPr="007C50E1" w:rsidRDefault="009E5F54" w:rsidP="007C50E1">
      <w:pPr>
        <w:jc w:val="left"/>
        <w:rPr>
          <w:rFonts w:cs="Arial"/>
        </w:rPr>
      </w:pPr>
      <w:r w:rsidRPr="00D95265">
        <w:rPr>
          <w:rFonts w:cs="Arial"/>
          <w:highlight w:val="yellow"/>
        </w:rPr>
        <w:t>2.1.</w:t>
      </w:r>
      <w:r w:rsidR="007C50E1" w:rsidRPr="00D95265">
        <w:rPr>
          <w:rFonts w:cs="Arial"/>
          <w:highlight w:val="yellow"/>
        </w:rPr>
        <w:t>3</w:t>
      </w:r>
      <w:r w:rsidRPr="00D95265">
        <w:rPr>
          <w:rFonts w:cs="Arial"/>
          <w:highlight w:val="yellow"/>
        </w:rPr>
        <w:t>)</w:t>
      </w:r>
      <w:r w:rsidRPr="00D95265">
        <w:rPr>
          <w:rFonts w:cs="Arial"/>
          <w:highlight w:val="yellow"/>
        </w:rPr>
        <w:tab/>
        <w:t xml:space="preserve"> At 1 h post injection of TCO-BP, administer ~0.74 MBq (20 </w:t>
      </w:r>
      <w:r w:rsidRPr="00D95265">
        <w:rPr>
          <w:rFonts w:cs="Arial"/>
          <w:highlight w:val="yellow"/>
        </w:rPr>
        <w:sym w:font="Symbol" w:char="F06D"/>
      </w:r>
      <w:r w:rsidRPr="00D95265">
        <w:rPr>
          <w:rFonts w:cs="Arial"/>
          <w:highlight w:val="yellow"/>
        </w:rPr>
        <w:t xml:space="preserve">Ci) of </w:t>
      </w:r>
      <w:r w:rsidRPr="00D95265">
        <w:rPr>
          <w:rFonts w:cs="Arial"/>
          <w:highlight w:val="yellow"/>
          <w:vertAlign w:val="superscript"/>
        </w:rPr>
        <w:t>99m</w:t>
      </w:r>
      <w:r w:rsidRPr="00D95265">
        <w:rPr>
          <w:rFonts w:cs="Arial"/>
          <w:highlight w:val="yellow"/>
        </w:rPr>
        <w:t>Tc-</w:t>
      </w:r>
      <w:r w:rsidR="003227FB" w:rsidRPr="00D95265">
        <w:rPr>
          <w:rFonts w:cs="Arial"/>
          <w:highlight w:val="yellow"/>
        </w:rPr>
        <w:t>tetra</w:t>
      </w:r>
      <w:r w:rsidRPr="00D95265">
        <w:rPr>
          <w:rFonts w:cs="Arial"/>
          <w:highlight w:val="yellow"/>
        </w:rPr>
        <w:t>z</w:t>
      </w:r>
      <w:r w:rsidR="003227FB" w:rsidRPr="00D95265">
        <w:rPr>
          <w:rFonts w:cs="Arial"/>
          <w:highlight w:val="yellow"/>
        </w:rPr>
        <w:t>ine</w:t>
      </w:r>
      <w:r w:rsidRPr="00D95265">
        <w:rPr>
          <w:rFonts w:cs="Arial"/>
          <w:highlight w:val="yellow"/>
        </w:rPr>
        <w:t xml:space="preserve"> formulated in 100 </w:t>
      </w:r>
      <w:r w:rsidRPr="00D95265">
        <w:rPr>
          <w:rFonts w:cs="Arial"/>
          <w:highlight w:val="yellow"/>
        </w:rPr>
        <w:sym w:font="Symbol" w:char="F06D"/>
      </w:r>
      <w:r w:rsidRPr="00D95265">
        <w:rPr>
          <w:rFonts w:cs="Arial"/>
          <w:highlight w:val="yellow"/>
        </w:rPr>
        <w:t>L of 0.5% BSA, 0.01% Tween</w:t>
      </w:r>
      <w:r w:rsidR="00283B48" w:rsidRPr="00D95265">
        <w:rPr>
          <w:rFonts w:cs="Arial"/>
          <w:highlight w:val="yellow"/>
        </w:rPr>
        <w:t>-</w:t>
      </w:r>
      <w:r w:rsidRPr="00D95265">
        <w:rPr>
          <w:rFonts w:cs="Arial"/>
          <w:highlight w:val="yellow"/>
        </w:rPr>
        <w:t>80 in PBS, via tail-vein injection.</w:t>
      </w:r>
      <w:r w:rsidRPr="007C50E1">
        <w:rPr>
          <w:rFonts w:cs="Arial"/>
        </w:rPr>
        <w:t xml:space="preserve"> </w:t>
      </w:r>
    </w:p>
    <w:p w14:paraId="1098FFD5" w14:textId="77777777" w:rsidR="009E5F54" w:rsidRPr="007C50E1" w:rsidRDefault="009E5F54" w:rsidP="007C50E1">
      <w:pPr>
        <w:jc w:val="left"/>
        <w:rPr>
          <w:rFonts w:cs="Arial"/>
        </w:rPr>
      </w:pPr>
    </w:p>
    <w:p w14:paraId="55B351D1" w14:textId="55AF4FDE" w:rsidR="009E5F54" w:rsidRPr="007C50E1" w:rsidRDefault="009E5F54" w:rsidP="007C50E1">
      <w:pPr>
        <w:jc w:val="left"/>
        <w:rPr>
          <w:rFonts w:cs="Arial"/>
        </w:rPr>
      </w:pPr>
      <w:r w:rsidRPr="007C50E1">
        <w:rPr>
          <w:rFonts w:cs="Arial"/>
          <w:b/>
        </w:rPr>
        <w:t>2.2)</w:t>
      </w:r>
      <w:r w:rsidRPr="007C50E1">
        <w:rPr>
          <w:rFonts w:cs="Arial"/>
          <w:b/>
        </w:rPr>
        <w:tab/>
      </w:r>
      <w:r w:rsidR="00D95265">
        <w:rPr>
          <w:rFonts w:cs="Arial"/>
          <w:b/>
        </w:rPr>
        <w:t xml:space="preserve">Bio-distribution </w:t>
      </w:r>
      <w:r w:rsidRPr="007C50E1">
        <w:rPr>
          <w:rFonts w:cs="Arial"/>
          <w:b/>
        </w:rPr>
        <w:t>studies</w:t>
      </w:r>
    </w:p>
    <w:p w14:paraId="5B56AFB1" w14:textId="3C4E0998" w:rsidR="009E5F54" w:rsidRPr="007C50E1" w:rsidRDefault="009E5F54" w:rsidP="007C50E1">
      <w:pPr>
        <w:jc w:val="left"/>
        <w:rPr>
          <w:rFonts w:cs="Arial"/>
        </w:rPr>
      </w:pPr>
      <w:r w:rsidRPr="007C50E1">
        <w:rPr>
          <w:rFonts w:cs="Arial"/>
        </w:rPr>
        <w:t>2.2.1)</w:t>
      </w:r>
      <w:r w:rsidRPr="007C50E1">
        <w:rPr>
          <w:rFonts w:cs="Arial"/>
        </w:rPr>
        <w:tab/>
        <w:t>At the desired time point (t = 6 h), anaesthetize the mice using 3% isoflurane and 2% oxygen gas mixture.</w:t>
      </w:r>
    </w:p>
    <w:p w14:paraId="279F014E" w14:textId="77777777" w:rsidR="009E5F54" w:rsidRPr="007C50E1" w:rsidRDefault="009E5F54" w:rsidP="007C50E1">
      <w:pPr>
        <w:jc w:val="left"/>
        <w:rPr>
          <w:rFonts w:cs="Arial"/>
        </w:rPr>
      </w:pPr>
      <w:r w:rsidRPr="007C50E1">
        <w:rPr>
          <w:rFonts w:cs="Arial"/>
        </w:rPr>
        <w:t xml:space="preserve"> </w:t>
      </w:r>
    </w:p>
    <w:p w14:paraId="4426FB05" w14:textId="77777777" w:rsidR="007C50E1" w:rsidRDefault="009E5F54" w:rsidP="007C50E1">
      <w:pPr>
        <w:jc w:val="left"/>
        <w:rPr>
          <w:rFonts w:cs="Arial"/>
        </w:rPr>
      </w:pPr>
      <w:r w:rsidRPr="00D95265">
        <w:rPr>
          <w:rFonts w:cs="Arial"/>
          <w:highlight w:val="yellow"/>
        </w:rPr>
        <w:t>2.2.2)</w:t>
      </w:r>
      <w:r w:rsidRPr="00D95265">
        <w:rPr>
          <w:rFonts w:cs="Arial"/>
          <w:highlight w:val="yellow"/>
        </w:rPr>
        <w:tab/>
        <w:t xml:space="preserve">Collect blood (1 mL) via cardiac puncture using a syringe </w:t>
      </w:r>
      <w:r w:rsidR="001031F9" w:rsidRPr="00D95265">
        <w:rPr>
          <w:rFonts w:cs="Arial"/>
          <w:highlight w:val="yellow"/>
        </w:rPr>
        <w:t xml:space="preserve">pre-treated with </w:t>
      </w:r>
      <w:r w:rsidRPr="00D95265">
        <w:rPr>
          <w:rFonts w:cs="Arial"/>
          <w:highlight w:val="yellow"/>
        </w:rPr>
        <w:t>heparin</w:t>
      </w:r>
      <w:r w:rsidR="009B2F29" w:rsidRPr="00D95265">
        <w:rPr>
          <w:rFonts w:cs="Arial"/>
          <w:highlight w:val="yellow"/>
        </w:rPr>
        <w:t>.</w:t>
      </w:r>
      <w:r w:rsidR="009820BC" w:rsidRPr="00D95265">
        <w:rPr>
          <w:rFonts w:cs="Arial"/>
          <w:highlight w:val="yellow"/>
        </w:rPr>
        <w:t xml:space="preserve"> Place mouse on its back with nose in the nose cone for continued anesthesia and locate the xiphoid process on the animal.</w:t>
      </w:r>
      <w:r w:rsidR="009820BC" w:rsidRPr="007C50E1">
        <w:rPr>
          <w:rFonts w:cs="Arial"/>
        </w:rPr>
        <w:t xml:space="preserve"> </w:t>
      </w:r>
    </w:p>
    <w:p w14:paraId="2670828A" w14:textId="77777777" w:rsidR="007C50E1" w:rsidRDefault="007C50E1" w:rsidP="007C50E1">
      <w:pPr>
        <w:jc w:val="left"/>
        <w:rPr>
          <w:rFonts w:cs="Arial"/>
        </w:rPr>
      </w:pPr>
    </w:p>
    <w:p w14:paraId="2E36B77B" w14:textId="2FCB1A45" w:rsidR="009820BC" w:rsidRPr="007C50E1" w:rsidRDefault="007C50E1" w:rsidP="007C50E1">
      <w:pPr>
        <w:jc w:val="left"/>
        <w:rPr>
          <w:rFonts w:cs="Arial"/>
        </w:rPr>
      </w:pPr>
      <w:r w:rsidRPr="00D95265">
        <w:rPr>
          <w:rFonts w:cs="Arial"/>
          <w:highlight w:val="yellow"/>
        </w:rPr>
        <w:t xml:space="preserve">2.2.2.1) </w:t>
      </w:r>
      <w:r w:rsidR="009820BC" w:rsidRPr="00D95265">
        <w:rPr>
          <w:rFonts w:cs="Arial"/>
          <w:highlight w:val="yellow"/>
        </w:rPr>
        <w:t>Insert a 25-gauge needle, slightly to the left of the animal’s midline under the xiphoid process, at a 20</w:t>
      </w:r>
      <w:r w:rsidR="006169B2" w:rsidRPr="00D95265">
        <w:rPr>
          <w:rFonts w:cs="Arial"/>
          <w:highlight w:val="yellow"/>
        </w:rPr>
        <w:t>-</w:t>
      </w:r>
      <w:r w:rsidR="009820BC" w:rsidRPr="00D95265">
        <w:rPr>
          <w:rFonts w:cs="Arial"/>
          <w:highlight w:val="yellow"/>
        </w:rPr>
        <w:t>degree angle. Fully insert the needle, and slowly pull back on the plunger to see blood in the needle hub if the heart was punctured. Slightly readjust the needle while holding the plunger if necessary, to puncture the heart.</w:t>
      </w:r>
      <w:r w:rsidR="00D95265" w:rsidRPr="00D95265">
        <w:rPr>
          <w:rFonts w:cs="Arial"/>
          <w:highlight w:val="yellow"/>
        </w:rPr>
        <w:t xml:space="preserve"> </w:t>
      </w:r>
      <w:r w:rsidR="009820BC" w:rsidRPr="00D95265">
        <w:rPr>
          <w:rFonts w:cs="Arial"/>
          <w:highlight w:val="yellow"/>
        </w:rPr>
        <w:t>Slowly draw blood into the syringe</w:t>
      </w:r>
      <w:r w:rsidR="006169B2" w:rsidRPr="00D95265">
        <w:rPr>
          <w:rFonts w:cs="Arial"/>
          <w:highlight w:val="yellow"/>
        </w:rPr>
        <w:t>.</w:t>
      </w:r>
      <w:r w:rsidR="009820BC" w:rsidRPr="007C50E1">
        <w:rPr>
          <w:rFonts w:cs="Arial"/>
        </w:rPr>
        <w:t xml:space="preserve"> </w:t>
      </w:r>
    </w:p>
    <w:p w14:paraId="0A10C6C0" w14:textId="77777777" w:rsidR="00DE720B" w:rsidRPr="007C50E1" w:rsidRDefault="00DE720B" w:rsidP="007C50E1">
      <w:pPr>
        <w:jc w:val="left"/>
        <w:rPr>
          <w:rFonts w:cs="Arial"/>
        </w:rPr>
      </w:pPr>
    </w:p>
    <w:p w14:paraId="1A01C54F" w14:textId="31C92A43" w:rsidR="009E5F54" w:rsidRPr="007C50E1" w:rsidRDefault="009820BC" w:rsidP="007C50E1">
      <w:pPr>
        <w:jc w:val="left"/>
        <w:rPr>
          <w:rFonts w:cs="Arial"/>
        </w:rPr>
      </w:pPr>
      <w:r w:rsidRPr="007C50E1">
        <w:rPr>
          <w:rFonts w:cs="Arial"/>
        </w:rPr>
        <w:t>2.2.3) E</w:t>
      </w:r>
      <w:r w:rsidR="009E5F54" w:rsidRPr="007C50E1">
        <w:rPr>
          <w:rFonts w:cs="Arial"/>
        </w:rPr>
        <w:t>uthanize the animal by cervical dislocation, while under anesthesia.</w:t>
      </w:r>
      <w:r w:rsidR="009B2F29" w:rsidRPr="007C50E1">
        <w:rPr>
          <w:rFonts w:cs="Arial"/>
        </w:rPr>
        <w:t xml:space="preserve"> </w:t>
      </w:r>
    </w:p>
    <w:p w14:paraId="50FB3579" w14:textId="3E29C0B6" w:rsidR="009E5F54" w:rsidRPr="007C50E1" w:rsidRDefault="00D95265" w:rsidP="007C50E1">
      <w:pPr>
        <w:jc w:val="left"/>
        <w:rPr>
          <w:rFonts w:cs="Arial"/>
        </w:rPr>
      </w:pPr>
      <w:r>
        <w:rPr>
          <w:rFonts w:cs="Arial"/>
        </w:rPr>
        <w:t xml:space="preserve"> </w:t>
      </w:r>
    </w:p>
    <w:p w14:paraId="503F51A0" w14:textId="2FED61E5" w:rsidR="009E5F54" w:rsidRPr="00D95265" w:rsidRDefault="009E5F54" w:rsidP="007C50E1">
      <w:pPr>
        <w:jc w:val="left"/>
        <w:rPr>
          <w:rFonts w:cs="Arial"/>
          <w:highlight w:val="yellow"/>
        </w:rPr>
      </w:pPr>
      <w:r w:rsidRPr="00D95265">
        <w:rPr>
          <w:rFonts w:cs="Arial"/>
          <w:highlight w:val="yellow"/>
        </w:rPr>
        <w:t>2.2.</w:t>
      </w:r>
      <w:r w:rsidR="009820BC" w:rsidRPr="00D95265">
        <w:rPr>
          <w:rFonts w:cs="Arial"/>
          <w:highlight w:val="yellow"/>
        </w:rPr>
        <w:t>4</w:t>
      </w:r>
      <w:r w:rsidRPr="00D95265">
        <w:rPr>
          <w:rFonts w:cs="Arial"/>
          <w:highlight w:val="yellow"/>
        </w:rPr>
        <w:t>)</w:t>
      </w:r>
      <w:r w:rsidRPr="00D95265">
        <w:rPr>
          <w:rFonts w:cs="Arial"/>
          <w:highlight w:val="yellow"/>
        </w:rPr>
        <w:tab/>
        <w:t>Place each animal in a plastic bag and use a dose calibrator</w:t>
      </w:r>
      <w:r w:rsidR="00E93C61" w:rsidRPr="00D95265">
        <w:rPr>
          <w:rFonts w:cs="Arial"/>
          <w:highlight w:val="yellow"/>
        </w:rPr>
        <w:t xml:space="preserve"> (</w:t>
      </w:r>
      <w:r w:rsidR="00E93C61" w:rsidRPr="00D95265">
        <w:rPr>
          <w:rFonts w:cs="Arial"/>
          <w:highlight w:val="yellow"/>
          <w:vertAlign w:val="superscript"/>
        </w:rPr>
        <w:t>99m</w:t>
      </w:r>
      <w:r w:rsidR="00E93C61" w:rsidRPr="00D95265">
        <w:rPr>
          <w:rFonts w:cs="Arial"/>
          <w:highlight w:val="yellow"/>
        </w:rPr>
        <w:t>Tc setting)</w:t>
      </w:r>
      <w:r w:rsidRPr="00D95265">
        <w:rPr>
          <w:rFonts w:cs="Arial"/>
          <w:highlight w:val="yellow"/>
        </w:rPr>
        <w:t xml:space="preserve"> to measure the whole body activity level.</w:t>
      </w:r>
    </w:p>
    <w:p w14:paraId="282B4BD5" w14:textId="77777777" w:rsidR="009E5F54" w:rsidRPr="00D95265" w:rsidRDefault="009E5F54" w:rsidP="007C50E1">
      <w:pPr>
        <w:jc w:val="left"/>
        <w:rPr>
          <w:rFonts w:cs="Arial"/>
          <w:highlight w:val="yellow"/>
        </w:rPr>
      </w:pPr>
    </w:p>
    <w:p w14:paraId="2008E2A7" w14:textId="3D3832BD" w:rsidR="009E5F54" w:rsidRPr="00D95265" w:rsidRDefault="009E5F54" w:rsidP="007C50E1">
      <w:pPr>
        <w:jc w:val="left"/>
        <w:rPr>
          <w:rFonts w:cs="Arial"/>
          <w:highlight w:val="yellow"/>
        </w:rPr>
      </w:pPr>
      <w:r w:rsidRPr="00D95265">
        <w:rPr>
          <w:rFonts w:cs="Arial"/>
          <w:highlight w:val="yellow"/>
        </w:rPr>
        <w:t>2.2.</w:t>
      </w:r>
      <w:r w:rsidR="009820BC" w:rsidRPr="00D95265">
        <w:rPr>
          <w:rFonts w:cs="Arial"/>
          <w:highlight w:val="yellow"/>
        </w:rPr>
        <w:t>5</w:t>
      </w:r>
      <w:r w:rsidRPr="00D95265">
        <w:rPr>
          <w:rFonts w:cs="Arial"/>
          <w:highlight w:val="yellow"/>
        </w:rPr>
        <w:t>)</w:t>
      </w:r>
      <w:r w:rsidRPr="00D95265">
        <w:rPr>
          <w:rFonts w:cs="Arial"/>
          <w:highlight w:val="yellow"/>
        </w:rPr>
        <w:tab/>
        <w:t>Collect the following tissues</w:t>
      </w:r>
      <w:r w:rsidR="006169B2" w:rsidRPr="00D95265">
        <w:rPr>
          <w:rFonts w:cs="Arial"/>
          <w:highlight w:val="yellow"/>
        </w:rPr>
        <w:t xml:space="preserve"> and fluids</w:t>
      </w:r>
      <w:r w:rsidRPr="00D95265">
        <w:rPr>
          <w:rFonts w:cs="Arial"/>
          <w:highlight w:val="yellow"/>
        </w:rPr>
        <w:t xml:space="preserve"> in pre-weighed counting tubes: blood, bone (knee and shoulder), gall bladder, kidneys, liver, stomach</w:t>
      </w:r>
      <w:r w:rsidR="00FC2024" w:rsidRPr="00D95265">
        <w:rPr>
          <w:rFonts w:cs="Arial"/>
          <w:highlight w:val="yellow"/>
        </w:rPr>
        <w:t xml:space="preserve"> (with contents)</w:t>
      </w:r>
      <w:r w:rsidRPr="00D95265">
        <w:rPr>
          <w:rFonts w:cs="Arial"/>
          <w:highlight w:val="yellow"/>
        </w:rPr>
        <w:t xml:space="preserve">, small intestines </w:t>
      </w:r>
      <w:r w:rsidR="00FC2024" w:rsidRPr="00D95265">
        <w:rPr>
          <w:rFonts w:cs="Arial"/>
          <w:highlight w:val="yellow"/>
        </w:rPr>
        <w:t>(</w:t>
      </w:r>
      <w:r w:rsidRPr="00D95265">
        <w:rPr>
          <w:rFonts w:cs="Arial"/>
          <w:highlight w:val="yellow"/>
        </w:rPr>
        <w:t>with contents</w:t>
      </w:r>
      <w:r w:rsidR="00FC2024" w:rsidRPr="00D95265">
        <w:rPr>
          <w:rFonts w:cs="Arial"/>
          <w:highlight w:val="yellow"/>
        </w:rPr>
        <w:t>)</w:t>
      </w:r>
      <w:r w:rsidRPr="00D95265">
        <w:rPr>
          <w:rFonts w:cs="Arial"/>
          <w:highlight w:val="yellow"/>
        </w:rPr>
        <w:t xml:space="preserve">, large intestines </w:t>
      </w:r>
      <w:r w:rsidR="00FC2024" w:rsidRPr="00D95265">
        <w:rPr>
          <w:rFonts w:cs="Arial"/>
          <w:highlight w:val="yellow"/>
        </w:rPr>
        <w:t>and caecum (with contents)</w:t>
      </w:r>
      <w:r w:rsidRPr="00D95265">
        <w:rPr>
          <w:rFonts w:cs="Arial"/>
          <w:highlight w:val="yellow"/>
        </w:rPr>
        <w:t>,</w:t>
      </w:r>
      <w:r w:rsidR="00FC2024" w:rsidRPr="00D95265">
        <w:rPr>
          <w:rFonts w:cs="Arial"/>
          <w:highlight w:val="yellow"/>
        </w:rPr>
        <w:t xml:space="preserve"> thyroid and trachea,</w:t>
      </w:r>
      <w:r w:rsidRPr="00D95265">
        <w:rPr>
          <w:rFonts w:cs="Arial"/>
          <w:highlight w:val="yellow"/>
        </w:rPr>
        <w:t xml:space="preserve"> urinary bladder </w:t>
      </w:r>
      <w:r w:rsidR="00283B48" w:rsidRPr="00D95265">
        <w:rPr>
          <w:rFonts w:cs="Arial"/>
          <w:highlight w:val="yellow"/>
        </w:rPr>
        <w:t>with</w:t>
      </w:r>
      <w:r w:rsidRPr="00D95265">
        <w:rPr>
          <w:rFonts w:cs="Arial"/>
          <w:highlight w:val="yellow"/>
        </w:rPr>
        <w:t xml:space="preserve"> urine, and tail.</w:t>
      </w:r>
    </w:p>
    <w:p w14:paraId="0FEBE3F5" w14:textId="77777777" w:rsidR="009E5F54" w:rsidRPr="00D95265" w:rsidRDefault="009E5F54" w:rsidP="007C50E1">
      <w:pPr>
        <w:jc w:val="left"/>
        <w:rPr>
          <w:rFonts w:cs="Arial"/>
          <w:highlight w:val="yellow"/>
        </w:rPr>
      </w:pPr>
      <w:r w:rsidRPr="00D95265">
        <w:rPr>
          <w:rFonts w:cs="Arial"/>
          <w:highlight w:val="yellow"/>
        </w:rPr>
        <w:t xml:space="preserve"> </w:t>
      </w:r>
    </w:p>
    <w:p w14:paraId="6794E5D3" w14:textId="5502A78F" w:rsidR="009E5F54" w:rsidRPr="00D95265" w:rsidRDefault="009E5F54" w:rsidP="007C50E1">
      <w:pPr>
        <w:jc w:val="left"/>
        <w:rPr>
          <w:rFonts w:cs="Arial"/>
          <w:highlight w:val="yellow"/>
        </w:rPr>
      </w:pPr>
      <w:r w:rsidRPr="00D95265">
        <w:rPr>
          <w:rFonts w:cs="Arial"/>
          <w:highlight w:val="yellow"/>
        </w:rPr>
        <w:t>2.2.</w:t>
      </w:r>
      <w:r w:rsidR="009820BC" w:rsidRPr="00D95265">
        <w:rPr>
          <w:rFonts w:cs="Arial"/>
          <w:highlight w:val="yellow"/>
        </w:rPr>
        <w:t>6</w:t>
      </w:r>
      <w:r w:rsidRPr="00D95265">
        <w:rPr>
          <w:rFonts w:cs="Arial"/>
          <w:highlight w:val="yellow"/>
        </w:rPr>
        <w:t>)</w:t>
      </w:r>
      <w:r w:rsidRPr="00D95265">
        <w:rPr>
          <w:rFonts w:cs="Arial"/>
          <w:highlight w:val="yellow"/>
        </w:rPr>
        <w:tab/>
        <w:t>Rinse</w:t>
      </w:r>
      <w:r w:rsidR="00E93C61" w:rsidRPr="00D95265">
        <w:rPr>
          <w:rFonts w:cs="Arial"/>
          <w:highlight w:val="yellow"/>
        </w:rPr>
        <w:t xml:space="preserve"> appropriate</w:t>
      </w:r>
      <w:r w:rsidRPr="00D95265">
        <w:rPr>
          <w:rFonts w:cs="Arial"/>
          <w:highlight w:val="yellow"/>
        </w:rPr>
        <w:t xml:space="preserve"> tissues</w:t>
      </w:r>
      <w:r w:rsidR="00E93C61" w:rsidRPr="00D95265">
        <w:rPr>
          <w:rFonts w:cs="Arial"/>
          <w:highlight w:val="yellow"/>
        </w:rPr>
        <w:t xml:space="preserve"> (excluding blood</w:t>
      </w:r>
      <w:r w:rsidR="006169B2" w:rsidRPr="00D95265">
        <w:rPr>
          <w:rFonts w:cs="Arial"/>
          <w:highlight w:val="yellow"/>
        </w:rPr>
        <w:t>, gall bladder, and urinary bladder</w:t>
      </w:r>
      <w:r w:rsidR="00E93C61" w:rsidRPr="00D95265">
        <w:rPr>
          <w:rFonts w:cs="Arial"/>
          <w:highlight w:val="yellow"/>
        </w:rPr>
        <w:t>)</w:t>
      </w:r>
      <w:r w:rsidRPr="00D95265">
        <w:rPr>
          <w:rFonts w:cs="Arial"/>
          <w:highlight w:val="yellow"/>
        </w:rPr>
        <w:t xml:space="preserve"> in PBS to remove blood and blot dry before placing the tissues in appropriate counting tube</w:t>
      </w:r>
      <w:r w:rsidR="000F0575" w:rsidRPr="00D95265">
        <w:rPr>
          <w:rFonts w:cs="Arial"/>
          <w:highlight w:val="yellow"/>
        </w:rPr>
        <w:t>s</w:t>
      </w:r>
      <w:r w:rsidRPr="00D95265">
        <w:rPr>
          <w:rFonts w:cs="Arial"/>
          <w:highlight w:val="yellow"/>
        </w:rPr>
        <w:t>.</w:t>
      </w:r>
    </w:p>
    <w:p w14:paraId="5641B5DA" w14:textId="77777777" w:rsidR="009E5F54" w:rsidRPr="00D95265" w:rsidRDefault="009E5F54" w:rsidP="007C50E1">
      <w:pPr>
        <w:jc w:val="left"/>
        <w:rPr>
          <w:rFonts w:cs="Arial"/>
          <w:highlight w:val="yellow"/>
        </w:rPr>
      </w:pPr>
      <w:r w:rsidRPr="00D95265">
        <w:rPr>
          <w:rFonts w:cs="Arial"/>
          <w:highlight w:val="yellow"/>
        </w:rPr>
        <w:t xml:space="preserve"> </w:t>
      </w:r>
    </w:p>
    <w:p w14:paraId="31EA631C" w14:textId="6050076C" w:rsidR="009E5F54" w:rsidRPr="00D95265" w:rsidRDefault="009E5F54" w:rsidP="007C50E1">
      <w:pPr>
        <w:jc w:val="left"/>
        <w:rPr>
          <w:rFonts w:cs="Arial"/>
          <w:highlight w:val="yellow"/>
        </w:rPr>
      </w:pPr>
      <w:r w:rsidRPr="00D95265">
        <w:rPr>
          <w:rFonts w:cs="Arial"/>
          <w:highlight w:val="yellow"/>
        </w:rPr>
        <w:t>2.2.</w:t>
      </w:r>
      <w:r w:rsidR="009820BC" w:rsidRPr="00D95265">
        <w:rPr>
          <w:rFonts w:cs="Arial"/>
          <w:highlight w:val="yellow"/>
        </w:rPr>
        <w:t>7</w:t>
      </w:r>
      <w:r w:rsidRPr="00D95265">
        <w:rPr>
          <w:rFonts w:cs="Arial"/>
          <w:highlight w:val="yellow"/>
        </w:rPr>
        <w:t>)</w:t>
      </w:r>
      <w:r w:rsidRPr="00D95265">
        <w:rPr>
          <w:rFonts w:cs="Arial"/>
          <w:highlight w:val="yellow"/>
        </w:rPr>
        <w:tab/>
        <w:t>Place animal carcass in</w:t>
      </w:r>
      <w:r w:rsidR="000F0575" w:rsidRPr="00D95265">
        <w:rPr>
          <w:rFonts w:cs="Arial"/>
          <w:highlight w:val="yellow"/>
        </w:rPr>
        <w:t xml:space="preserve"> a</w:t>
      </w:r>
      <w:r w:rsidRPr="00D95265">
        <w:rPr>
          <w:rFonts w:cs="Arial"/>
          <w:highlight w:val="yellow"/>
        </w:rPr>
        <w:t xml:space="preserve"> plastic bag and measure residual whole body activity using a dose calibrator.</w:t>
      </w:r>
    </w:p>
    <w:p w14:paraId="07E8E6C4" w14:textId="77777777" w:rsidR="009E5F54" w:rsidRPr="00D95265" w:rsidRDefault="009E5F54" w:rsidP="007C50E1">
      <w:pPr>
        <w:jc w:val="left"/>
        <w:rPr>
          <w:rFonts w:cs="Arial"/>
          <w:highlight w:val="yellow"/>
        </w:rPr>
      </w:pPr>
      <w:r w:rsidRPr="00D95265">
        <w:rPr>
          <w:rFonts w:cs="Arial"/>
          <w:highlight w:val="yellow"/>
        </w:rPr>
        <w:t xml:space="preserve"> </w:t>
      </w:r>
    </w:p>
    <w:p w14:paraId="0CE9AC85" w14:textId="703426C2" w:rsidR="009E5F54" w:rsidRPr="00D95265" w:rsidRDefault="009E5F54" w:rsidP="007C50E1">
      <w:pPr>
        <w:jc w:val="left"/>
        <w:rPr>
          <w:rFonts w:cs="Arial"/>
          <w:highlight w:val="yellow"/>
        </w:rPr>
      </w:pPr>
      <w:r w:rsidRPr="00D95265">
        <w:rPr>
          <w:rFonts w:cs="Arial"/>
          <w:highlight w:val="yellow"/>
        </w:rPr>
        <w:t>2.2.</w:t>
      </w:r>
      <w:r w:rsidR="009820BC" w:rsidRPr="00D95265">
        <w:rPr>
          <w:rFonts w:cs="Arial"/>
          <w:highlight w:val="yellow"/>
        </w:rPr>
        <w:t>8</w:t>
      </w:r>
      <w:r w:rsidRPr="00D95265">
        <w:rPr>
          <w:rFonts w:cs="Arial"/>
          <w:highlight w:val="yellow"/>
        </w:rPr>
        <w:t>)</w:t>
      </w:r>
      <w:r w:rsidRPr="00D95265">
        <w:rPr>
          <w:rFonts w:cs="Arial"/>
          <w:highlight w:val="yellow"/>
        </w:rPr>
        <w:tab/>
        <w:t xml:space="preserve">Weigh each tube containing a tissue sample. Subtract initial weight of the tube to obtain mass of the tissue. </w:t>
      </w:r>
    </w:p>
    <w:p w14:paraId="64C51C31" w14:textId="77777777" w:rsidR="00787C2E" w:rsidRPr="00D95265" w:rsidRDefault="00787C2E" w:rsidP="007C50E1">
      <w:pPr>
        <w:jc w:val="left"/>
        <w:rPr>
          <w:rFonts w:cs="Arial"/>
          <w:highlight w:val="yellow"/>
        </w:rPr>
      </w:pPr>
    </w:p>
    <w:p w14:paraId="65645ACC" w14:textId="77777777" w:rsidR="007C50E1" w:rsidRPr="00D95265" w:rsidRDefault="00787C2E" w:rsidP="007C50E1">
      <w:pPr>
        <w:jc w:val="left"/>
        <w:rPr>
          <w:rFonts w:cs="Arial"/>
          <w:highlight w:val="yellow"/>
        </w:rPr>
      </w:pPr>
      <w:r w:rsidRPr="00D95265">
        <w:rPr>
          <w:rFonts w:cs="Arial"/>
          <w:highlight w:val="yellow"/>
        </w:rPr>
        <w:t xml:space="preserve">2.2.9) Use a </w:t>
      </w:r>
      <w:r w:rsidR="000003B3" w:rsidRPr="00D95265">
        <w:rPr>
          <w:rFonts w:cs="Arial"/>
          <w:highlight w:val="yellow"/>
        </w:rPr>
        <w:t>dose calibrator (</w:t>
      </w:r>
      <w:r w:rsidR="000003B3" w:rsidRPr="00D95265">
        <w:rPr>
          <w:rFonts w:cs="Arial"/>
          <w:highlight w:val="yellow"/>
          <w:vertAlign w:val="superscript"/>
        </w:rPr>
        <w:t>99m</w:t>
      </w:r>
      <w:r w:rsidR="000003B3" w:rsidRPr="00D95265">
        <w:rPr>
          <w:rFonts w:cs="Arial"/>
          <w:highlight w:val="yellow"/>
        </w:rPr>
        <w:t xml:space="preserve">Tc setting) </w:t>
      </w:r>
      <w:r w:rsidRPr="00D95265">
        <w:rPr>
          <w:rFonts w:cs="Arial"/>
          <w:highlight w:val="yellow"/>
        </w:rPr>
        <w:t>to measure the amount of activity in a test sample</w:t>
      </w:r>
      <w:r w:rsidR="00C9659F" w:rsidRPr="00D95265">
        <w:rPr>
          <w:rFonts w:cs="Arial"/>
          <w:highlight w:val="yellow"/>
        </w:rPr>
        <w:t xml:space="preserve"> (100 µL)</w:t>
      </w:r>
      <w:r w:rsidRPr="00D95265">
        <w:rPr>
          <w:rFonts w:cs="Arial"/>
          <w:highlight w:val="yellow"/>
        </w:rPr>
        <w:t xml:space="preserve"> at the time of injection for each mouse. </w:t>
      </w:r>
    </w:p>
    <w:p w14:paraId="42E86AC8" w14:textId="77777777" w:rsidR="007C50E1" w:rsidRPr="00D95265" w:rsidRDefault="007C50E1" w:rsidP="007C50E1">
      <w:pPr>
        <w:jc w:val="left"/>
        <w:rPr>
          <w:rFonts w:cs="Arial"/>
          <w:highlight w:val="yellow"/>
        </w:rPr>
      </w:pPr>
    </w:p>
    <w:p w14:paraId="45687CD4" w14:textId="34FF583A" w:rsidR="00787C2E" w:rsidRPr="00D95265" w:rsidRDefault="00C9659F" w:rsidP="007C50E1">
      <w:pPr>
        <w:jc w:val="left"/>
        <w:rPr>
          <w:rFonts w:cs="Arial"/>
          <w:highlight w:val="yellow"/>
        </w:rPr>
      </w:pPr>
      <w:r w:rsidRPr="00D95265">
        <w:rPr>
          <w:rFonts w:cs="Arial"/>
          <w:highlight w:val="yellow"/>
        </w:rPr>
        <w:t xml:space="preserve">NOTE: </w:t>
      </w:r>
      <w:r w:rsidR="00787C2E" w:rsidRPr="00D95265">
        <w:rPr>
          <w:rFonts w:cs="Arial"/>
          <w:highlight w:val="yellow"/>
        </w:rPr>
        <w:t xml:space="preserve">This test sample </w:t>
      </w:r>
      <w:r w:rsidR="00F63F97" w:rsidRPr="00D95265">
        <w:rPr>
          <w:rFonts w:cs="Arial"/>
          <w:highlight w:val="yellow"/>
        </w:rPr>
        <w:t>is equal to the injection volume, thus giving</w:t>
      </w:r>
      <w:r w:rsidR="00787C2E" w:rsidRPr="00D95265">
        <w:rPr>
          <w:rFonts w:cs="Arial"/>
          <w:highlight w:val="yellow"/>
        </w:rPr>
        <w:t xml:space="preserve"> </w:t>
      </w:r>
      <w:r w:rsidR="00F63F97" w:rsidRPr="00D95265">
        <w:rPr>
          <w:rFonts w:cs="Arial"/>
          <w:highlight w:val="yellow"/>
        </w:rPr>
        <w:t>the</w:t>
      </w:r>
      <w:r w:rsidR="00787C2E" w:rsidRPr="00D95265">
        <w:rPr>
          <w:rFonts w:cs="Arial"/>
          <w:highlight w:val="yellow"/>
        </w:rPr>
        <w:t xml:space="preserve"> activity count at the time of injection. </w:t>
      </w:r>
    </w:p>
    <w:p w14:paraId="76B132F5" w14:textId="77777777" w:rsidR="00787C2E" w:rsidRPr="00D95265" w:rsidRDefault="00787C2E" w:rsidP="007C50E1">
      <w:pPr>
        <w:jc w:val="left"/>
        <w:rPr>
          <w:rFonts w:cs="Arial"/>
          <w:highlight w:val="yellow"/>
        </w:rPr>
      </w:pPr>
    </w:p>
    <w:p w14:paraId="481B06D3" w14:textId="517E8FA0" w:rsidR="00787C2E" w:rsidRPr="007C50E1" w:rsidRDefault="00787C2E" w:rsidP="007C50E1">
      <w:pPr>
        <w:jc w:val="left"/>
        <w:rPr>
          <w:rFonts w:cs="Arial"/>
        </w:rPr>
      </w:pPr>
      <w:r w:rsidRPr="00D95265">
        <w:rPr>
          <w:rFonts w:cs="Arial"/>
          <w:highlight w:val="yellow"/>
        </w:rPr>
        <w:t>2.2.10) At the time of tissue measurement, aliquot 5 µL of the test sample used previously</w:t>
      </w:r>
      <w:r w:rsidR="000003B3" w:rsidRPr="00D95265">
        <w:rPr>
          <w:rFonts w:cs="Arial"/>
          <w:highlight w:val="yellow"/>
        </w:rPr>
        <w:t>. Use a multi-detector gamma counter (</w:t>
      </w:r>
      <w:r w:rsidR="000003B3" w:rsidRPr="00D95265">
        <w:rPr>
          <w:rFonts w:cs="Arial"/>
          <w:highlight w:val="yellow"/>
          <w:vertAlign w:val="superscript"/>
        </w:rPr>
        <w:t>99m</w:t>
      </w:r>
      <w:r w:rsidR="000003B3" w:rsidRPr="00D95265">
        <w:rPr>
          <w:rFonts w:cs="Arial"/>
          <w:highlight w:val="yellow"/>
        </w:rPr>
        <w:t>Tc setting)</w:t>
      </w:r>
      <w:r w:rsidRPr="00D95265">
        <w:rPr>
          <w:rFonts w:cs="Arial"/>
          <w:highlight w:val="yellow"/>
        </w:rPr>
        <w:t xml:space="preserve"> and count to obtain the count per minute (CPM) for </w:t>
      </w:r>
      <w:r w:rsidR="005F36D2" w:rsidRPr="00D95265">
        <w:rPr>
          <w:rFonts w:cs="Arial"/>
          <w:highlight w:val="yellow"/>
        </w:rPr>
        <w:t xml:space="preserve">the </w:t>
      </w:r>
      <w:r w:rsidRPr="00D95265">
        <w:rPr>
          <w:rFonts w:cs="Arial"/>
          <w:highlight w:val="yellow"/>
        </w:rPr>
        <w:t>5 µL test sample.</w:t>
      </w:r>
      <w:r w:rsidRPr="007C50E1">
        <w:rPr>
          <w:rFonts w:cs="Arial"/>
        </w:rPr>
        <w:t xml:space="preserve"> </w:t>
      </w:r>
    </w:p>
    <w:p w14:paraId="35CADFBE" w14:textId="77777777" w:rsidR="00787C2E" w:rsidRPr="007C50E1" w:rsidRDefault="00787C2E" w:rsidP="007C50E1">
      <w:pPr>
        <w:jc w:val="left"/>
        <w:rPr>
          <w:rFonts w:cs="Arial"/>
        </w:rPr>
      </w:pPr>
    </w:p>
    <w:p w14:paraId="66E873BB" w14:textId="43028EF6" w:rsidR="00787C2E" w:rsidRPr="007C50E1" w:rsidRDefault="00787C2E" w:rsidP="007C50E1">
      <w:pPr>
        <w:jc w:val="left"/>
        <w:rPr>
          <w:rFonts w:cs="Arial"/>
        </w:rPr>
      </w:pPr>
      <w:r w:rsidRPr="007C50E1">
        <w:rPr>
          <w:rFonts w:cs="Arial"/>
        </w:rPr>
        <w:t xml:space="preserve">2.2.11) </w:t>
      </w:r>
      <w:r w:rsidR="000003B3" w:rsidRPr="007C50E1">
        <w:rPr>
          <w:rFonts w:cs="Arial"/>
        </w:rPr>
        <w:t>Use the two values obtained in 2.2.9 and 2.2.10 to calculate the activity and CPM relationship using equation</w:t>
      </w:r>
      <w:r w:rsidR="00C9659F" w:rsidRPr="007C50E1">
        <w:rPr>
          <w:rFonts w:cs="Arial"/>
        </w:rPr>
        <w:t xml:space="preserve"> </w:t>
      </w:r>
      <w:r w:rsidR="00A107E2" w:rsidRPr="007C50E1">
        <w:rPr>
          <w:rFonts w:cs="Arial"/>
          <w:i/>
        </w:rPr>
        <w:t>1</w:t>
      </w:r>
      <w:r w:rsidR="00F63F97" w:rsidRPr="007C50E1">
        <w:rPr>
          <w:rFonts w:cs="Arial"/>
        </w:rPr>
        <w:t xml:space="preserve"> to obtain a conversion factor</w:t>
      </w:r>
      <w:r w:rsidR="00DE720B" w:rsidRPr="007C50E1">
        <w:rPr>
          <w:rFonts w:cs="Arial"/>
        </w:rPr>
        <w:t xml:space="preserve"> </w:t>
      </w:r>
      <w:r w:rsidR="00F63F97" w:rsidRPr="007C50E1">
        <w:rPr>
          <w:rFonts w:cs="Arial"/>
        </w:rPr>
        <w:t>(CPM µCi</w:t>
      </w:r>
      <w:r w:rsidR="003E1183" w:rsidRPr="007C50E1">
        <w:rPr>
          <w:rFonts w:cs="Arial"/>
          <w:vertAlign w:val="superscript"/>
        </w:rPr>
        <w:t>-1</w:t>
      </w:r>
      <w:r w:rsidR="00F63F97" w:rsidRPr="007C50E1">
        <w:rPr>
          <w:rFonts w:cs="Arial"/>
        </w:rPr>
        <w:t>)</w:t>
      </w:r>
      <w:r w:rsidR="000003B3" w:rsidRPr="007C50E1">
        <w:rPr>
          <w:rFonts w:cs="Arial"/>
        </w:rPr>
        <w:t xml:space="preserve">. </w:t>
      </w:r>
    </w:p>
    <w:p w14:paraId="61195A54" w14:textId="5D762876" w:rsidR="00C9659F" w:rsidRPr="007C50E1" w:rsidRDefault="00C9659F" w:rsidP="007C50E1">
      <w:pPr>
        <w:jc w:val="center"/>
        <w:rPr>
          <w:rFonts w:cs="Arial"/>
          <w:b/>
        </w:rPr>
      </w:pPr>
    </w:p>
    <w:p w14:paraId="753C91E3" w14:textId="6A3EDA22" w:rsidR="00C9659F" w:rsidRPr="007C50E1" w:rsidRDefault="001E24AE" w:rsidP="007C50E1">
      <w:pPr>
        <w:jc w:val="center"/>
        <w:rPr>
          <w:rFonts w:cs="Arial"/>
          <w:b/>
        </w:rPr>
      </w:pPr>
      <m:oMathPara>
        <m:oMath>
          <m:f>
            <m:fPr>
              <m:ctrlPr>
                <w:rPr>
                  <w:rFonts w:ascii="Cambria Math" w:hAnsi="Cambria Math" w:cs="Arial"/>
                  <w:b/>
                  <w:i/>
                </w:rPr>
              </m:ctrlPr>
            </m:fPr>
            <m:num>
              <m:r>
                <m:rPr>
                  <m:sty m:val="bi"/>
                </m:rPr>
                <w:rPr>
                  <w:rFonts w:ascii="Cambria Math" w:hAnsi="Cambria Math" w:cs="Arial"/>
                </w:rPr>
                <m:t>Standard CPM*</m:t>
              </m:r>
              <m:d>
                <m:dPr>
                  <m:ctrlPr>
                    <w:rPr>
                      <w:rFonts w:ascii="Cambria Math" w:hAnsi="Cambria Math" w:cs="Arial"/>
                      <w:b/>
                      <w:i/>
                    </w:rPr>
                  </m:ctrlPr>
                </m:dPr>
                <m:e>
                  <m:f>
                    <m:fPr>
                      <m:ctrlPr>
                        <w:rPr>
                          <w:rFonts w:ascii="Cambria Math" w:hAnsi="Cambria Math" w:cs="Arial"/>
                          <w:b/>
                          <w:i/>
                        </w:rPr>
                      </m:ctrlPr>
                    </m:fPr>
                    <m:num>
                      <m:r>
                        <m:rPr>
                          <m:sty m:val="bi"/>
                        </m:rPr>
                        <w:rPr>
                          <w:rFonts w:ascii="Cambria Math" w:hAnsi="Cambria Math" w:cs="Arial"/>
                        </w:rPr>
                        <m:t>dose cal volume</m:t>
                      </m:r>
                    </m:num>
                    <m:den>
                      <m:r>
                        <m:rPr>
                          <m:sty m:val="bi"/>
                        </m:rPr>
                        <w:rPr>
                          <w:rFonts w:ascii="Cambria Math" w:hAnsi="Cambria Math" w:cs="Arial"/>
                        </w:rPr>
                        <m:t>gamma counter volume</m:t>
                      </m:r>
                    </m:den>
                  </m:f>
                </m:e>
              </m:d>
            </m:num>
            <m:den>
              <m:r>
                <m:rPr>
                  <m:sty m:val="b"/>
                </m:rPr>
                <w:rPr>
                  <w:rFonts w:ascii="Cambria Math" w:hAnsi="Cambria Math" w:cs="Arial"/>
                </w:rPr>
                <m:t>µCi in Standard at time of injection</m:t>
              </m:r>
            </m:den>
          </m:f>
          <m:r>
            <w:rPr>
              <w:rFonts w:cs="Arial"/>
              <w:b/>
              <w:i/>
            </w:rPr>
            <w:br/>
          </m:r>
        </m:oMath>
      </m:oMathPara>
      <w:r w:rsidR="00A107E2" w:rsidRPr="007C50E1">
        <w:rPr>
          <w:rFonts w:cs="Arial"/>
          <w:b/>
          <w:i/>
        </w:rPr>
        <w:t>(</w:t>
      </w:r>
      <w:r w:rsidR="00C9659F" w:rsidRPr="007C50E1">
        <w:rPr>
          <w:rFonts w:cs="Arial"/>
          <w:i/>
        </w:rPr>
        <w:t>1</w:t>
      </w:r>
      <w:r w:rsidR="00A107E2" w:rsidRPr="007C50E1">
        <w:rPr>
          <w:rFonts w:cs="Arial"/>
          <w:i/>
        </w:rPr>
        <w:t>)</w:t>
      </w:r>
    </w:p>
    <w:p w14:paraId="6647548D" w14:textId="77777777" w:rsidR="000003B3" w:rsidRPr="007C50E1" w:rsidRDefault="000003B3" w:rsidP="007C50E1">
      <w:pPr>
        <w:jc w:val="left"/>
        <w:rPr>
          <w:rFonts w:cs="Arial"/>
        </w:rPr>
      </w:pPr>
    </w:p>
    <w:p w14:paraId="7B8C3072" w14:textId="77777777" w:rsidR="009E5F54" w:rsidRPr="007C50E1" w:rsidRDefault="009E5F54" w:rsidP="007C50E1">
      <w:pPr>
        <w:jc w:val="left"/>
        <w:rPr>
          <w:rFonts w:cs="Arial"/>
        </w:rPr>
      </w:pPr>
    </w:p>
    <w:p w14:paraId="4C2B8637" w14:textId="7D9FCE31" w:rsidR="009E5F54" w:rsidRPr="007C50E1" w:rsidRDefault="009E5F54" w:rsidP="007C50E1">
      <w:pPr>
        <w:jc w:val="left"/>
        <w:rPr>
          <w:rFonts w:cs="Arial"/>
        </w:rPr>
      </w:pPr>
      <w:r w:rsidRPr="007C50E1">
        <w:rPr>
          <w:rFonts w:cs="Arial"/>
        </w:rPr>
        <w:t>2.2.</w:t>
      </w:r>
      <w:r w:rsidR="00787C2E" w:rsidRPr="007C50E1">
        <w:rPr>
          <w:rFonts w:cs="Arial"/>
        </w:rPr>
        <w:t>1</w:t>
      </w:r>
      <w:r w:rsidR="00691F5D" w:rsidRPr="007C50E1">
        <w:rPr>
          <w:rFonts w:cs="Arial"/>
        </w:rPr>
        <w:t>2</w:t>
      </w:r>
      <w:r w:rsidRPr="007C50E1">
        <w:rPr>
          <w:rFonts w:cs="Arial"/>
        </w:rPr>
        <w:t>)</w:t>
      </w:r>
      <w:r w:rsidRPr="007C50E1">
        <w:rPr>
          <w:rFonts w:cs="Arial"/>
        </w:rPr>
        <w:tab/>
        <w:t>Use</w:t>
      </w:r>
      <w:r w:rsidR="00787C2E" w:rsidRPr="007C50E1">
        <w:rPr>
          <w:rFonts w:cs="Arial"/>
        </w:rPr>
        <w:t xml:space="preserve"> the </w:t>
      </w:r>
      <w:r w:rsidRPr="007C50E1">
        <w:rPr>
          <w:rFonts w:cs="Arial"/>
        </w:rPr>
        <w:t>gamma counter</w:t>
      </w:r>
      <w:r w:rsidR="00787C2E" w:rsidRPr="007C50E1">
        <w:rPr>
          <w:rFonts w:cs="Arial"/>
        </w:rPr>
        <w:t xml:space="preserve"> </w:t>
      </w:r>
      <w:r w:rsidRPr="007C50E1">
        <w:rPr>
          <w:rFonts w:cs="Arial"/>
        </w:rPr>
        <w:t>to measure the amount of radioactivity in each tissue</w:t>
      </w:r>
      <w:r w:rsidR="005F36D2" w:rsidRPr="007C50E1">
        <w:rPr>
          <w:rFonts w:cs="Arial"/>
        </w:rPr>
        <w:t xml:space="preserve"> or </w:t>
      </w:r>
      <w:r w:rsidR="00F63F97" w:rsidRPr="007C50E1">
        <w:rPr>
          <w:rFonts w:cs="Arial"/>
        </w:rPr>
        <w:t xml:space="preserve">fluid </w:t>
      </w:r>
      <w:r w:rsidRPr="007C50E1">
        <w:rPr>
          <w:rFonts w:cs="Arial"/>
        </w:rPr>
        <w:t>sample.</w:t>
      </w:r>
    </w:p>
    <w:p w14:paraId="3CC8CF1C" w14:textId="77777777" w:rsidR="009E5F54" w:rsidRPr="007C50E1" w:rsidRDefault="009E5F54" w:rsidP="007C50E1">
      <w:pPr>
        <w:jc w:val="left"/>
        <w:rPr>
          <w:rFonts w:cs="Arial"/>
        </w:rPr>
      </w:pPr>
    </w:p>
    <w:p w14:paraId="1A4AE065" w14:textId="084328EA" w:rsidR="002C1CFE" w:rsidRPr="007C50E1" w:rsidRDefault="009E5F54" w:rsidP="007C50E1">
      <w:pPr>
        <w:widowControl/>
        <w:autoSpaceDE/>
        <w:autoSpaceDN/>
        <w:adjustRightInd/>
        <w:jc w:val="left"/>
        <w:rPr>
          <w:rFonts w:cs="Arial"/>
        </w:rPr>
      </w:pPr>
      <w:r w:rsidRPr="007C50E1">
        <w:rPr>
          <w:rFonts w:cs="Arial"/>
        </w:rPr>
        <w:t>2.2.</w:t>
      </w:r>
      <w:r w:rsidR="009820BC" w:rsidRPr="007C50E1">
        <w:rPr>
          <w:rFonts w:cs="Arial"/>
        </w:rPr>
        <w:t>1</w:t>
      </w:r>
      <w:r w:rsidR="00691F5D" w:rsidRPr="007C50E1">
        <w:rPr>
          <w:rFonts w:cs="Arial"/>
        </w:rPr>
        <w:t>3</w:t>
      </w:r>
      <w:r w:rsidRPr="007C50E1">
        <w:rPr>
          <w:rFonts w:cs="Arial"/>
        </w:rPr>
        <w:t>)</w:t>
      </w:r>
      <w:r w:rsidRPr="007C50E1">
        <w:rPr>
          <w:rFonts w:cs="Arial"/>
        </w:rPr>
        <w:tab/>
        <w:t xml:space="preserve">Use </w:t>
      </w:r>
      <w:r w:rsidR="002C7D95" w:rsidRPr="007C50E1">
        <w:rPr>
          <w:rFonts w:cs="Arial"/>
        </w:rPr>
        <w:t>equation 1</w:t>
      </w:r>
      <w:r w:rsidR="00F63F97" w:rsidRPr="007C50E1">
        <w:rPr>
          <w:rFonts w:cs="Arial"/>
        </w:rPr>
        <w:t xml:space="preserve"> </w:t>
      </w:r>
      <w:r w:rsidR="003E1183" w:rsidRPr="007C50E1">
        <w:rPr>
          <w:rFonts w:cs="Arial"/>
        </w:rPr>
        <w:t xml:space="preserve">to </w:t>
      </w:r>
      <w:r w:rsidR="00DE47FA" w:rsidRPr="007C50E1">
        <w:rPr>
          <w:rFonts w:cs="Arial"/>
        </w:rPr>
        <w:t>calculate</w:t>
      </w:r>
      <w:r w:rsidR="00F63F97" w:rsidRPr="007C50E1">
        <w:rPr>
          <w:rFonts w:cs="Arial"/>
        </w:rPr>
        <w:t xml:space="preserve"> the</w:t>
      </w:r>
      <w:r w:rsidR="00DE47FA" w:rsidRPr="007C50E1">
        <w:rPr>
          <w:rFonts w:cs="Arial"/>
        </w:rPr>
        <w:t xml:space="preserve"> </w:t>
      </w:r>
      <w:r w:rsidR="00F63F97" w:rsidRPr="007C50E1">
        <w:rPr>
          <w:rFonts w:cs="Arial"/>
        </w:rPr>
        <w:t>amount of activity in each tissue</w:t>
      </w:r>
      <w:r w:rsidR="005F36D2" w:rsidRPr="007C50E1">
        <w:rPr>
          <w:rFonts w:cs="Arial"/>
        </w:rPr>
        <w:t xml:space="preserve"> or </w:t>
      </w:r>
      <w:r w:rsidR="00F63F97" w:rsidRPr="007C50E1">
        <w:rPr>
          <w:rFonts w:cs="Arial"/>
        </w:rPr>
        <w:t xml:space="preserve">fluid at the time of measurement relative to the </w:t>
      </w:r>
      <w:r w:rsidR="00A107E2" w:rsidRPr="007C50E1">
        <w:rPr>
          <w:rFonts w:cs="Arial"/>
        </w:rPr>
        <w:t xml:space="preserve">total </w:t>
      </w:r>
      <w:r w:rsidR="00F63F97" w:rsidRPr="007C50E1">
        <w:rPr>
          <w:rFonts w:cs="Arial"/>
        </w:rPr>
        <w:t xml:space="preserve">injected dose. This </w:t>
      </w:r>
      <w:r w:rsidR="00DE47FA" w:rsidRPr="007C50E1">
        <w:rPr>
          <w:rFonts w:cs="Arial"/>
        </w:rPr>
        <w:t>value is then normalized by organ weight and</w:t>
      </w:r>
      <w:r w:rsidR="00B96286" w:rsidRPr="007C50E1">
        <w:rPr>
          <w:rFonts w:cs="Arial"/>
        </w:rPr>
        <w:t xml:space="preserve"> </w:t>
      </w:r>
      <w:r w:rsidR="00DE47FA" w:rsidRPr="007C50E1">
        <w:rPr>
          <w:rFonts w:cs="Arial"/>
        </w:rPr>
        <w:t>r</w:t>
      </w:r>
      <w:r w:rsidR="00B96286" w:rsidRPr="007C50E1">
        <w:rPr>
          <w:rFonts w:cs="Arial"/>
        </w:rPr>
        <w:t>eport</w:t>
      </w:r>
      <w:r w:rsidR="00DE47FA" w:rsidRPr="007C50E1">
        <w:rPr>
          <w:rFonts w:cs="Arial"/>
        </w:rPr>
        <w:t>ed</w:t>
      </w:r>
      <w:r w:rsidR="00B96286" w:rsidRPr="007C50E1">
        <w:rPr>
          <w:rFonts w:cs="Arial"/>
        </w:rPr>
        <w:t xml:space="preserve"> as percent injected dose per gram</w:t>
      </w:r>
      <w:r w:rsidRPr="007C50E1">
        <w:rPr>
          <w:rFonts w:cs="Arial"/>
        </w:rPr>
        <w:t xml:space="preserve"> (i.e.</w:t>
      </w:r>
      <w:r w:rsidR="00D95265">
        <w:rPr>
          <w:rFonts w:cs="Arial"/>
        </w:rPr>
        <w:t xml:space="preserve"> %</w:t>
      </w:r>
      <w:r w:rsidRPr="007C50E1">
        <w:rPr>
          <w:rFonts w:cs="Arial"/>
        </w:rPr>
        <w:t>ID/g)</w:t>
      </w:r>
      <w:r w:rsidR="00CF4B50" w:rsidRPr="007C50E1">
        <w:rPr>
          <w:rFonts w:cs="Arial"/>
        </w:rPr>
        <w:t xml:space="preserve"> of tissue.</w:t>
      </w:r>
    </w:p>
    <w:p w14:paraId="114DD5FF" w14:textId="77777777" w:rsidR="00757080" w:rsidRPr="007C50E1" w:rsidRDefault="00757080" w:rsidP="007C50E1">
      <w:pPr>
        <w:widowControl/>
        <w:autoSpaceDE/>
        <w:autoSpaceDN/>
        <w:adjustRightInd/>
        <w:jc w:val="left"/>
        <w:rPr>
          <w:rFonts w:cs="Arial"/>
        </w:rPr>
      </w:pPr>
    </w:p>
    <w:p w14:paraId="7DF98891" w14:textId="29A1A178" w:rsidR="00757080" w:rsidRPr="007C50E1" w:rsidRDefault="00757080" w:rsidP="007C50E1">
      <w:pPr>
        <w:widowControl/>
        <w:autoSpaceDE/>
        <w:autoSpaceDN/>
        <w:adjustRightInd/>
        <w:jc w:val="left"/>
        <w:rPr>
          <w:rFonts w:cs="Arial"/>
        </w:rPr>
      </w:pPr>
      <w:r w:rsidRPr="007C50E1">
        <w:rPr>
          <w:rFonts w:cs="Arial"/>
        </w:rPr>
        <w:t xml:space="preserve">2.2.14) Follow steps 2.1.2 to 2.2.13 to conduct a negative control experiment using the </w:t>
      </w:r>
      <w:r w:rsidRPr="007C50E1">
        <w:rPr>
          <w:rFonts w:cs="Arial"/>
          <w:vertAlign w:val="superscript"/>
        </w:rPr>
        <w:t>99m</w:t>
      </w:r>
      <w:r w:rsidRPr="007C50E1">
        <w:rPr>
          <w:rFonts w:cs="Arial"/>
        </w:rPr>
        <w:t xml:space="preserve">Tc-labeled tetrazine ligands in the absence of TCO-BP. Sacrifice mice (n=3) at 0.5, 1, 4 and 6 h post injection </w:t>
      </w:r>
      <w:r w:rsidR="005F36D2" w:rsidRPr="007C50E1">
        <w:rPr>
          <w:rFonts w:cs="Arial"/>
        </w:rPr>
        <w:t xml:space="preserve">and obtain tissue or fluid </w:t>
      </w:r>
      <w:r w:rsidRPr="007C50E1">
        <w:rPr>
          <w:rFonts w:cs="Arial"/>
        </w:rPr>
        <w:t>as described above.</w:t>
      </w:r>
      <w:r w:rsidR="00D95265">
        <w:rPr>
          <w:rFonts w:cs="Arial"/>
        </w:rPr>
        <w:t xml:space="preserve"> </w:t>
      </w:r>
    </w:p>
    <w:p w14:paraId="6355CF0A" w14:textId="77777777" w:rsidR="00C55C8B" w:rsidRPr="007C50E1" w:rsidRDefault="00C55C8B" w:rsidP="007C50E1">
      <w:pPr>
        <w:widowControl/>
        <w:autoSpaceDE/>
        <w:autoSpaceDN/>
        <w:adjustRightInd/>
        <w:jc w:val="left"/>
        <w:rPr>
          <w:rFonts w:cs="Arial"/>
          <w:highlight w:val="yellow"/>
        </w:rPr>
      </w:pPr>
    </w:p>
    <w:p w14:paraId="458F3B7D" w14:textId="6F695DA8" w:rsidR="002C1CFE" w:rsidRPr="007C50E1" w:rsidRDefault="00C55C8B" w:rsidP="007C50E1">
      <w:pPr>
        <w:jc w:val="left"/>
        <w:rPr>
          <w:rFonts w:cs="Arial"/>
          <w:b/>
        </w:rPr>
      </w:pPr>
      <w:r w:rsidRPr="007C50E1">
        <w:rPr>
          <w:rFonts w:cs="Arial"/>
          <w:b/>
        </w:rPr>
        <w:t>REPRESENTATIVE RESULTS</w:t>
      </w:r>
      <w:r w:rsidR="003E417A" w:rsidRPr="007C50E1">
        <w:rPr>
          <w:rFonts w:cs="Arial"/>
          <w:b/>
        </w:rPr>
        <w:t>:</w:t>
      </w:r>
    </w:p>
    <w:p w14:paraId="22E9F81D" w14:textId="2F4ED1DC" w:rsidR="002C1CFE" w:rsidRPr="007C50E1" w:rsidRDefault="002C1CFE" w:rsidP="007C50E1">
      <w:pPr>
        <w:jc w:val="left"/>
        <w:rPr>
          <w:rFonts w:cs="Arial"/>
        </w:rPr>
      </w:pPr>
      <w:r w:rsidRPr="007C50E1">
        <w:rPr>
          <w:rFonts w:cs="Arial"/>
        </w:rPr>
        <w:t xml:space="preserve">The </w:t>
      </w:r>
      <w:r w:rsidR="001D326C" w:rsidRPr="007C50E1">
        <w:rPr>
          <w:rFonts w:cs="Arial"/>
        </w:rPr>
        <w:t xml:space="preserve">ligands </w:t>
      </w:r>
      <w:r w:rsidRPr="007C50E1">
        <w:rPr>
          <w:rFonts w:cs="Arial"/>
        </w:rPr>
        <w:t xml:space="preserve">were synthesized </w:t>
      </w:r>
      <w:r w:rsidR="00C11B58" w:rsidRPr="007C50E1">
        <w:rPr>
          <w:rFonts w:cs="Arial"/>
        </w:rPr>
        <w:t xml:space="preserve">using </w:t>
      </w:r>
      <w:r w:rsidR="001D326C" w:rsidRPr="007C50E1">
        <w:rPr>
          <w:rFonts w:cs="Arial"/>
        </w:rPr>
        <w:t>different</w:t>
      </w:r>
      <w:r w:rsidR="00C11B58" w:rsidRPr="007C50E1">
        <w:rPr>
          <w:rFonts w:cs="Arial"/>
        </w:rPr>
        <w:t xml:space="preserve"> linkers and chelators</w:t>
      </w:r>
      <w:r w:rsidR="001D326C" w:rsidRPr="007C50E1">
        <w:rPr>
          <w:rFonts w:cs="Arial"/>
        </w:rPr>
        <w:t xml:space="preserve"> </w:t>
      </w:r>
      <w:r w:rsidR="002C7D95" w:rsidRPr="007C50E1">
        <w:rPr>
          <w:rFonts w:cs="Arial"/>
        </w:rPr>
        <w:t xml:space="preserve">via </w:t>
      </w:r>
      <w:r w:rsidR="001D326C" w:rsidRPr="007C50E1">
        <w:rPr>
          <w:rFonts w:cs="Arial"/>
        </w:rPr>
        <w:t xml:space="preserve">a simple reductive amination strategy </w:t>
      </w:r>
      <w:r w:rsidR="001B2DF6" w:rsidRPr="007C50E1">
        <w:rPr>
          <w:rFonts w:cs="Arial"/>
        </w:rPr>
        <w:t>(Figure 2)</w:t>
      </w:r>
      <w:r w:rsidR="00DD34B6" w:rsidRPr="007C50E1">
        <w:rPr>
          <w:rFonts w:cs="Arial"/>
        </w:rPr>
        <w:t>,</w:t>
      </w:r>
      <w:r w:rsidR="001B2DF6" w:rsidRPr="007C50E1">
        <w:rPr>
          <w:rFonts w:cs="Arial"/>
        </w:rPr>
        <w:t xml:space="preserve"> </w:t>
      </w:r>
      <w:r w:rsidR="001D326C" w:rsidRPr="007C50E1">
        <w:rPr>
          <w:rFonts w:cs="Arial"/>
        </w:rPr>
        <w:t xml:space="preserve">followed by coupling of the product to a commercially available </w:t>
      </w:r>
      <w:r w:rsidR="00B96286" w:rsidRPr="007C50E1">
        <w:rPr>
          <w:rFonts w:cs="Arial"/>
        </w:rPr>
        <w:t>tetrazine</w:t>
      </w:r>
      <w:r w:rsidR="00A37E52" w:rsidRPr="007C50E1">
        <w:rPr>
          <w:rFonts w:cs="Arial"/>
        </w:rPr>
        <w:fldChar w:fldCharType="begin" w:fldLock="1"/>
      </w:r>
      <w:r w:rsidR="00A37E52" w:rsidRPr="007C50E1">
        <w:rPr>
          <w:rFonts w:cs="Arial"/>
        </w:rPr>
        <w:instrText>ADDIN CSL_CITATION { "citationItems" : [ { "id" : "ITEM-1", "itemData" : { "DOI" : "10.1016/j.ica.2012.03.002", "ISSN" : "00201693", "abstract" : "Single amino acid chelate (SAAC) systems for the complexation of the M(CO) 3 moiety (M = Tc/Re) have been successfully incorporated into novel synthetic strategies for radiopharmaceuticals and evaluated in a variety of biological applications. However, the lipophilicity of the first generation of 99mTc(CO) 3 complexes has resulted in substantial hepatobiliary uptake when examined either as lysine derivatives or integrated into biologically active small molecules and peptides. Here, we designed, synthesized, and evaluated novel polar functionalized imidazole derived SAAC systems (SAAC II) which have been chemically modified to promote overall 99mTc(CO) 3L 3 complex hydrophilicity with the intent of reducing non-target effects and enhancing renal clearance of prostate specific membrane antigen (PSMA) targeting small molecules. The 99mTc-labeled compounds were prepared, purified, and evaluated for stability, lipophilicity, and tissue distribution in LNCaP xenograft mice. The Glu-urea-Lys-C11 analogs were prepared with a variety of chelators to form (19R,23S)-1-(X)-2-((Y)methyl)-13,21-dioxo-2,14,20,22-tetraazapentacosane-19,23, 25-tricarboxylic acid where X = Y = (methyl)pyridin-2-yl (6), X = Y = (methyl)-1H-imidazol-2-yl (7), X = (methyl)pyridin-2-yl, Y = carboxymethyl (8), X = Y = 1-(carboxymethyl)-1H-imidazol-2-yl (9), X = 1-(carboxymethyl)-1H- imidazol-2-yl, Y = carboxymethyl (10), and X = Y = 1-(1-(2-(bis(carboxymethyl) amino)-2-oxoethyl)-1H-imidazol-2-yl)-2-((1-(2-(bis(carboxymethyl)amino) -2-oxoethyl)-1H-imidazol-2-yl) (11). 99mTc labeling was achieved at ligand concentrations as low as 10 -6 M and the complexes were stable (&gt;90%) for 24 h. These new SAAC II chelators were evaluated for their influence on binding of the Glu-urea-Lys-C11 analogs to PSMA-positive LNCaP cells and compared to pyridine- and N-methylimidazole-containing SAAC ligands. Tissue distribution of the 99mTc-complexes containing the more polar chelators, 9 and 11, demonstrated decreased liver (&lt;2% ID/g) and increased LNCaP tumor (&gt;11% ID/g) accumulation at 1 h post-injection. ?? 2012 Elsevier B.V. All rights reserved.", "author" : [ { "dropping-particle" : "", "family" : "Maresca", "given" : "Kevin P.", "non-dropping-particle" : "", "parse-names" : false, "suffix" : "" }, { "dropping-particle" : "", "family" : "Hillier", "given" : "Shawn M.", "non-dropping-particle" : "", "parse-names" : false, "suffix" : "" }, { "dropping-particle" : "", "family" : "Lu", "given" : "Genliang", "non-dropping-particle" : "", "parse-names" : false, "suffix" : "" }, { "dropping-particle" : "", "family" : "Marquis", "given" : "John C.", "non-dropping-particle" : "", "parse-names" : false, "suffix" : "" }, { "dropping-particle" : "", "family" : "Zimmerman", "given" : "Craig N.", "non-dropping-particle" : "", "parse-names" : false, "suffix" : "" }, { "dropping-particle" : "", "family" : "Eckelman", "given" : "William C.", "non-dropping-particle" : "", "parse-names" : false, "suffix" : "" }, { "dropping-particle" : "", "family" : "Joyal", "given" : "John L.", "non-dropping-particle" : "", "parse-names" : false, "suffix" : "" }, { "dropping-particle" : "", "family" : "Babich", "given" : "John W.", "non-dropping-particle" : "", "parse-names" : false, "suffix" : "" } ], "container-title" : "Inorganica Chimica Acta", "id" : "ITEM-1", "issued" : { "date-parts" : [ [ "2012" ] ] }, "page" : "168-175", "publisher" : "Elsevier B.V.", "title" : "Small molecule inhibitors of PSMA incorporating technetium-99m for imaging prostate cancer: Effects of chelate design on pharmacokinetics", "type" : "article-journal", "volume" : "389" }, "uris" : [ "http://www.mendeley.com/documents/?uuid=2394abb5-10c6-44ae-b15d-408f786accf8" ] }, { "id" : "ITEM-2", "itemData" : { "DOI" : "10.1002/cmdc.201000196", "ISBN" : "3154434070", "ISSN" : "18607179", "PMID" : "20652929", "author" : [ { "dropping-particle" : "", "family" : "Bartholom\u00e4", "given" : "Mark D.", "non-dropping-particle" : "", "parse-names" : false, "suffix" : "" }, { "dropping-particle" : "", "family" : "Vortherms", "given" : "Anthony R.", "non-dropping-particle" : "", "parse-names" : false, "suffix" : "" }, { "dropping-particle" : "", "family" : "Hillier", "given" : "Shawn", "non-dropping-particle" : "", "parse-names" : false, "suffix" : "" }, { "dropping-particle" : "", "family" : "Ploier", "given" : "Birgit", "non-dropping-particle" : "", "parse-names" : false, "suffix" : "" }, { "dropping-particle" : "", "family" : "Joyal", "given" : "John", "non-dropping-particle" : "", "parse-names" : false, "suffix" : "" }, { "dropping-particle" : "", "family" : "Babich", "given" : "John", "non-dropping-particle" : "", "parse-names" : false, "suffix" : "" }, { "dropping-particle" : "", "family" : "Doyle", "given" : "Robert P.", "non-dropping-particle" : "", "parse-names" : false, "suffix" : "" }, { "dropping-particle" : "", "family" : "Zubieta", "given" : "Jon", "non-dropping-particle" : "", "parse-names" : false, "suffix" : "" } ], "container-title" : "ChemMedChem", "id" : "ITEM-2", "issue" : "9", "issued" : { "date-parts" : [ [ "2010" ] ] }, "page" : "1513-1529", "title" : "Synthesis, cytotoxicity, and insight into the mode of action of Re(CO) 3 thymidine complexes", "type" : "article-journal", "volume" : "5" }, "uris" : [ "http://www.mendeley.com/documents/?uuid=8fac5516-1623-4eb6-a693-8d76d675cae8" ] } ], "mendeley" : { "formattedCitation" : "&lt;sup&gt;22,23&lt;/sup&gt;", "plainTextFormattedCitation" : "22,23", "previouslyFormattedCitation" : "&lt;sup&gt;22,23&lt;/sup&gt;" }, "properties" : { "noteIndex" : 0 }, "schema" : "https://github.com/citation-style-language/schema/raw/master/csl-citation.json" }</w:instrText>
      </w:r>
      <w:r w:rsidR="00A37E52" w:rsidRPr="007C50E1">
        <w:rPr>
          <w:rFonts w:cs="Arial"/>
        </w:rPr>
        <w:fldChar w:fldCharType="separate"/>
      </w:r>
      <w:r w:rsidR="00A37E52" w:rsidRPr="007C50E1">
        <w:rPr>
          <w:rFonts w:cs="Arial"/>
          <w:vertAlign w:val="superscript"/>
        </w:rPr>
        <w:t>22,23</w:t>
      </w:r>
      <w:r w:rsidR="00A37E52" w:rsidRPr="007C50E1">
        <w:rPr>
          <w:rFonts w:cs="Arial"/>
        </w:rPr>
        <w:fldChar w:fldCharType="end"/>
      </w:r>
      <w:r w:rsidR="00A37E52" w:rsidRPr="007C50E1">
        <w:rPr>
          <w:rFonts w:cs="Arial"/>
        </w:rPr>
        <w:t>.</w:t>
      </w:r>
      <w:r w:rsidR="00E771A6" w:rsidRPr="007C50E1">
        <w:rPr>
          <w:rFonts w:cs="Arial"/>
        </w:rPr>
        <w:t xml:space="preserve"> </w:t>
      </w:r>
      <w:r w:rsidR="003A7AF5" w:rsidRPr="007C50E1">
        <w:rPr>
          <w:rFonts w:cs="Arial"/>
        </w:rPr>
        <w:t xml:space="preserve">Radiolabeling was performed </w:t>
      </w:r>
      <w:r w:rsidR="00B96286" w:rsidRPr="007C50E1">
        <w:rPr>
          <w:rFonts w:cs="Arial"/>
        </w:rPr>
        <w:t xml:space="preserve">using the same method </w:t>
      </w:r>
      <w:r w:rsidR="003A7AF5" w:rsidRPr="007C50E1">
        <w:rPr>
          <w:rFonts w:cs="Arial"/>
        </w:rPr>
        <w:t xml:space="preserve">for all compounds and was </w:t>
      </w:r>
      <w:r w:rsidRPr="007C50E1">
        <w:rPr>
          <w:rFonts w:cs="Arial"/>
        </w:rPr>
        <w:t xml:space="preserve">highly reproducible. </w:t>
      </w:r>
      <w:r w:rsidR="00B96286" w:rsidRPr="007C50E1">
        <w:rPr>
          <w:rFonts w:cs="Arial"/>
        </w:rPr>
        <w:t>The process was optimized by varying the pH, amount of ligand</w:t>
      </w:r>
      <w:r w:rsidR="009F0C08" w:rsidRPr="007C50E1">
        <w:rPr>
          <w:rFonts w:cs="Arial"/>
        </w:rPr>
        <w:t>,</w:t>
      </w:r>
      <w:r w:rsidR="00B96286" w:rsidRPr="007C50E1">
        <w:rPr>
          <w:rFonts w:cs="Arial"/>
        </w:rPr>
        <w:t xml:space="preserve"> reaction time and temperature whereupon the </w:t>
      </w:r>
      <w:r w:rsidR="001B2DF6" w:rsidRPr="007C50E1">
        <w:rPr>
          <w:rFonts w:cs="Arial"/>
          <w:vertAlign w:val="superscript"/>
        </w:rPr>
        <w:t>99m</w:t>
      </w:r>
      <w:r w:rsidR="001B2DF6" w:rsidRPr="007C50E1">
        <w:rPr>
          <w:rFonts w:cs="Arial"/>
        </w:rPr>
        <w:t xml:space="preserve">Tc-radiolabeled compounds </w:t>
      </w:r>
      <w:r w:rsidR="001B2DF6" w:rsidRPr="007C50E1">
        <w:rPr>
          <w:rFonts w:cs="Arial"/>
          <w:b/>
        </w:rPr>
        <w:t>1-5</w:t>
      </w:r>
      <w:r w:rsidR="001B2DF6" w:rsidRPr="007C50E1">
        <w:rPr>
          <w:rFonts w:cs="Arial"/>
        </w:rPr>
        <w:t xml:space="preserve"> were obtained in moderate to high radiochemical yield: 83% (</w:t>
      </w:r>
      <w:r w:rsidR="001B2DF6" w:rsidRPr="007C50E1">
        <w:rPr>
          <w:rFonts w:cs="Arial"/>
          <w:b/>
        </w:rPr>
        <w:t>1</w:t>
      </w:r>
      <w:r w:rsidR="001B2DF6" w:rsidRPr="007C50E1">
        <w:rPr>
          <w:rFonts w:cs="Arial"/>
        </w:rPr>
        <w:t>), 45% (</w:t>
      </w:r>
      <w:r w:rsidR="001B2DF6" w:rsidRPr="007C50E1">
        <w:rPr>
          <w:rFonts w:cs="Arial"/>
          <w:b/>
        </w:rPr>
        <w:t>2</w:t>
      </w:r>
      <w:r w:rsidR="001B2DF6" w:rsidRPr="007C50E1">
        <w:rPr>
          <w:rFonts w:cs="Arial"/>
        </w:rPr>
        <w:t>), 31% (</w:t>
      </w:r>
      <w:r w:rsidR="001B2DF6" w:rsidRPr="007C50E1">
        <w:rPr>
          <w:rFonts w:cs="Arial"/>
          <w:b/>
        </w:rPr>
        <w:t>3</w:t>
      </w:r>
      <w:r w:rsidR="001B2DF6" w:rsidRPr="007C50E1">
        <w:rPr>
          <w:rFonts w:cs="Arial"/>
        </w:rPr>
        <w:t>), 42% (</w:t>
      </w:r>
      <w:r w:rsidR="001B2DF6" w:rsidRPr="007C50E1">
        <w:rPr>
          <w:rFonts w:cs="Arial"/>
          <w:b/>
        </w:rPr>
        <w:t>4</w:t>
      </w:r>
      <w:r w:rsidR="001B2DF6" w:rsidRPr="007C50E1">
        <w:rPr>
          <w:rFonts w:cs="Arial"/>
        </w:rPr>
        <w:t>), and 54% (</w:t>
      </w:r>
      <w:r w:rsidR="001B2DF6" w:rsidRPr="007C50E1">
        <w:rPr>
          <w:rFonts w:cs="Arial"/>
          <w:b/>
        </w:rPr>
        <w:t>5</w:t>
      </w:r>
      <w:r w:rsidR="001B2DF6" w:rsidRPr="007C50E1">
        <w:rPr>
          <w:rFonts w:cs="Arial"/>
        </w:rPr>
        <w:t xml:space="preserve">). </w:t>
      </w:r>
      <w:r w:rsidR="00B96286" w:rsidRPr="007C50E1">
        <w:rPr>
          <w:rFonts w:cs="Arial"/>
        </w:rPr>
        <w:t>Following HPLC purification</w:t>
      </w:r>
      <w:r w:rsidR="009F0C08" w:rsidRPr="007C50E1">
        <w:rPr>
          <w:rFonts w:cs="Arial"/>
        </w:rPr>
        <w:t xml:space="preserve"> from unreacted ligand</w:t>
      </w:r>
      <w:r w:rsidR="00B96286" w:rsidRPr="007C50E1">
        <w:rPr>
          <w:rFonts w:cs="Arial"/>
        </w:rPr>
        <w:t xml:space="preserve"> and evaporation using a</w:t>
      </w:r>
      <w:r w:rsidR="00283B48" w:rsidRPr="007C50E1">
        <w:rPr>
          <w:rFonts w:cs="Arial"/>
        </w:rPr>
        <w:t xml:space="preserve">n </w:t>
      </w:r>
      <w:r w:rsidR="00B96286" w:rsidRPr="007C50E1">
        <w:rPr>
          <w:rFonts w:cs="Arial"/>
        </w:rPr>
        <w:t xml:space="preserve">evaporator, the </w:t>
      </w:r>
      <w:r w:rsidR="001B2DF6" w:rsidRPr="007C50E1">
        <w:rPr>
          <w:rFonts w:cs="Arial"/>
        </w:rPr>
        <w:t xml:space="preserve">compounds were formulated in PBS </w:t>
      </w:r>
      <w:r w:rsidR="00B96286" w:rsidRPr="007C50E1">
        <w:rPr>
          <w:rFonts w:cs="Arial"/>
        </w:rPr>
        <w:t xml:space="preserve">containing </w:t>
      </w:r>
      <w:r w:rsidR="001B2DF6" w:rsidRPr="007C50E1">
        <w:rPr>
          <w:rFonts w:cs="Arial"/>
        </w:rPr>
        <w:t>0.5</w:t>
      </w:r>
      <w:r w:rsidR="00D95265">
        <w:rPr>
          <w:rFonts w:cs="Arial"/>
        </w:rPr>
        <w:t>%</w:t>
      </w:r>
      <w:r w:rsidR="001B2DF6" w:rsidRPr="007C50E1">
        <w:rPr>
          <w:rFonts w:cs="Arial"/>
        </w:rPr>
        <w:t xml:space="preserve"> BSA and 0.01</w:t>
      </w:r>
      <w:r w:rsidR="00D95265">
        <w:rPr>
          <w:rFonts w:cs="Arial"/>
        </w:rPr>
        <w:t>%</w:t>
      </w:r>
      <w:r w:rsidR="001B2DF6" w:rsidRPr="007C50E1">
        <w:rPr>
          <w:rFonts w:cs="Arial"/>
        </w:rPr>
        <w:t xml:space="preserve"> Tween80 prior to injection</w:t>
      </w:r>
      <w:r w:rsidR="00757080" w:rsidRPr="007C50E1">
        <w:rPr>
          <w:rFonts w:cs="Arial"/>
        </w:rPr>
        <w:t>.</w:t>
      </w:r>
      <w:r w:rsidR="000F0575" w:rsidRPr="007C50E1">
        <w:rPr>
          <w:rFonts w:cs="Arial"/>
        </w:rPr>
        <w:t xml:space="preserve"> The specific activity of the purified </w:t>
      </w:r>
      <w:r w:rsidR="000F0575" w:rsidRPr="007C50E1">
        <w:rPr>
          <w:rFonts w:cs="Arial"/>
          <w:vertAlign w:val="superscript"/>
        </w:rPr>
        <w:t>99m</w:t>
      </w:r>
      <w:r w:rsidR="000F0575" w:rsidRPr="007C50E1">
        <w:rPr>
          <w:rFonts w:cs="Arial"/>
        </w:rPr>
        <w:t>Tc-labeled tetrazine was ~1.48 MBq/µg.</w:t>
      </w:r>
      <w:r w:rsidR="00D95265">
        <w:rPr>
          <w:rFonts w:cs="Arial"/>
        </w:rPr>
        <w:t xml:space="preserve"> </w:t>
      </w:r>
      <w:r w:rsidR="009C3C2E" w:rsidRPr="007C50E1">
        <w:rPr>
          <w:rFonts w:cs="Arial"/>
        </w:rPr>
        <w:t>S</w:t>
      </w:r>
      <w:r w:rsidR="00757080" w:rsidRPr="007C50E1">
        <w:rPr>
          <w:rFonts w:cs="Arial"/>
        </w:rPr>
        <w:t xml:space="preserve">tudies were conducted to assess the stability of the </w:t>
      </w:r>
      <w:r w:rsidR="00757080" w:rsidRPr="007C50E1">
        <w:rPr>
          <w:rFonts w:cs="Arial"/>
          <w:vertAlign w:val="superscript"/>
        </w:rPr>
        <w:t>99m</w:t>
      </w:r>
      <w:r w:rsidR="00757080" w:rsidRPr="007C50E1">
        <w:rPr>
          <w:rFonts w:cs="Arial"/>
        </w:rPr>
        <w:t xml:space="preserve">Tc-labeled tetrazine ligands prior to </w:t>
      </w:r>
      <w:r w:rsidR="00757080" w:rsidRPr="007C50E1">
        <w:rPr>
          <w:rFonts w:cs="Arial"/>
          <w:i/>
        </w:rPr>
        <w:t>in vivo</w:t>
      </w:r>
      <w:r w:rsidR="00757080" w:rsidRPr="007C50E1">
        <w:rPr>
          <w:rFonts w:cs="Arial"/>
        </w:rPr>
        <w:t xml:space="preserve"> studies. The stability was monitored by HPLC at 1, 4 and 6 h with no visible degradation over 6 h (R</w:t>
      </w:r>
      <w:r w:rsidR="00757080" w:rsidRPr="007C50E1">
        <w:rPr>
          <w:rFonts w:cs="Arial"/>
          <w:vertAlign w:val="subscript"/>
        </w:rPr>
        <w:t>t</w:t>
      </w:r>
      <w:r w:rsidR="00757080" w:rsidRPr="007C50E1">
        <w:rPr>
          <w:rFonts w:cs="Arial"/>
        </w:rPr>
        <w:t>= 14 min)</w:t>
      </w:r>
      <w:r w:rsidR="009C3C2E" w:rsidRPr="007C50E1">
        <w:rPr>
          <w:rFonts w:cs="Arial"/>
        </w:rPr>
        <w:t>,</w:t>
      </w:r>
      <w:r w:rsidR="00260D74" w:rsidRPr="007C50E1">
        <w:rPr>
          <w:rFonts w:cs="Arial"/>
        </w:rPr>
        <w:t xml:space="preserve"> as seen in Figure 3 for compound </w:t>
      </w:r>
      <w:r w:rsidR="00260D74" w:rsidRPr="007C50E1">
        <w:rPr>
          <w:rFonts w:cs="Arial"/>
          <w:b/>
        </w:rPr>
        <w:t>4</w:t>
      </w:r>
      <w:r w:rsidR="00260D74" w:rsidRPr="007C50E1">
        <w:rPr>
          <w:rFonts w:cs="Arial"/>
        </w:rPr>
        <w:t xml:space="preserve"> as an example</w:t>
      </w:r>
      <w:r w:rsidR="00757080" w:rsidRPr="007C50E1">
        <w:rPr>
          <w:rFonts w:cs="Arial"/>
        </w:rPr>
        <w:t>.</w:t>
      </w:r>
      <w:r w:rsidR="00D95265">
        <w:rPr>
          <w:rFonts w:cs="Arial"/>
        </w:rPr>
        <w:t xml:space="preserve"> </w:t>
      </w:r>
    </w:p>
    <w:p w14:paraId="3B24B9EC" w14:textId="77777777" w:rsidR="00967931" w:rsidRPr="007C50E1" w:rsidRDefault="00967931" w:rsidP="007C50E1">
      <w:pPr>
        <w:jc w:val="left"/>
        <w:rPr>
          <w:rFonts w:cs="Arial"/>
        </w:rPr>
      </w:pPr>
    </w:p>
    <w:p w14:paraId="195F34C1" w14:textId="07F4FD95" w:rsidR="00967931" w:rsidRPr="007C50E1" w:rsidRDefault="00967931" w:rsidP="007C50E1">
      <w:pPr>
        <w:jc w:val="left"/>
        <w:rPr>
          <w:rFonts w:cs="Arial"/>
          <w:i/>
          <w:color w:val="auto"/>
        </w:rPr>
      </w:pPr>
      <w:r w:rsidRPr="007C50E1">
        <w:rPr>
          <w:rFonts w:cs="Arial"/>
          <w:b/>
          <w:i/>
          <w:color w:val="auto"/>
        </w:rPr>
        <w:t>[please place Figure 2 here]</w:t>
      </w:r>
    </w:p>
    <w:p w14:paraId="001F97A7" w14:textId="77777777" w:rsidR="00EF10FB" w:rsidRPr="007C50E1" w:rsidRDefault="00EF10FB" w:rsidP="007C50E1">
      <w:pPr>
        <w:jc w:val="left"/>
        <w:rPr>
          <w:rFonts w:cs="Arial"/>
        </w:rPr>
      </w:pPr>
    </w:p>
    <w:p w14:paraId="5F854D5A" w14:textId="71FFA3C7" w:rsidR="00EF10FB" w:rsidRPr="007C50E1" w:rsidRDefault="00EF10FB" w:rsidP="007C50E1">
      <w:pPr>
        <w:jc w:val="left"/>
        <w:rPr>
          <w:rFonts w:cs="Arial"/>
          <w:i/>
        </w:rPr>
      </w:pPr>
      <w:r w:rsidRPr="007C50E1">
        <w:rPr>
          <w:rFonts w:cs="Arial"/>
          <w:b/>
          <w:i/>
        </w:rPr>
        <w:t>[please place Figure 3 here]</w:t>
      </w:r>
    </w:p>
    <w:p w14:paraId="21970CFB" w14:textId="77777777" w:rsidR="00EF10FB" w:rsidRPr="007C50E1" w:rsidRDefault="00EF10FB" w:rsidP="007C50E1">
      <w:pPr>
        <w:jc w:val="left"/>
        <w:rPr>
          <w:rFonts w:cs="Arial"/>
        </w:rPr>
      </w:pPr>
    </w:p>
    <w:p w14:paraId="27E620D7" w14:textId="13855554" w:rsidR="002C1CFE" w:rsidRPr="007C50E1" w:rsidRDefault="002C1CFE" w:rsidP="007C50E1">
      <w:pPr>
        <w:jc w:val="left"/>
        <w:rPr>
          <w:rFonts w:cs="Arial"/>
        </w:rPr>
      </w:pPr>
      <w:r w:rsidRPr="007C50E1">
        <w:rPr>
          <w:rFonts w:cs="Arial"/>
        </w:rPr>
        <w:t xml:space="preserve">For the </w:t>
      </w:r>
      <w:r w:rsidRPr="007C50E1">
        <w:rPr>
          <w:rFonts w:cs="Arial"/>
          <w:i/>
        </w:rPr>
        <w:t>in vivo</w:t>
      </w:r>
      <w:r w:rsidRPr="007C50E1">
        <w:rPr>
          <w:rFonts w:cs="Arial"/>
        </w:rPr>
        <w:t xml:space="preserve"> </w:t>
      </w:r>
      <w:r w:rsidR="003A7AF5" w:rsidRPr="007C50E1">
        <w:rPr>
          <w:rFonts w:cs="Arial"/>
        </w:rPr>
        <w:t>testing</w:t>
      </w:r>
      <w:r w:rsidRPr="007C50E1">
        <w:rPr>
          <w:rFonts w:cs="Arial"/>
        </w:rPr>
        <w:t xml:space="preserve">, healthy </w:t>
      </w:r>
      <w:r w:rsidR="006C0861" w:rsidRPr="007C50E1">
        <w:rPr>
          <w:rFonts w:cs="Arial"/>
        </w:rPr>
        <w:t>Balb/c</w:t>
      </w:r>
      <w:r w:rsidRPr="007C50E1">
        <w:rPr>
          <w:rFonts w:cs="Arial"/>
        </w:rPr>
        <w:t xml:space="preserve"> mice were used</w:t>
      </w:r>
      <w:r w:rsidR="00CB333E" w:rsidRPr="007C50E1">
        <w:rPr>
          <w:rFonts w:cs="Arial"/>
        </w:rPr>
        <w:t>.</w:t>
      </w:r>
      <w:r w:rsidRPr="007C50E1">
        <w:rPr>
          <w:rFonts w:cs="Arial"/>
        </w:rPr>
        <w:t xml:space="preserve"> </w:t>
      </w:r>
      <w:r w:rsidR="0007204E" w:rsidRPr="007C50E1">
        <w:rPr>
          <w:rFonts w:cs="Arial"/>
        </w:rPr>
        <w:t>Briefly, f</w:t>
      </w:r>
      <w:r w:rsidRPr="007C50E1">
        <w:rPr>
          <w:rFonts w:cs="Arial"/>
        </w:rPr>
        <w:t xml:space="preserve">or each compound, </w:t>
      </w:r>
      <w:r w:rsidR="00CB333E" w:rsidRPr="007C50E1">
        <w:rPr>
          <w:rFonts w:cs="Arial"/>
        </w:rPr>
        <w:t xml:space="preserve">groups of </w:t>
      </w:r>
      <w:r w:rsidRPr="007C50E1">
        <w:rPr>
          <w:rFonts w:cs="Arial"/>
        </w:rPr>
        <w:lastRenderedPageBreak/>
        <w:t>mice (n=3) were injected with TCO-</w:t>
      </w:r>
      <w:r w:rsidR="003A7AF5" w:rsidRPr="007C50E1">
        <w:rPr>
          <w:rFonts w:cs="Arial"/>
        </w:rPr>
        <w:t xml:space="preserve">BP </w:t>
      </w:r>
      <w:r w:rsidRPr="007C50E1">
        <w:rPr>
          <w:rFonts w:cs="Arial"/>
        </w:rPr>
        <w:t xml:space="preserve">(100 </w:t>
      </w:r>
      <w:r w:rsidRPr="007C50E1">
        <w:rPr>
          <w:rFonts w:cs="Arial"/>
        </w:rPr>
        <w:sym w:font="Symbol" w:char="F06D"/>
      </w:r>
      <w:r w:rsidRPr="007C50E1">
        <w:rPr>
          <w:rFonts w:cs="Arial"/>
        </w:rPr>
        <w:t xml:space="preserve">L, </w:t>
      </w:r>
      <w:r w:rsidR="003A7AF5" w:rsidRPr="007C50E1">
        <w:rPr>
          <w:rFonts w:cs="Arial"/>
        </w:rPr>
        <w:t>20 mg/</w:t>
      </w:r>
      <w:r w:rsidR="00DD34B6" w:rsidRPr="007C50E1">
        <w:rPr>
          <w:rFonts w:cs="Arial"/>
        </w:rPr>
        <w:t>k</w:t>
      </w:r>
      <w:r w:rsidR="003A7AF5" w:rsidRPr="007C50E1">
        <w:rPr>
          <w:rFonts w:cs="Arial"/>
        </w:rPr>
        <w:t>g</w:t>
      </w:r>
      <w:r w:rsidR="00C55C8B" w:rsidRPr="007C50E1">
        <w:rPr>
          <w:rFonts w:cs="Arial"/>
        </w:rPr>
        <w:t>), which</w:t>
      </w:r>
      <w:r w:rsidRPr="007C50E1">
        <w:rPr>
          <w:rFonts w:cs="Arial"/>
        </w:rPr>
        <w:t xml:space="preserve"> was followed by </w:t>
      </w:r>
      <w:r w:rsidR="00213869" w:rsidRPr="007C50E1">
        <w:rPr>
          <w:rFonts w:cs="Arial"/>
        </w:rPr>
        <w:t xml:space="preserve">administration </w:t>
      </w:r>
      <w:r w:rsidRPr="007C50E1">
        <w:rPr>
          <w:rFonts w:cs="Arial"/>
        </w:rPr>
        <w:t>of</w:t>
      </w:r>
      <w:r w:rsidR="00213869" w:rsidRPr="007C50E1">
        <w:rPr>
          <w:rFonts w:cs="Arial"/>
        </w:rPr>
        <w:t xml:space="preserve"> the</w:t>
      </w:r>
      <w:r w:rsidRPr="007C50E1">
        <w:rPr>
          <w:rFonts w:cs="Arial"/>
        </w:rPr>
        <w:t xml:space="preserve"> </w:t>
      </w:r>
      <w:r w:rsidRPr="007C50E1">
        <w:rPr>
          <w:rFonts w:cs="Arial"/>
          <w:vertAlign w:val="superscript"/>
        </w:rPr>
        <w:t>99m</w:t>
      </w:r>
      <w:r w:rsidR="00C55C8B" w:rsidRPr="007C50E1">
        <w:rPr>
          <w:rFonts w:cs="Arial"/>
        </w:rPr>
        <w:t>Tc-labeled compounds 1 h</w:t>
      </w:r>
      <w:r w:rsidRPr="007C50E1">
        <w:rPr>
          <w:rFonts w:cs="Arial"/>
        </w:rPr>
        <w:t xml:space="preserve"> later. </w:t>
      </w:r>
      <w:r w:rsidR="003A7AF5" w:rsidRPr="007C50E1">
        <w:rPr>
          <w:rFonts w:cs="Arial"/>
        </w:rPr>
        <w:t xml:space="preserve">At </w:t>
      </w:r>
      <w:r w:rsidR="00C55C8B" w:rsidRPr="007C50E1">
        <w:rPr>
          <w:rFonts w:cs="Arial"/>
        </w:rPr>
        <w:t>6 h</w:t>
      </w:r>
      <w:r w:rsidR="00213869" w:rsidRPr="007C50E1">
        <w:rPr>
          <w:rFonts w:cs="Arial"/>
        </w:rPr>
        <w:t xml:space="preserve"> post-injection </w:t>
      </w:r>
      <w:r w:rsidR="003A7AF5" w:rsidRPr="007C50E1">
        <w:rPr>
          <w:rFonts w:cs="Arial"/>
        </w:rPr>
        <w:t xml:space="preserve">of the </w:t>
      </w:r>
      <w:r w:rsidR="003A7AF5" w:rsidRPr="007C50E1">
        <w:rPr>
          <w:rFonts w:cs="Arial"/>
          <w:vertAlign w:val="superscript"/>
        </w:rPr>
        <w:t>99m</w:t>
      </w:r>
      <w:r w:rsidR="003A7AF5" w:rsidRPr="007C50E1">
        <w:rPr>
          <w:rFonts w:cs="Arial"/>
        </w:rPr>
        <w:t xml:space="preserve">Tc complexes, the animals were sacrificed and the activity concentrations in various tissues and </w:t>
      </w:r>
      <w:r w:rsidR="005F48FC" w:rsidRPr="007C50E1">
        <w:rPr>
          <w:rFonts w:cs="Arial"/>
        </w:rPr>
        <w:t>fluids</w:t>
      </w:r>
      <w:r w:rsidR="003A7AF5" w:rsidRPr="007C50E1">
        <w:rPr>
          <w:rFonts w:cs="Arial"/>
        </w:rPr>
        <w:t xml:space="preserve"> determined</w:t>
      </w:r>
      <w:r w:rsidR="0007204E" w:rsidRPr="007C50E1">
        <w:rPr>
          <w:rFonts w:cs="Arial"/>
        </w:rPr>
        <w:t xml:space="preserve">. </w:t>
      </w:r>
      <w:r w:rsidR="003A7AF5" w:rsidRPr="007C50E1">
        <w:rPr>
          <w:rFonts w:cs="Arial"/>
        </w:rPr>
        <w:t>The r</w:t>
      </w:r>
      <w:r w:rsidR="0007204E" w:rsidRPr="007C50E1">
        <w:rPr>
          <w:rFonts w:cs="Arial"/>
        </w:rPr>
        <w:t>esulting data</w:t>
      </w:r>
      <w:r w:rsidR="003A7AF5" w:rsidRPr="007C50E1">
        <w:rPr>
          <w:rFonts w:cs="Arial"/>
        </w:rPr>
        <w:t xml:space="preserve"> is reported as</w:t>
      </w:r>
      <w:r w:rsidR="0007204E" w:rsidRPr="007C50E1">
        <w:rPr>
          <w:rFonts w:cs="Arial"/>
        </w:rPr>
        <w:t xml:space="preserve"> percent injected dose per gram tissue (%ID/g) </w:t>
      </w:r>
      <w:r w:rsidR="003A7AF5" w:rsidRPr="007C50E1">
        <w:rPr>
          <w:rFonts w:cs="Arial"/>
        </w:rPr>
        <w:t xml:space="preserve">and is </w:t>
      </w:r>
      <w:r w:rsidR="0007204E" w:rsidRPr="007C50E1">
        <w:rPr>
          <w:rFonts w:cs="Arial"/>
        </w:rPr>
        <w:t xml:space="preserve">shown in Figure </w:t>
      </w:r>
      <w:r w:rsidR="00EF10FB" w:rsidRPr="007C50E1">
        <w:rPr>
          <w:rFonts w:cs="Arial"/>
        </w:rPr>
        <w:t>4</w:t>
      </w:r>
      <w:r w:rsidR="0007204E" w:rsidRPr="007C50E1">
        <w:rPr>
          <w:rFonts w:cs="Arial"/>
        </w:rPr>
        <w:t>.</w:t>
      </w:r>
      <w:r w:rsidR="00283B48" w:rsidRPr="007C50E1">
        <w:rPr>
          <w:rFonts w:cs="Arial"/>
        </w:rPr>
        <w:t xml:space="preserve"> </w:t>
      </w:r>
      <w:r w:rsidR="0007204E" w:rsidRPr="007C50E1">
        <w:rPr>
          <w:rFonts w:cs="Arial"/>
        </w:rPr>
        <w:t>Representative ratios of bone</w:t>
      </w:r>
      <w:r w:rsidR="00DD34B6" w:rsidRPr="007C50E1">
        <w:rPr>
          <w:rFonts w:cs="Arial"/>
        </w:rPr>
        <w:t xml:space="preserve"> (knee or shoulder)</w:t>
      </w:r>
      <w:r w:rsidR="0007204E" w:rsidRPr="007C50E1">
        <w:rPr>
          <w:rFonts w:cs="Arial"/>
        </w:rPr>
        <w:t xml:space="preserve"> to blood for each of the </w:t>
      </w:r>
      <w:r w:rsidR="00A107E2" w:rsidRPr="007C50E1">
        <w:rPr>
          <w:rFonts w:cs="Arial"/>
        </w:rPr>
        <w:t>five</w:t>
      </w:r>
      <w:r w:rsidR="001031F9" w:rsidRPr="007C50E1">
        <w:rPr>
          <w:rFonts w:cs="Arial"/>
        </w:rPr>
        <w:t xml:space="preserve"> </w:t>
      </w:r>
      <w:r w:rsidR="0007204E" w:rsidRPr="007C50E1">
        <w:rPr>
          <w:rFonts w:cs="Arial"/>
          <w:vertAlign w:val="superscript"/>
        </w:rPr>
        <w:t>99m</w:t>
      </w:r>
      <w:r w:rsidR="0007204E" w:rsidRPr="007C50E1">
        <w:rPr>
          <w:rFonts w:cs="Arial"/>
        </w:rPr>
        <w:t xml:space="preserve">Tc-labeled </w:t>
      </w:r>
      <w:r w:rsidR="006717B0" w:rsidRPr="007C50E1">
        <w:rPr>
          <w:rFonts w:cs="Arial"/>
        </w:rPr>
        <w:t xml:space="preserve">Tz </w:t>
      </w:r>
      <w:r w:rsidR="0007204E" w:rsidRPr="007C50E1">
        <w:rPr>
          <w:rFonts w:cs="Arial"/>
        </w:rPr>
        <w:t>compounds are shown on Table 1.</w:t>
      </w:r>
      <w:r w:rsidR="00283B48" w:rsidRPr="007C50E1">
        <w:rPr>
          <w:rFonts w:cs="Arial"/>
        </w:rPr>
        <w:t xml:space="preserve"> </w:t>
      </w:r>
      <w:r w:rsidR="00DD34B6" w:rsidRPr="007C50E1">
        <w:rPr>
          <w:rFonts w:cs="Arial"/>
        </w:rPr>
        <w:t xml:space="preserve">These data indicate clearly that compound </w:t>
      </w:r>
      <w:r w:rsidR="00DD34B6" w:rsidRPr="007C50E1">
        <w:rPr>
          <w:rFonts w:cs="Arial"/>
          <w:b/>
        </w:rPr>
        <w:t>3</w:t>
      </w:r>
      <w:r w:rsidR="00810D39" w:rsidRPr="007C50E1">
        <w:rPr>
          <w:rFonts w:cs="Arial"/>
        </w:rPr>
        <w:t xml:space="preserve"> provided </w:t>
      </w:r>
      <w:r w:rsidR="00DD34B6" w:rsidRPr="007C50E1">
        <w:rPr>
          <w:rFonts w:cs="Arial"/>
        </w:rPr>
        <w:t>optimal targeting</w:t>
      </w:r>
      <w:r w:rsidR="00810D39" w:rsidRPr="007C50E1">
        <w:rPr>
          <w:rFonts w:cs="Arial"/>
        </w:rPr>
        <w:t xml:space="preserve"> combined with clearance from blood</w:t>
      </w:r>
      <w:r w:rsidR="00DD34B6" w:rsidRPr="007C50E1">
        <w:rPr>
          <w:rFonts w:cs="Arial"/>
        </w:rPr>
        <w:t>, and that</w:t>
      </w:r>
      <w:r w:rsidR="00810D39" w:rsidRPr="007C50E1">
        <w:rPr>
          <w:rFonts w:cs="Arial"/>
        </w:rPr>
        <w:t xml:space="preserve"> there was substantial variation among the </w:t>
      </w:r>
      <w:r w:rsidR="00810D39" w:rsidRPr="007C50E1">
        <w:rPr>
          <w:rFonts w:cs="Arial"/>
          <w:vertAlign w:val="superscript"/>
        </w:rPr>
        <w:t>99m</w:t>
      </w:r>
      <w:r w:rsidR="00810D39" w:rsidRPr="007C50E1">
        <w:rPr>
          <w:rFonts w:cs="Arial"/>
        </w:rPr>
        <w:t>Tc-labeled compounds in regard to off</w:t>
      </w:r>
      <w:r w:rsidR="001031F9" w:rsidRPr="007C50E1">
        <w:rPr>
          <w:rFonts w:cs="Arial"/>
        </w:rPr>
        <w:t>-</w:t>
      </w:r>
      <w:r w:rsidR="00810D39" w:rsidRPr="007C50E1">
        <w:rPr>
          <w:rFonts w:cs="Arial"/>
        </w:rPr>
        <w:t>target tissue localization.</w:t>
      </w:r>
      <w:r w:rsidR="00757080" w:rsidRPr="007C50E1">
        <w:rPr>
          <w:rFonts w:cs="Arial"/>
        </w:rPr>
        <w:t xml:space="preserve"> A negative control </w:t>
      </w:r>
      <w:r w:rsidR="003227FB" w:rsidRPr="007C50E1">
        <w:rPr>
          <w:rFonts w:cs="Arial"/>
        </w:rPr>
        <w:t>study</w:t>
      </w:r>
      <w:r w:rsidR="00757080" w:rsidRPr="007C50E1">
        <w:rPr>
          <w:rFonts w:cs="Arial"/>
        </w:rPr>
        <w:t xml:space="preserve"> using CD1 mice (n=3) was conducted</w:t>
      </w:r>
      <w:r w:rsidR="003227FB" w:rsidRPr="007C50E1">
        <w:rPr>
          <w:rFonts w:cs="Arial"/>
        </w:rPr>
        <w:t>,</w:t>
      </w:r>
      <w:r w:rsidR="00757080" w:rsidRPr="007C50E1">
        <w:rPr>
          <w:rFonts w:cs="Arial"/>
        </w:rPr>
        <w:t xml:space="preserve"> where mice were injected with </w:t>
      </w:r>
      <w:r w:rsidR="00757080" w:rsidRPr="007C50E1">
        <w:rPr>
          <w:rFonts w:cs="Arial"/>
          <w:vertAlign w:val="superscript"/>
        </w:rPr>
        <w:t>99m</w:t>
      </w:r>
      <w:r w:rsidR="00757080" w:rsidRPr="007C50E1">
        <w:rPr>
          <w:rFonts w:cs="Arial"/>
        </w:rPr>
        <w:t>Tc-</w:t>
      </w:r>
      <w:r w:rsidR="003227FB" w:rsidRPr="007C50E1">
        <w:rPr>
          <w:rFonts w:cs="Arial"/>
        </w:rPr>
        <w:t>tetra</w:t>
      </w:r>
      <w:r w:rsidR="00757080" w:rsidRPr="007C50E1">
        <w:rPr>
          <w:rFonts w:cs="Arial"/>
        </w:rPr>
        <w:t>z</w:t>
      </w:r>
      <w:r w:rsidR="003227FB" w:rsidRPr="007C50E1">
        <w:rPr>
          <w:rFonts w:cs="Arial"/>
        </w:rPr>
        <w:t>ine</w:t>
      </w:r>
      <w:r w:rsidR="00757080" w:rsidRPr="007C50E1">
        <w:rPr>
          <w:rFonts w:cs="Arial"/>
        </w:rPr>
        <w:t xml:space="preserve"> ligands</w:t>
      </w:r>
      <w:r w:rsidR="008E1153" w:rsidRPr="007C50E1">
        <w:rPr>
          <w:rFonts w:cs="Arial"/>
        </w:rPr>
        <w:t xml:space="preserve"> in the absence of TCO-BP</w:t>
      </w:r>
      <w:r w:rsidR="00757080" w:rsidRPr="007C50E1">
        <w:rPr>
          <w:rFonts w:cs="Arial"/>
        </w:rPr>
        <w:t xml:space="preserve">. Mice were sacrificed at 0.5, 1, 4 and 6 h </w:t>
      </w:r>
      <w:r w:rsidR="008E1153" w:rsidRPr="007C50E1">
        <w:rPr>
          <w:rFonts w:cs="Arial"/>
        </w:rPr>
        <w:t>and</w:t>
      </w:r>
      <w:r w:rsidR="00D95265">
        <w:rPr>
          <w:rFonts w:cs="Arial"/>
        </w:rPr>
        <w:t xml:space="preserve"> %</w:t>
      </w:r>
      <w:r w:rsidR="008E1153" w:rsidRPr="007C50E1">
        <w:rPr>
          <w:rFonts w:cs="Arial"/>
        </w:rPr>
        <w:t xml:space="preserve">ID/g was determined for all tissues and fluids. </w:t>
      </w:r>
      <w:r w:rsidR="003227FB" w:rsidRPr="007C50E1">
        <w:rPr>
          <w:rFonts w:cs="Arial"/>
        </w:rPr>
        <w:t xml:space="preserve">For all compounds tested, where data for compound </w:t>
      </w:r>
      <w:r w:rsidR="003227FB" w:rsidRPr="007C50E1">
        <w:rPr>
          <w:rFonts w:cs="Arial"/>
          <w:b/>
        </w:rPr>
        <w:t>2</w:t>
      </w:r>
      <w:r w:rsidR="003227FB" w:rsidRPr="007C50E1">
        <w:rPr>
          <w:rFonts w:cs="Arial"/>
        </w:rPr>
        <w:t xml:space="preserve"> is presented </w:t>
      </w:r>
      <w:r w:rsidR="008E1153" w:rsidRPr="007C50E1">
        <w:rPr>
          <w:rFonts w:cs="Arial"/>
        </w:rPr>
        <w:t>in Figure 5</w:t>
      </w:r>
      <w:r w:rsidR="003227FB" w:rsidRPr="007C50E1">
        <w:rPr>
          <w:rFonts w:cs="Arial"/>
        </w:rPr>
        <w:t>,</w:t>
      </w:r>
      <w:r w:rsidR="008E1153" w:rsidRPr="007C50E1">
        <w:rPr>
          <w:rFonts w:cs="Arial"/>
        </w:rPr>
        <w:t xml:space="preserve"> </w:t>
      </w:r>
      <w:r w:rsidR="00757080" w:rsidRPr="007C50E1">
        <w:rPr>
          <w:rFonts w:cs="Arial"/>
        </w:rPr>
        <w:t xml:space="preserve">no significant uptake </w:t>
      </w:r>
      <w:r w:rsidR="008E1153" w:rsidRPr="007C50E1">
        <w:rPr>
          <w:rFonts w:cs="Arial"/>
        </w:rPr>
        <w:t xml:space="preserve">was </w:t>
      </w:r>
      <w:r w:rsidR="00757080" w:rsidRPr="007C50E1">
        <w:rPr>
          <w:rFonts w:cs="Arial"/>
        </w:rPr>
        <w:t xml:space="preserve">seen in </w:t>
      </w:r>
      <w:r w:rsidR="009C3C2E" w:rsidRPr="007C50E1">
        <w:rPr>
          <w:rFonts w:cs="Arial"/>
        </w:rPr>
        <w:t xml:space="preserve">bone or other </w:t>
      </w:r>
      <w:r w:rsidR="00757080" w:rsidRPr="007C50E1">
        <w:rPr>
          <w:rFonts w:cs="Arial"/>
        </w:rPr>
        <w:t>tissues (heart, lungs, spleen, skeletal muscle</w:t>
      </w:r>
      <w:r w:rsidR="009C3C2E" w:rsidRPr="007C50E1">
        <w:rPr>
          <w:rFonts w:cs="Arial"/>
        </w:rPr>
        <w:t>)</w:t>
      </w:r>
      <w:r w:rsidR="00757080" w:rsidRPr="007C50E1">
        <w:rPr>
          <w:rFonts w:cs="Arial"/>
        </w:rPr>
        <w:t xml:space="preserve"> </w:t>
      </w:r>
      <w:r w:rsidR="003227FB" w:rsidRPr="007C50E1">
        <w:rPr>
          <w:rFonts w:cs="Arial"/>
        </w:rPr>
        <w:t>not shown in Figure 4</w:t>
      </w:r>
      <w:r w:rsidR="00757080" w:rsidRPr="007C50E1">
        <w:rPr>
          <w:rFonts w:cs="Arial"/>
        </w:rPr>
        <w:t>.</w:t>
      </w:r>
    </w:p>
    <w:p w14:paraId="08F520AD" w14:textId="77777777" w:rsidR="00CA7A02" w:rsidRPr="007C50E1" w:rsidRDefault="00CA7A02" w:rsidP="007C50E1">
      <w:pPr>
        <w:jc w:val="left"/>
        <w:rPr>
          <w:rFonts w:cs="Arial"/>
          <w:b/>
        </w:rPr>
      </w:pPr>
    </w:p>
    <w:p w14:paraId="4D1E87B6" w14:textId="087E2EDA" w:rsidR="00967931" w:rsidRPr="007C50E1" w:rsidRDefault="00967931" w:rsidP="007C50E1">
      <w:pPr>
        <w:jc w:val="left"/>
        <w:rPr>
          <w:rFonts w:cs="Arial"/>
          <w:b/>
          <w:i/>
          <w:color w:val="auto"/>
        </w:rPr>
      </w:pPr>
      <w:r w:rsidRPr="007C50E1">
        <w:rPr>
          <w:rFonts w:cs="Arial"/>
          <w:b/>
          <w:i/>
          <w:color w:val="auto"/>
        </w:rPr>
        <w:t xml:space="preserve">[please place Figure </w:t>
      </w:r>
      <w:r w:rsidR="00EF10FB" w:rsidRPr="007C50E1">
        <w:rPr>
          <w:rFonts w:cs="Arial"/>
          <w:b/>
          <w:i/>
          <w:color w:val="auto"/>
        </w:rPr>
        <w:t>4</w:t>
      </w:r>
      <w:r w:rsidRPr="007C50E1">
        <w:rPr>
          <w:rFonts w:cs="Arial"/>
          <w:b/>
          <w:i/>
          <w:color w:val="auto"/>
        </w:rPr>
        <w:t xml:space="preserve"> here]</w:t>
      </w:r>
    </w:p>
    <w:p w14:paraId="084CBD68" w14:textId="77777777" w:rsidR="00967931" w:rsidRPr="007C50E1" w:rsidRDefault="00967931" w:rsidP="007C50E1">
      <w:pPr>
        <w:jc w:val="left"/>
        <w:rPr>
          <w:rFonts w:cs="Arial"/>
          <w:b/>
        </w:rPr>
      </w:pPr>
    </w:p>
    <w:p w14:paraId="0C1E5A2C" w14:textId="39DE1D0D" w:rsidR="00AF761A" w:rsidRPr="007C50E1" w:rsidRDefault="005F0C18" w:rsidP="007C50E1">
      <w:pPr>
        <w:jc w:val="left"/>
        <w:rPr>
          <w:rFonts w:cs="Arial"/>
        </w:rPr>
      </w:pPr>
      <w:r w:rsidRPr="007C50E1" w:rsidDel="005F0C18">
        <w:rPr>
          <w:rFonts w:cs="Arial"/>
        </w:rPr>
        <w:t xml:space="preserve"> </w:t>
      </w:r>
      <w:r w:rsidR="00AF761A" w:rsidRPr="007C50E1">
        <w:rPr>
          <w:rFonts w:cs="Arial"/>
          <w:b/>
          <w:i/>
        </w:rPr>
        <w:t>[please place Figure 5 here]</w:t>
      </w:r>
    </w:p>
    <w:p w14:paraId="194A60CA" w14:textId="77777777" w:rsidR="00EF10FB" w:rsidRPr="007C50E1" w:rsidRDefault="00EF10FB" w:rsidP="007C50E1">
      <w:pPr>
        <w:jc w:val="left"/>
        <w:rPr>
          <w:rFonts w:cs="Arial"/>
        </w:rPr>
      </w:pPr>
    </w:p>
    <w:p w14:paraId="3EF35215" w14:textId="77777777" w:rsidR="00CA7A02" w:rsidRPr="007C50E1" w:rsidRDefault="00CA7A02" w:rsidP="007C50E1">
      <w:pPr>
        <w:jc w:val="left"/>
        <w:rPr>
          <w:rFonts w:cs="Arial"/>
          <w:b/>
        </w:rPr>
      </w:pPr>
      <w:r w:rsidRPr="007C50E1">
        <w:rPr>
          <w:rFonts w:cs="Arial"/>
          <w:b/>
        </w:rPr>
        <w:t xml:space="preserve">Figure 1. </w:t>
      </w:r>
      <w:r w:rsidRPr="007C50E1">
        <w:rPr>
          <w:rFonts w:cs="Arial"/>
        </w:rPr>
        <w:t xml:space="preserve">The bioorthogonal IEDDA reaction between tetrazine and </w:t>
      </w:r>
      <w:r w:rsidRPr="007C50E1">
        <w:rPr>
          <w:rFonts w:cs="Arial"/>
          <w:i/>
        </w:rPr>
        <w:t>trans</w:t>
      </w:r>
      <w:r w:rsidRPr="007C50E1">
        <w:rPr>
          <w:rFonts w:cs="Arial"/>
        </w:rPr>
        <w:t>-cyclooctene.</w:t>
      </w:r>
      <w:r w:rsidRPr="007C50E1">
        <w:rPr>
          <w:rFonts w:cs="Arial"/>
          <w:b/>
        </w:rPr>
        <w:t xml:space="preserve"> </w:t>
      </w:r>
    </w:p>
    <w:p w14:paraId="17A0C32D" w14:textId="77777777" w:rsidR="00CA7A02" w:rsidRPr="007C50E1" w:rsidRDefault="00CA7A02" w:rsidP="007C50E1">
      <w:pPr>
        <w:jc w:val="left"/>
        <w:rPr>
          <w:rFonts w:cs="Arial"/>
        </w:rPr>
      </w:pPr>
    </w:p>
    <w:p w14:paraId="0D6C5D22" w14:textId="064F5767" w:rsidR="00CA7A02" w:rsidRPr="007C50E1" w:rsidRDefault="00CA7A02" w:rsidP="007C50E1">
      <w:pPr>
        <w:jc w:val="left"/>
        <w:rPr>
          <w:rFonts w:cs="Arial"/>
        </w:rPr>
      </w:pPr>
      <w:r w:rsidRPr="007C50E1">
        <w:rPr>
          <w:rFonts w:cs="Arial"/>
          <w:b/>
        </w:rPr>
        <w:t xml:space="preserve">Figure 2. </w:t>
      </w:r>
      <w:r w:rsidRPr="007C50E1">
        <w:rPr>
          <w:rFonts w:cs="Arial"/>
        </w:rPr>
        <w:t xml:space="preserve">Compounds </w:t>
      </w:r>
      <w:r w:rsidRPr="007C50E1">
        <w:rPr>
          <w:rFonts w:cs="Arial"/>
          <w:b/>
        </w:rPr>
        <w:t xml:space="preserve">1-5 </w:t>
      </w:r>
      <w:r w:rsidRPr="007C50E1">
        <w:rPr>
          <w:rFonts w:cs="Arial"/>
        </w:rPr>
        <w:t>were produced using</w:t>
      </w:r>
      <w:r w:rsidR="00213869" w:rsidRPr="007C50E1">
        <w:rPr>
          <w:rFonts w:cs="Arial"/>
        </w:rPr>
        <w:t xml:space="preserve"> different</w:t>
      </w:r>
      <w:r w:rsidRPr="007C50E1">
        <w:rPr>
          <w:rFonts w:cs="Arial"/>
        </w:rPr>
        <w:t xml:space="preserve"> linkers </w:t>
      </w:r>
      <w:r w:rsidR="006C616B" w:rsidRPr="007C50E1">
        <w:rPr>
          <w:rFonts w:cs="Arial"/>
        </w:rPr>
        <w:t xml:space="preserve">(Y) </w:t>
      </w:r>
      <w:r w:rsidRPr="007C50E1">
        <w:rPr>
          <w:rFonts w:cs="Arial"/>
        </w:rPr>
        <w:t xml:space="preserve">and chelators </w:t>
      </w:r>
      <w:r w:rsidR="006C616B" w:rsidRPr="007C50E1">
        <w:rPr>
          <w:rFonts w:cs="Arial"/>
        </w:rPr>
        <w:t xml:space="preserve">(X) </w:t>
      </w:r>
      <w:r w:rsidRPr="007C50E1">
        <w:rPr>
          <w:rFonts w:cs="Arial"/>
        </w:rPr>
        <w:t>as shown (bottom). All compounds were radiolabeled with [</w:t>
      </w:r>
      <w:r w:rsidRPr="007C50E1">
        <w:rPr>
          <w:rFonts w:cs="Arial"/>
          <w:vertAlign w:val="superscript"/>
        </w:rPr>
        <w:t>99m</w:t>
      </w:r>
      <w:r w:rsidRPr="007C50E1">
        <w:rPr>
          <w:rFonts w:cs="Arial"/>
        </w:rPr>
        <w:t>Tc(CO)</w:t>
      </w:r>
      <w:r w:rsidRPr="007C50E1">
        <w:rPr>
          <w:rFonts w:cs="Arial"/>
          <w:vertAlign w:val="subscript"/>
        </w:rPr>
        <w:t>3</w:t>
      </w:r>
      <w:r w:rsidRPr="007C50E1">
        <w:rPr>
          <w:rFonts w:cs="Arial"/>
        </w:rPr>
        <w:t>(H</w:t>
      </w:r>
      <w:r w:rsidRPr="007C50E1">
        <w:rPr>
          <w:rFonts w:cs="Arial"/>
          <w:vertAlign w:val="subscript"/>
        </w:rPr>
        <w:t>2</w:t>
      </w:r>
      <w:r w:rsidRPr="007C50E1">
        <w:rPr>
          <w:rFonts w:cs="Arial"/>
        </w:rPr>
        <w:t>O)</w:t>
      </w:r>
      <w:r w:rsidRPr="007C50E1">
        <w:rPr>
          <w:rFonts w:cs="Arial"/>
          <w:vertAlign w:val="subscript"/>
        </w:rPr>
        <w:t>3</w:t>
      </w:r>
      <w:r w:rsidRPr="007C50E1">
        <w:rPr>
          <w:rFonts w:cs="Arial"/>
        </w:rPr>
        <w:t>]</w:t>
      </w:r>
      <w:r w:rsidRPr="007C50E1">
        <w:rPr>
          <w:rFonts w:cs="Arial"/>
          <w:vertAlign w:val="superscript"/>
        </w:rPr>
        <w:t>+</w:t>
      </w:r>
      <w:r w:rsidRPr="007C50E1">
        <w:rPr>
          <w:rFonts w:cs="Arial"/>
        </w:rPr>
        <w:t xml:space="preserve"> using the same reaction conditions (top), with the exception of </w:t>
      </w:r>
      <w:r w:rsidRPr="007C50E1">
        <w:rPr>
          <w:rFonts w:cs="Arial"/>
          <w:b/>
        </w:rPr>
        <w:t>1</w:t>
      </w:r>
      <w:r w:rsidR="00213869" w:rsidRPr="007C50E1">
        <w:rPr>
          <w:rFonts w:cs="Arial"/>
        </w:rPr>
        <w:t>,</w:t>
      </w:r>
      <w:r w:rsidRPr="007C50E1">
        <w:rPr>
          <w:rFonts w:cs="Arial"/>
          <w:b/>
        </w:rPr>
        <w:t xml:space="preserve"> </w:t>
      </w:r>
      <w:r w:rsidR="00213869" w:rsidRPr="007C50E1">
        <w:rPr>
          <w:rFonts w:cs="Arial"/>
        </w:rPr>
        <w:t xml:space="preserve">which </w:t>
      </w:r>
      <w:r w:rsidRPr="007C50E1">
        <w:rPr>
          <w:rFonts w:cs="Arial"/>
        </w:rPr>
        <w:t>did</w:t>
      </w:r>
      <w:r w:rsidRPr="007C50E1">
        <w:rPr>
          <w:rFonts w:cs="Arial"/>
          <w:b/>
        </w:rPr>
        <w:t xml:space="preserve"> </w:t>
      </w:r>
      <w:r w:rsidRPr="007C50E1">
        <w:rPr>
          <w:rFonts w:cs="Arial"/>
        </w:rPr>
        <w:t>not require step (ii).</w:t>
      </w:r>
    </w:p>
    <w:p w14:paraId="0A0EED98" w14:textId="77777777" w:rsidR="00860D7A" w:rsidRPr="007C50E1" w:rsidRDefault="00860D7A" w:rsidP="007C50E1">
      <w:pPr>
        <w:jc w:val="left"/>
        <w:rPr>
          <w:rFonts w:cs="Arial"/>
        </w:rPr>
      </w:pPr>
    </w:p>
    <w:p w14:paraId="68B16686" w14:textId="5F3B41E4" w:rsidR="00860D7A" w:rsidRPr="007C50E1" w:rsidRDefault="00860D7A" w:rsidP="007C50E1">
      <w:pPr>
        <w:jc w:val="left"/>
        <w:rPr>
          <w:rFonts w:cs="Arial"/>
        </w:rPr>
      </w:pPr>
      <w:r w:rsidRPr="007C50E1">
        <w:rPr>
          <w:rFonts w:cs="Arial"/>
          <w:b/>
        </w:rPr>
        <w:t xml:space="preserve">Figure 3. </w:t>
      </w:r>
      <w:r w:rsidR="00E0121D" w:rsidRPr="007C50E1">
        <w:rPr>
          <w:rFonts w:cs="Arial"/>
        </w:rPr>
        <w:t>S</w:t>
      </w:r>
      <w:r w:rsidRPr="007C50E1">
        <w:rPr>
          <w:rFonts w:cs="Arial"/>
        </w:rPr>
        <w:t xml:space="preserve">tability </w:t>
      </w:r>
      <w:r w:rsidR="00E0121D" w:rsidRPr="007C50E1">
        <w:rPr>
          <w:rFonts w:cs="Arial"/>
        </w:rPr>
        <w:t>test</w:t>
      </w:r>
      <w:r w:rsidRPr="007C50E1">
        <w:rPr>
          <w:rFonts w:cs="Arial"/>
        </w:rPr>
        <w:t xml:space="preserve"> results using compound </w:t>
      </w:r>
      <w:r w:rsidRPr="007C50E1">
        <w:rPr>
          <w:rFonts w:cs="Arial"/>
          <w:b/>
        </w:rPr>
        <w:t>4</w:t>
      </w:r>
      <w:r w:rsidRPr="007C50E1">
        <w:rPr>
          <w:rFonts w:cs="Arial"/>
        </w:rPr>
        <w:t xml:space="preserve">. γ-HPLC traces of </w:t>
      </w:r>
      <w:r w:rsidRPr="007C50E1">
        <w:rPr>
          <w:rFonts w:cs="Arial"/>
          <w:b/>
        </w:rPr>
        <w:t>4</w:t>
      </w:r>
      <w:r w:rsidRPr="007C50E1">
        <w:rPr>
          <w:rFonts w:cs="Arial"/>
        </w:rPr>
        <w:t xml:space="preserve"> incubated in PBS at 37 </w:t>
      </w:r>
      <w:r w:rsidRPr="007C50E1">
        <w:rPr>
          <w:rFonts w:cs="Arial"/>
        </w:rPr>
        <w:sym w:font="Symbol" w:char="F0B0"/>
      </w:r>
      <w:r w:rsidRPr="007C50E1">
        <w:rPr>
          <w:rFonts w:cs="Arial"/>
        </w:rPr>
        <w:t xml:space="preserve">C for 1, 4 and 6 h. </w:t>
      </w:r>
    </w:p>
    <w:p w14:paraId="113D9548" w14:textId="77777777" w:rsidR="00CA7A02" w:rsidRPr="007C50E1" w:rsidRDefault="00CA7A02" w:rsidP="007C50E1">
      <w:pPr>
        <w:jc w:val="left"/>
        <w:rPr>
          <w:rFonts w:cs="Arial"/>
        </w:rPr>
      </w:pPr>
    </w:p>
    <w:p w14:paraId="4691432B" w14:textId="7C7CA9D7" w:rsidR="002C1CFE" w:rsidRPr="007C50E1" w:rsidRDefault="00CA7A02" w:rsidP="007C50E1">
      <w:pPr>
        <w:jc w:val="left"/>
        <w:rPr>
          <w:rFonts w:cs="Arial"/>
        </w:rPr>
      </w:pPr>
      <w:r w:rsidRPr="007C50E1">
        <w:rPr>
          <w:rFonts w:cs="Arial"/>
          <w:b/>
        </w:rPr>
        <w:t xml:space="preserve">Figure </w:t>
      </w:r>
      <w:r w:rsidR="00860D7A" w:rsidRPr="007C50E1">
        <w:rPr>
          <w:rFonts w:cs="Arial"/>
          <w:b/>
        </w:rPr>
        <w:t>4</w:t>
      </w:r>
      <w:r w:rsidRPr="007C50E1">
        <w:rPr>
          <w:rFonts w:cs="Arial"/>
          <w:b/>
        </w:rPr>
        <w:t xml:space="preserve">. </w:t>
      </w:r>
      <w:r w:rsidR="00D95265">
        <w:rPr>
          <w:rFonts w:cs="Arial"/>
        </w:rPr>
        <w:t xml:space="preserve">Bio-distribution </w:t>
      </w:r>
      <w:r w:rsidRPr="007C50E1">
        <w:rPr>
          <w:rFonts w:cs="Arial"/>
        </w:rPr>
        <w:t xml:space="preserve">results for </w:t>
      </w:r>
      <w:r w:rsidRPr="007C50E1">
        <w:rPr>
          <w:rFonts w:cs="Arial"/>
          <w:vertAlign w:val="superscript"/>
        </w:rPr>
        <w:t>99m</w:t>
      </w:r>
      <w:r w:rsidRPr="007C50E1">
        <w:rPr>
          <w:rFonts w:cs="Arial"/>
        </w:rPr>
        <w:t xml:space="preserve">Tc-labeled </w:t>
      </w:r>
      <w:r w:rsidR="00213869" w:rsidRPr="007C50E1">
        <w:rPr>
          <w:rFonts w:cs="Arial"/>
        </w:rPr>
        <w:t xml:space="preserve">tetrazine </w:t>
      </w:r>
      <w:r w:rsidRPr="007C50E1">
        <w:rPr>
          <w:rFonts w:cs="Arial"/>
        </w:rPr>
        <w:t xml:space="preserve">derivatives </w:t>
      </w:r>
      <w:r w:rsidRPr="007C50E1">
        <w:rPr>
          <w:rFonts w:cs="Arial"/>
          <w:b/>
        </w:rPr>
        <w:t>1-5</w:t>
      </w:r>
      <w:r w:rsidRPr="007C50E1">
        <w:rPr>
          <w:rFonts w:cs="Arial"/>
        </w:rPr>
        <w:t xml:space="preserve"> (bars indicated).</w:t>
      </w:r>
      <w:r w:rsidR="00283B48" w:rsidRPr="007C50E1">
        <w:rPr>
          <w:rFonts w:cs="Arial"/>
        </w:rPr>
        <w:t xml:space="preserve"> </w:t>
      </w:r>
      <w:r w:rsidRPr="007C50E1">
        <w:rPr>
          <w:rFonts w:cs="Arial"/>
        </w:rPr>
        <w:t xml:space="preserve">Data shown were obtained from selected tissues and fluids taken 6 h post injection of </w:t>
      </w:r>
      <w:r w:rsidR="00213869" w:rsidRPr="007C50E1">
        <w:rPr>
          <w:rFonts w:cs="Arial"/>
        </w:rPr>
        <w:t xml:space="preserve">the </w:t>
      </w:r>
      <w:r w:rsidRPr="007C50E1">
        <w:rPr>
          <w:rFonts w:cs="Arial"/>
        </w:rPr>
        <w:t xml:space="preserve">radiolabeled derivatives, and activity was normalized to tissue or fluid weight, as mean </w:t>
      </w:r>
      <w:r w:rsidR="00213869" w:rsidRPr="007C50E1">
        <w:rPr>
          <w:rFonts w:cs="Arial"/>
        </w:rPr>
        <w:t xml:space="preserve">percent </w:t>
      </w:r>
      <w:r w:rsidRPr="007C50E1">
        <w:rPr>
          <w:rFonts w:cs="Arial"/>
        </w:rPr>
        <w:t>injected dose per g</w:t>
      </w:r>
      <w:r w:rsidR="00213869" w:rsidRPr="007C50E1">
        <w:rPr>
          <w:rFonts w:cs="Arial"/>
        </w:rPr>
        <w:t>ram of</w:t>
      </w:r>
      <w:r w:rsidRPr="007C50E1">
        <w:rPr>
          <w:rFonts w:cs="Arial"/>
        </w:rPr>
        <w:t xml:space="preserve"> tissue </w:t>
      </w:r>
      <w:r w:rsidR="00213869" w:rsidRPr="007C50E1">
        <w:rPr>
          <w:rFonts w:cs="Arial"/>
        </w:rPr>
        <w:t xml:space="preserve">or </w:t>
      </w:r>
      <w:r w:rsidRPr="007C50E1">
        <w:rPr>
          <w:rFonts w:cs="Arial"/>
        </w:rPr>
        <w:t xml:space="preserve">fluid (%ID/g) ± SEM. Bone </w:t>
      </w:r>
      <w:r w:rsidR="00FE332E" w:rsidRPr="007C50E1">
        <w:rPr>
          <w:rFonts w:cs="Arial"/>
        </w:rPr>
        <w:t>targets are</w:t>
      </w:r>
      <w:r w:rsidRPr="007C50E1">
        <w:rPr>
          <w:rFonts w:cs="Arial"/>
        </w:rPr>
        <w:t xml:space="preserve"> indicated</w:t>
      </w:r>
      <w:r w:rsidR="00C33370" w:rsidRPr="007C50E1">
        <w:rPr>
          <w:rFonts w:cs="Arial"/>
        </w:rPr>
        <w:t xml:space="preserve"> </w:t>
      </w:r>
      <w:r w:rsidR="00860D7A" w:rsidRPr="007C50E1">
        <w:rPr>
          <w:rFonts w:cs="Arial"/>
        </w:rPr>
        <w:t>by ^</w:t>
      </w:r>
      <w:r w:rsidR="00A107E2" w:rsidRPr="007C50E1">
        <w:rPr>
          <w:rFonts w:cs="Arial"/>
        </w:rPr>
        <w:t>.</w:t>
      </w:r>
      <w:r w:rsidR="005F0C18" w:rsidRPr="007C50E1">
        <w:rPr>
          <w:rFonts w:cs="Arial"/>
        </w:rPr>
        <w:t xml:space="preserve"> </w:t>
      </w:r>
      <w:r w:rsidRPr="007C50E1">
        <w:rPr>
          <w:rFonts w:cs="Arial"/>
        </w:rPr>
        <w:t>NOTE: All remaining tissues not shown had mean</w:t>
      </w:r>
      <w:r w:rsidR="00D95265">
        <w:rPr>
          <w:rFonts w:cs="Arial"/>
        </w:rPr>
        <w:t>%</w:t>
      </w:r>
      <w:r w:rsidRPr="007C50E1">
        <w:rPr>
          <w:rFonts w:cs="Arial"/>
        </w:rPr>
        <w:t xml:space="preserve">ID/g </w:t>
      </w:r>
      <w:r w:rsidR="00213869" w:rsidRPr="007C50E1">
        <w:rPr>
          <w:rFonts w:cs="Arial"/>
        </w:rPr>
        <w:t xml:space="preserve">that was </w:t>
      </w:r>
      <w:r w:rsidRPr="007C50E1">
        <w:rPr>
          <w:rFonts w:cs="Arial"/>
        </w:rPr>
        <w:t>less than 1%.</w:t>
      </w:r>
    </w:p>
    <w:p w14:paraId="675981E1" w14:textId="77777777" w:rsidR="00860D7A" w:rsidRPr="007C50E1" w:rsidRDefault="00860D7A" w:rsidP="007C50E1">
      <w:pPr>
        <w:jc w:val="left"/>
        <w:rPr>
          <w:rFonts w:cs="Arial"/>
        </w:rPr>
      </w:pPr>
    </w:p>
    <w:p w14:paraId="1E6EA25C" w14:textId="0E05D6D4" w:rsidR="00860D7A" w:rsidRPr="007C50E1" w:rsidRDefault="00860D7A" w:rsidP="007C50E1">
      <w:pPr>
        <w:jc w:val="left"/>
        <w:rPr>
          <w:rFonts w:cs="Arial"/>
        </w:rPr>
      </w:pPr>
      <w:r w:rsidRPr="007C50E1">
        <w:rPr>
          <w:rFonts w:cs="Arial"/>
          <w:b/>
        </w:rPr>
        <w:t>Figure 5.</w:t>
      </w:r>
      <w:r w:rsidR="00D95265">
        <w:rPr>
          <w:rFonts w:cs="Arial"/>
        </w:rPr>
        <w:t xml:space="preserve"> Bio-distribution </w:t>
      </w:r>
      <w:r w:rsidRPr="007C50E1">
        <w:rPr>
          <w:rFonts w:cs="Arial"/>
        </w:rPr>
        <w:t xml:space="preserve">results for control study using </w:t>
      </w:r>
      <w:r w:rsidRPr="007C50E1">
        <w:rPr>
          <w:rFonts w:cs="Arial"/>
          <w:vertAlign w:val="superscript"/>
        </w:rPr>
        <w:t>99m</w:t>
      </w:r>
      <w:r w:rsidRPr="007C50E1">
        <w:rPr>
          <w:rFonts w:cs="Arial"/>
        </w:rPr>
        <w:t>Tc-labeled tetrazin</w:t>
      </w:r>
      <w:r w:rsidR="00642112" w:rsidRPr="007C50E1">
        <w:rPr>
          <w:rFonts w:cs="Arial"/>
        </w:rPr>
        <w:t>e</w:t>
      </w:r>
      <w:r w:rsidRPr="007C50E1">
        <w:rPr>
          <w:rFonts w:cs="Arial"/>
        </w:rPr>
        <w:t xml:space="preserve"> (</w:t>
      </w:r>
      <w:r w:rsidRPr="007C50E1">
        <w:rPr>
          <w:rFonts w:cs="Arial"/>
          <w:b/>
        </w:rPr>
        <w:t>2</w:t>
      </w:r>
      <w:r w:rsidRPr="007C50E1">
        <w:rPr>
          <w:rFonts w:cs="Arial"/>
        </w:rPr>
        <w:t>)</w:t>
      </w:r>
      <w:r w:rsidR="00642112" w:rsidRPr="007C50E1">
        <w:rPr>
          <w:rFonts w:cs="Arial"/>
        </w:rPr>
        <w:t xml:space="preserve"> without prior injection of TCO-BP</w:t>
      </w:r>
      <w:r w:rsidRPr="007C50E1">
        <w:rPr>
          <w:rFonts w:cs="Arial"/>
        </w:rPr>
        <w:t>.</w:t>
      </w:r>
      <w:r w:rsidR="00D95265">
        <w:rPr>
          <w:rFonts w:cs="Arial"/>
        </w:rPr>
        <w:t xml:space="preserve"> </w:t>
      </w:r>
      <w:r w:rsidR="00642112" w:rsidRPr="007C50E1">
        <w:rPr>
          <w:rFonts w:cs="Arial"/>
        </w:rPr>
        <w:t xml:space="preserve">Data shown were obtained from selected tissues and fluids taken from 3 mice at 0.5, 1, 4, and 6 h post injection of </w:t>
      </w:r>
      <w:r w:rsidR="00642112" w:rsidRPr="007C50E1">
        <w:rPr>
          <w:rFonts w:cs="Arial"/>
          <w:b/>
        </w:rPr>
        <w:t>2</w:t>
      </w:r>
      <w:r w:rsidR="00642112" w:rsidRPr="007C50E1">
        <w:rPr>
          <w:rFonts w:cs="Arial"/>
        </w:rPr>
        <w:t>. Activity was normalized to tissue or fluid weight, as mean percent injected dose per gram of tissue or fluid (%ID/g) ± SEM.</w:t>
      </w:r>
    </w:p>
    <w:p w14:paraId="773801BC" w14:textId="77777777" w:rsidR="006B4876" w:rsidRPr="007C50E1" w:rsidRDefault="006B4876" w:rsidP="007C50E1">
      <w:pPr>
        <w:jc w:val="left"/>
        <w:rPr>
          <w:rFonts w:cs="Arial"/>
        </w:rPr>
      </w:pPr>
    </w:p>
    <w:p w14:paraId="53D55D68" w14:textId="0E43019D" w:rsidR="00A107E2" w:rsidRPr="007C50E1" w:rsidRDefault="006B4876" w:rsidP="007C50E1">
      <w:pPr>
        <w:jc w:val="left"/>
        <w:rPr>
          <w:rFonts w:cs="Arial"/>
        </w:rPr>
      </w:pPr>
      <w:r w:rsidRPr="007C50E1">
        <w:rPr>
          <w:rFonts w:cs="Arial"/>
          <w:b/>
        </w:rPr>
        <w:t>Table 1.</w:t>
      </w:r>
      <w:r w:rsidR="00283B48" w:rsidRPr="007C50E1">
        <w:rPr>
          <w:rFonts w:cs="Arial"/>
        </w:rPr>
        <w:t xml:space="preserve"> </w:t>
      </w:r>
      <w:r w:rsidRPr="007C50E1">
        <w:rPr>
          <w:rFonts w:cs="Arial"/>
        </w:rPr>
        <w:t xml:space="preserve">Bone </w:t>
      </w:r>
      <w:r w:rsidR="00283B48" w:rsidRPr="007C50E1">
        <w:rPr>
          <w:rFonts w:cs="Arial"/>
        </w:rPr>
        <w:t>tissue:</w:t>
      </w:r>
      <w:r w:rsidRPr="007C50E1">
        <w:rPr>
          <w:rFonts w:cs="Arial"/>
        </w:rPr>
        <w:t xml:space="preserve"> blood ratios determined from </w:t>
      </w:r>
      <w:r w:rsidR="00D95265">
        <w:rPr>
          <w:rFonts w:cs="Arial"/>
        </w:rPr>
        <w:t xml:space="preserve">bio-distribution </w:t>
      </w:r>
      <w:r w:rsidRPr="007C50E1">
        <w:rPr>
          <w:rFonts w:cs="Arial"/>
        </w:rPr>
        <w:t>studies</w:t>
      </w:r>
      <w:r w:rsidR="00C33370" w:rsidRPr="007C50E1">
        <w:rPr>
          <w:rFonts w:cs="Arial"/>
        </w:rPr>
        <w:t xml:space="preserve">. </w:t>
      </w:r>
    </w:p>
    <w:p w14:paraId="055338DB" w14:textId="047F81E0" w:rsidR="006305D7" w:rsidRPr="007C50E1" w:rsidRDefault="006305D7" w:rsidP="007C50E1">
      <w:pPr>
        <w:jc w:val="left"/>
        <w:rPr>
          <w:rFonts w:cs="Arial"/>
          <w:b/>
        </w:rPr>
      </w:pPr>
    </w:p>
    <w:p w14:paraId="2C454B41" w14:textId="77777777" w:rsidR="00F46899" w:rsidRPr="007C50E1" w:rsidRDefault="006305D7" w:rsidP="007C50E1">
      <w:pPr>
        <w:jc w:val="left"/>
        <w:rPr>
          <w:rFonts w:cs="Arial"/>
        </w:rPr>
      </w:pPr>
      <w:r w:rsidRPr="007C50E1">
        <w:rPr>
          <w:rFonts w:cs="Arial"/>
          <w:b/>
        </w:rPr>
        <w:t>DISCUSSION</w:t>
      </w:r>
      <w:r w:rsidRPr="007C50E1">
        <w:rPr>
          <w:rFonts w:cs="Arial"/>
          <w:b/>
          <w:bCs/>
        </w:rPr>
        <w:t>:</w:t>
      </w:r>
      <w:r w:rsidR="00D73014" w:rsidRPr="007C50E1">
        <w:rPr>
          <w:rFonts w:cs="Arial"/>
        </w:rPr>
        <w:t xml:space="preserve"> </w:t>
      </w:r>
      <w:r w:rsidR="00D73014" w:rsidRPr="007C50E1">
        <w:rPr>
          <w:rFonts w:cs="Arial"/>
        </w:rPr>
        <w:tab/>
      </w:r>
    </w:p>
    <w:p w14:paraId="016D4E60" w14:textId="20574D7A" w:rsidR="00D73014" w:rsidRPr="007C50E1" w:rsidRDefault="00574900" w:rsidP="007C50E1">
      <w:pPr>
        <w:jc w:val="left"/>
        <w:rPr>
          <w:rFonts w:cs="Arial"/>
        </w:rPr>
      </w:pPr>
      <w:r w:rsidRPr="007C50E1">
        <w:rPr>
          <w:rFonts w:cs="Arial"/>
        </w:rPr>
        <w:t>A</w:t>
      </w:r>
      <w:r w:rsidR="00B92350" w:rsidRPr="007C50E1">
        <w:rPr>
          <w:rFonts w:cs="Arial"/>
        </w:rPr>
        <w:t xml:space="preserve"> </w:t>
      </w:r>
      <w:r w:rsidR="00094CDD" w:rsidRPr="007C50E1">
        <w:rPr>
          <w:rFonts w:cs="Arial"/>
        </w:rPr>
        <w:t xml:space="preserve">collection </w:t>
      </w:r>
      <w:r w:rsidR="00B92350" w:rsidRPr="007C50E1">
        <w:rPr>
          <w:rFonts w:cs="Arial"/>
        </w:rPr>
        <w:t xml:space="preserve">of </w:t>
      </w:r>
      <w:r w:rsidR="00094CDD" w:rsidRPr="007C50E1">
        <w:rPr>
          <w:rFonts w:cs="Arial"/>
        </w:rPr>
        <w:t>tetrazine</w:t>
      </w:r>
      <w:r w:rsidR="00E71BB4" w:rsidRPr="007C50E1">
        <w:rPr>
          <w:rFonts w:cs="Arial"/>
        </w:rPr>
        <w:t>-</w:t>
      </w:r>
      <w:r w:rsidR="00B92350" w:rsidRPr="007C50E1">
        <w:rPr>
          <w:rFonts w:cs="Arial"/>
        </w:rPr>
        <w:t xml:space="preserve">linked tridentate chelates of varying polarities </w:t>
      </w:r>
      <w:r w:rsidRPr="007C50E1">
        <w:rPr>
          <w:rFonts w:cs="Arial"/>
        </w:rPr>
        <w:t>was</w:t>
      </w:r>
      <w:r w:rsidR="00B92350" w:rsidRPr="007C50E1">
        <w:rPr>
          <w:rFonts w:cs="Arial"/>
        </w:rPr>
        <w:t xml:space="preserve"> </w:t>
      </w:r>
      <w:r w:rsidRPr="007C50E1">
        <w:rPr>
          <w:rFonts w:cs="Arial"/>
        </w:rPr>
        <w:t>prepared</w:t>
      </w:r>
      <w:r w:rsidR="00AB2608" w:rsidRPr="007C50E1">
        <w:rPr>
          <w:rFonts w:cs="Arial"/>
        </w:rPr>
        <w:t>,</w:t>
      </w:r>
      <w:r w:rsidRPr="007C50E1">
        <w:rPr>
          <w:rFonts w:cs="Arial"/>
        </w:rPr>
        <w:t xml:space="preserve"> and the utility of their </w:t>
      </w:r>
      <w:r w:rsidRPr="007C50E1">
        <w:rPr>
          <w:rFonts w:cs="Arial"/>
          <w:vertAlign w:val="superscript"/>
        </w:rPr>
        <w:t>99m</w:t>
      </w:r>
      <w:r w:rsidRPr="007C50E1">
        <w:rPr>
          <w:rFonts w:cs="Arial"/>
        </w:rPr>
        <w:t xml:space="preserve">Tc complexes in the IEDDA reaction with a TCO derivative </w:t>
      </w:r>
      <w:r w:rsidRPr="007C50E1">
        <w:rPr>
          <w:rFonts w:cs="Arial"/>
          <w:i/>
        </w:rPr>
        <w:t>in vivo</w:t>
      </w:r>
      <w:r w:rsidRPr="007C50E1">
        <w:rPr>
          <w:rFonts w:cs="Arial"/>
        </w:rPr>
        <w:t xml:space="preserve"> </w:t>
      </w:r>
      <w:r w:rsidR="001031F9" w:rsidRPr="007C50E1">
        <w:rPr>
          <w:rFonts w:cs="Arial"/>
        </w:rPr>
        <w:t xml:space="preserve">was </w:t>
      </w:r>
      <w:r w:rsidRPr="007C50E1">
        <w:rPr>
          <w:rFonts w:cs="Arial"/>
        </w:rPr>
        <w:t>assessed. An effective and</w:t>
      </w:r>
      <w:r w:rsidR="00D73014" w:rsidRPr="007C50E1">
        <w:rPr>
          <w:rFonts w:cs="Arial"/>
        </w:rPr>
        <w:t xml:space="preserve"> reproducible </w:t>
      </w:r>
      <w:r w:rsidR="00F46899" w:rsidRPr="007C50E1">
        <w:rPr>
          <w:rFonts w:cs="Arial"/>
          <w:vertAlign w:val="superscript"/>
        </w:rPr>
        <w:t>99m</w:t>
      </w:r>
      <w:r w:rsidR="00F46899" w:rsidRPr="007C50E1">
        <w:rPr>
          <w:rFonts w:cs="Arial"/>
        </w:rPr>
        <w:t xml:space="preserve">Tc </w:t>
      </w:r>
      <w:r w:rsidR="00AB2608" w:rsidRPr="007C50E1">
        <w:rPr>
          <w:rFonts w:cs="Arial"/>
        </w:rPr>
        <w:t>label</w:t>
      </w:r>
      <w:r w:rsidR="00D73014" w:rsidRPr="007C50E1">
        <w:rPr>
          <w:rFonts w:cs="Arial"/>
        </w:rPr>
        <w:t xml:space="preserve">ing method was </w:t>
      </w:r>
      <w:r w:rsidRPr="007C50E1">
        <w:rPr>
          <w:rFonts w:cs="Arial"/>
        </w:rPr>
        <w:t>developed for</w:t>
      </w:r>
      <w:r w:rsidR="00D73014" w:rsidRPr="007C50E1">
        <w:rPr>
          <w:rFonts w:cs="Arial"/>
        </w:rPr>
        <w:t xml:space="preserve"> f</w:t>
      </w:r>
      <w:r w:rsidR="00E71BB4" w:rsidRPr="007C50E1">
        <w:rPr>
          <w:rFonts w:cs="Arial"/>
        </w:rPr>
        <w:t>ive</w:t>
      </w:r>
      <w:r w:rsidR="00D73014" w:rsidRPr="007C50E1">
        <w:rPr>
          <w:rFonts w:cs="Arial"/>
        </w:rPr>
        <w:t xml:space="preserve"> </w:t>
      </w:r>
      <w:r w:rsidR="00094CDD" w:rsidRPr="007C50E1">
        <w:rPr>
          <w:rFonts w:cs="Arial"/>
        </w:rPr>
        <w:t>tetrazine</w:t>
      </w:r>
      <w:r w:rsidR="00F46899" w:rsidRPr="007C50E1">
        <w:rPr>
          <w:rFonts w:cs="Arial"/>
        </w:rPr>
        <w:t>-chelates</w:t>
      </w:r>
      <w:r w:rsidR="001637E1" w:rsidRPr="007C50E1">
        <w:rPr>
          <w:rFonts w:cs="Arial"/>
        </w:rPr>
        <w:t xml:space="preserve">, </w:t>
      </w:r>
      <w:r w:rsidR="002C7D95" w:rsidRPr="007C50E1">
        <w:rPr>
          <w:rFonts w:cs="Arial"/>
        </w:rPr>
        <w:lastRenderedPageBreak/>
        <w:t xml:space="preserve">where the ligand concentration was </w:t>
      </w:r>
      <w:r w:rsidR="001637E1" w:rsidRPr="007C50E1">
        <w:rPr>
          <w:rFonts w:cs="Arial"/>
        </w:rPr>
        <w:t>10</w:t>
      </w:r>
      <w:r w:rsidR="001637E1" w:rsidRPr="007C50E1">
        <w:rPr>
          <w:rFonts w:cs="Arial"/>
          <w:vertAlign w:val="superscript"/>
        </w:rPr>
        <w:t>-3</w:t>
      </w:r>
      <w:r w:rsidR="001637E1" w:rsidRPr="007C50E1">
        <w:rPr>
          <w:rFonts w:cs="Arial"/>
        </w:rPr>
        <w:t xml:space="preserve"> M</w:t>
      </w:r>
      <w:r w:rsidR="002C7D95" w:rsidRPr="007C50E1">
        <w:rPr>
          <w:rFonts w:cs="Arial"/>
        </w:rPr>
        <w:t xml:space="preserve">. The labeling step was </w:t>
      </w:r>
      <w:r w:rsidR="001637E1" w:rsidRPr="007C50E1">
        <w:rPr>
          <w:rFonts w:cs="Arial"/>
        </w:rPr>
        <w:t>followed by</w:t>
      </w:r>
      <w:r w:rsidR="00642112" w:rsidRPr="007C50E1">
        <w:rPr>
          <w:rFonts w:cs="Arial"/>
        </w:rPr>
        <w:t xml:space="preserve"> </w:t>
      </w:r>
      <w:r w:rsidR="001637E1" w:rsidRPr="007C50E1">
        <w:rPr>
          <w:rFonts w:cs="Arial"/>
        </w:rPr>
        <w:t xml:space="preserve">deprotection of </w:t>
      </w:r>
      <w:r w:rsidR="001637E1" w:rsidRPr="007C50E1">
        <w:rPr>
          <w:rFonts w:cs="Arial"/>
          <w:i/>
        </w:rPr>
        <w:t>t-</w:t>
      </w:r>
      <w:r w:rsidR="001637E1" w:rsidRPr="007C50E1">
        <w:rPr>
          <w:rFonts w:cs="Arial"/>
        </w:rPr>
        <w:t>butyl groups (</w:t>
      </w:r>
      <w:r w:rsidR="002C7D95" w:rsidRPr="007C50E1">
        <w:rPr>
          <w:rFonts w:cs="Arial"/>
        </w:rPr>
        <w:t xml:space="preserve">for </w:t>
      </w:r>
      <w:r w:rsidR="001637E1" w:rsidRPr="007C50E1">
        <w:rPr>
          <w:rFonts w:cs="Arial"/>
        </w:rPr>
        <w:t xml:space="preserve">compounds </w:t>
      </w:r>
      <w:r w:rsidR="001637E1" w:rsidRPr="007C50E1">
        <w:rPr>
          <w:rFonts w:cs="Arial"/>
          <w:b/>
        </w:rPr>
        <w:t>2-5</w:t>
      </w:r>
      <w:r w:rsidR="001637E1" w:rsidRPr="007C50E1">
        <w:rPr>
          <w:rFonts w:cs="Arial"/>
        </w:rPr>
        <w:t>).</w:t>
      </w:r>
      <w:r w:rsidR="00B344A4" w:rsidRPr="007C50E1">
        <w:rPr>
          <w:rFonts w:cs="Arial"/>
        </w:rPr>
        <w:t xml:space="preserve"> </w:t>
      </w:r>
      <w:r w:rsidR="002C7D95" w:rsidRPr="007C50E1">
        <w:rPr>
          <w:rFonts w:cs="Arial"/>
        </w:rPr>
        <w:t>The</w:t>
      </w:r>
      <w:r w:rsidR="00B344A4" w:rsidRPr="007C50E1">
        <w:rPr>
          <w:rFonts w:cs="Arial"/>
        </w:rPr>
        <w:t xml:space="preserve"> high concentration of ligand</w:t>
      </w:r>
      <w:r w:rsidR="002C7D95" w:rsidRPr="007C50E1">
        <w:rPr>
          <w:rFonts w:cs="Arial"/>
        </w:rPr>
        <w:t xml:space="preserve"> was used to improve the radiochemical yield and reduce reaction times which minimized degradation of the tetrazine</w:t>
      </w:r>
      <w:r w:rsidR="00A37E52" w:rsidRPr="007C50E1">
        <w:rPr>
          <w:rFonts w:cs="Arial"/>
        </w:rPr>
        <w:fldChar w:fldCharType="begin" w:fldLock="1"/>
      </w:r>
      <w:r w:rsidR="00A37E52" w:rsidRPr="007C50E1">
        <w:rPr>
          <w:rFonts w:cs="Arial"/>
        </w:rPr>
        <w:instrText>ADDIN CSL_CITATION { "citationItems" : [ { "id" : "ITEM-1", "itemData" : { "DOI" : "10.1016/j.bmcl.2012.09.014", "ISSN" : "1464-3405", "PMID" : "23333070", "abstract" : "Prostate specific membrane antigen (PSMA) is recognized as an attractive molecular target for the development of radiopharmaceuticals to image and potentially treat metastatic prostate cancer. A series of novel (99m)Tc/Re-tricarbonyl radiolabeled PSMA inhibitors were therefore synthesized by the attachment of glutamate-urea-lysine (Glu-urea-Lys) and glutamate-urea-glutamate (Glu-urea-Glu) pharmacophore to single amino acid chelate (SAAC) where the SAAC ligand was either bis(pyridin-2-ylmethyl)amino (DPA), bis((1-methyl-1H-imidazol-2-yl)methyl)amino (NMI), bis((1-(carboxymethyl)-1H-imidazol-2-yl)methyl)amino (CIM) or bis((1-(2-(bis(carboxymethyl)amino)-2-oxoethyl)-1H-imidazol-2-yl)methyl)amino (TIM). The in vitro binding affinity of the rhenium complexes was evaluated using PSMA-expressing human prostate cancer LNCaP cells. IC(50) values ranged from 3.8 \u00b1 2 to &gt;2000 nM. A linker between the SAAC chelate and pharmacophore was required for high affinity binding. However, extending the length of the linker did not substantially improve binding. PSMA binding was also influenced by the nature of the SAAC chelate. One of the most potent compounds, 23b (IC(50)=4.8 \u00b1 2.7 nM), was radiolabeled with technetium tricarbonyl ({(99m)Tc(CO)(3)}(+)) to afford the {(99m)Tc(CO)(3)}(+) complex in excellent yield and high purity. This effort has led to the identification of a diverse series of promising high affinity {(99m)Tc(CO)(3)}(+) radiolabeled PSMA inhibitors.", "author" : [ { "dropping-particle" : "", "family" : "Lu", "given" : "Genliang", "non-dropping-particle" : "", "parse-names" : false, "suffix" : "" }, { "dropping-particle" : "", "family" : "Maresca", "given" : "Kevin P", "non-dropping-particle" : "", "parse-names" : false, "suffix" : "" }, { "dropping-particle" : "", "family" : "Hillier", "given" : "Shawn M", "non-dropping-particle" : "", "parse-names" : false, "suffix" : "" }, { "dropping-particle" : "", "family" : "Zimmerman", "given" : "Craig N", "non-dropping-particle" : "", "parse-names" : false, "suffix" : "" }, { "dropping-particle" : "", "family" : "Eckelman", "given" : "William C", "non-dropping-particle" : "", "parse-names" : false, "suffix" : "" }, { "dropping-particle" : "", "family" : "Joyal", "given" : "John L", "non-dropping-particle" : "", "parse-names" : false, "suffix" : "" }, { "dropping-particle" : "", "family" : "Babich", "given" : "John W", "non-dropping-particle" : "", "parse-names" : false, "suffix" : "" } ], "container-title" : "Bioorganic &amp; medicinal chemistry letters", "id" : "ITEM-1", "issued" : { "date-parts" : [ [ "2013" ] ] }, "page" : "1557-63", "title" : "Synthesis and SAR of \u2079\u2079mTc/Re-labeled small molecule prostate specific membrane antigen inhibitors with novel polar chelates.", "type" : "article-journal", "volume" : "23" }, "uris" : [ "http://www.mendeley.com/documents/?uuid=ca4414d7-7161-462b-b345-09bf851d41dd" ] } ], "mendeley" : { "formattedCitation" : "&lt;sup&gt;21&lt;/sup&gt;", "plainTextFormattedCitation" : "21", "previouslyFormattedCitation" : "&lt;sup&gt;21&lt;/sup&gt;" }, "properties" : { "noteIndex" : 0 }, "schema" : "https://github.com/citation-style-language/schema/raw/master/csl-citation.json" }</w:instrText>
      </w:r>
      <w:r w:rsidR="00A37E52" w:rsidRPr="007C50E1">
        <w:rPr>
          <w:rFonts w:cs="Arial"/>
        </w:rPr>
        <w:fldChar w:fldCharType="separate"/>
      </w:r>
      <w:r w:rsidR="00A37E52" w:rsidRPr="007C50E1">
        <w:rPr>
          <w:rFonts w:cs="Arial"/>
          <w:vertAlign w:val="superscript"/>
        </w:rPr>
        <w:t>21</w:t>
      </w:r>
      <w:r w:rsidR="00A37E52" w:rsidRPr="007C50E1">
        <w:rPr>
          <w:rFonts w:cs="Arial"/>
        </w:rPr>
        <w:fldChar w:fldCharType="end"/>
      </w:r>
      <w:r w:rsidR="00F3663B" w:rsidRPr="007C50E1">
        <w:rPr>
          <w:rFonts w:cs="Arial"/>
        </w:rPr>
        <w:t>.</w:t>
      </w:r>
      <w:r w:rsidR="001637E1" w:rsidRPr="007C50E1">
        <w:rPr>
          <w:rFonts w:cs="Arial"/>
        </w:rPr>
        <w:t xml:space="preserve"> The </w:t>
      </w:r>
      <w:r w:rsidR="002C7D95" w:rsidRPr="007C50E1">
        <w:rPr>
          <w:rFonts w:cs="Arial"/>
        </w:rPr>
        <w:t xml:space="preserve">product was isolated and separated from </w:t>
      </w:r>
      <w:r w:rsidR="001637E1" w:rsidRPr="007C50E1">
        <w:rPr>
          <w:rFonts w:cs="Arial"/>
        </w:rPr>
        <w:t>unlabeled ligand</w:t>
      </w:r>
      <w:r w:rsidR="002C7D95" w:rsidRPr="007C50E1">
        <w:rPr>
          <w:rFonts w:cs="Arial"/>
        </w:rPr>
        <w:t xml:space="preserve"> and any radiochemical impurities</w:t>
      </w:r>
      <w:r w:rsidR="001637E1" w:rsidRPr="007C50E1">
        <w:rPr>
          <w:rFonts w:cs="Arial"/>
        </w:rPr>
        <w:t xml:space="preserve"> by HPLC</w:t>
      </w:r>
      <w:r w:rsidR="00D73014" w:rsidRPr="007C50E1">
        <w:rPr>
          <w:rFonts w:cs="Arial"/>
        </w:rPr>
        <w:t xml:space="preserve">, resulting in radiochemical yields ranging from </w:t>
      </w:r>
      <w:r w:rsidR="00E71BB4" w:rsidRPr="007C50E1">
        <w:rPr>
          <w:rFonts w:cs="Arial"/>
        </w:rPr>
        <w:t>31</w:t>
      </w:r>
      <w:r w:rsidR="00D73014" w:rsidRPr="007C50E1">
        <w:rPr>
          <w:rFonts w:cs="Arial"/>
        </w:rPr>
        <w:t>-83%, with all having &gt;99% radiochemical purity</w:t>
      </w:r>
      <w:r w:rsidR="001637E1" w:rsidRPr="007C50E1">
        <w:rPr>
          <w:rFonts w:cs="Arial"/>
        </w:rPr>
        <w:t xml:space="preserve"> and a high specific activity of </w:t>
      </w:r>
      <w:r w:rsidR="00FC2024" w:rsidRPr="007C50E1">
        <w:rPr>
          <w:rFonts w:cs="Arial"/>
        </w:rPr>
        <w:t>~</w:t>
      </w:r>
      <w:r w:rsidR="001637E1" w:rsidRPr="007C50E1">
        <w:rPr>
          <w:rFonts w:cs="Arial"/>
        </w:rPr>
        <w:t>1.48 MBq</w:t>
      </w:r>
      <w:r w:rsidR="00D95265">
        <w:rPr>
          <w:rFonts w:cs="Arial"/>
        </w:rPr>
        <w:t>/</w:t>
      </w:r>
      <w:r w:rsidR="001637E1" w:rsidRPr="007C50E1">
        <w:rPr>
          <w:rFonts w:cs="Arial"/>
        </w:rPr>
        <w:t>µg</w:t>
      </w:r>
      <w:r w:rsidR="00D73014" w:rsidRPr="007C50E1">
        <w:rPr>
          <w:rFonts w:cs="Arial"/>
        </w:rPr>
        <w:t xml:space="preserve">. </w:t>
      </w:r>
      <w:r w:rsidR="00E253AD" w:rsidRPr="007C50E1">
        <w:rPr>
          <w:rFonts w:cs="Arial"/>
        </w:rPr>
        <w:t>All compounds were shown to be stable in PBS</w:t>
      </w:r>
      <w:r w:rsidR="00877AAB" w:rsidRPr="007C50E1">
        <w:rPr>
          <w:rFonts w:cs="Arial"/>
        </w:rPr>
        <w:t xml:space="preserve"> containing 0.5% BSA and 0.01% Tween80</w:t>
      </w:r>
      <w:r w:rsidR="00E253AD" w:rsidRPr="007C50E1">
        <w:rPr>
          <w:rFonts w:cs="Arial"/>
        </w:rPr>
        <w:t xml:space="preserve"> for up to 6 </w:t>
      </w:r>
      <w:r w:rsidR="00D95265">
        <w:rPr>
          <w:rFonts w:cs="Arial"/>
        </w:rPr>
        <w:t>h</w:t>
      </w:r>
      <w:r w:rsidR="00E253AD" w:rsidRPr="007C50E1">
        <w:rPr>
          <w:rFonts w:cs="Arial"/>
        </w:rPr>
        <w:t xml:space="preserve"> (Figure </w:t>
      </w:r>
      <w:r w:rsidR="00877AAB" w:rsidRPr="007C50E1">
        <w:rPr>
          <w:rFonts w:cs="Arial"/>
        </w:rPr>
        <w:t>3</w:t>
      </w:r>
      <w:r w:rsidR="00E253AD" w:rsidRPr="007C50E1">
        <w:rPr>
          <w:rFonts w:cs="Arial"/>
        </w:rPr>
        <w:t xml:space="preserve">). </w:t>
      </w:r>
    </w:p>
    <w:p w14:paraId="16660897" w14:textId="77777777" w:rsidR="00E253AD" w:rsidRPr="007C50E1" w:rsidRDefault="00E253AD" w:rsidP="007C50E1">
      <w:pPr>
        <w:jc w:val="left"/>
        <w:rPr>
          <w:rFonts w:cs="Arial"/>
        </w:rPr>
      </w:pPr>
    </w:p>
    <w:p w14:paraId="6F1FE89D" w14:textId="50441158" w:rsidR="00F3663B" w:rsidRPr="007C50E1" w:rsidRDefault="00AB2608" w:rsidP="007C50E1">
      <w:pPr>
        <w:jc w:val="left"/>
        <w:rPr>
          <w:rFonts w:cs="Arial"/>
        </w:rPr>
      </w:pPr>
      <w:r w:rsidRPr="007C50E1">
        <w:rPr>
          <w:rFonts w:cs="Arial"/>
        </w:rPr>
        <w:t>Bisphosphonate compounds</w:t>
      </w:r>
      <w:r w:rsidR="00574900" w:rsidRPr="007C50E1">
        <w:rPr>
          <w:rFonts w:cs="Arial"/>
        </w:rPr>
        <w:t xml:space="preserve">, like TCO-BP, localize to regions of </w:t>
      </w:r>
      <w:r w:rsidR="00094CDD" w:rsidRPr="007C50E1">
        <w:rPr>
          <w:rFonts w:cs="Arial"/>
        </w:rPr>
        <w:t xml:space="preserve">active </w:t>
      </w:r>
      <w:r w:rsidR="00574900" w:rsidRPr="007C50E1">
        <w:rPr>
          <w:rFonts w:cs="Arial"/>
        </w:rPr>
        <w:t>bone metabolism</w:t>
      </w:r>
      <w:r w:rsidR="00094CDD" w:rsidRPr="007C50E1">
        <w:rPr>
          <w:rFonts w:cs="Arial"/>
        </w:rPr>
        <w:t xml:space="preserve"> or injury</w:t>
      </w:r>
      <w:r w:rsidR="00707FD7" w:rsidRPr="007C50E1">
        <w:rPr>
          <w:rFonts w:cs="Arial"/>
        </w:rPr>
        <w:t>, which include knee and shoulder joints</w:t>
      </w:r>
      <w:r w:rsidR="00094CDD" w:rsidRPr="007C50E1">
        <w:rPr>
          <w:rFonts w:cs="Arial"/>
        </w:rPr>
        <w:t xml:space="preserve"> in mice</w:t>
      </w:r>
      <w:r w:rsidR="00707FD7" w:rsidRPr="007C50E1">
        <w:rPr>
          <w:rFonts w:cs="Arial"/>
        </w:rPr>
        <w:t xml:space="preserve">. TCO-BP therefore provides a simple </w:t>
      </w:r>
      <w:r w:rsidR="00810D39" w:rsidRPr="007C50E1">
        <w:rPr>
          <w:rFonts w:cs="Arial"/>
        </w:rPr>
        <w:t xml:space="preserve">means </w:t>
      </w:r>
      <w:r w:rsidR="00707FD7" w:rsidRPr="007C50E1">
        <w:rPr>
          <w:rFonts w:cs="Arial"/>
        </w:rPr>
        <w:t xml:space="preserve">to assess the effectiveness of new radiolabeled tetrazines </w:t>
      </w:r>
      <w:r w:rsidR="00F3663B" w:rsidRPr="007C50E1">
        <w:rPr>
          <w:rFonts w:cs="Arial"/>
        </w:rPr>
        <w:t xml:space="preserve">to </w:t>
      </w:r>
      <w:r w:rsidR="00707FD7" w:rsidRPr="007C50E1">
        <w:rPr>
          <w:rFonts w:cs="Arial"/>
        </w:rPr>
        <w:t xml:space="preserve">deliver isotopes </w:t>
      </w:r>
      <w:r w:rsidR="00707FD7" w:rsidRPr="007C50E1">
        <w:rPr>
          <w:rFonts w:cs="Arial"/>
          <w:i/>
        </w:rPr>
        <w:t>in vivo</w:t>
      </w:r>
      <w:r w:rsidR="00707FD7" w:rsidRPr="007C50E1">
        <w:rPr>
          <w:rFonts w:cs="Arial"/>
        </w:rPr>
        <w:t>.</w:t>
      </w:r>
      <w:r w:rsidR="00574900" w:rsidRPr="007C50E1">
        <w:rPr>
          <w:rFonts w:cs="Arial"/>
        </w:rPr>
        <w:t xml:space="preserve"> </w:t>
      </w:r>
      <w:r w:rsidR="00BE1DF5" w:rsidRPr="007C50E1">
        <w:rPr>
          <w:rFonts w:cs="Arial"/>
        </w:rPr>
        <w:t>E</w:t>
      </w:r>
      <w:r w:rsidR="00C54BF0" w:rsidRPr="007C50E1">
        <w:rPr>
          <w:rFonts w:cs="Arial"/>
        </w:rPr>
        <w:t xml:space="preserve">valuation of </w:t>
      </w:r>
      <w:r w:rsidR="00BE1DF5" w:rsidRPr="007C50E1">
        <w:rPr>
          <w:rFonts w:cs="Arial"/>
        </w:rPr>
        <w:t>the bio</w:t>
      </w:r>
      <w:r w:rsidR="00D95265">
        <w:rPr>
          <w:rFonts w:cs="Arial"/>
        </w:rPr>
        <w:t>-</w:t>
      </w:r>
      <w:r w:rsidR="00BE1DF5" w:rsidRPr="007C50E1">
        <w:rPr>
          <w:rFonts w:cs="Arial"/>
        </w:rPr>
        <w:t xml:space="preserve">distribution of </w:t>
      </w:r>
      <w:r w:rsidR="00C54BF0" w:rsidRPr="007C50E1">
        <w:rPr>
          <w:rFonts w:cs="Arial"/>
        </w:rPr>
        <w:t>all</w:t>
      </w:r>
      <w:r w:rsidR="00D73014" w:rsidRPr="007C50E1">
        <w:rPr>
          <w:rFonts w:cs="Arial"/>
        </w:rPr>
        <w:t xml:space="preserve"> f</w:t>
      </w:r>
      <w:r w:rsidR="006717B0" w:rsidRPr="007C50E1">
        <w:rPr>
          <w:rFonts w:cs="Arial"/>
        </w:rPr>
        <w:t>ive</w:t>
      </w:r>
      <w:r w:rsidR="00D73014" w:rsidRPr="007C50E1">
        <w:rPr>
          <w:rFonts w:cs="Arial"/>
        </w:rPr>
        <w:t xml:space="preserve"> </w:t>
      </w:r>
      <w:r w:rsidR="00D73014" w:rsidRPr="007C50E1">
        <w:rPr>
          <w:rFonts w:cs="Arial"/>
          <w:vertAlign w:val="superscript"/>
        </w:rPr>
        <w:t>99m</w:t>
      </w:r>
      <w:r w:rsidR="00D73014" w:rsidRPr="007C50E1">
        <w:rPr>
          <w:rFonts w:cs="Arial"/>
        </w:rPr>
        <w:t>Tc-</w:t>
      </w:r>
      <w:r w:rsidR="00094CDD" w:rsidRPr="007C50E1">
        <w:rPr>
          <w:rFonts w:cs="Arial"/>
        </w:rPr>
        <w:t>tetrazines</w:t>
      </w:r>
      <w:r w:rsidR="006717B0" w:rsidRPr="007C50E1">
        <w:rPr>
          <w:rFonts w:cs="Arial"/>
        </w:rPr>
        <w:t xml:space="preserve"> </w:t>
      </w:r>
      <w:r w:rsidR="00707FD7" w:rsidRPr="007C50E1">
        <w:rPr>
          <w:rFonts w:cs="Arial"/>
        </w:rPr>
        <w:t xml:space="preserve">showed uptake </w:t>
      </w:r>
      <w:r w:rsidR="00D73014" w:rsidRPr="007C50E1">
        <w:rPr>
          <w:rFonts w:cs="Arial"/>
        </w:rPr>
        <w:t>in knee and shoulder</w:t>
      </w:r>
      <w:r w:rsidR="00160346" w:rsidRPr="007C50E1">
        <w:rPr>
          <w:rFonts w:cs="Arial"/>
        </w:rPr>
        <w:t xml:space="preserve"> joints</w:t>
      </w:r>
      <w:r w:rsidR="0015320B" w:rsidRPr="007C50E1">
        <w:rPr>
          <w:rFonts w:cs="Arial"/>
        </w:rPr>
        <w:t xml:space="preserve"> 6 h post injection,</w:t>
      </w:r>
      <w:r w:rsidR="00160346" w:rsidRPr="007C50E1">
        <w:rPr>
          <w:rFonts w:cs="Arial"/>
        </w:rPr>
        <w:t xml:space="preserve"> </w:t>
      </w:r>
      <w:r w:rsidR="00707FD7" w:rsidRPr="007C50E1">
        <w:rPr>
          <w:rFonts w:cs="Arial"/>
        </w:rPr>
        <w:t xml:space="preserve">demonstrating </w:t>
      </w:r>
      <w:r w:rsidR="00D73014" w:rsidRPr="007C50E1">
        <w:rPr>
          <w:rFonts w:cs="Arial"/>
        </w:rPr>
        <w:t>successful pre</w:t>
      </w:r>
      <w:r w:rsidRPr="007C50E1">
        <w:rPr>
          <w:rFonts w:cs="Arial"/>
        </w:rPr>
        <w:t>-</w:t>
      </w:r>
      <w:r w:rsidR="00D73014" w:rsidRPr="007C50E1">
        <w:rPr>
          <w:rFonts w:cs="Arial"/>
        </w:rPr>
        <w:t>targeting</w:t>
      </w:r>
      <w:r w:rsidR="00160346" w:rsidRPr="007C50E1">
        <w:rPr>
          <w:rFonts w:cs="Arial"/>
        </w:rPr>
        <w:t xml:space="preserve"> to bone</w:t>
      </w:r>
      <w:r w:rsidR="00D73014" w:rsidRPr="007C50E1">
        <w:rPr>
          <w:rFonts w:cs="Arial"/>
        </w:rPr>
        <w:t xml:space="preserve"> </w:t>
      </w:r>
      <w:r w:rsidR="00D73014" w:rsidRPr="007C50E1">
        <w:rPr>
          <w:rFonts w:cs="Arial"/>
          <w:i/>
        </w:rPr>
        <w:t xml:space="preserve">in vivo </w:t>
      </w:r>
      <w:r w:rsidR="00107EFE" w:rsidRPr="007C50E1">
        <w:rPr>
          <w:rFonts w:cs="Arial"/>
        </w:rPr>
        <w:t>(</w:t>
      </w:r>
      <w:r w:rsidR="00B41FB9" w:rsidRPr="007C50E1">
        <w:rPr>
          <w:rFonts w:cs="Arial"/>
        </w:rPr>
        <w:t>F</w:t>
      </w:r>
      <w:r w:rsidR="00107EFE" w:rsidRPr="007C50E1">
        <w:rPr>
          <w:rFonts w:cs="Arial"/>
        </w:rPr>
        <w:t xml:space="preserve">igure </w:t>
      </w:r>
      <w:r w:rsidR="00F3663B" w:rsidRPr="007C50E1">
        <w:rPr>
          <w:rFonts w:cs="Arial"/>
        </w:rPr>
        <w:t>4</w:t>
      </w:r>
      <w:r w:rsidR="00D73014" w:rsidRPr="007C50E1">
        <w:rPr>
          <w:rFonts w:cs="Arial"/>
        </w:rPr>
        <w:t>)</w:t>
      </w:r>
      <w:r w:rsidR="0015320B" w:rsidRPr="007C50E1">
        <w:rPr>
          <w:rFonts w:cs="Arial"/>
        </w:rPr>
        <w:t xml:space="preserve">. Previous studies </w:t>
      </w:r>
      <w:r w:rsidR="0080285B" w:rsidRPr="007C50E1">
        <w:rPr>
          <w:rFonts w:cs="Arial"/>
        </w:rPr>
        <w:t>confirmed</w:t>
      </w:r>
      <w:r w:rsidR="00617D0A" w:rsidRPr="007C50E1">
        <w:rPr>
          <w:rFonts w:cs="Arial"/>
        </w:rPr>
        <w:t xml:space="preserve"> that</w:t>
      </w:r>
      <w:r w:rsidR="00A107E2" w:rsidRPr="007C50E1">
        <w:rPr>
          <w:rFonts w:cs="Arial"/>
        </w:rPr>
        <w:t xml:space="preserve"> radiolabeled TCO-BP accumulates at the bone</w:t>
      </w:r>
      <w:r w:rsidR="00F3663B" w:rsidRPr="007C50E1">
        <w:rPr>
          <w:rFonts w:cs="Arial"/>
          <w:vertAlign w:val="superscript"/>
        </w:rPr>
        <w:t>18</w:t>
      </w:r>
      <w:r w:rsidR="00A107E2" w:rsidRPr="007C50E1">
        <w:rPr>
          <w:rFonts w:cs="Arial"/>
        </w:rPr>
        <w:t>,</w:t>
      </w:r>
      <w:r w:rsidR="00740E66" w:rsidRPr="007C50E1">
        <w:rPr>
          <w:rFonts w:cs="Arial"/>
        </w:rPr>
        <w:t xml:space="preserve"> whereas</w:t>
      </w:r>
      <w:r w:rsidR="00F3663B" w:rsidRPr="007C50E1">
        <w:rPr>
          <w:rFonts w:cs="Arial"/>
        </w:rPr>
        <w:t xml:space="preserve"> the</w:t>
      </w:r>
      <w:r w:rsidR="00740E66" w:rsidRPr="007C50E1">
        <w:rPr>
          <w:rFonts w:cs="Arial"/>
        </w:rPr>
        <w:t xml:space="preserve"> </w:t>
      </w:r>
      <w:r w:rsidR="00740E66" w:rsidRPr="007C50E1">
        <w:rPr>
          <w:rFonts w:cs="Arial"/>
          <w:vertAlign w:val="superscript"/>
        </w:rPr>
        <w:t>99m</w:t>
      </w:r>
      <w:r w:rsidR="00740E66" w:rsidRPr="007C50E1">
        <w:rPr>
          <w:rFonts w:cs="Arial"/>
        </w:rPr>
        <w:t>Tc-</w:t>
      </w:r>
      <w:r w:rsidR="00F3663B" w:rsidRPr="007C50E1">
        <w:rPr>
          <w:rFonts w:cs="Arial"/>
        </w:rPr>
        <w:t>tetrazine construct (</w:t>
      </w:r>
      <w:r w:rsidR="00F3663B" w:rsidRPr="007C50E1">
        <w:rPr>
          <w:rFonts w:cs="Arial"/>
          <w:b/>
        </w:rPr>
        <w:t>2</w:t>
      </w:r>
      <w:r w:rsidR="00F3663B" w:rsidRPr="007C50E1">
        <w:rPr>
          <w:rFonts w:cs="Arial"/>
        </w:rPr>
        <w:t xml:space="preserve">) given </w:t>
      </w:r>
      <w:r w:rsidR="00740E66" w:rsidRPr="007C50E1">
        <w:rPr>
          <w:rFonts w:cs="Arial"/>
        </w:rPr>
        <w:t>alone do</w:t>
      </w:r>
      <w:r w:rsidR="00F3663B" w:rsidRPr="007C50E1">
        <w:rPr>
          <w:rFonts w:cs="Arial"/>
        </w:rPr>
        <w:t>es</w:t>
      </w:r>
      <w:r w:rsidR="00740E66" w:rsidRPr="007C50E1">
        <w:rPr>
          <w:rFonts w:cs="Arial"/>
        </w:rPr>
        <w:t xml:space="preserve"> not (Figure 5)</w:t>
      </w:r>
      <w:r w:rsidR="00F3663B" w:rsidRPr="007C50E1">
        <w:rPr>
          <w:rFonts w:cs="Arial"/>
        </w:rPr>
        <w:t xml:space="preserve">. This allows </w:t>
      </w:r>
      <w:r w:rsidR="002C7D95" w:rsidRPr="007C50E1">
        <w:rPr>
          <w:rFonts w:cs="Arial"/>
        </w:rPr>
        <w:t>one to conclude</w:t>
      </w:r>
      <w:r w:rsidR="00A107E2" w:rsidRPr="007C50E1">
        <w:rPr>
          <w:rFonts w:cs="Arial"/>
        </w:rPr>
        <w:t xml:space="preserve"> th</w:t>
      </w:r>
      <w:r w:rsidR="002C7D95" w:rsidRPr="007C50E1">
        <w:rPr>
          <w:rFonts w:cs="Arial"/>
        </w:rPr>
        <w:t>at bone uptake was due to the IEDDA reaction</w:t>
      </w:r>
      <w:r w:rsidR="00AF761A" w:rsidRPr="007C50E1">
        <w:rPr>
          <w:rFonts w:cs="Arial"/>
        </w:rPr>
        <w:t>.</w:t>
      </w:r>
      <w:r w:rsidR="00D95265">
        <w:rPr>
          <w:rFonts w:cs="Arial"/>
        </w:rPr>
        <w:t xml:space="preserve"> </w:t>
      </w:r>
    </w:p>
    <w:p w14:paraId="4049FB67" w14:textId="77777777" w:rsidR="00F3663B" w:rsidRPr="007C50E1" w:rsidRDefault="00F3663B" w:rsidP="007C50E1">
      <w:pPr>
        <w:jc w:val="left"/>
        <w:rPr>
          <w:rFonts w:cs="Arial"/>
        </w:rPr>
      </w:pPr>
    </w:p>
    <w:p w14:paraId="09C6E6B0" w14:textId="306571B8" w:rsidR="00392BC4" w:rsidRPr="007C50E1" w:rsidRDefault="00417276" w:rsidP="007C50E1">
      <w:pPr>
        <w:jc w:val="left"/>
        <w:rPr>
          <w:rFonts w:cs="Arial"/>
        </w:rPr>
      </w:pPr>
      <w:r w:rsidRPr="007C50E1">
        <w:rPr>
          <w:rFonts w:cs="Arial"/>
        </w:rPr>
        <w:t xml:space="preserve">The more lipophilic constructs </w:t>
      </w:r>
      <w:r w:rsidRPr="007C50E1">
        <w:rPr>
          <w:rFonts w:cs="Arial"/>
          <w:b/>
        </w:rPr>
        <w:t>1</w:t>
      </w:r>
      <w:r w:rsidRPr="007C50E1">
        <w:rPr>
          <w:rFonts w:cs="Arial"/>
        </w:rPr>
        <w:t xml:space="preserve"> and </w:t>
      </w:r>
      <w:r w:rsidRPr="007C50E1">
        <w:rPr>
          <w:rFonts w:cs="Arial"/>
          <w:b/>
        </w:rPr>
        <w:t>2</w:t>
      </w:r>
      <w:r w:rsidR="00392BC4" w:rsidRPr="007C50E1">
        <w:rPr>
          <w:rFonts w:cs="Arial"/>
        </w:rPr>
        <w:t xml:space="preserve"> had similar distribution data including high uptake in the knee (9.1 </w:t>
      </w:r>
      <w:r w:rsidR="00392BC4" w:rsidRPr="007C50E1">
        <w:rPr>
          <w:rFonts w:cs="Arial"/>
        </w:rPr>
        <w:sym w:font="Symbol" w:char="F0B1"/>
      </w:r>
      <w:r w:rsidR="00392BC4" w:rsidRPr="007C50E1">
        <w:rPr>
          <w:rFonts w:cs="Arial"/>
        </w:rPr>
        <w:t xml:space="preserve"> 1.9 (</w:t>
      </w:r>
      <w:r w:rsidR="00392BC4" w:rsidRPr="007C50E1">
        <w:rPr>
          <w:rFonts w:cs="Arial"/>
          <w:b/>
        </w:rPr>
        <w:t>1</w:t>
      </w:r>
      <w:r w:rsidR="00392BC4" w:rsidRPr="007C50E1">
        <w:rPr>
          <w:rFonts w:cs="Arial"/>
        </w:rPr>
        <w:t xml:space="preserve">); 7.6 </w:t>
      </w:r>
      <w:r w:rsidR="00392BC4" w:rsidRPr="007C50E1">
        <w:rPr>
          <w:rFonts w:cs="Arial"/>
        </w:rPr>
        <w:sym w:font="Symbol" w:char="F0B1"/>
      </w:r>
      <w:r w:rsidR="00392BC4" w:rsidRPr="007C50E1">
        <w:rPr>
          <w:rFonts w:cs="Arial"/>
        </w:rPr>
        <w:t xml:space="preserve"> 2.7 (</w:t>
      </w:r>
      <w:r w:rsidR="00392BC4" w:rsidRPr="007C50E1">
        <w:rPr>
          <w:rFonts w:cs="Arial"/>
          <w:b/>
        </w:rPr>
        <w:t>2</w:t>
      </w:r>
      <w:r w:rsidR="00392BC4" w:rsidRPr="007C50E1">
        <w:rPr>
          <w:rFonts w:cs="Arial"/>
        </w:rPr>
        <w:t xml:space="preserve">)) and the shoulder (4.6 </w:t>
      </w:r>
      <w:r w:rsidR="00392BC4" w:rsidRPr="007C50E1">
        <w:rPr>
          <w:rFonts w:cs="Arial"/>
        </w:rPr>
        <w:sym w:font="Symbol" w:char="F0B1"/>
      </w:r>
      <w:r w:rsidR="00392BC4" w:rsidRPr="007C50E1">
        <w:rPr>
          <w:rFonts w:cs="Arial"/>
        </w:rPr>
        <w:t xml:space="preserve"> 1.4 (</w:t>
      </w:r>
      <w:r w:rsidR="00392BC4" w:rsidRPr="007C50E1">
        <w:rPr>
          <w:rFonts w:cs="Arial"/>
          <w:b/>
        </w:rPr>
        <w:t>1</w:t>
      </w:r>
      <w:r w:rsidR="00392BC4" w:rsidRPr="007C50E1">
        <w:rPr>
          <w:rFonts w:cs="Arial"/>
        </w:rPr>
        <w:t xml:space="preserve">); 4.8 </w:t>
      </w:r>
      <w:r w:rsidR="00392BC4" w:rsidRPr="007C50E1">
        <w:rPr>
          <w:rFonts w:cs="Arial"/>
        </w:rPr>
        <w:sym w:font="Symbol" w:char="F0B1"/>
      </w:r>
      <w:r w:rsidR="00392BC4" w:rsidRPr="007C50E1">
        <w:rPr>
          <w:rFonts w:cs="Arial"/>
        </w:rPr>
        <w:t xml:space="preserve"> 1.9 (</w:t>
      </w:r>
      <w:r w:rsidR="00392BC4" w:rsidRPr="007C50E1">
        <w:rPr>
          <w:rFonts w:cs="Arial"/>
          <w:b/>
        </w:rPr>
        <w:t>2</w:t>
      </w:r>
      <w:r w:rsidR="00392BC4" w:rsidRPr="007C50E1">
        <w:rPr>
          <w:rFonts w:cs="Arial"/>
        </w:rPr>
        <w:t xml:space="preserve">)). High </w:t>
      </w:r>
      <w:r w:rsidR="00094CDD" w:rsidRPr="007C50E1">
        <w:rPr>
          <w:rFonts w:cs="Arial"/>
        </w:rPr>
        <w:t>radioactivity concentration</w:t>
      </w:r>
      <w:r w:rsidR="00740E66" w:rsidRPr="007C50E1">
        <w:rPr>
          <w:rFonts w:cs="Arial"/>
        </w:rPr>
        <w:t>s</w:t>
      </w:r>
      <w:r w:rsidR="00094CDD" w:rsidRPr="007C50E1">
        <w:rPr>
          <w:rFonts w:cs="Arial"/>
        </w:rPr>
        <w:t xml:space="preserve"> </w:t>
      </w:r>
      <w:r w:rsidR="00392BC4" w:rsidRPr="007C50E1">
        <w:rPr>
          <w:rFonts w:cs="Arial"/>
        </w:rPr>
        <w:t>w</w:t>
      </w:r>
      <w:r w:rsidR="00740E66" w:rsidRPr="007C50E1">
        <w:rPr>
          <w:rFonts w:cs="Arial"/>
        </w:rPr>
        <w:t>ere</w:t>
      </w:r>
      <w:r w:rsidR="00392BC4" w:rsidRPr="007C50E1">
        <w:rPr>
          <w:rFonts w:cs="Arial"/>
        </w:rPr>
        <w:t xml:space="preserve"> also seen in the gall bladder, liver and intestines</w:t>
      </w:r>
      <w:r w:rsidR="00AB2608" w:rsidRPr="007C50E1">
        <w:rPr>
          <w:rFonts w:cs="Arial"/>
        </w:rPr>
        <w:t>,</w:t>
      </w:r>
      <w:r w:rsidR="00392BC4" w:rsidRPr="007C50E1">
        <w:rPr>
          <w:rFonts w:cs="Arial"/>
        </w:rPr>
        <w:t xml:space="preserve"> which is consistent with the distribution of the lipophilic </w:t>
      </w:r>
      <w:r w:rsidR="00740E66" w:rsidRPr="007C50E1">
        <w:rPr>
          <w:rFonts w:cs="Arial"/>
          <w:vertAlign w:val="superscript"/>
        </w:rPr>
        <w:t>99m</w:t>
      </w:r>
      <w:r w:rsidR="00392BC4" w:rsidRPr="007C50E1">
        <w:rPr>
          <w:rFonts w:cs="Arial"/>
        </w:rPr>
        <w:t>Tc</w:t>
      </w:r>
      <w:r w:rsidR="00877AAB" w:rsidRPr="007C50E1">
        <w:rPr>
          <w:rFonts w:cs="Arial"/>
        </w:rPr>
        <w:t>-tetrazine</w:t>
      </w:r>
      <w:r w:rsidR="00392BC4" w:rsidRPr="007C50E1">
        <w:rPr>
          <w:rFonts w:cs="Arial"/>
        </w:rPr>
        <w:t xml:space="preserve"> co</w:t>
      </w:r>
      <w:r w:rsidR="00877AAB" w:rsidRPr="007C50E1">
        <w:rPr>
          <w:rFonts w:cs="Arial"/>
        </w:rPr>
        <w:t>mpound</w:t>
      </w:r>
      <w:r w:rsidR="00F3663B" w:rsidRPr="007C50E1">
        <w:rPr>
          <w:rFonts w:cs="Arial"/>
        </w:rPr>
        <w:t xml:space="preserve"> </w:t>
      </w:r>
      <w:r w:rsidR="00F3663B" w:rsidRPr="007C50E1">
        <w:rPr>
          <w:rFonts w:cs="Arial"/>
          <w:b/>
        </w:rPr>
        <w:t>2</w:t>
      </w:r>
      <w:r w:rsidR="00392BC4" w:rsidRPr="007C50E1">
        <w:rPr>
          <w:rFonts w:cs="Arial"/>
        </w:rPr>
        <w:t xml:space="preserve"> in the absence of TCO-BP </w:t>
      </w:r>
      <w:r w:rsidR="00617D0A" w:rsidRPr="007C50E1">
        <w:rPr>
          <w:rFonts w:cs="Arial"/>
        </w:rPr>
        <w:t>(</w:t>
      </w:r>
      <w:r w:rsidR="00DF163F" w:rsidRPr="007C50E1">
        <w:rPr>
          <w:rFonts w:cs="Arial"/>
        </w:rPr>
        <w:t>Figure 5</w:t>
      </w:r>
      <w:r w:rsidR="00617D0A" w:rsidRPr="007C50E1">
        <w:rPr>
          <w:rFonts w:cs="Arial"/>
        </w:rPr>
        <w:t>).</w:t>
      </w:r>
      <w:r w:rsidR="00E15DCD" w:rsidRPr="007C50E1">
        <w:rPr>
          <w:rFonts w:cs="Arial"/>
        </w:rPr>
        <w:t xml:space="preserve"> </w:t>
      </w:r>
      <w:r w:rsidR="00617D0A" w:rsidRPr="007C50E1">
        <w:rPr>
          <w:rFonts w:cs="Arial"/>
        </w:rPr>
        <w:t xml:space="preserve">Other non-target </w:t>
      </w:r>
      <w:r w:rsidR="002C7D95" w:rsidRPr="007C50E1">
        <w:rPr>
          <w:rFonts w:cs="Arial"/>
        </w:rPr>
        <w:t xml:space="preserve">tissues and </w:t>
      </w:r>
      <w:r w:rsidR="00617D0A" w:rsidRPr="007C50E1">
        <w:rPr>
          <w:rFonts w:cs="Arial"/>
        </w:rPr>
        <w:t>organs</w:t>
      </w:r>
      <w:r w:rsidR="002C7D95" w:rsidRPr="007C50E1">
        <w:rPr>
          <w:rFonts w:cs="Arial"/>
        </w:rPr>
        <w:t xml:space="preserve"> </w:t>
      </w:r>
      <w:r w:rsidR="00617D0A" w:rsidRPr="007C50E1">
        <w:rPr>
          <w:rFonts w:cs="Arial"/>
        </w:rPr>
        <w:t>such as the skeletal muscle and spleen d</w:t>
      </w:r>
      <w:r w:rsidR="00740E66" w:rsidRPr="007C50E1">
        <w:rPr>
          <w:rFonts w:cs="Arial"/>
        </w:rPr>
        <w:t>id</w:t>
      </w:r>
      <w:r w:rsidR="00617D0A" w:rsidRPr="007C50E1">
        <w:rPr>
          <w:rFonts w:cs="Arial"/>
        </w:rPr>
        <w:t xml:space="preserve"> not show any significant uptake</w:t>
      </w:r>
      <w:r w:rsidR="00022175" w:rsidRPr="007C50E1">
        <w:rPr>
          <w:rFonts w:cs="Arial"/>
        </w:rPr>
        <w:t xml:space="preserve"> (&lt;1%)</w:t>
      </w:r>
      <w:r w:rsidR="00617D0A" w:rsidRPr="007C50E1">
        <w:rPr>
          <w:rFonts w:cs="Arial"/>
        </w:rPr>
        <w:t xml:space="preserve"> </w:t>
      </w:r>
      <w:r w:rsidR="00022175" w:rsidRPr="007C50E1">
        <w:rPr>
          <w:rFonts w:cs="Arial"/>
        </w:rPr>
        <w:t xml:space="preserve">when </w:t>
      </w:r>
      <w:r w:rsidR="00D95265">
        <w:rPr>
          <w:rFonts w:cs="Arial"/>
        </w:rPr>
        <w:t xml:space="preserve">bio-distribution </w:t>
      </w:r>
      <w:r w:rsidR="00022175" w:rsidRPr="007C50E1">
        <w:rPr>
          <w:rFonts w:cs="Arial"/>
        </w:rPr>
        <w:t xml:space="preserve">studies were performed on the </w:t>
      </w:r>
      <w:r w:rsidR="00617D0A" w:rsidRPr="007C50E1">
        <w:rPr>
          <w:rFonts w:cs="Arial"/>
          <w:vertAlign w:val="superscript"/>
        </w:rPr>
        <w:t>99m</w:t>
      </w:r>
      <w:r w:rsidR="00617D0A" w:rsidRPr="007C50E1">
        <w:rPr>
          <w:rFonts w:cs="Arial"/>
        </w:rPr>
        <w:t xml:space="preserve">Tc-tetrazines </w:t>
      </w:r>
      <w:r w:rsidR="00022175" w:rsidRPr="007C50E1">
        <w:rPr>
          <w:rFonts w:cs="Arial"/>
        </w:rPr>
        <w:t>in the absence of the TCO-BP</w:t>
      </w:r>
      <w:r w:rsidR="00DF163F" w:rsidRPr="007C50E1">
        <w:rPr>
          <w:rFonts w:cs="Arial"/>
        </w:rPr>
        <w:t xml:space="preserve"> (Figure 5)</w:t>
      </w:r>
      <w:r w:rsidR="00617D0A" w:rsidRPr="007C50E1">
        <w:rPr>
          <w:rFonts w:cs="Arial"/>
        </w:rPr>
        <w:t xml:space="preserve">, so these organs were not taken for the pre-targeting experiments. </w:t>
      </w:r>
      <w:r w:rsidR="000358A9" w:rsidRPr="007C50E1">
        <w:rPr>
          <w:rFonts w:cs="Arial"/>
        </w:rPr>
        <w:t xml:space="preserve">Additionally, </w:t>
      </w:r>
      <w:r w:rsidR="00D95265">
        <w:rPr>
          <w:rFonts w:cs="Arial"/>
        </w:rPr>
        <w:t xml:space="preserve">bio-distribution </w:t>
      </w:r>
      <w:r w:rsidR="000358A9" w:rsidRPr="007C50E1">
        <w:rPr>
          <w:rFonts w:cs="Arial"/>
        </w:rPr>
        <w:t>experiments with</w:t>
      </w:r>
      <w:r w:rsidR="00022175" w:rsidRPr="007C50E1">
        <w:rPr>
          <w:rFonts w:cs="Arial"/>
        </w:rPr>
        <w:t xml:space="preserve"> the</w:t>
      </w:r>
      <w:r w:rsidR="000358A9" w:rsidRPr="007C50E1">
        <w:rPr>
          <w:rFonts w:cs="Arial"/>
        </w:rPr>
        <w:t xml:space="preserve"> </w:t>
      </w:r>
      <w:r w:rsidR="000358A9" w:rsidRPr="007C50E1">
        <w:rPr>
          <w:rFonts w:cs="Arial"/>
          <w:vertAlign w:val="superscript"/>
        </w:rPr>
        <w:t>99m</w:t>
      </w:r>
      <w:r w:rsidR="000358A9" w:rsidRPr="007C50E1">
        <w:rPr>
          <w:rFonts w:cs="Arial"/>
        </w:rPr>
        <w:t>Tc-tetrazine</w:t>
      </w:r>
      <w:r w:rsidR="00022175" w:rsidRPr="007C50E1">
        <w:rPr>
          <w:rFonts w:cs="Arial"/>
        </w:rPr>
        <w:t>s</w:t>
      </w:r>
      <w:r w:rsidR="00740E66" w:rsidRPr="007C50E1">
        <w:rPr>
          <w:rFonts w:cs="Arial"/>
        </w:rPr>
        <w:t xml:space="preserve"> alone</w:t>
      </w:r>
      <w:r w:rsidR="000358A9" w:rsidRPr="007C50E1">
        <w:rPr>
          <w:rFonts w:cs="Arial"/>
        </w:rPr>
        <w:t xml:space="preserve"> revealed </w:t>
      </w:r>
      <w:r w:rsidR="00022175" w:rsidRPr="007C50E1">
        <w:rPr>
          <w:rFonts w:cs="Arial"/>
        </w:rPr>
        <w:t xml:space="preserve">good clearance from </w:t>
      </w:r>
      <w:r w:rsidR="000358A9" w:rsidRPr="007C50E1">
        <w:rPr>
          <w:rFonts w:cs="Arial"/>
        </w:rPr>
        <w:t>non-target tissues at 6 h post injection</w:t>
      </w:r>
      <w:r w:rsidR="00022175" w:rsidRPr="007C50E1">
        <w:rPr>
          <w:rFonts w:cs="Arial"/>
        </w:rPr>
        <w:t xml:space="preserve">. Consequently, this time point, which is within one half-life of the isotope, was selected as the time point for comparing the different radiolabeled tetrazine ligands. </w:t>
      </w:r>
    </w:p>
    <w:p w14:paraId="0C6AC46D" w14:textId="77777777" w:rsidR="00E253AD" w:rsidRPr="007C50E1" w:rsidRDefault="00E253AD" w:rsidP="007C50E1">
      <w:pPr>
        <w:jc w:val="left"/>
        <w:rPr>
          <w:rFonts w:cs="Arial"/>
        </w:rPr>
      </w:pPr>
    </w:p>
    <w:p w14:paraId="0DE3BA00" w14:textId="3F6EEFEA" w:rsidR="00392BC4" w:rsidRPr="007C50E1" w:rsidRDefault="00392BC4" w:rsidP="007C50E1">
      <w:pPr>
        <w:jc w:val="left"/>
        <w:rPr>
          <w:rFonts w:cs="Arial"/>
        </w:rPr>
      </w:pPr>
      <w:r w:rsidRPr="007C50E1">
        <w:rPr>
          <w:rFonts w:cs="Arial"/>
        </w:rPr>
        <w:t xml:space="preserve">The more polar </w:t>
      </w:r>
      <w:r w:rsidRPr="007C50E1">
        <w:rPr>
          <w:rFonts w:cs="Arial"/>
          <w:vertAlign w:val="superscript"/>
        </w:rPr>
        <w:t>99m</w:t>
      </w:r>
      <w:r w:rsidRPr="007C50E1">
        <w:rPr>
          <w:rFonts w:cs="Arial"/>
        </w:rPr>
        <w:t>Tc-</w:t>
      </w:r>
      <w:r w:rsidR="00094CDD" w:rsidRPr="007C50E1">
        <w:rPr>
          <w:rFonts w:cs="Arial"/>
        </w:rPr>
        <w:t xml:space="preserve">tetrazine </w:t>
      </w:r>
      <w:r w:rsidR="006717B0" w:rsidRPr="007C50E1">
        <w:rPr>
          <w:rFonts w:cs="Arial"/>
        </w:rPr>
        <w:t>compou</w:t>
      </w:r>
      <w:r w:rsidR="001031F9" w:rsidRPr="007C50E1">
        <w:rPr>
          <w:rFonts w:cs="Arial"/>
        </w:rPr>
        <w:t>n</w:t>
      </w:r>
      <w:r w:rsidR="006717B0" w:rsidRPr="007C50E1">
        <w:rPr>
          <w:rFonts w:cs="Arial"/>
        </w:rPr>
        <w:t>d</w:t>
      </w:r>
      <w:r w:rsidRPr="007C50E1">
        <w:rPr>
          <w:rFonts w:cs="Arial"/>
        </w:rPr>
        <w:t xml:space="preserve"> </w:t>
      </w:r>
      <w:r w:rsidR="00E71BB4" w:rsidRPr="007C50E1">
        <w:rPr>
          <w:rFonts w:cs="Arial"/>
          <w:b/>
        </w:rPr>
        <w:t>3</w:t>
      </w:r>
      <w:r w:rsidRPr="007C50E1">
        <w:rPr>
          <w:rFonts w:cs="Arial"/>
          <w:b/>
        </w:rPr>
        <w:t xml:space="preserve"> </w:t>
      </w:r>
      <w:r w:rsidRPr="007C50E1">
        <w:rPr>
          <w:rFonts w:cs="Arial"/>
        </w:rPr>
        <w:t>bearing a PEG</w:t>
      </w:r>
      <w:r w:rsidRPr="007C50E1">
        <w:rPr>
          <w:rFonts w:cs="Arial"/>
          <w:vertAlign w:val="subscript"/>
        </w:rPr>
        <w:t>5</w:t>
      </w:r>
      <w:r w:rsidRPr="007C50E1">
        <w:rPr>
          <w:rFonts w:cs="Arial"/>
        </w:rPr>
        <w:t xml:space="preserve"> linker showed very high knee and shoulder uptake (16.2 </w:t>
      </w:r>
      <w:r w:rsidRPr="007C50E1">
        <w:rPr>
          <w:rFonts w:cs="Arial"/>
        </w:rPr>
        <w:sym w:font="Symbol" w:char="F0B1"/>
      </w:r>
      <w:r w:rsidRPr="007C50E1">
        <w:rPr>
          <w:rFonts w:cs="Arial"/>
        </w:rPr>
        <w:t xml:space="preserve"> 4.8 and 20.7 </w:t>
      </w:r>
      <w:r w:rsidRPr="007C50E1">
        <w:rPr>
          <w:rFonts w:cs="Arial"/>
        </w:rPr>
        <w:sym w:font="Symbol" w:char="F0B1"/>
      </w:r>
      <w:r w:rsidRPr="007C50E1">
        <w:rPr>
          <w:rFonts w:cs="Arial"/>
        </w:rPr>
        <w:t xml:space="preserve"> 4.9 respecti</w:t>
      </w:r>
      <w:r w:rsidR="00E71BB4" w:rsidRPr="007C50E1">
        <w:rPr>
          <w:rFonts w:cs="Arial"/>
        </w:rPr>
        <w:t>v</w:t>
      </w:r>
      <w:r w:rsidRPr="007C50E1">
        <w:rPr>
          <w:rFonts w:cs="Arial"/>
        </w:rPr>
        <w:t xml:space="preserve">ely). There was also lower activity observed in the liver and intestines. The </w:t>
      </w:r>
      <w:r w:rsidR="00094CDD" w:rsidRPr="007C50E1">
        <w:rPr>
          <w:rFonts w:cs="Arial"/>
        </w:rPr>
        <w:t xml:space="preserve">corresponding </w:t>
      </w:r>
      <w:r w:rsidRPr="007C50E1">
        <w:rPr>
          <w:rFonts w:cs="Arial"/>
        </w:rPr>
        <w:t>PEG</w:t>
      </w:r>
      <w:r w:rsidRPr="007C50E1">
        <w:rPr>
          <w:rFonts w:cs="Arial"/>
          <w:vertAlign w:val="subscript"/>
        </w:rPr>
        <w:t>10</w:t>
      </w:r>
      <w:r w:rsidRPr="007C50E1">
        <w:rPr>
          <w:rFonts w:cs="Arial"/>
        </w:rPr>
        <w:t xml:space="preserve"> deri</w:t>
      </w:r>
      <w:r w:rsidR="00E71BB4" w:rsidRPr="007C50E1">
        <w:rPr>
          <w:rFonts w:cs="Arial"/>
        </w:rPr>
        <w:t>va</w:t>
      </w:r>
      <w:r w:rsidRPr="007C50E1">
        <w:rPr>
          <w:rFonts w:cs="Arial"/>
        </w:rPr>
        <w:t xml:space="preserve">tive also showed binding to the bone and reduced uptake in the liver compared to compounds </w:t>
      </w:r>
      <w:r w:rsidRPr="007C50E1">
        <w:rPr>
          <w:rFonts w:cs="Arial"/>
          <w:b/>
        </w:rPr>
        <w:t>1</w:t>
      </w:r>
      <w:r w:rsidRPr="007C50E1">
        <w:rPr>
          <w:rFonts w:cs="Arial"/>
        </w:rPr>
        <w:t xml:space="preserve"> and </w:t>
      </w:r>
      <w:r w:rsidRPr="007C50E1">
        <w:rPr>
          <w:rFonts w:cs="Arial"/>
          <w:b/>
        </w:rPr>
        <w:t xml:space="preserve">2. </w:t>
      </w:r>
      <w:r w:rsidRPr="007C50E1">
        <w:rPr>
          <w:rFonts w:cs="Arial"/>
        </w:rPr>
        <w:t xml:space="preserve">The most polar derivative </w:t>
      </w:r>
      <w:r w:rsidRPr="007C50E1">
        <w:rPr>
          <w:rFonts w:cs="Arial"/>
          <w:b/>
        </w:rPr>
        <w:t>5</w:t>
      </w:r>
      <w:r w:rsidR="00094CDD" w:rsidRPr="007C50E1">
        <w:rPr>
          <w:rFonts w:cs="Arial"/>
        </w:rPr>
        <w:t>,</w:t>
      </w:r>
      <w:r w:rsidRPr="007C50E1">
        <w:rPr>
          <w:rFonts w:cs="Arial"/>
          <w:b/>
        </w:rPr>
        <w:t xml:space="preserve"> </w:t>
      </w:r>
      <w:r w:rsidRPr="007C50E1">
        <w:rPr>
          <w:rFonts w:cs="Arial"/>
        </w:rPr>
        <w:t>showed lower bone binding than all other constructs which is likely due to its rapid clearance.</w:t>
      </w:r>
    </w:p>
    <w:p w14:paraId="29F8159D" w14:textId="74633849" w:rsidR="00392BC4" w:rsidRPr="007C50E1" w:rsidRDefault="00392BC4" w:rsidP="007C50E1">
      <w:pPr>
        <w:jc w:val="left"/>
        <w:rPr>
          <w:rFonts w:cs="Arial"/>
        </w:rPr>
      </w:pPr>
      <w:r w:rsidRPr="007C50E1">
        <w:rPr>
          <w:rFonts w:cs="Arial"/>
        </w:rPr>
        <w:t xml:space="preserve"> </w:t>
      </w:r>
    </w:p>
    <w:p w14:paraId="369C69A5" w14:textId="27E284BF" w:rsidR="00FE5A28" w:rsidRPr="007C50E1" w:rsidRDefault="00D73014" w:rsidP="007C50E1">
      <w:pPr>
        <w:jc w:val="left"/>
        <w:rPr>
          <w:rFonts w:cs="Arial"/>
        </w:rPr>
      </w:pPr>
      <w:r w:rsidRPr="007C50E1">
        <w:rPr>
          <w:rFonts w:cs="Arial"/>
        </w:rPr>
        <w:t xml:space="preserve">The high </w:t>
      </w:r>
      <w:r w:rsidR="00094CDD" w:rsidRPr="007C50E1">
        <w:rPr>
          <w:rFonts w:cs="Arial"/>
        </w:rPr>
        <w:t xml:space="preserve">bone uptake and </w:t>
      </w:r>
      <w:r w:rsidR="00810D39" w:rsidRPr="007C50E1">
        <w:rPr>
          <w:rFonts w:cs="Arial"/>
        </w:rPr>
        <w:t>bone:blood ratios</w:t>
      </w:r>
      <w:r w:rsidRPr="007C50E1">
        <w:rPr>
          <w:rFonts w:cs="Arial"/>
        </w:rPr>
        <w:t xml:space="preserve"> </w:t>
      </w:r>
      <w:r w:rsidR="00AB2608" w:rsidRPr="007C50E1">
        <w:rPr>
          <w:rFonts w:cs="Arial"/>
        </w:rPr>
        <w:t xml:space="preserve">(Table 1) </w:t>
      </w:r>
      <w:r w:rsidR="00094CDD" w:rsidRPr="007C50E1">
        <w:rPr>
          <w:rFonts w:cs="Arial"/>
        </w:rPr>
        <w:t xml:space="preserve">particularly for </w:t>
      </w:r>
      <w:r w:rsidRPr="007C50E1">
        <w:rPr>
          <w:rFonts w:cs="Arial"/>
        </w:rPr>
        <w:t>compounds</w:t>
      </w:r>
      <w:r w:rsidR="00392BC4" w:rsidRPr="007C50E1">
        <w:rPr>
          <w:rFonts w:cs="Arial"/>
        </w:rPr>
        <w:t xml:space="preserve"> </w:t>
      </w:r>
      <w:r w:rsidR="00392BC4" w:rsidRPr="007C50E1">
        <w:rPr>
          <w:rFonts w:cs="Arial"/>
          <w:b/>
        </w:rPr>
        <w:t xml:space="preserve">3 </w:t>
      </w:r>
      <w:r w:rsidR="00392BC4" w:rsidRPr="007C50E1">
        <w:rPr>
          <w:rFonts w:cs="Arial"/>
        </w:rPr>
        <w:t xml:space="preserve">and </w:t>
      </w:r>
      <w:r w:rsidR="00392BC4" w:rsidRPr="007C50E1">
        <w:rPr>
          <w:rFonts w:cs="Arial"/>
          <w:b/>
        </w:rPr>
        <w:t>4</w:t>
      </w:r>
      <w:r w:rsidR="00392BC4" w:rsidRPr="007C50E1">
        <w:rPr>
          <w:rFonts w:cs="Arial"/>
        </w:rPr>
        <w:t xml:space="preserve"> </w:t>
      </w:r>
      <w:r w:rsidR="00A61B6A" w:rsidRPr="007C50E1">
        <w:rPr>
          <w:rFonts w:cs="Arial"/>
        </w:rPr>
        <w:t>demonstrate</w:t>
      </w:r>
      <w:r w:rsidR="00094CDD" w:rsidRPr="007C50E1">
        <w:rPr>
          <w:rFonts w:cs="Arial"/>
        </w:rPr>
        <w:t xml:space="preserve"> that pre</w:t>
      </w:r>
      <w:r w:rsidR="001031F9" w:rsidRPr="007C50E1">
        <w:rPr>
          <w:rFonts w:cs="Arial"/>
        </w:rPr>
        <w:t>-</w:t>
      </w:r>
      <w:r w:rsidR="00094CDD" w:rsidRPr="007C50E1">
        <w:rPr>
          <w:rFonts w:cs="Arial"/>
        </w:rPr>
        <w:t xml:space="preserve">targeting and the </w:t>
      </w:r>
      <w:r w:rsidR="00FD5B0D" w:rsidRPr="007C50E1">
        <w:rPr>
          <w:rFonts w:cs="Arial"/>
        </w:rPr>
        <w:t>IEDDA reaction</w:t>
      </w:r>
      <w:r w:rsidR="00094CDD" w:rsidRPr="007C50E1">
        <w:rPr>
          <w:rFonts w:cs="Arial"/>
        </w:rPr>
        <w:t xml:space="preserve"> can be used to localize </w:t>
      </w:r>
      <w:r w:rsidR="00094CDD" w:rsidRPr="007C50E1">
        <w:rPr>
          <w:rFonts w:cs="Arial"/>
          <w:vertAlign w:val="superscript"/>
        </w:rPr>
        <w:t>99m</w:t>
      </w:r>
      <w:r w:rsidR="00094CDD" w:rsidRPr="007C50E1">
        <w:rPr>
          <w:rFonts w:cs="Arial"/>
        </w:rPr>
        <w:t xml:space="preserve">Tc-labeled compounds </w:t>
      </w:r>
      <w:r w:rsidR="00094CDD" w:rsidRPr="007C50E1">
        <w:rPr>
          <w:rFonts w:cs="Arial"/>
          <w:i/>
        </w:rPr>
        <w:t>in vivo</w:t>
      </w:r>
      <w:r w:rsidR="00A61B6A" w:rsidRPr="007C50E1">
        <w:rPr>
          <w:rFonts w:cs="Arial"/>
        </w:rPr>
        <w:t>.</w:t>
      </w:r>
      <w:r w:rsidR="00C54BF0" w:rsidRPr="007C50E1">
        <w:rPr>
          <w:rFonts w:cs="Arial"/>
        </w:rPr>
        <w:t xml:space="preserve"> </w:t>
      </w:r>
      <w:r w:rsidR="00022175" w:rsidRPr="007C50E1">
        <w:rPr>
          <w:rFonts w:cs="Arial"/>
        </w:rPr>
        <w:t>The methods reported here can be used to evaluate any radiolabeled tetrazine including next generation of Tc(I)-tetrazine ligands. It should be noted that for the class of ligands that were used in this study, the structures can be readily varied by changing the nature of the donor groups and linkers between the metal complex and the tetrazine</w:t>
      </w:r>
      <w:r w:rsidR="00DF163F" w:rsidRPr="007C50E1">
        <w:rPr>
          <w:rFonts w:cs="Arial"/>
        </w:rPr>
        <w:t>,</w:t>
      </w:r>
      <w:r w:rsidR="00022175" w:rsidRPr="007C50E1">
        <w:rPr>
          <w:rFonts w:cs="Arial"/>
        </w:rPr>
        <w:t xml:space="preserve"> without significantly altering the ligand synthesis method</w:t>
      </w:r>
      <w:r w:rsidR="00DF163F" w:rsidRPr="007C50E1">
        <w:rPr>
          <w:rFonts w:cs="Arial"/>
          <w:vertAlign w:val="superscript"/>
        </w:rPr>
        <w:t>21</w:t>
      </w:r>
      <w:r w:rsidR="00022175" w:rsidRPr="007C50E1">
        <w:rPr>
          <w:rFonts w:cs="Arial"/>
        </w:rPr>
        <w:t xml:space="preserve">. Once a lead molecule is identified, </w:t>
      </w:r>
      <w:r w:rsidR="00FE5A28" w:rsidRPr="007C50E1">
        <w:rPr>
          <w:rFonts w:cs="Arial"/>
        </w:rPr>
        <w:t>a</w:t>
      </w:r>
      <w:r w:rsidR="00022175" w:rsidRPr="007C50E1">
        <w:rPr>
          <w:rFonts w:cs="Arial"/>
        </w:rPr>
        <w:t>n instant kit method, which will likely include</w:t>
      </w:r>
      <w:r w:rsidR="00FE5A28" w:rsidRPr="007C50E1">
        <w:rPr>
          <w:rFonts w:cs="Arial"/>
        </w:rPr>
        <w:t xml:space="preserve"> solid phase purification method</w:t>
      </w:r>
      <w:r w:rsidR="00022175" w:rsidRPr="007C50E1">
        <w:rPr>
          <w:rFonts w:cs="Arial"/>
        </w:rPr>
        <w:t>s, can be developed to support clinical translation</w:t>
      </w:r>
      <w:r w:rsidR="00FE5A28" w:rsidRPr="007C50E1">
        <w:rPr>
          <w:rFonts w:cs="Arial"/>
        </w:rPr>
        <w:t xml:space="preserve">. </w:t>
      </w:r>
    </w:p>
    <w:p w14:paraId="47F7C159" w14:textId="36B0C296" w:rsidR="00C54BF0" w:rsidRPr="007C50E1" w:rsidRDefault="00C54BF0" w:rsidP="007C50E1">
      <w:pPr>
        <w:jc w:val="left"/>
        <w:rPr>
          <w:rFonts w:cs="Arial"/>
        </w:rPr>
      </w:pPr>
    </w:p>
    <w:p w14:paraId="0517DFBC" w14:textId="43A292B7" w:rsidR="006305D7" w:rsidRPr="007C50E1" w:rsidRDefault="00022175" w:rsidP="007C50E1">
      <w:pPr>
        <w:jc w:val="left"/>
        <w:rPr>
          <w:rFonts w:cs="Arial"/>
        </w:rPr>
      </w:pPr>
      <w:r w:rsidRPr="007C50E1">
        <w:rPr>
          <w:rFonts w:cs="Arial"/>
        </w:rPr>
        <w:t>T</w:t>
      </w:r>
      <w:r w:rsidR="00094CDD" w:rsidRPr="007C50E1">
        <w:rPr>
          <w:rFonts w:cs="Arial"/>
        </w:rPr>
        <w:t>h</w:t>
      </w:r>
      <w:r w:rsidR="00A61B6A" w:rsidRPr="007C50E1">
        <w:rPr>
          <w:rFonts w:cs="Arial"/>
        </w:rPr>
        <w:t>e Tc(I) complexes reported here create</w:t>
      </w:r>
      <w:r w:rsidR="00094CDD" w:rsidRPr="007C50E1">
        <w:rPr>
          <w:rFonts w:cs="Arial"/>
        </w:rPr>
        <w:t xml:space="preserve"> the opportunity to prepare new </w:t>
      </w:r>
      <w:r w:rsidR="00094CDD" w:rsidRPr="007C50E1">
        <w:rPr>
          <w:rFonts w:cs="Arial"/>
          <w:vertAlign w:val="superscript"/>
        </w:rPr>
        <w:t>99m</w:t>
      </w:r>
      <w:r w:rsidR="00094CDD" w:rsidRPr="007C50E1">
        <w:rPr>
          <w:rFonts w:cs="Arial"/>
        </w:rPr>
        <w:t xml:space="preserve">Tc radiopharmaceuticals using a wide array of different </w:t>
      </w:r>
      <w:r w:rsidR="00FD5B0D" w:rsidRPr="007C50E1">
        <w:rPr>
          <w:rFonts w:cs="Arial"/>
        </w:rPr>
        <w:t>TCO-deriv</w:t>
      </w:r>
      <w:r w:rsidR="00AB2608" w:rsidRPr="007C50E1">
        <w:rPr>
          <w:rFonts w:cs="Arial"/>
        </w:rPr>
        <w:t>ed targeting molecules</w:t>
      </w:r>
      <w:r w:rsidR="00094CDD" w:rsidRPr="007C50E1">
        <w:rPr>
          <w:rFonts w:cs="Arial"/>
        </w:rPr>
        <w:t xml:space="preserve"> including </w:t>
      </w:r>
      <w:r w:rsidR="00AB2608" w:rsidRPr="007C50E1">
        <w:rPr>
          <w:rFonts w:cs="Arial"/>
        </w:rPr>
        <w:t>anti</w:t>
      </w:r>
      <w:r w:rsidR="00FD5B0D" w:rsidRPr="007C50E1">
        <w:rPr>
          <w:rFonts w:cs="Arial"/>
        </w:rPr>
        <w:t>bodies</w:t>
      </w:r>
      <w:r w:rsidR="00094CDD" w:rsidRPr="007C50E1">
        <w:rPr>
          <w:rFonts w:cs="Arial"/>
        </w:rPr>
        <w:t xml:space="preserve">. </w:t>
      </w:r>
      <w:r w:rsidR="00A61B6A" w:rsidRPr="007C50E1">
        <w:rPr>
          <w:rFonts w:cs="Arial"/>
        </w:rPr>
        <w:t>A</w:t>
      </w:r>
      <w:r w:rsidR="00094CDD" w:rsidRPr="007C50E1">
        <w:rPr>
          <w:rFonts w:cs="Arial"/>
        </w:rPr>
        <w:t>ntibodies</w:t>
      </w:r>
      <w:r w:rsidR="00A61B6A" w:rsidRPr="007C50E1">
        <w:rPr>
          <w:rFonts w:cs="Arial"/>
        </w:rPr>
        <w:t>, despite their excellent targeting properties</w:t>
      </w:r>
      <w:r w:rsidR="00094CDD" w:rsidRPr="007C50E1">
        <w:rPr>
          <w:rFonts w:cs="Arial"/>
        </w:rPr>
        <w:t xml:space="preserve"> </w:t>
      </w:r>
      <w:r w:rsidR="00A61B6A" w:rsidRPr="007C50E1">
        <w:rPr>
          <w:rFonts w:cs="Arial"/>
        </w:rPr>
        <w:t>prior to the creation of technetium labeled tetrazines</w:t>
      </w:r>
      <w:r w:rsidR="00DF163F" w:rsidRPr="007C50E1">
        <w:rPr>
          <w:rFonts w:cs="Arial"/>
        </w:rPr>
        <w:t>,</w:t>
      </w:r>
      <w:r w:rsidR="00A61B6A" w:rsidRPr="007C50E1">
        <w:rPr>
          <w:rFonts w:cs="Arial"/>
        </w:rPr>
        <w:t xml:space="preserve"> </w:t>
      </w:r>
      <w:r w:rsidR="00094CDD" w:rsidRPr="007C50E1">
        <w:rPr>
          <w:rFonts w:cs="Arial"/>
        </w:rPr>
        <w:t xml:space="preserve">would </w:t>
      </w:r>
      <w:r w:rsidR="00FD5B0D" w:rsidRPr="007C50E1">
        <w:rPr>
          <w:rFonts w:cs="Arial"/>
        </w:rPr>
        <w:t>not</w:t>
      </w:r>
      <w:r w:rsidR="00A61B6A" w:rsidRPr="007C50E1">
        <w:rPr>
          <w:rFonts w:cs="Arial"/>
        </w:rPr>
        <w:t xml:space="preserve"> typically</w:t>
      </w:r>
      <w:r w:rsidR="00FD5B0D" w:rsidRPr="007C50E1">
        <w:rPr>
          <w:rFonts w:cs="Arial"/>
        </w:rPr>
        <w:t xml:space="preserve"> be used with </w:t>
      </w:r>
      <w:r w:rsidR="00FD5B0D" w:rsidRPr="007C50E1">
        <w:rPr>
          <w:rFonts w:cs="Arial"/>
          <w:vertAlign w:val="superscript"/>
        </w:rPr>
        <w:t>99m</w:t>
      </w:r>
      <w:r w:rsidR="00FD5B0D" w:rsidRPr="007C50E1">
        <w:rPr>
          <w:rFonts w:cs="Arial"/>
        </w:rPr>
        <w:t>Tc because</w:t>
      </w:r>
      <w:r w:rsidR="00094CDD" w:rsidRPr="007C50E1">
        <w:rPr>
          <w:rFonts w:cs="Arial"/>
        </w:rPr>
        <w:t xml:space="preserve"> of</w:t>
      </w:r>
      <w:r w:rsidR="00FD5B0D" w:rsidRPr="007C50E1">
        <w:rPr>
          <w:rFonts w:cs="Arial"/>
        </w:rPr>
        <w:t xml:space="preserve"> the</w:t>
      </w:r>
      <w:r w:rsidR="00AB2608" w:rsidRPr="007C50E1">
        <w:rPr>
          <w:rFonts w:cs="Arial"/>
        </w:rPr>
        <w:t>ir</w:t>
      </w:r>
      <w:r w:rsidR="00FD5B0D" w:rsidRPr="007C50E1">
        <w:rPr>
          <w:rFonts w:cs="Arial"/>
        </w:rPr>
        <w:t xml:space="preserve"> slow clearance (days)</w:t>
      </w:r>
      <w:r w:rsidR="00C54BF0" w:rsidRPr="007C50E1">
        <w:rPr>
          <w:rFonts w:cs="Arial"/>
        </w:rPr>
        <w:t>,</w:t>
      </w:r>
      <w:r w:rsidR="00FD5B0D" w:rsidRPr="007C50E1">
        <w:rPr>
          <w:rFonts w:cs="Arial"/>
        </w:rPr>
        <w:t xml:space="preserve"> </w:t>
      </w:r>
      <w:r w:rsidR="00094CDD" w:rsidRPr="007C50E1">
        <w:rPr>
          <w:rFonts w:cs="Arial"/>
        </w:rPr>
        <w:t>which is much longer tha</w:t>
      </w:r>
      <w:r w:rsidR="00A61B6A" w:rsidRPr="007C50E1">
        <w:rPr>
          <w:rFonts w:cs="Arial"/>
        </w:rPr>
        <w:t>n</w:t>
      </w:r>
      <w:r w:rsidR="00094CDD" w:rsidRPr="007C50E1">
        <w:rPr>
          <w:rFonts w:cs="Arial"/>
        </w:rPr>
        <w:t xml:space="preserve"> </w:t>
      </w:r>
      <w:r w:rsidR="00FD5B0D" w:rsidRPr="007C50E1">
        <w:rPr>
          <w:rFonts w:cs="Arial"/>
        </w:rPr>
        <w:t>the half-life of the isotope (</w:t>
      </w:r>
      <w:r w:rsidR="00B73A90" w:rsidRPr="007C50E1">
        <w:rPr>
          <w:rFonts w:cs="Arial"/>
        </w:rPr>
        <w:t>~</w:t>
      </w:r>
      <w:r w:rsidR="00FD5B0D" w:rsidRPr="007C50E1">
        <w:rPr>
          <w:rFonts w:cs="Arial"/>
        </w:rPr>
        <w:t>6 h)</w:t>
      </w:r>
      <w:r w:rsidR="00AB2608" w:rsidRPr="007C50E1">
        <w:rPr>
          <w:rFonts w:cs="Arial"/>
        </w:rPr>
        <w:t>.</w:t>
      </w:r>
      <w:r w:rsidR="00094CDD" w:rsidRPr="007C50E1">
        <w:rPr>
          <w:rFonts w:cs="Arial"/>
        </w:rPr>
        <w:t xml:space="preserve"> An additional application of the chemistry reported here is that </w:t>
      </w:r>
      <w:r w:rsidR="00A61B6A" w:rsidRPr="007C50E1">
        <w:rPr>
          <w:rFonts w:cs="Arial"/>
        </w:rPr>
        <w:t>the</w:t>
      </w:r>
      <w:r w:rsidR="00094CDD" w:rsidRPr="007C50E1">
        <w:rPr>
          <w:rFonts w:cs="Arial"/>
        </w:rPr>
        <w:t xml:space="preserve"> same class of ligands can be prepared </w:t>
      </w:r>
      <w:r w:rsidR="009269B8" w:rsidRPr="007C50E1">
        <w:rPr>
          <w:rFonts w:cs="Arial"/>
        </w:rPr>
        <w:t xml:space="preserve">with the beta emitting </w:t>
      </w:r>
      <w:r w:rsidR="00094CDD" w:rsidRPr="007C50E1">
        <w:rPr>
          <w:rFonts w:cs="Arial"/>
        </w:rPr>
        <w:t>radio</w:t>
      </w:r>
      <w:r w:rsidR="009269B8" w:rsidRPr="007C50E1">
        <w:rPr>
          <w:rFonts w:cs="Arial"/>
        </w:rPr>
        <w:t>nuclide</w:t>
      </w:r>
      <w:r w:rsidR="00094CDD" w:rsidRPr="007C50E1">
        <w:rPr>
          <w:rFonts w:cs="Arial"/>
        </w:rPr>
        <w:t xml:space="preserve">s </w:t>
      </w:r>
      <w:r w:rsidR="00094CDD" w:rsidRPr="007C50E1">
        <w:rPr>
          <w:rFonts w:cs="Arial"/>
          <w:vertAlign w:val="superscript"/>
        </w:rPr>
        <w:t>186</w:t>
      </w:r>
      <w:r w:rsidR="00094CDD" w:rsidRPr="007C50E1">
        <w:rPr>
          <w:rFonts w:cs="Arial"/>
        </w:rPr>
        <w:t>Re and</w:t>
      </w:r>
      <w:r w:rsidR="009269B8" w:rsidRPr="007C50E1">
        <w:rPr>
          <w:rFonts w:cs="Arial"/>
        </w:rPr>
        <w:t xml:space="preserve"> </w:t>
      </w:r>
      <w:r w:rsidR="009269B8" w:rsidRPr="007C50E1">
        <w:rPr>
          <w:rFonts w:cs="Arial"/>
          <w:vertAlign w:val="superscript"/>
        </w:rPr>
        <w:t>188</w:t>
      </w:r>
      <w:r w:rsidR="009269B8" w:rsidRPr="007C50E1">
        <w:rPr>
          <w:rFonts w:cs="Arial"/>
        </w:rPr>
        <w:t>Re</w:t>
      </w:r>
      <w:r w:rsidR="00E719F6" w:rsidRPr="007C50E1">
        <w:rPr>
          <w:rFonts w:cs="Arial"/>
        </w:rPr>
        <w:t>. The</w:t>
      </w:r>
      <w:r w:rsidR="00A61B6A" w:rsidRPr="007C50E1">
        <w:rPr>
          <w:rFonts w:cs="Arial"/>
        </w:rPr>
        <w:t xml:space="preserve"> isostructural Re(I) analogues of the Tc(I) agents when combined with the tumor seeking properties of</w:t>
      </w:r>
      <w:r w:rsidR="00E719F6" w:rsidRPr="007C50E1">
        <w:rPr>
          <w:rFonts w:cs="Arial"/>
        </w:rPr>
        <w:t xml:space="preserve"> TCO-BP</w:t>
      </w:r>
      <w:r w:rsidR="00A61B6A" w:rsidRPr="007C50E1">
        <w:rPr>
          <w:rFonts w:cs="Arial"/>
        </w:rPr>
        <w:t xml:space="preserve"> can be used to </w:t>
      </w:r>
      <w:r w:rsidR="00E719F6" w:rsidRPr="007C50E1">
        <w:rPr>
          <w:rFonts w:cs="Arial"/>
        </w:rPr>
        <w:t>treat</w:t>
      </w:r>
      <w:r w:rsidR="00A61B6A" w:rsidRPr="007C50E1">
        <w:rPr>
          <w:rFonts w:cs="Arial"/>
        </w:rPr>
        <w:t xml:space="preserve"> </w:t>
      </w:r>
      <w:r w:rsidR="00E719F6" w:rsidRPr="007C50E1">
        <w:rPr>
          <w:rFonts w:cs="Arial"/>
        </w:rPr>
        <w:t xml:space="preserve">bone metastases. </w:t>
      </w:r>
    </w:p>
    <w:p w14:paraId="226D210C" w14:textId="77777777" w:rsidR="008675BE" w:rsidRPr="007C50E1" w:rsidRDefault="008675BE" w:rsidP="007C50E1">
      <w:pPr>
        <w:jc w:val="left"/>
        <w:rPr>
          <w:rFonts w:cs="Arial"/>
        </w:rPr>
      </w:pPr>
    </w:p>
    <w:p w14:paraId="6D966AEA" w14:textId="77777777" w:rsidR="00FA14CA" w:rsidRPr="007C50E1" w:rsidRDefault="006305D7" w:rsidP="007C50E1">
      <w:pPr>
        <w:jc w:val="left"/>
        <w:rPr>
          <w:rFonts w:cs="Arial"/>
        </w:rPr>
      </w:pPr>
      <w:r w:rsidRPr="007C50E1">
        <w:rPr>
          <w:rFonts w:cs="Arial"/>
          <w:b/>
          <w:bCs/>
        </w:rPr>
        <w:t>ACKNOWLEDGMENTS:</w:t>
      </w:r>
      <w:r w:rsidR="00D73014" w:rsidRPr="007C50E1">
        <w:rPr>
          <w:rFonts w:cs="Arial"/>
        </w:rPr>
        <w:t xml:space="preserve"> </w:t>
      </w:r>
    </w:p>
    <w:p w14:paraId="33A3E446" w14:textId="0FB8F7A8" w:rsidR="006305D7" w:rsidRPr="007C50E1" w:rsidRDefault="00706CED" w:rsidP="007C50E1">
      <w:pPr>
        <w:jc w:val="left"/>
        <w:rPr>
          <w:rFonts w:cs="Arial"/>
          <w:color w:val="808080"/>
        </w:rPr>
      </w:pPr>
      <w:r w:rsidRPr="007C50E1">
        <w:rPr>
          <w:rFonts w:cs="Arial"/>
        </w:rPr>
        <w:t>This work supported by research grant funding from the Natural Sciences and Engin</w:t>
      </w:r>
      <w:r w:rsidR="00B41FB9" w:rsidRPr="007C50E1">
        <w:rPr>
          <w:rFonts w:cs="Arial"/>
        </w:rPr>
        <w:t>eering Research Council (NSERC</w:t>
      </w:r>
      <w:r w:rsidRPr="007C50E1">
        <w:rPr>
          <w:rFonts w:cs="Arial"/>
        </w:rPr>
        <w:t>) of Canada, the Ontario Institute for Cancer Research (OICR, #</w:t>
      </w:r>
      <w:r w:rsidRPr="007C50E1">
        <w:rPr>
          <w:rFonts w:cs="Arial"/>
          <w:lang w:val="en-CA"/>
        </w:rPr>
        <w:t>P.SI.015.8</w:t>
      </w:r>
      <w:r w:rsidRPr="007C50E1">
        <w:rPr>
          <w:rFonts w:cs="Arial"/>
        </w:rPr>
        <w:t>), and the Canadian Cancer Society (CCS, #703857).</w:t>
      </w:r>
      <w:r w:rsidR="00283B48" w:rsidRPr="007C50E1">
        <w:rPr>
          <w:rFonts w:cs="Arial"/>
        </w:rPr>
        <w:t xml:space="preserve"> </w:t>
      </w:r>
      <w:r w:rsidRPr="007C50E1">
        <w:rPr>
          <w:rFonts w:cs="Arial"/>
          <w:bCs/>
          <w:lang w:val="en-CA"/>
        </w:rPr>
        <w:t xml:space="preserve">The authors acknowledge the contributions of Dr. Denis Snider </w:t>
      </w:r>
      <w:r w:rsidRPr="007C50E1">
        <w:rPr>
          <w:rFonts w:cs="Arial"/>
        </w:rPr>
        <w:t xml:space="preserve">who provided </w:t>
      </w:r>
      <w:r w:rsidR="008838DC" w:rsidRPr="007C50E1">
        <w:rPr>
          <w:rFonts w:cs="Arial"/>
        </w:rPr>
        <w:t xml:space="preserve">assistance in preparing the </w:t>
      </w:r>
      <w:r w:rsidRPr="007C50E1">
        <w:rPr>
          <w:rFonts w:cs="Arial"/>
        </w:rPr>
        <w:t>manuscript.</w:t>
      </w:r>
    </w:p>
    <w:p w14:paraId="3179122B" w14:textId="77777777" w:rsidR="006305D7" w:rsidRPr="007C50E1" w:rsidRDefault="006305D7" w:rsidP="007C50E1">
      <w:pPr>
        <w:jc w:val="left"/>
        <w:rPr>
          <w:rFonts w:cs="Arial"/>
        </w:rPr>
      </w:pPr>
    </w:p>
    <w:p w14:paraId="481F3663" w14:textId="77777777" w:rsidR="00FA14CA" w:rsidRPr="007C50E1" w:rsidRDefault="006305D7" w:rsidP="007C50E1">
      <w:pPr>
        <w:jc w:val="left"/>
        <w:rPr>
          <w:rFonts w:cs="Arial"/>
          <w:b/>
        </w:rPr>
      </w:pPr>
      <w:r w:rsidRPr="007C50E1">
        <w:rPr>
          <w:rFonts w:cs="Arial"/>
          <w:b/>
        </w:rPr>
        <w:t>DISCLOSURES:</w:t>
      </w:r>
      <w:r w:rsidR="00D73014" w:rsidRPr="007C50E1">
        <w:rPr>
          <w:rFonts w:cs="Arial"/>
          <w:b/>
        </w:rPr>
        <w:t xml:space="preserve"> </w:t>
      </w:r>
    </w:p>
    <w:p w14:paraId="0C5B0806" w14:textId="5C2A180E" w:rsidR="006305D7" w:rsidRPr="007C50E1" w:rsidRDefault="00D73014" w:rsidP="007C50E1">
      <w:pPr>
        <w:jc w:val="left"/>
        <w:rPr>
          <w:rFonts w:cs="Arial"/>
          <w:color w:val="808080"/>
        </w:rPr>
      </w:pPr>
      <w:r w:rsidRPr="007C50E1">
        <w:rPr>
          <w:rFonts w:cs="Arial"/>
        </w:rPr>
        <w:t xml:space="preserve">The authors </w:t>
      </w:r>
      <w:r w:rsidR="0060463E" w:rsidRPr="007C50E1">
        <w:rPr>
          <w:rFonts w:cs="Arial"/>
        </w:rPr>
        <w:t>declare they have no competing financial interests</w:t>
      </w:r>
      <w:r w:rsidRPr="007C50E1">
        <w:rPr>
          <w:rFonts w:cs="Arial"/>
        </w:rPr>
        <w:t>.</w:t>
      </w:r>
      <w:r w:rsidRPr="007C50E1">
        <w:rPr>
          <w:rFonts w:cs="Arial"/>
          <w:b/>
        </w:rPr>
        <w:t xml:space="preserve"> </w:t>
      </w:r>
    </w:p>
    <w:p w14:paraId="1B4F907E" w14:textId="77777777" w:rsidR="006305D7" w:rsidRPr="007C50E1" w:rsidRDefault="006305D7" w:rsidP="007C50E1">
      <w:pPr>
        <w:jc w:val="left"/>
        <w:rPr>
          <w:rFonts w:cs="Arial"/>
          <w:color w:val="7F7F7F"/>
        </w:rPr>
      </w:pPr>
    </w:p>
    <w:p w14:paraId="52CE53EA" w14:textId="599077F0" w:rsidR="006305D7" w:rsidRPr="007C50E1" w:rsidRDefault="006305D7" w:rsidP="007C50E1">
      <w:pPr>
        <w:jc w:val="left"/>
        <w:rPr>
          <w:rFonts w:cs="Arial"/>
        </w:rPr>
      </w:pPr>
      <w:r w:rsidRPr="007C50E1">
        <w:rPr>
          <w:rFonts w:cs="Arial"/>
          <w:b/>
          <w:bCs/>
        </w:rPr>
        <w:t>REFERENCES</w:t>
      </w:r>
    </w:p>
    <w:p w14:paraId="452256A8" w14:textId="26FF9125" w:rsidR="00E253AD" w:rsidRPr="007C50E1" w:rsidRDefault="00FA7BC0" w:rsidP="007C50E1">
      <w:pPr>
        <w:pStyle w:val="NormalWeb"/>
        <w:spacing w:before="0" w:beforeAutospacing="0" w:after="0" w:afterAutospacing="0"/>
        <w:ind w:left="640" w:hanging="640"/>
        <w:divId w:val="2104758640"/>
        <w:rPr>
          <w:rFonts w:eastAsiaTheme="minorEastAsia" w:cs="Arial"/>
          <w:noProof/>
        </w:rPr>
      </w:pPr>
      <w:r w:rsidRPr="007C50E1">
        <w:rPr>
          <w:rFonts w:cs="Arial"/>
        </w:rPr>
        <w:fldChar w:fldCharType="begin" w:fldLock="1"/>
      </w:r>
      <w:r w:rsidRPr="007C50E1">
        <w:rPr>
          <w:rFonts w:cs="Arial"/>
        </w:rPr>
        <w:instrText xml:space="preserve">ADDIN Mendeley Bibliography CSL_BIBLIOGRAPHY </w:instrText>
      </w:r>
      <w:r w:rsidRPr="007C50E1">
        <w:rPr>
          <w:rFonts w:cs="Arial"/>
        </w:rPr>
        <w:fldChar w:fldCharType="separate"/>
      </w:r>
      <w:r w:rsidR="00E253AD" w:rsidRPr="007C50E1">
        <w:rPr>
          <w:rFonts w:cs="Arial"/>
          <w:noProof/>
        </w:rPr>
        <w:t>1.</w:t>
      </w:r>
      <w:r w:rsidR="00E253AD" w:rsidRPr="007C50E1">
        <w:rPr>
          <w:rFonts w:cs="Arial"/>
          <w:noProof/>
        </w:rPr>
        <w:tab/>
        <w:t xml:space="preserve">Jurisson, S. S. &amp; Lydon, J. D. Potential Technetium Small Molecule Radiopharmaceuticals. </w:t>
      </w:r>
      <w:r w:rsidR="004C4D1D" w:rsidRPr="007C50E1">
        <w:rPr>
          <w:rFonts w:cs="Arial"/>
          <w:i/>
          <w:iCs/>
          <w:noProof/>
        </w:rPr>
        <w:t>Chem. Rev.</w:t>
      </w:r>
      <w:r w:rsidR="004C4D1D" w:rsidRPr="007C50E1">
        <w:rPr>
          <w:rFonts w:cs="Arial"/>
          <w:noProof/>
        </w:rPr>
        <w:t xml:space="preserve"> </w:t>
      </w:r>
      <w:r w:rsidR="004C4D1D" w:rsidRPr="007C50E1">
        <w:rPr>
          <w:rFonts w:cs="Arial"/>
          <w:b/>
          <w:bCs/>
          <w:noProof/>
        </w:rPr>
        <w:t>99</w:t>
      </w:r>
      <w:r w:rsidR="004C4D1D" w:rsidRPr="007C50E1">
        <w:rPr>
          <w:rFonts w:cs="Arial"/>
          <w:noProof/>
        </w:rPr>
        <w:t xml:space="preserve"> (9), 2205–2218, </w:t>
      </w:r>
      <w:r w:rsidR="004C4D1D" w:rsidRPr="007C50E1">
        <w:rPr>
          <w:rFonts w:cs="Arial"/>
        </w:rPr>
        <w:t xml:space="preserve">doi: </w:t>
      </w:r>
      <w:r w:rsidR="004C4D1D" w:rsidRPr="007C50E1">
        <w:rPr>
          <w:rFonts w:cs="Arial"/>
          <w:shd w:val="clear" w:color="auto" w:fill="FFFFFF"/>
        </w:rPr>
        <w:t>10.1021/cr980435t</w:t>
      </w:r>
      <w:r w:rsidR="004C4D1D" w:rsidRPr="007C50E1">
        <w:rPr>
          <w:rFonts w:cs="Arial"/>
          <w:noProof/>
        </w:rPr>
        <w:t xml:space="preserve"> (1999).</w:t>
      </w:r>
    </w:p>
    <w:p w14:paraId="516333B6" w14:textId="24851DA1" w:rsidR="00E253AD" w:rsidRPr="007C50E1" w:rsidRDefault="00E253AD" w:rsidP="007C50E1">
      <w:pPr>
        <w:pStyle w:val="NormalWeb"/>
        <w:spacing w:before="0" w:beforeAutospacing="0" w:after="0" w:afterAutospacing="0"/>
        <w:ind w:left="640" w:hanging="640"/>
        <w:divId w:val="2104758640"/>
        <w:rPr>
          <w:rFonts w:cs="Arial"/>
          <w:noProof/>
        </w:rPr>
      </w:pPr>
      <w:r w:rsidRPr="007C50E1">
        <w:rPr>
          <w:rFonts w:cs="Arial"/>
          <w:noProof/>
        </w:rPr>
        <w:t>2.</w:t>
      </w:r>
      <w:r w:rsidRPr="007C50E1">
        <w:rPr>
          <w:rFonts w:cs="Arial"/>
          <w:noProof/>
        </w:rPr>
        <w:tab/>
      </w:r>
      <w:r w:rsidR="004C4D1D" w:rsidRPr="007C50E1">
        <w:rPr>
          <w:rFonts w:cs="Arial"/>
          <w:noProof/>
        </w:rPr>
        <w:t xml:space="preserve">Kluba, C. A. &amp; Mindt, T. L. Click-to-chelate: Development of Technetium and Rhenium-Tricarbonyl Labeled Radiopharmaceuticals. </w:t>
      </w:r>
      <w:r w:rsidR="004C4D1D" w:rsidRPr="007C50E1">
        <w:rPr>
          <w:rFonts w:cs="Arial"/>
          <w:i/>
          <w:iCs/>
          <w:noProof/>
        </w:rPr>
        <w:t>Molecules</w:t>
      </w:r>
      <w:r w:rsidR="004C4D1D" w:rsidRPr="007C50E1">
        <w:rPr>
          <w:rFonts w:cs="Arial"/>
          <w:noProof/>
        </w:rPr>
        <w:t xml:space="preserve"> </w:t>
      </w:r>
      <w:r w:rsidR="004C4D1D" w:rsidRPr="007C50E1">
        <w:rPr>
          <w:rFonts w:cs="Arial"/>
          <w:b/>
          <w:bCs/>
          <w:noProof/>
        </w:rPr>
        <w:t>18</w:t>
      </w:r>
      <w:r w:rsidR="004C4D1D" w:rsidRPr="007C50E1">
        <w:rPr>
          <w:rFonts w:cs="Arial"/>
          <w:noProof/>
        </w:rPr>
        <w:t>, 3206–3226 (2013).</w:t>
      </w:r>
    </w:p>
    <w:p w14:paraId="65C3AE4C" w14:textId="185335EF" w:rsidR="00E253AD" w:rsidRPr="007C50E1" w:rsidRDefault="00E253AD" w:rsidP="007C50E1">
      <w:pPr>
        <w:pStyle w:val="NormalWeb"/>
        <w:spacing w:before="0" w:beforeAutospacing="0" w:after="0" w:afterAutospacing="0"/>
        <w:ind w:left="640" w:hanging="640"/>
        <w:divId w:val="2104758640"/>
        <w:rPr>
          <w:rFonts w:cs="Arial"/>
          <w:noProof/>
        </w:rPr>
      </w:pPr>
      <w:r w:rsidRPr="007C50E1">
        <w:rPr>
          <w:rFonts w:cs="Arial"/>
          <w:noProof/>
        </w:rPr>
        <w:t>3.</w:t>
      </w:r>
      <w:r w:rsidRPr="007C50E1">
        <w:rPr>
          <w:rFonts w:cs="Arial"/>
          <w:noProof/>
        </w:rPr>
        <w:tab/>
      </w:r>
      <w:r w:rsidR="004C4D1D" w:rsidRPr="007C50E1">
        <w:rPr>
          <w:rFonts w:cs="Arial"/>
          <w:noProof/>
        </w:rPr>
        <w:t xml:space="preserve">Amato, I. Nuclear Medicines Conundrum. </w:t>
      </w:r>
      <w:r w:rsidR="004C4D1D" w:rsidRPr="007C50E1">
        <w:rPr>
          <w:rFonts w:cs="Arial"/>
          <w:i/>
          <w:iCs/>
          <w:noProof/>
        </w:rPr>
        <w:t>Chem. Eng. News.</w:t>
      </w:r>
      <w:r w:rsidR="004C4D1D" w:rsidRPr="007C50E1">
        <w:rPr>
          <w:rFonts w:cs="Arial"/>
          <w:noProof/>
        </w:rPr>
        <w:t xml:space="preserve"> </w:t>
      </w:r>
      <w:r w:rsidR="004C4D1D" w:rsidRPr="007C50E1">
        <w:rPr>
          <w:rFonts w:cs="Arial"/>
          <w:b/>
          <w:bCs/>
          <w:noProof/>
        </w:rPr>
        <w:t>87</w:t>
      </w:r>
      <w:r w:rsidR="004C4D1D" w:rsidRPr="007C50E1">
        <w:rPr>
          <w:rFonts w:cs="Arial"/>
          <w:noProof/>
        </w:rPr>
        <w:t xml:space="preserve"> (36), 58–70 (2009).</w:t>
      </w:r>
    </w:p>
    <w:p w14:paraId="1F028A01" w14:textId="11F6E045" w:rsidR="00E253AD" w:rsidRPr="007C50E1" w:rsidRDefault="00E253AD" w:rsidP="007C50E1">
      <w:pPr>
        <w:pStyle w:val="NormalWeb"/>
        <w:spacing w:before="0" w:beforeAutospacing="0" w:after="0" w:afterAutospacing="0"/>
        <w:ind w:left="640" w:hanging="640"/>
        <w:divId w:val="2104758640"/>
        <w:rPr>
          <w:rFonts w:cs="Arial"/>
          <w:noProof/>
        </w:rPr>
      </w:pPr>
      <w:r w:rsidRPr="007C50E1">
        <w:rPr>
          <w:rFonts w:cs="Arial"/>
          <w:noProof/>
        </w:rPr>
        <w:t>4.</w:t>
      </w:r>
      <w:r w:rsidRPr="007C50E1">
        <w:rPr>
          <w:rFonts w:cs="Arial"/>
          <w:noProof/>
        </w:rPr>
        <w:tab/>
      </w:r>
      <w:r w:rsidR="004C4D1D" w:rsidRPr="007C50E1">
        <w:rPr>
          <w:rFonts w:cs="Arial"/>
          <w:noProof/>
        </w:rPr>
        <w:t xml:space="preserve">Hnatowich, D. J., Virzi, F. &amp; Rusckowski, M. Investigations of Avidin and Biotin for Imaging Applications. </w:t>
      </w:r>
      <w:r w:rsidR="004C4D1D" w:rsidRPr="007C50E1">
        <w:rPr>
          <w:rFonts w:cs="Arial"/>
          <w:i/>
          <w:iCs/>
          <w:noProof/>
        </w:rPr>
        <w:t xml:space="preserve">J. Nucl. Med. </w:t>
      </w:r>
      <w:r w:rsidR="004C4D1D" w:rsidRPr="007C50E1">
        <w:rPr>
          <w:rFonts w:cs="Arial"/>
          <w:b/>
          <w:bCs/>
          <w:noProof/>
        </w:rPr>
        <w:t>28</w:t>
      </w:r>
      <w:r w:rsidR="004C4D1D" w:rsidRPr="007C50E1">
        <w:rPr>
          <w:rFonts w:cs="Arial"/>
          <w:noProof/>
        </w:rPr>
        <w:t xml:space="preserve"> (8), 1294–302 (1987).</w:t>
      </w:r>
    </w:p>
    <w:p w14:paraId="3F750D86" w14:textId="4F80D301" w:rsidR="00E253AD" w:rsidRPr="007C50E1" w:rsidRDefault="00E253AD" w:rsidP="007C50E1">
      <w:pPr>
        <w:pStyle w:val="NormalWeb"/>
        <w:spacing w:before="0" w:beforeAutospacing="0" w:after="0" w:afterAutospacing="0"/>
        <w:ind w:left="640" w:hanging="640"/>
        <w:divId w:val="2104758640"/>
        <w:rPr>
          <w:rFonts w:cs="Arial"/>
          <w:noProof/>
        </w:rPr>
      </w:pPr>
      <w:r w:rsidRPr="007C50E1">
        <w:rPr>
          <w:rFonts w:cs="Arial"/>
          <w:noProof/>
        </w:rPr>
        <w:t>5.</w:t>
      </w:r>
      <w:r w:rsidRPr="007C50E1">
        <w:rPr>
          <w:rFonts w:cs="Arial"/>
          <w:noProof/>
        </w:rPr>
        <w:tab/>
      </w:r>
      <w:r w:rsidR="004C4D1D" w:rsidRPr="007C50E1">
        <w:rPr>
          <w:rFonts w:cs="Arial"/>
          <w:noProof/>
        </w:rPr>
        <w:t xml:space="preserve">Blackman, M. L., Royzen, M. &amp; Fox, J. M. Tetrazine Ligation: Fast Bioconjugation Based on Inverse-Electron-Demand Diels-Alder Reactivity. </w:t>
      </w:r>
      <w:r w:rsidR="004C4D1D" w:rsidRPr="007C50E1">
        <w:rPr>
          <w:rFonts w:cs="Arial"/>
          <w:i/>
          <w:iCs/>
          <w:noProof/>
        </w:rPr>
        <w:t>J. Am. Chem. Soc.</w:t>
      </w:r>
      <w:r w:rsidR="004C4D1D" w:rsidRPr="007C50E1">
        <w:rPr>
          <w:rFonts w:cs="Arial"/>
          <w:noProof/>
        </w:rPr>
        <w:t xml:space="preserve"> </w:t>
      </w:r>
      <w:r w:rsidR="004C4D1D" w:rsidRPr="007C50E1">
        <w:rPr>
          <w:rFonts w:cs="Arial"/>
          <w:b/>
          <w:bCs/>
          <w:noProof/>
        </w:rPr>
        <w:t>130</w:t>
      </w:r>
      <w:r w:rsidR="004C4D1D" w:rsidRPr="007C50E1">
        <w:rPr>
          <w:rFonts w:cs="Arial"/>
          <w:noProof/>
        </w:rPr>
        <w:t xml:space="preserve"> (41), 13518–13519, </w:t>
      </w:r>
      <w:r w:rsidR="004C4D1D" w:rsidRPr="007C50E1">
        <w:rPr>
          <w:rFonts w:cs="Arial"/>
          <w:bCs/>
          <w:noProof/>
        </w:rPr>
        <w:t>doi: </w:t>
      </w:r>
      <w:r w:rsidR="004C4D1D" w:rsidRPr="007C50E1">
        <w:rPr>
          <w:rFonts w:cs="Arial"/>
          <w:noProof/>
        </w:rPr>
        <w:t>10.1021/ja8053805 (2008).</w:t>
      </w:r>
    </w:p>
    <w:p w14:paraId="08949A43" w14:textId="0DD02224" w:rsidR="00E253AD" w:rsidRPr="007C50E1" w:rsidRDefault="00E253AD" w:rsidP="007C50E1">
      <w:pPr>
        <w:pStyle w:val="NormalWeb"/>
        <w:spacing w:before="0" w:beforeAutospacing="0" w:after="0" w:afterAutospacing="0"/>
        <w:ind w:left="640" w:hanging="640"/>
        <w:divId w:val="2104758640"/>
        <w:rPr>
          <w:rFonts w:cs="Arial"/>
          <w:noProof/>
        </w:rPr>
      </w:pPr>
      <w:r w:rsidRPr="007C50E1">
        <w:rPr>
          <w:rFonts w:cs="Arial"/>
          <w:noProof/>
        </w:rPr>
        <w:t>6.</w:t>
      </w:r>
      <w:r w:rsidRPr="007C50E1">
        <w:rPr>
          <w:rFonts w:cs="Arial"/>
          <w:noProof/>
        </w:rPr>
        <w:tab/>
      </w:r>
      <w:r w:rsidR="004C4D1D" w:rsidRPr="007C50E1">
        <w:rPr>
          <w:rFonts w:cs="Arial"/>
          <w:noProof/>
        </w:rPr>
        <w:t xml:space="preserve">Devaraj, N. K., Weissleder, R. &amp; Hilderbrand, S. A. Tetrazine-Based Cycloadditions: Application to Pretargeted Live Cell Imaging. </w:t>
      </w:r>
      <w:r w:rsidR="004C4D1D" w:rsidRPr="007C50E1">
        <w:rPr>
          <w:rFonts w:cs="Arial"/>
          <w:i/>
          <w:iCs/>
          <w:noProof/>
        </w:rPr>
        <w:t>Bioconjugate Chem.</w:t>
      </w:r>
      <w:r w:rsidR="004C4D1D" w:rsidRPr="007C50E1">
        <w:rPr>
          <w:rFonts w:cs="Arial"/>
          <w:noProof/>
        </w:rPr>
        <w:t xml:space="preserve"> </w:t>
      </w:r>
      <w:r w:rsidR="004C4D1D" w:rsidRPr="007C50E1">
        <w:rPr>
          <w:rFonts w:cs="Arial"/>
          <w:b/>
          <w:bCs/>
          <w:noProof/>
        </w:rPr>
        <w:t>19</w:t>
      </w:r>
      <w:r w:rsidR="004C4D1D" w:rsidRPr="007C50E1">
        <w:rPr>
          <w:rFonts w:cs="Arial"/>
          <w:noProof/>
        </w:rPr>
        <w:t xml:space="preserve"> (12), 2297–9, </w:t>
      </w:r>
      <w:r w:rsidR="004C4D1D" w:rsidRPr="007C50E1">
        <w:rPr>
          <w:rFonts w:cs="Arial"/>
          <w:bCs/>
          <w:shd w:val="clear" w:color="auto" w:fill="FFFFFF"/>
        </w:rPr>
        <w:t>doi: </w:t>
      </w:r>
      <w:r w:rsidR="004C4D1D" w:rsidRPr="007C50E1">
        <w:rPr>
          <w:rFonts w:cs="Arial"/>
          <w:shd w:val="clear" w:color="auto" w:fill="FFFFFF"/>
        </w:rPr>
        <w:t>10.1021/bc8004446</w:t>
      </w:r>
      <w:r w:rsidR="004C4D1D" w:rsidRPr="007C50E1">
        <w:rPr>
          <w:rFonts w:cs="Arial"/>
          <w:noProof/>
        </w:rPr>
        <w:t xml:space="preserve"> (2008).</w:t>
      </w:r>
    </w:p>
    <w:p w14:paraId="47EEA1E1" w14:textId="09517E11" w:rsidR="00E253AD" w:rsidRPr="007C50E1" w:rsidRDefault="00E253AD" w:rsidP="007C50E1">
      <w:pPr>
        <w:pStyle w:val="NormalWeb"/>
        <w:spacing w:before="0" w:beforeAutospacing="0" w:after="0" w:afterAutospacing="0"/>
        <w:ind w:left="640" w:hanging="640"/>
        <w:divId w:val="2104758640"/>
        <w:rPr>
          <w:rFonts w:cs="Arial"/>
          <w:noProof/>
        </w:rPr>
      </w:pPr>
      <w:r w:rsidRPr="007C50E1">
        <w:rPr>
          <w:rFonts w:cs="Arial"/>
          <w:noProof/>
        </w:rPr>
        <w:t>7.</w:t>
      </w:r>
      <w:r w:rsidRPr="007C50E1">
        <w:rPr>
          <w:rFonts w:cs="Arial"/>
          <w:noProof/>
        </w:rPr>
        <w:tab/>
      </w:r>
      <w:r w:rsidR="001D7A30" w:rsidRPr="007C50E1">
        <w:rPr>
          <w:rFonts w:cs="Arial"/>
          <w:noProof/>
        </w:rPr>
        <w:t xml:space="preserve">Rossin, R., </w:t>
      </w:r>
      <w:r w:rsidR="001D7A30" w:rsidRPr="007C50E1">
        <w:rPr>
          <w:rFonts w:cs="Arial"/>
          <w:i/>
          <w:iCs/>
          <w:noProof/>
        </w:rPr>
        <w:t>et al.</w:t>
      </w:r>
      <w:r w:rsidR="001D7A30" w:rsidRPr="007C50E1">
        <w:rPr>
          <w:rFonts w:cs="Arial"/>
          <w:noProof/>
        </w:rPr>
        <w:t xml:space="preserve"> In Vivo Chemistry for Pretargeted Tumor Imaging in Live Mice. </w:t>
      </w:r>
      <w:r w:rsidR="001D7A30" w:rsidRPr="007C50E1">
        <w:rPr>
          <w:rFonts w:cs="Arial"/>
          <w:i/>
          <w:iCs/>
          <w:noProof/>
        </w:rPr>
        <w:t>Angew. Chem., Int. Ed.</w:t>
      </w:r>
      <w:r w:rsidR="001D7A30" w:rsidRPr="007C50E1">
        <w:rPr>
          <w:rFonts w:cs="Arial"/>
          <w:noProof/>
        </w:rPr>
        <w:t xml:space="preserve"> </w:t>
      </w:r>
      <w:r w:rsidR="001D7A30" w:rsidRPr="007C50E1">
        <w:rPr>
          <w:rFonts w:cs="Arial"/>
          <w:b/>
          <w:bCs/>
          <w:noProof/>
        </w:rPr>
        <w:t>49</w:t>
      </w:r>
      <w:r w:rsidR="001D7A30" w:rsidRPr="007C50E1">
        <w:rPr>
          <w:rFonts w:cs="Arial"/>
          <w:noProof/>
        </w:rPr>
        <w:t xml:space="preserve"> (19), 3375–3378 , </w:t>
      </w:r>
      <w:r w:rsidR="001D7A30" w:rsidRPr="007C50E1">
        <w:rPr>
          <w:rFonts w:cs="Arial"/>
          <w:bCs/>
          <w:bdr w:val="none" w:sz="0" w:space="0" w:color="auto" w:frame="1"/>
          <w:shd w:val="clear" w:color="auto" w:fill="FFFFFF"/>
        </w:rPr>
        <w:t>doi: </w:t>
      </w:r>
      <w:r w:rsidR="001D7A30" w:rsidRPr="007C50E1">
        <w:rPr>
          <w:rFonts w:cs="Arial"/>
          <w:bdr w:val="none" w:sz="0" w:space="0" w:color="auto" w:frame="1"/>
          <w:shd w:val="clear" w:color="auto" w:fill="FFFFFF"/>
        </w:rPr>
        <w:t>10.1002/anie.200906294</w:t>
      </w:r>
      <w:r w:rsidR="001D7A30" w:rsidRPr="007C50E1">
        <w:rPr>
          <w:rFonts w:cs="Arial"/>
          <w:noProof/>
        </w:rPr>
        <w:t xml:space="preserve"> (2010).</w:t>
      </w:r>
    </w:p>
    <w:p w14:paraId="28C50EA7" w14:textId="541AC5C6" w:rsidR="00E253AD" w:rsidRPr="007C50E1" w:rsidRDefault="00E253AD" w:rsidP="007C50E1">
      <w:pPr>
        <w:pStyle w:val="NormalWeb"/>
        <w:spacing w:before="0" w:beforeAutospacing="0" w:after="0" w:afterAutospacing="0"/>
        <w:ind w:left="640" w:hanging="640"/>
        <w:divId w:val="2104758640"/>
        <w:rPr>
          <w:rFonts w:cs="Arial"/>
          <w:noProof/>
        </w:rPr>
      </w:pPr>
      <w:r w:rsidRPr="007C50E1">
        <w:rPr>
          <w:rFonts w:cs="Arial"/>
          <w:noProof/>
        </w:rPr>
        <w:t>8.</w:t>
      </w:r>
      <w:r w:rsidRPr="007C50E1">
        <w:rPr>
          <w:rFonts w:cs="Arial"/>
          <w:noProof/>
        </w:rPr>
        <w:tab/>
      </w:r>
      <w:r w:rsidR="004D7E3C" w:rsidRPr="007C50E1">
        <w:rPr>
          <w:rFonts w:cs="Arial"/>
          <w:noProof/>
        </w:rPr>
        <w:t xml:space="preserve">Zeglis, B. M., </w:t>
      </w:r>
      <w:r w:rsidR="004D7E3C" w:rsidRPr="007C50E1">
        <w:rPr>
          <w:rFonts w:cs="Arial"/>
          <w:i/>
          <w:iCs/>
          <w:noProof/>
        </w:rPr>
        <w:t>et al.</w:t>
      </w:r>
      <w:r w:rsidR="004D7E3C" w:rsidRPr="007C50E1">
        <w:rPr>
          <w:rFonts w:cs="Arial"/>
          <w:noProof/>
        </w:rPr>
        <w:t xml:space="preserve"> Optimization of a Pretargeted Strategy for the PET Imaging of Colorectal Carcinoma via the Modulation of Radioligand Pharmacokinetics. </w:t>
      </w:r>
      <w:r w:rsidR="004D7E3C" w:rsidRPr="007C50E1">
        <w:rPr>
          <w:rFonts w:cs="Arial"/>
          <w:i/>
          <w:iCs/>
          <w:noProof/>
        </w:rPr>
        <w:t>Mol. Pharmaceutics</w:t>
      </w:r>
      <w:r w:rsidR="004D7E3C" w:rsidRPr="007C50E1">
        <w:rPr>
          <w:rFonts w:cs="Arial"/>
          <w:noProof/>
        </w:rPr>
        <w:t xml:space="preserve"> </w:t>
      </w:r>
      <w:r w:rsidR="004D7E3C" w:rsidRPr="007C50E1">
        <w:rPr>
          <w:rFonts w:cs="Arial"/>
          <w:b/>
          <w:bCs/>
          <w:noProof/>
        </w:rPr>
        <w:t>12</w:t>
      </w:r>
      <w:r w:rsidR="004D7E3C" w:rsidRPr="007C50E1">
        <w:rPr>
          <w:rFonts w:cs="Arial"/>
          <w:noProof/>
        </w:rPr>
        <w:t xml:space="preserve"> (10), 3575–3587, </w:t>
      </w:r>
      <w:r w:rsidR="004D7E3C" w:rsidRPr="007C50E1">
        <w:rPr>
          <w:rFonts w:cs="Arial"/>
          <w:bCs/>
          <w:shd w:val="clear" w:color="auto" w:fill="FFFFFF"/>
        </w:rPr>
        <w:t>doi: </w:t>
      </w:r>
      <w:r w:rsidR="004D7E3C" w:rsidRPr="007C50E1">
        <w:rPr>
          <w:rFonts w:cs="Arial"/>
          <w:shd w:val="clear" w:color="auto" w:fill="FFFFFF"/>
        </w:rPr>
        <w:t>10.1021/acs.molpharmaceut.5b00294</w:t>
      </w:r>
      <w:r w:rsidR="004D7E3C" w:rsidRPr="007C50E1">
        <w:rPr>
          <w:rFonts w:cs="Arial"/>
          <w:noProof/>
        </w:rPr>
        <w:t xml:space="preserve"> (2015).</w:t>
      </w:r>
    </w:p>
    <w:p w14:paraId="2ACFF54F" w14:textId="0FACC25E" w:rsidR="00E253AD" w:rsidRPr="007C50E1" w:rsidRDefault="00E253AD" w:rsidP="007C50E1">
      <w:pPr>
        <w:pStyle w:val="NormalWeb"/>
        <w:spacing w:before="0" w:beforeAutospacing="0" w:after="0" w:afterAutospacing="0"/>
        <w:ind w:left="640" w:hanging="640"/>
        <w:divId w:val="2104758640"/>
        <w:rPr>
          <w:rFonts w:cs="Arial"/>
          <w:noProof/>
        </w:rPr>
      </w:pPr>
      <w:r w:rsidRPr="007C50E1">
        <w:rPr>
          <w:rFonts w:cs="Arial"/>
          <w:noProof/>
        </w:rPr>
        <w:t>9.</w:t>
      </w:r>
      <w:r w:rsidRPr="007C50E1">
        <w:rPr>
          <w:rFonts w:cs="Arial"/>
          <w:noProof/>
        </w:rPr>
        <w:tab/>
      </w:r>
      <w:r w:rsidR="004D7E3C" w:rsidRPr="007C50E1">
        <w:rPr>
          <w:rFonts w:cs="Arial"/>
          <w:noProof/>
        </w:rPr>
        <w:t xml:space="preserve">Rossin, R., </w:t>
      </w:r>
      <w:r w:rsidR="004D7E3C" w:rsidRPr="007C50E1">
        <w:rPr>
          <w:rFonts w:cs="Arial"/>
          <w:i/>
          <w:iCs/>
          <w:noProof/>
        </w:rPr>
        <w:t>et al.</w:t>
      </w:r>
      <w:r w:rsidR="004D7E3C" w:rsidRPr="007C50E1">
        <w:rPr>
          <w:rFonts w:cs="Arial"/>
          <w:noProof/>
        </w:rPr>
        <w:t xml:space="preserve"> Highly Reactive trans-Cyclooctene Tags with Improved Stability for Diels-Alder Chemistry in Living Systems. </w:t>
      </w:r>
      <w:r w:rsidR="004D7E3C" w:rsidRPr="007C50E1">
        <w:rPr>
          <w:rFonts w:cs="Arial"/>
          <w:i/>
          <w:iCs/>
          <w:noProof/>
        </w:rPr>
        <w:t>Bioconjugate Chem.</w:t>
      </w:r>
      <w:r w:rsidR="004D7E3C" w:rsidRPr="007C50E1">
        <w:rPr>
          <w:rFonts w:cs="Arial"/>
          <w:noProof/>
        </w:rPr>
        <w:t xml:space="preserve"> </w:t>
      </w:r>
      <w:r w:rsidR="004D7E3C" w:rsidRPr="007C50E1">
        <w:rPr>
          <w:rFonts w:cs="Arial"/>
          <w:b/>
          <w:bCs/>
          <w:noProof/>
        </w:rPr>
        <w:t>24</w:t>
      </w:r>
      <w:r w:rsidR="004D7E3C" w:rsidRPr="007C50E1">
        <w:rPr>
          <w:rFonts w:cs="Arial"/>
          <w:noProof/>
        </w:rPr>
        <w:t xml:space="preserve"> (7), 1210–1217, </w:t>
      </w:r>
      <w:r w:rsidR="004D7E3C" w:rsidRPr="007C50E1">
        <w:rPr>
          <w:rFonts w:cs="Arial"/>
          <w:bCs/>
          <w:shd w:val="clear" w:color="auto" w:fill="FFFFFF"/>
        </w:rPr>
        <w:t>doi: </w:t>
      </w:r>
      <w:r w:rsidR="004D7E3C" w:rsidRPr="007C50E1">
        <w:rPr>
          <w:rFonts w:cs="Arial"/>
          <w:shd w:val="clear" w:color="auto" w:fill="FFFFFF"/>
        </w:rPr>
        <w:t>10.1021/bc400153y</w:t>
      </w:r>
      <w:r w:rsidR="004D7E3C" w:rsidRPr="007C50E1">
        <w:rPr>
          <w:rFonts w:cs="Arial"/>
          <w:noProof/>
        </w:rPr>
        <w:t xml:space="preserve"> (2013).</w:t>
      </w:r>
    </w:p>
    <w:p w14:paraId="0702ACF9" w14:textId="5529F7EA" w:rsidR="00E253AD" w:rsidRPr="007C50E1" w:rsidRDefault="00E253AD" w:rsidP="007C50E1">
      <w:pPr>
        <w:pStyle w:val="NormalWeb"/>
        <w:spacing w:before="0" w:beforeAutospacing="0" w:after="0" w:afterAutospacing="0"/>
        <w:ind w:left="640" w:hanging="640"/>
        <w:divId w:val="2104758640"/>
        <w:rPr>
          <w:rFonts w:cs="Arial"/>
          <w:noProof/>
        </w:rPr>
      </w:pPr>
      <w:r w:rsidRPr="007C50E1">
        <w:rPr>
          <w:rFonts w:cs="Arial"/>
          <w:noProof/>
        </w:rPr>
        <w:t>10.</w:t>
      </w:r>
      <w:r w:rsidRPr="007C50E1">
        <w:rPr>
          <w:rFonts w:cs="Arial"/>
          <w:noProof/>
        </w:rPr>
        <w:tab/>
      </w:r>
      <w:r w:rsidR="004D7E3C" w:rsidRPr="007C50E1">
        <w:rPr>
          <w:rFonts w:cs="Arial"/>
          <w:noProof/>
        </w:rPr>
        <w:t xml:space="preserve">Rossin, R. &amp; Robillard, M. S. Pretargeted Imaging Using Bioorthogonal Chemistry in Mice. </w:t>
      </w:r>
      <w:r w:rsidR="004D7E3C" w:rsidRPr="007C50E1">
        <w:rPr>
          <w:rFonts w:cs="Arial"/>
          <w:i/>
          <w:iCs/>
          <w:noProof/>
        </w:rPr>
        <w:t>Curr. Opin. Chem. Biol.</w:t>
      </w:r>
      <w:r w:rsidR="004D7E3C" w:rsidRPr="007C50E1">
        <w:rPr>
          <w:rFonts w:cs="Arial"/>
          <w:noProof/>
        </w:rPr>
        <w:t xml:space="preserve"> </w:t>
      </w:r>
      <w:r w:rsidR="004D7E3C" w:rsidRPr="007C50E1">
        <w:rPr>
          <w:rFonts w:cs="Arial"/>
          <w:b/>
          <w:bCs/>
          <w:noProof/>
        </w:rPr>
        <w:t>21</w:t>
      </w:r>
      <w:r w:rsidR="004D7E3C" w:rsidRPr="007C50E1">
        <w:rPr>
          <w:rFonts w:cs="Arial"/>
          <w:noProof/>
        </w:rPr>
        <w:t xml:space="preserve">, 161–9, </w:t>
      </w:r>
      <w:r w:rsidR="004D7E3C" w:rsidRPr="007C50E1">
        <w:rPr>
          <w:rFonts w:cs="Arial"/>
          <w:bCs/>
          <w:bdr w:val="none" w:sz="0" w:space="0" w:color="auto" w:frame="1"/>
          <w:shd w:val="clear" w:color="auto" w:fill="FFFFFF"/>
        </w:rPr>
        <w:t>doi:</w:t>
      </w:r>
      <w:r w:rsidR="004D7E3C" w:rsidRPr="007C50E1">
        <w:rPr>
          <w:rFonts w:cs="Arial"/>
          <w:shd w:val="clear" w:color="auto" w:fill="FFFFFF"/>
        </w:rPr>
        <w:t> </w:t>
      </w:r>
      <w:r w:rsidR="004D7E3C" w:rsidRPr="007C50E1">
        <w:rPr>
          <w:rFonts w:cs="Arial"/>
          <w:bdr w:val="none" w:sz="0" w:space="0" w:color="auto" w:frame="1"/>
          <w:shd w:val="clear" w:color="auto" w:fill="FFFFFF"/>
        </w:rPr>
        <w:t>10.1016/j.cbpa.2014.07.023</w:t>
      </w:r>
      <w:r w:rsidR="004D7E3C" w:rsidRPr="007C50E1">
        <w:rPr>
          <w:rFonts w:cs="Arial"/>
          <w:noProof/>
        </w:rPr>
        <w:t xml:space="preserve"> (2014).</w:t>
      </w:r>
    </w:p>
    <w:p w14:paraId="7063C269" w14:textId="3A27EBD3" w:rsidR="009D5783" w:rsidRPr="007C50E1" w:rsidRDefault="00E253AD" w:rsidP="007C50E1">
      <w:pPr>
        <w:pStyle w:val="NormalWeb"/>
        <w:spacing w:before="0" w:beforeAutospacing="0" w:after="0" w:afterAutospacing="0"/>
        <w:ind w:left="640" w:hanging="640"/>
        <w:divId w:val="2104758640"/>
        <w:rPr>
          <w:rFonts w:cs="Arial"/>
          <w:noProof/>
        </w:rPr>
      </w:pPr>
      <w:r w:rsidRPr="007C50E1">
        <w:rPr>
          <w:rFonts w:cs="Arial"/>
          <w:noProof/>
        </w:rPr>
        <w:lastRenderedPageBreak/>
        <w:t>11.</w:t>
      </w:r>
      <w:r w:rsidRPr="007C50E1">
        <w:rPr>
          <w:rFonts w:cs="Arial"/>
          <w:noProof/>
        </w:rPr>
        <w:tab/>
      </w:r>
      <w:r w:rsidR="009D5783" w:rsidRPr="007C50E1">
        <w:rPr>
          <w:rFonts w:cs="Arial"/>
          <w:noProof/>
        </w:rPr>
        <w:t xml:space="preserve">Denk, C., </w:t>
      </w:r>
      <w:r w:rsidR="009D5783" w:rsidRPr="007C50E1">
        <w:rPr>
          <w:rFonts w:cs="Arial"/>
          <w:i/>
          <w:iCs/>
          <w:noProof/>
        </w:rPr>
        <w:t>et al.</w:t>
      </w:r>
      <w:r w:rsidR="009D5783" w:rsidRPr="007C50E1">
        <w:rPr>
          <w:rFonts w:cs="Arial"/>
          <w:noProof/>
        </w:rPr>
        <w:t xml:space="preserve"> Development of a </w:t>
      </w:r>
      <w:r w:rsidR="009D5783" w:rsidRPr="007C50E1">
        <w:rPr>
          <w:rFonts w:cs="Arial"/>
          <w:noProof/>
          <w:vertAlign w:val="superscript"/>
        </w:rPr>
        <w:t>18</w:t>
      </w:r>
      <w:r w:rsidR="009D5783" w:rsidRPr="007C50E1">
        <w:rPr>
          <w:rFonts w:cs="Arial"/>
          <w:noProof/>
        </w:rPr>
        <w:t xml:space="preserve">F-Labeled Tetrazine with Favorable Pharmacokinetics for Bioorthogonal PET Imaging. </w:t>
      </w:r>
      <w:r w:rsidR="009D5783" w:rsidRPr="007C50E1">
        <w:rPr>
          <w:rFonts w:cs="Arial"/>
          <w:i/>
          <w:iCs/>
          <w:noProof/>
        </w:rPr>
        <w:t>Angew. Chem., Int. Ed.</w:t>
      </w:r>
      <w:r w:rsidR="009D5783" w:rsidRPr="007C50E1">
        <w:rPr>
          <w:rFonts w:cs="Arial"/>
          <w:noProof/>
        </w:rPr>
        <w:t xml:space="preserve"> </w:t>
      </w:r>
      <w:r w:rsidR="009D5783" w:rsidRPr="007C50E1">
        <w:rPr>
          <w:rFonts w:cs="Arial"/>
          <w:b/>
          <w:bCs/>
          <w:noProof/>
        </w:rPr>
        <w:t>53</w:t>
      </w:r>
      <w:r w:rsidR="009D5783" w:rsidRPr="007C50E1">
        <w:rPr>
          <w:rFonts w:cs="Arial"/>
          <w:noProof/>
        </w:rPr>
        <w:t xml:space="preserve"> (36), 9655–9, doi:10.1002/anie.201404277 (2014).</w:t>
      </w:r>
    </w:p>
    <w:p w14:paraId="3E263C44" w14:textId="77777777" w:rsidR="009D5783" w:rsidRPr="007C50E1" w:rsidRDefault="009D5783" w:rsidP="007C50E1">
      <w:pPr>
        <w:pStyle w:val="NormalWeb"/>
        <w:spacing w:before="0" w:beforeAutospacing="0" w:after="0" w:afterAutospacing="0"/>
        <w:ind w:left="640" w:hanging="640"/>
        <w:divId w:val="2104758640"/>
        <w:rPr>
          <w:rFonts w:cs="Arial"/>
          <w:noProof/>
        </w:rPr>
      </w:pPr>
      <w:r w:rsidRPr="007C50E1">
        <w:rPr>
          <w:rFonts w:cs="Arial"/>
          <w:noProof/>
        </w:rPr>
        <w:t>12.</w:t>
      </w:r>
      <w:r w:rsidRPr="007C50E1">
        <w:rPr>
          <w:rFonts w:cs="Arial"/>
          <w:noProof/>
        </w:rPr>
        <w:tab/>
        <w:t xml:space="preserve">Herth, M. M., Andersen, V. L., Lehel, S., Madsen, J., Knudsen, G. M. &amp; Kristensen, J. L. Development of a </w:t>
      </w:r>
      <w:r w:rsidRPr="007C50E1">
        <w:rPr>
          <w:rFonts w:cs="Arial"/>
          <w:noProof/>
          <w:vertAlign w:val="superscript"/>
        </w:rPr>
        <w:t>11</w:t>
      </w:r>
      <w:r w:rsidRPr="007C50E1">
        <w:rPr>
          <w:rFonts w:cs="Arial"/>
          <w:noProof/>
        </w:rPr>
        <w:t xml:space="preserve">C-labeled Tetrazine for Rapid Tetrazine-Trans-Cyclooctene Ligation. </w:t>
      </w:r>
      <w:r w:rsidRPr="007C50E1">
        <w:rPr>
          <w:rFonts w:cs="Arial"/>
          <w:i/>
          <w:iCs/>
          <w:noProof/>
        </w:rPr>
        <w:t>Chem. Commun.</w:t>
      </w:r>
      <w:r w:rsidRPr="007C50E1">
        <w:rPr>
          <w:rFonts w:cs="Arial"/>
          <w:noProof/>
        </w:rPr>
        <w:t xml:space="preserve"> </w:t>
      </w:r>
      <w:r w:rsidRPr="007C50E1">
        <w:rPr>
          <w:rFonts w:cs="Arial"/>
          <w:b/>
          <w:bCs/>
          <w:noProof/>
        </w:rPr>
        <w:t>49</w:t>
      </w:r>
      <w:r w:rsidRPr="007C50E1">
        <w:rPr>
          <w:rFonts w:cs="Arial"/>
          <w:noProof/>
        </w:rPr>
        <w:t xml:space="preserve"> (36), 3805–7, doi:10.1039/C3CC41027G (2013).</w:t>
      </w:r>
    </w:p>
    <w:p w14:paraId="5BE2DBF0" w14:textId="77777777" w:rsidR="009D5783" w:rsidRPr="007C50E1" w:rsidRDefault="009D5783" w:rsidP="007C50E1">
      <w:pPr>
        <w:pStyle w:val="NormalWeb"/>
        <w:spacing w:before="0" w:beforeAutospacing="0" w:after="0" w:afterAutospacing="0"/>
        <w:ind w:left="640" w:hanging="640"/>
        <w:divId w:val="2104758640"/>
        <w:rPr>
          <w:rFonts w:cs="Arial"/>
          <w:noProof/>
        </w:rPr>
      </w:pPr>
      <w:r w:rsidRPr="007C50E1">
        <w:rPr>
          <w:rFonts w:cs="Arial"/>
          <w:noProof/>
        </w:rPr>
        <w:t>13.</w:t>
      </w:r>
      <w:r w:rsidRPr="007C50E1">
        <w:rPr>
          <w:rFonts w:cs="Arial"/>
          <w:noProof/>
        </w:rPr>
        <w:tab/>
        <w:t xml:space="preserve">Li, Z., </w:t>
      </w:r>
      <w:r w:rsidRPr="007C50E1">
        <w:rPr>
          <w:rFonts w:cs="Arial"/>
          <w:i/>
          <w:iCs/>
          <w:noProof/>
        </w:rPr>
        <w:t>et al.</w:t>
      </w:r>
      <w:r w:rsidRPr="007C50E1">
        <w:rPr>
          <w:rFonts w:cs="Arial"/>
          <w:noProof/>
        </w:rPr>
        <w:t xml:space="preserve"> Tetrazine–Trans-Cyclooctene Ligation for the Rapid Construction of </w:t>
      </w:r>
      <w:r w:rsidRPr="007C50E1">
        <w:rPr>
          <w:rFonts w:cs="Arial"/>
          <w:noProof/>
          <w:vertAlign w:val="superscript"/>
        </w:rPr>
        <w:t>18</w:t>
      </w:r>
      <w:r w:rsidRPr="007C50E1">
        <w:rPr>
          <w:rFonts w:cs="Arial"/>
          <w:noProof/>
        </w:rPr>
        <w:t xml:space="preserve">F Labeled Probes. </w:t>
      </w:r>
      <w:r w:rsidRPr="007C50E1">
        <w:rPr>
          <w:rFonts w:cs="Arial"/>
          <w:i/>
          <w:iCs/>
          <w:noProof/>
        </w:rPr>
        <w:t>Chem. Commun.</w:t>
      </w:r>
      <w:r w:rsidRPr="007C50E1">
        <w:rPr>
          <w:rFonts w:cs="Arial"/>
          <w:noProof/>
        </w:rPr>
        <w:t xml:space="preserve"> </w:t>
      </w:r>
      <w:r w:rsidRPr="007C50E1">
        <w:rPr>
          <w:rFonts w:cs="Arial"/>
          <w:b/>
          <w:bCs/>
          <w:noProof/>
        </w:rPr>
        <w:t>46</w:t>
      </w:r>
      <w:r w:rsidRPr="007C50E1">
        <w:rPr>
          <w:rFonts w:cs="Arial"/>
          <w:noProof/>
        </w:rPr>
        <w:t xml:space="preserve"> (42), 8043, doi:10.1039/C0CC03078C (2010).</w:t>
      </w:r>
    </w:p>
    <w:p w14:paraId="291C5ADC" w14:textId="2ADEEA13" w:rsidR="009D5783" w:rsidRPr="007C50E1" w:rsidRDefault="009D5783" w:rsidP="007C50E1">
      <w:pPr>
        <w:pStyle w:val="NormalWeb"/>
        <w:spacing w:before="0" w:beforeAutospacing="0" w:after="0" w:afterAutospacing="0"/>
        <w:ind w:left="640" w:hanging="640"/>
        <w:divId w:val="2104758640"/>
        <w:rPr>
          <w:rFonts w:cs="Arial"/>
          <w:noProof/>
        </w:rPr>
      </w:pPr>
      <w:r w:rsidRPr="007C50E1">
        <w:rPr>
          <w:rFonts w:cs="Arial"/>
          <w:noProof/>
        </w:rPr>
        <w:t>14.</w:t>
      </w:r>
      <w:r w:rsidRPr="007C50E1">
        <w:rPr>
          <w:rFonts w:cs="Arial"/>
          <w:noProof/>
        </w:rPr>
        <w:tab/>
        <w:t xml:space="preserve">Nichols, B., Qin, Z., Yang, J., Vera, D. R. &amp; Devaraj, N. K. </w:t>
      </w:r>
      <w:r w:rsidRPr="007C50E1">
        <w:rPr>
          <w:rFonts w:cs="Arial"/>
          <w:noProof/>
          <w:vertAlign w:val="superscript"/>
        </w:rPr>
        <w:t>68</w:t>
      </w:r>
      <w:r w:rsidRPr="007C50E1">
        <w:rPr>
          <w:rFonts w:cs="Arial"/>
          <w:noProof/>
        </w:rPr>
        <w:t xml:space="preserve">Ga Chelating Bioorthogonal Tetrazine Polymers for the Multistep Labeling of Cancer Biomarkers. </w:t>
      </w:r>
      <w:r w:rsidRPr="007C50E1">
        <w:rPr>
          <w:rFonts w:cs="Arial"/>
          <w:i/>
          <w:iCs/>
          <w:noProof/>
        </w:rPr>
        <w:t>Chem. Commun.</w:t>
      </w:r>
      <w:r w:rsidRPr="007C50E1">
        <w:rPr>
          <w:rFonts w:cs="Arial"/>
          <w:noProof/>
        </w:rPr>
        <w:t xml:space="preserve"> </w:t>
      </w:r>
      <w:r w:rsidRPr="007C50E1">
        <w:rPr>
          <w:rFonts w:cs="Arial"/>
          <w:b/>
          <w:bCs/>
          <w:noProof/>
        </w:rPr>
        <w:t>50</w:t>
      </w:r>
      <w:r w:rsidR="00D95265">
        <w:rPr>
          <w:rFonts w:cs="Arial"/>
          <w:noProof/>
        </w:rPr>
        <w:t xml:space="preserve"> </w:t>
      </w:r>
      <w:r w:rsidRPr="007C50E1">
        <w:rPr>
          <w:rFonts w:cs="Arial"/>
          <w:noProof/>
        </w:rPr>
        <w:t>(40), 5215–7, doi:10.1039/C3CC49530B (2014).</w:t>
      </w:r>
    </w:p>
    <w:p w14:paraId="4AA9B878" w14:textId="285A8A02" w:rsidR="00E253AD" w:rsidRPr="007C50E1" w:rsidRDefault="009D5783" w:rsidP="007C50E1">
      <w:pPr>
        <w:pStyle w:val="NormalWeb"/>
        <w:spacing w:before="0" w:beforeAutospacing="0" w:after="0" w:afterAutospacing="0"/>
        <w:ind w:left="640" w:hanging="640"/>
        <w:divId w:val="2104758640"/>
        <w:rPr>
          <w:rFonts w:cs="Arial"/>
          <w:noProof/>
        </w:rPr>
      </w:pPr>
      <w:r w:rsidRPr="007C50E1">
        <w:rPr>
          <w:rFonts w:cs="Arial"/>
          <w:noProof/>
        </w:rPr>
        <w:t>15.</w:t>
      </w:r>
      <w:r w:rsidRPr="007C50E1">
        <w:rPr>
          <w:rFonts w:cs="Arial"/>
          <w:noProof/>
        </w:rPr>
        <w:tab/>
        <w:t xml:space="preserve">Zeglis, B. M., </w:t>
      </w:r>
      <w:r w:rsidRPr="007C50E1">
        <w:rPr>
          <w:rFonts w:cs="Arial"/>
          <w:i/>
          <w:iCs/>
          <w:noProof/>
        </w:rPr>
        <w:t>et al.</w:t>
      </w:r>
      <w:r w:rsidRPr="007C50E1">
        <w:rPr>
          <w:rFonts w:cs="Arial"/>
          <w:noProof/>
        </w:rPr>
        <w:t xml:space="preserve"> A Pretargeted PET Imaging Strategy Based on Bioorthogonal Diels-Alder Click Chemistry. </w:t>
      </w:r>
      <w:r w:rsidRPr="007C50E1">
        <w:rPr>
          <w:rFonts w:cs="Arial"/>
          <w:i/>
          <w:iCs/>
          <w:noProof/>
        </w:rPr>
        <w:t>J. Nucl. Med.</w:t>
      </w:r>
      <w:r w:rsidRPr="007C50E1">
        <w:rPr>
          <w:rFonts w:cs="Arial"/>
          <w:noProof/>
        </w:rPr>
        <w:t xml:space="preserve"> </w:t>
      </w:r>
      <w:r w:rsidRPr="007C50E1">
        <w:rPr>
          <w:rFonts w:cs="Arial"/>
          <w:b/>
          <w:bCs/>
          <w:noProof/>
        </w:rPr>
        <w:t>54</w:t>
      </w:r>
      <w:r w:rsidRPr="007C50E1">
        <w:rPr>
          <w:rFonts w:cs="Arial"/>
          <w:noProof/>
        </w:rPr>
        <w:t xml:space="preserve"> (8), 1389–1396, doi:10.2967/jnumed.112.115840 (2013).</w:t>
      </w:r>
    </w:p>
    <w:p w14:paraId="6C16B54C" w14:textId="33756BB3" w:rsidR="00E253AD" w:rsidRPr="007C50E1" w:rsidRDefault="00E253AD" w:rsidP="007C50E1">
      <w:pPr>
        <w:pStyle w:val="NormalWeb"/>
        <w:spacing w:before="0" w:beforeAutospacing="0" w:after="0" w:afterAutospacing="0"/>
        <w:ind w:left="640" w:hanging="640"/>
        <w:divId w:val="2104758640"/>
        <w:rPr>
          <w:rFonts w:cs="Arial"/>
          <w:noProof/>
        </w:rPr>
      </w:pPr>
      <w:r w:rsidRPr="007C50E1">
        <w:rPr>
          <w:rFonts w:cs="Arial"/>
          <w:noProof/>
        </w:rPr>
        <w:t>16.</w:t>
      </w:r>
      <w:r w:rsidRPr="007C50E1">
        <w:rPr>
          <w:rFonts w:cs="Arial"/>
          <w:noProof/>
        </w:rPr>
        <w:tab/>
      </w:r>
      <w:r w:rsidR="00842212" w:rsidRPr="007C50E1">
        <w:rPr>
          <w:rFonts w:cs="Arial"/>
          <w:noProof/>
        </w:rPr>
        <w:t xml:space="preserve">García, M. F., </w:t>
      </w:r>
      <w:r w:rsidR="00842212" w:rsidRPr="007C50E1">
        <w:rPr>
          <w:rFonts w:cs="Arial"/>
          <w:i/>
          <w:iCs/>
          <w:noProof/>
        </w:rPr>
        <w:t>et al.</w:t>
      </w:r>
      <w:r w:rsidR="00842212" w:rsidRPr="007C50E1">
        <w:rPr>
          <w:rFonts w:cs="Arial"/>
          <w:noProof/>
        </w:rPr>
        <w:t xml:space="preserve"> </w:t>
      </w:r>
      <w:r w:rsidR="00842212" w:rsidRPr="007C50E1">
        <w:rPr>
          <w:rFonts w:cs="Arial"/>
          <w:noProof/>
          <w:vertAlign w:val="superscript"/>
        </w:rPr>
        <w:t>99m</w:t>
      </w:r>
      <w:r w:rsidR="00842212" w:rsidRPr="007C50E1">
        <w:rPr>
          <w:rFonts w:cs="Arial"/>
          <w:noProof/>
        </w:rPr>
        <w:t xml:space="preserve">Tc-Bioorthogonal Click Chemistry Reagent for In Vivo Pretargeted Imaging. </w:t>
      </w:r>
      <w:r w:rsidR="00842212" w:rsidRPr="007C50E1">
        <w:rPr>
          <w:rFonts w:cs="Arial"/>
          <w:i/>
          <w:iCs/>
          <w:noProof/>
        </w:rPr>
        <w:t>Bioorg. Med. Chem.</w:t>
      </w:r>
      <w:r w:rsidR="00842212" w:rsidRPr="007C50E1">
        <w:rPr>
          <w:rFonts w:cs="Arial"/>
          <w:iCs/>
          <w:noProof/>
        </w:rPr>
        <w:t xml:space="preserve"> </w:t>
      </w:r>
      <w:r w:rsidR="00842212" w:rsidRPr="007C50E1">
        <w:rPr>
          <w:rFonts w:cs="Arial"/>
          <w:b/>
          <w:iCs/>
          <w:noProof/>
        </w:rPr>
        <w:t>24</w:t>
      </w:r>
      <w:r w:rsidR="00842212" w:rsidRPr="007C50E1">
        <w:rPr>
          <w:rFonts w:cs="Arial"/>
          <w:iCs/>
          <w:noProof/>
        </w:rPr>
        <w:t xml:space="preserve"> (6), 1209-1215,</w:t>
      </w:r>
      <w:r w:rsidR="00842212" w:rsidRPr="007C50E1">
        <w:rPr>
          <w:rFonts w:cs="Arial"/>
          <w:noProof/>
        </w:rPr>
        <w:t xml:space="preserve"> doi:10.1016/j.bmc.2016.01.046 (2016).</w:t>
      </w:r>
    </w:p>
    <w:p w14:paraId="5B133921" w14:textId="77777777" w:rsidR="00842212" w:rsidRPr="007C50E1" w:rsidRDefault="00E253AD" w:rsidP="007C50E1">
      <w:pPr>
        <w:pStyle w:val="NormalWeb"/>
        <w:spacing w:before="0" w:beforeAutospacing="0" w:after="0" w:afterAutospacing="0"/>
        <w:ind w:left="640" w:hanging="640"/>
        <w:divId w:val="2104758640"/>
        <w:rPr>
          <w:rFonts w:cs="Arial"/>
          <w:noProof/>
        </w:rPr>
      </w:pPr>
      <w:r w:rsidRPr="007C50E1">
        <w:rPr>
          <w:rFonts w:cs="Arial"/>
          <w:noProof/>
        </w:rPr>
        <w:t>17.</w:t>
      </w:r>
      <w:r w:rsidRPr="007C50E1">
        <w:rPr>
          <w:rFonts w:cs="Arial"/>
          <w:noProof/>
        </w:rPr>
        <w:tab/>
      </w:r>
      <w:r w:rsidR="00842212" w:rsidRPr="007C50E1">
        <w:rPr>
          <w:rFonts w:cs="Arial"/>
          <w:noProof/>
        </w:rPr>
        <w:t xml:space="preserve">Russell, R. G. G. Bisphosphonates: The First 40 Years. </w:t>
      </w:r>
      <w:r w:rsidR="00842212" w:rsidRPr="007C50E1">
        <w:rPr>
          <w:rFonts w:cs="Arial"/>
          <w:i/>
          <w:iCs/>
          <w:noProof/>
        </w:rPr>
        <w:t>Bone,</w:t>
      </w:r>
      <w:r w:rsidR="00842212" w:rsidRPr="007C50E1">
        <w:rPr>
          <w:rFonts w:cs="Arial"/>
          <w:noProof/>
        </w:rPr>
        <w:t xml:space="preserve"> </w:t>
      </w:r>
      <w:r w:rsidR="00842212" w:rsidRPr="007C50E1">
        <w:rPr>
          <w:rFonts w:cs="Arial"/>
          <w:b/>
          <w:bCs/>
          <w:noProof/>
        </w:rPr>
        <w:t>49</w:t>
      </w:r>
      <w:r w:rsidR="00842212" w:rsidRPr="007C50E1">
        <w:rPr>
          <w:rFonts w:cs="Arial"/>
          <w:noProof/>
        </w:rPr>
        <w:t xml:space="preserve"> (1), 2–19, </w:t>
      </w:r>
      <w:r w:rsidR="00842212" w:rsidRPr="007C50E1">
        <w:rPr>
          <w:rFonts w:cs="Arial"/>
          <w:shd w:val="clear" w:color="auto" w:fill="FFFFFF"/>
        </w:rPr>
        <w:t>doi: 10.1016/j.bone.2011.04.022</w:t>
      </w:r>
      <w:r w:rsidR="00842212" w:rsidRPr="007C50E1">
        <w:rPr>
          <w:rFonts w:cs="Arial"/>
          <w:noProof/>
        </w:rPr>
        <w:t xml:space="preserve"> (2011).</w:t>
      </w:r>
    </w:p>
    <w:p w14:paraId="3D601A9F" w14:textId="0CF79329" w:rsidR="00E253AD" w:rsidRPr="007C50E1" w:rsidRDefault="00E253AD" w:rsidP="007C50E1">
      <w:pPr>
        <w:pStyle w:val="NormalWeb"/>
        <w:spacing w:before="0" w:beforeAutospacing="0" w:after="0" w:afterAutospacing="0"/>
        <w:ind w:left="640" w:hanging="640"/>
        <w:divId w:val="2104758640"/>
        <w:rPr>
          <w:rFonts w:cs="Arial"/>
          <w:noProof/>
        </w:rPr>
      </w:pPr>
      <w:r w:rsidRPr="007C50E1">
        <w:rPr>
          <w:rFonts w:cs="Arial"/>
          <w:noProof/>
        </w:rPr>
        <w:t>18.</w:t>
      </w:r>
      <w:r w:rsidRPr="007C50E1">
        <w:rPr>
          <w:rFonts w:cs="Arial"/>
          <w:noProof/>
        </w:rPr>
        <w:tab/>
      </w:r>
      <w:r w:rsidR="00842212" w:rsidRPr="007C50E1">
        <w:rPr>
          <w:rFonts w:cs="Arial"/>
          <w:noProof/>
        </w:rPr>
        <w:t xml:space="preserve">Yazdani, A., </w:t>
      </w:r>
      <w:r w:rsidR="00842212" w:rsidRPr="007C50E1">
        <w:rPr>
          <w:rFonts w:cs="Arial"/>
          <w:i/>
          <w:noProof/>
        </w:rPr>
        <w:t>et al.</w:t>
      </w:r>
      <w:r w:rsidR="00842212" w:rsidRPr="007C50E1">
        <w:rPr>
          <w:rFonts w:cs="Arial"/>
          <w:noProof/>
        </w:rPr>
        <w:t xml:space="preserve"> A Bone-Seeking Trans-Cyclooctene for Pretargeting and Bioorthogonal Chemistry: A Proof of Concept Study Using </w:t>
      </w:r>
      <w:r w:rsidR="00842212" w:rsidRPr="007C50E1">
        <w:rPr>
          <w:rFonts w:cs="Arial"/>
          <w:noProof/>
          <w:vertAlign w:val="superscript"/>
        </w:rPr>
        <w:t>99m</w:t>
      </w:r>
      <w:r w:rsidR="00842212" w:rsidRPr="007C50E1">
        <w:rPr>
          <w:rFonts w:cs="Arial"/>
          <w:noProof/>
        </w:rPr>
        <w:t xml:space="preserve">Tc and </w:t>
      </w:r>
      <w:r w:rsidR="00842212" w:rsidRPr="007C50E1">
        <w:rPr>
          <w:rFonts w:cs="Arial"/>
          <w:noProof/>
          <w:vertAlign w:val="superscript"/>
        </w:rPr>
        <w:t>177</w:t>
      </w:r>
      <w:r w:rsidR="00842212" w:rsidRPr="007C50E1">
        <w:rPr>
          <w:rFonts w:cs="Arial"/>
          <w:noProof/>
        </w:rPr>
        <w:t xml:space="preserve">Lu-Labeled Tetrazines. </w:t>
      </w:r>
      <w:r w:rsidR="00842212" w:rsidRPr="007C50E1">
        <w:rPr>
          <w:rFonts w:cs="Arial"/>
          <w:i/>
          <w:iCs/>
          <w:noProof/>
        </w:rPr>
        <w:t>J. Med. Chem. (submitted),</w:t>
      </w:r>
      <w:r w:rsidR="00842212" w:rsidRPr="007C50E1">
        <w:rPr>
          <w:rFonts w:cs="Arial"/>
          <w:noProof/>
        </w:rPr>
        <w:t xml:space="preserve"> (2016).</w:t>
      </w:r>
    </w:p>
    <w:p w14:paraId="2AEA1BEE" w14:textId="3859185B" w:rsidR="00E253AD" w:rsidRPr="007C50E1" w:rsidRDefault="00E253AD" w:rsidP="007C50E1">
      <w:pPr>
        <w:pStyle w:val="NormalWeb"/>
        <w:spacing w:before="0" w:beforeAutospacing="0" w:after="0" w:afterAutospacing="0"/>
        <w:ind w:left="640" w:hanging="640"/>
        <w:divId w:val="2104758640"/>
        <w:rPr>
          <w:rFonts w:cs="Arial"/>
          <w:noProof/>
        </w:rPr>
      </w:pPr>
      <w:r w:rsidRPr="007C50E1">
        <w:rPr>
          <w:rFonts w:cs="Arial"/>
          <w:noProof/>
        </w:rPr>
        <w:t>19.</w:t>
      </w:r>
      <w:r w:rsidRPr="007C50E1">
        <w:rPr>
          <w:rFonts w:cs="Arial"/>
          <w:noProof/>
        </w:rPr>
        <w:tab/>
      </w:r>
      <w:r w:rsidR="00842212" w:rsidRPr="007C50E1">
        <w:rPr>
          <w:rFonts w:cs="Arial"/>
          <w:noProof/>
        </w:rPr>
        <w:t>Alberto, R</w:t>
      </w:r>
      <w:r w:rsidR="00D95265" w:rsidRPr="007C50E1">
        <w:rPr>
          <w:rFonts w:cs="Arial"/>
          <w:noProof/>
        </w:rPr>
        <w:t xml:space="preserve">., </w:t>
      </w:r>
      <w:r w:rsidR="00D95265" w:rsidRPr="007C50E1">
        <w:rPr>
          <w:rFonts w:cs="Arial"/>
          <w:i/>
          <w:iCs/>
          <w:noProof/>
        </w:rPr>
        <w:t>et al.</w:t>
      </w:r>
      <w:r w:rsidR="00D95265" w:rsidRPr="007C50E1">
        <w:rPr>
          <w:rFonts w:cs="Arial"/>
          <w:noProof/>
        </w:rPr>
        <w:t xml:space="preserve"> </w:t>
      </w:r>
      <w:r w:rsidR="00842212" w:rsidRPr="007C50E1">
        <w:rPr>
          <w:rFonts w:cs="Arial"/>
          <w:noProof/>
        </w:rPr>
        <w:t>A Novel Organometallic Aqua Complex of Technetium for the Labeling of Biomolecules: Synthesis of [</w:t>
      </w:r>
      <w:r w:rsidR="00842212" w:rsidRPr="007C50E1">
        <w:rPr>
          <w:rFonts w:cs="Arial"/>
          <w:noProof/>
          <w:vertAlign w:val="superscript"/>
        </w:rPr>
        <w:t>99m</w:t>
      </w:r>
      <w:r w:rsidR="00842212" w:rsidRPr="007C50E1">
        <w:rPr>
          <w:rFonts w:cs="Arial"/>
          <w:noProof/>
        </w:rPr>
        <w:t>Tc(OH</w:t>
      </w:r>
      <w:r w:rsidR="00842212" w:rsidRPr="007C50E1">
        <w:rPr>
          <w:rFonts w:cs="Arial"/>
          <w:noProof/>
          <w:vertAlign w:val="subscript"/>
        </w:rPr>
        <w:t>2</w:t>
      </w:r>
      <w:r w:rsidR="00842212" w:rsidRPr="007C50E1">
        <w:rPr>
          <w:rFonts w:cs="Arial"/>
          <w:noProof/>
        </w:rPr>
        <w:t>)</w:t>
      </w:r>
      <w:r w:rsidR="00842212" w:rsidRPr="007C50E1">
        <w:rPr>
          <w:rFonts w:cs="Arial"/>
          <w:noProof/>
          <w:vertAlign w:val="subscript"/>
        </w:rPr>
        <w:t>3</w:t>
      </w:r>
      <w:r w:rsidR="00842212" w:rsidRPr="007C50E1">
        <w:rPr>
          <w:rFonts w:cs="Arial"/>
          <w:noProof/>
        </w:rPr>
        <w:t>(CO)</w:t>
      </w:r>
      <w:r w:rsidR="00842212" w:rsidRPr="007C50E1">
        <w:rPr>
          <w:rFonts w:cs="Arial"/>
          <w:noProof/>
          <w:vertAlign w:val="subscript"/>
        </w:rPr>
        <w:t>3</w:t>
      </w:r>
      <w:r w:rsidR="00842212" w:rsidRPr="007C50E1">
        <w:rPr>
          <w:rFonts w:cs="Arial"/>
          <w:noProof/>
        </w:rPr>
        <w:t>]</w:t>
      </w:r>
      <w:r w:rsidR="00842212" w:rsidRPr="007C50E1">
        <w:rPr>
          <w:rFonts w:cs="Arial"/>
          <w:noProof/>
          <w:vertAlign w:val="superscript"/>
        </w:rPr>
        <w:t>+</w:t>
      </w:r>
      <w:r w:rsidR="00842212" w:rsidRPr="007C50E1">
        <w:rPr>
          <w:rFonts w:cs="Arial"/>
          <w:noProof/>
        </w:rPr>
        <w:t xml:space="preserve"> from [</w:t>
      </w:r>
      <w:r w:rsidR="00842212" w:rsidRPr="007C50E1">
        <w:rPr>
          <w:rFonts w:cs="Arial"/>
          <w:noProof/>
          <w:vertAlign w:val="superscript"/>
        </w:rPr>
        <w:t>99m</w:t>
      </w:r>
      <w:r w:rsidR="00842212" w:rsidRPr="007C50E1">
        <w:rPr>
          <w:rFonts w:cs="Arial"/>
          <w:noProof/>
        </w:rPr>
        <w:t>TcO</w:t>
      </w:r>
      <w:r w:rsidR="00842212" w:rsidRPr="007C50E1">
        <w:rPr>
          <w:rFonts w:cs="Arial"/>
          <w:noProof/>
          <w:vertAlign w:val="subscript"/>
        </w:rPr>
        <w:t>4</w:t>
      </w:r>
      <w:r w:rsidR="00842212" w:rsidRPr="007C50E1">
        <w:rPr>
          <w:rFonts w:cs="Arial"/>
          <w:noProof/>
        </w:rPr>
        <w:t>]</w:t>
      </w:r>
      <w:r w:rsidR="00842212" w:rsidRPr="007C50E1">
        <w:rPr>
          <w:rFonts w:cs="Arial"/>
          <w:noProof/>
          <w:vertAlign w:val="superscript"/>
        </w:rPr>
        <w:t>-</w:t>
      </w:r>
      <w:r w:rsidR="00842212" w:rsidRPr="007C50E1">
        <w:rPr>
          <w:rFonts w:cs="Arial"/>
          <w:noProof/>
        </w:rPr>
        <w:t xml:space="preserve"> in Aqueous Solution and its Reaction with a Bifunctional Ligand. </w:t>
      </w:r>
      <w:r w:rsidR="00842212" w:rsidRPr="007C50E1">
        <w:rPr>
          <w:rFonts w:cs="Arial"/>
          <w:i/>
          <w:iCs/>
          <w:noProof/>
        </w:rPr>
        <w:t>J. Am. Chem. Soc.</w:t>
      </w:r>
      <w:r w:rsidR="00842212" w:rsidRPr="007C50E1">
        <w:rPr>
          <w:rFonts w:cs="Arial"/>
          <w:noProof/>
        </w:rPr>
        <w:t xml:space="preserve"> </w:t>
      </w:r>
      <w:r w:rsidR="00842212" w:rsidRPr="007C50E1">
        <w:rPr>
          <w:rFonts w:cs="Arial"/>
          <w:b/>
          <w:bCs/>
          <w:noProof/>
        </w:rPr>
        <w:t>120</w:t>
      </w:r>
      <w:r w:rsidR="00842212" w:rsidRPr="007C50E1">
        <w:rPr>
          <w:rFonts w:cs="Arial"/>
          <w:noProof/>
        </w:rPr>
        <w:t xml:space="preserve"> (31), 7987–7988, </w:t>
      </w:r>
      <w:r w:rsidR="00842212" w:rsidRPr="007C50E1">
        <w:rPr>
          <w:rFonts w:cs="Arial"/>
          <w:bCs/>
          <w:shd w:val="clear" w:color="auto" w:fill="FFFFFF"/>
        </w:rPr>
        <w:t>doi: </w:t>
      </w:r>
      <w:r w:rsidR="00842212" w:rsidRPr="007C50E1">
        <w:rPr>
          <w:rFonts w:cs="Arial"/>
          <w:shd w:val="clear" w:color="auto" w:fill="FFFFFF"/>
        </w:rPr>
        <w:t>10.1021/ja980745t</w:t>
      </w:r>
      <w:r w:rsidR="00842212" w:rsidRPr="007C50E1">
        <w:rPr>
          <w:rFonts w:cs="Arial"/>
          <w:noProof/>
        </w:rPr>
        <w:t xml:space="preserve"> (1998).</w:t>
      </w:r>
    </w:p>
    <w:p w14:paraId="723E4EF4" w14:textId="6EB90117" w:rsidR="00E253AD" w:rsidRPr="007C50E1" w:rsidRDefault="00E253AD" w:rsidP="007C50E1">
      <w:pPr>
        <w:pStyle w:val="NormalWeb"/>
        <w:spacing w:before="0" w:beforeAutospacing="0" w:after="0" w:afterAutospacing="0"/>
        <w:ind w:left="640" w:hanging="640"/>
        <w:divId w:val="2104758640"/>
        <w:rPr>
          <w:rFonts w:cs="Arial"/>
          <w:noProof/>
        </w:rPr>
      </w:pPr>
      <w:r w:rsidRPr="007C50E1">
        <w:rPr>
          <w:rFonts w:cs="Arial"/>
          <w:noProof/>
        </w:rPr>
        <w:t>20.</w:t>
      </w:r>
      <w:r w:rsidRPr="007C50E1">
        <w:rPr>
          <w:rFonts w:cs="Arial"/>
          <w:noProof/>
        </w:rPr>
        <w:tab/>
        <w:t xml:space="preserve">Alberto, R., Ortner, K., Wheatley, N., Schibli, R. &amp; Schubiger, </w:t>
      </w:r>
      <w:r w:rsidR="009D5783" w:rsidRPr="007C50E1">
        <w:rPr>
          <w:rFonts w:cs="Arial"/>
          <w:noProof/>
        </w:rPr>
        <w:t>A</w:t>
      </w:r>
      <w:r w:rsidRPr="007C50E1">
        <w:rPr>
          <w:rFonts w:cs="Arial"/>
          <w:noProof/>
        </w:rPr>
        <w:t xml:space="preserve">. P. Synthesis and properties of boranocarbonate: A convenient in situ CO source for the aqueous preparation of [99mTc(OH2)3(CO)3]+. </w:t>
      </w:r>
      <w:r w:rsidRPr="007C50E1">
        <w:rPr>
          <w:rFonts w:cs="Arial"/>
          <w:i/>
          <w:iCs/>
          <w:noProof/>
        </w:rPr>
        <w:t>J</w:t>
      </w:r>
      <w:r w:rsidR="0060463E" w:rsidRPr="007C50E1">
        <w:rPr>
          <w:rFonts w:cs="Arial"/>
          <w:i/>
          <w:iCs/>
          <w:noProof/>
        </w:rPr>
        <w:t>. Am. Chem. Soc.</w:t>
      </w:r>
      <w:r w:rsidRPr="007C50E1">
        <w:rPr>
          <w:rFonts w:cs="Arial"/>
          <w:noProof/>
        </w:rPr>
        <w:t xml:space="preserve"> </w:t>
      </w:r>
      <w:r w:rsidRPr="007C50E1">
        <w:rPr>
          <w:rFonts w:cs="Arial"/>
          <w:b/>
          <w:bCs/>
          <w:noProof/>
        </w:rPr>
        <w:t>123</w:t>
      </w:r>
      <w:r w:rsidRPr="007C50E1">
        <w:rPr>
          <w:rFonts w:cs="Arial"/>
          <w:noProof/>
        </w:rPr>
        <w:t xml:space="preserve"> </w:t>
      </w:r>
      <w:r w:rsidR="009D5783" w:rsidRPr="007C50E1">
        <w:rPr>
          <w:rFonts w:cs="Arial"/>
          <w:noProof/>
        </w:rPr>
        <w:t>(</w:t>
      </w:r>
      <w:r w:rsidRPr="007C50E1">
        <w:rPr>
          <w:rFonts w:cs="Arial"/>
          <w:noProof/>
        </w:rPr>
        <w:t>13</w:t>
      </w:r>
      <w:r w:rsidR="009D5783" w:rsidRPr="007C50E1">
        <w:rPr>
          <w:rFonts w:cs="Arial"/>
          <w:noProof/>
        </w:rPr>
        <w:t xml:space="preserve">), </w:t>
      </w:r>
      <w:r w:rsidRPr="007C50E1">
        <w:rPr>
          <w:rFonts w:cs="Arial"/>
          <w:noProof/>
        </w:rPr>
        <w:t>3135–</w:t>
      </w:r>
      <w:r w:rsidR="009D5783" w:rsidRPr="007C50E1">
        <w:rPr>
          <w:rFonts w:cs="Arial"/>
          <w:noProof/>
        </w:rPr>
        <w:t>313</w:t>
      </w:r>
      <w:r w:rsidRPr="007C50E1">
        <w:rPr>
          <w:rFonts w:cs="Arial"/>
          <w:noProof/>
        </w:rPr>
        <w:t>6</w:t>
      </w:r>
      <w:r w:rsidR="009D5783" w:rsidRPr="007C50E1">
        <w:rPr>
          <w:rFonts w:cs="Arial"/>
          <w:noProof/>
        </w:rPr>
        <w:t xml:space="preserve"> 10.1016/j.ica.2012.03.002</w:t>
      </w:r>
      <w:r w:rsidRPr="007C50E1">
        <w:rPr>
          <w:rFonts w:cs="Arial"/>
          <w:noProof/>
        </w:rPr>
        <w:t xml:space="preserve"> (2001).</w:t>
      </w:r>
    </w:p>
    <w:p w14:paraId="5B67CA25" w14:textId="3188F01E" w:rsidR="00E253AD" w:rsidRPr="007C50E1" w:rsidRDefault="00E253AD" w:rsidP="007C50E1">
      <w:pPr>
        <w:pStyle w:val="NormalWeb"/>
        <w:spacing w:before="0" w:beforeAutospacing="0" w:after="0" w:afterAutospacing="0"/>
        <w:ind w:left="640" w:hanging="640"/>
        <w:divId w:val="2104758640"/>
        <w:rPr>
          <w:rFonts w:cs="Arial"/>
          <w:noProof/>
        </w:rPr>
      </w:pPr>
      <w:r w:rsidRPr="007C50E1">
        <w:rPr>
          <w:rFonts w:cs="Arial"/>
          <w:noProof/>
        </w:rPr>
        <w:t>21.</w:t>
      </w:r>
      <w:r w:rsidRPr="007C50E1">
        <w:rPr>
          <w:rFonts w:cs="Arial"/>
          <w:noProof/>
        </w:rPr>
        <w:tab/>
      </w:r>
      <w:r w:rsidR="00151414" w:rsidRPr="007C50E1">
        <w:rPr>
          <w:rFonts w:cs="Arial"/>
          <w:noProof/>
        </w:rPr>
        <w:t>Lu, G.,</w:t>
      </w:r>
      <w:r w:rsidRPr="007C50E1">
        <w:rPr>
          <w:rFonts w:cs="Arial"/>
          <w:noProof/>
        </w:rPr>
        <w:t xml:space="preserve"> </w:t>
      </w:r>
      <w:r w:rsidRPr="007C50E1">
        <w:rPr>
          <w:rFonts w:cs="Arial"/>
          <w:i/>
          <w:iCs/>
          <w:noProof/>
        </w:rPr>
        <w:t>et al.</w:t>
      </w:r>
      <w:r w:rsidRPr="007C50E1">
        <w:rPr>
          <w:rFonts w:cs="Arial"/>
          <w:noProof/>
        </w:rPr>
        <w:t xml:space="preserve"> Synthesis and SAR of </w:t>
      </w:r>
      <w:r w:rsidRPr="007C50E1">
        <w:rPr>
          <w:rFonts w:cs="Arial"/>
          <w:noProof/>
          <w:vertAlign w:val="superscript"/>
        </w:rPr>
        <w:t>99</w:t>
      </w:r>
      <w:r w:rsidR="00151414" w:rsidRPr="007C50E1">
        <w:rPr>
          <w:rFonts w:cs="Arial"/>
          <w:noProof/>
        </w:rPr>
        <w:t>mTc/Re-labeled Small Molecule Prostate Specific Membrane Antigen Inhibitors with Novel Polar C</w:t>
      </w:r>
      <w:r w:rsidRPr="007C50E1">
        <w:rPr>
          <w:rFonts w:cs="Arial"/>
          <w:noProof/>
        </w:rPr>
        <w:t xml:space="preserve">helates. </w:t>
      </w:r>
      <w:r w:rsidR="00151414" w:rsidRPr="007C50E1">
        <w:rPr>
          <w:rFonts w:cs="Arial"/>
          <w:i/>
          <w:iCs/>
          <w:noProof/>
        </w:rPr>
        <w:t>Bioorg. Med. Chem. Lett.</w:t>
      </w:r>
      <w:r w:rsidRPr="007C50E1">
        <w:rPr>
          <w:rFonts w:cs="Arial"/>
          <w:noProof/>
        </w:rPr>
        <w:t xml:space="preserve"> </w:t>
      </w:r>
      <w:r w:rsidRPr="007C50E1">
        <w:rPr>
          <w:rFonts w:cs="Arial"/>
          <w:b/>
          <w:bCs/>
          <w:noProof/>
        </w:rPr>
        <w:t>23</w:t>
      </w:r>
      <w:r w:rsidR="00151414" w:rsidRPr="007C50E1">
        <w:rPr>
          <w:rFonts w:cs="Arial"/>
          <w:noProof/>
        </w:rPr>
        <w:t xml:space="preserve"> (5),</w:t>
      </w:r>
      <w:r w:rsidRPr="007C50E1">
        <w:rPr>
          <w:rFonts w:cs="Arial"/>
          <w:noProof/>
        </w:rPr>
        <w:t xml:space="preserve"> 1557–63</w:t>
      </w:r>
      <w:r w:rsidR="00151414" w:rsidRPr="007C50E1">
        <w:rPr>
          <w:rFonts w:cs="Arial"/>
          <w:noProof/>
        </w:rPr>
        <w:t>, doi:10.1016/j.bmcl.2012.09.014</w:t>
      </w:r>
      <w:r w:rsidRPr="007C50E1">
        <w:rPr>
          <w:rFonts w:cs="Arial"/>
          <w:noProof/>
        </w:rPr>
        <w:t xml:space="preserve"> (2013).</w:t>
      </w:r>
    </w:p>
    <w:p w14:paraId="37C2CFAC" w14:textId="77B95754" w:rsidR="00E253AD" w:rsidRPr="007C50E1" w:rsidRDefault="00E253AD" w:rsidP="007C50E1">
      <w:pPr>
        <w:pStyle w:val="NormalWeb"/>
        <w:spacing w:before="0" w:beforeAutospacing="0" w:after="0" w:afterAutospacing="0"/>
        <w:ind w:left="640" w:hanging="640"/>
        <w:divId w:val="2104758640"/>
        <w:rPr>
          <w:rFonts w:cs="Arial"/>
          <w:noProof/>
        </w:rPr>
      </w:pPr>
      <w:r w:rsidRPr="007C50E1">
        <w:rPr>
          <w:rFonts w:cs="Arial"/>
          <w:noProof/>
        </w:rPr>
        <w:t>22.</w:t>
      </w:r>
      <w:r w:rsidRPr="007C50E1">
        <w:rPr>
          <w:rFonts w:cs="Arial"/>
          <w:noProof/>
        </w:rPr>
        <w:tab/>
      </w:r>
      <w:r w:rsidR="00842212" w:rsidRPr="007C50E1">
        <w:rPr>
          <w:rFonts w:cs="Arial"/>
          <w:noProof/>
        </w:rPr>
        <w:t xml:space="preserve">Maresca, K. P., </w:t>
      </w:r>
      <w:r w:rsidR="00842212" w:rsidRPr="007C50E1">
        <w:rPr>
          <w:rFonts w:cs="Arial"/>
          <w:i/>
          <w:iCs/>
          <w:noProof/>
        </w:rPr>
        <w:t>et al.</w:t>
      </w:r>
      <w:r w:rsidR="00842212" w:rsidRPr="007C50E1">
        <w:rPr>
          <w:rFonts w:cs="Arial"/>
          <w:noProof/>
        </w:rPr>
        <w:t xml:space="preserve"> Small Molecule Inhibitors of PSMA Incorporating Technetium-99m for Imaging Prostate Cancer: Effects of Chelate Design on Pharmacokinetics. </w:t>
      </w:r>
      <w:r w:rsidR="00842212" w:rsidRPr="007C50E1">
        <w:rPr>
          <w:rFonts w:cs="Arial"/>
          <w:i/>
          <w:iCs/>
          <w:noProof/>
        </w:rPr>
        <w:t>Inorg. Chim. Acta.</w:t>
      </w:r>
      <w:r w:rsidR="00842212" w:rsidRPr="007C50E1">
        <w:rPr>
          <w:rFonts w:cs="Arial"/>
          <w:noProof/>
        </w:rPr>
        <w:t xml:space="preserve"> </w:t>
      </w:r>
      <w:r w:rsidR="00842212" w:rsidRPr="007C50E1">
        <w:rPr>
          <w:rFonts w:cs="Arial"/>
          <w:b/>
          <w:bCs/>
          <w:noProof/>
        </w:rPr>
        <w:t>389</w:t>
      </w:r>
      <w:r w:rsidR="00842212" w:rsidRPr="007C50E1">
        <w:rPr>
          <w:rFonts w:cs="Arial"/>
          <w:noProof/>
        </w:rPr>
        <w:t xml:space="preserve">, 168–175, </w:t>
      </w:r>
      <w:r w:rsidR="00842212" w:rsidRPr="007C50E1">
        <w:rPr>
          <w:rFonts w:cs="Arial"/>
          <w:color w:val="222222"/>
          <w:shd w:val="clear" w:color="auto" w:fill="FFFFFF"/>
        </w:rPr>
        <w:t>doi: 10.1016/j.ica.2012.03.002</w:t>
      </w:r>
      <w:r w:rsidR="00842212" w:rsidRPr="007C50E1">
        <w:rPr>
          <w:rFonts w:cs="Arial"/>
          <w:noProof/>
        </w:rPr>
        <w:t xml:space="preserve"> (2012).</w:t>
      </w:r>
    </w:p>
    <w:p w14:paraId="47A5D858" w14:textId="59BCC7D8" w:rsidR="00E253AD" w:rsidRPr="007C50E1" w:rsidRDefault="00E253AD" w:rsidP="007C50E1">
      <w:pPr>
        <w:pStyle w:val="NormalWeb"/>
        <w:spacing w:before="0" w:beforeAutospacing="0" w:after="0" w:afterAutospacing="0"/>
        <w:ind w:left="640" w:hanging="640"/>
        <w:divId w:val="2104758640"/>
        <w:rPr>
          <w:rFonts w:cs="Arial"/>
          <w:noProof/>
        </w:rPr>
      </w:pPr>
      <w:r w:rsidRPr="007C50E1">
        <w:rPr>
          <w:rFonts w:cs="Arial"/>
          <w:noProof/>
        </w:rPr>
        <w:t>23.</w:t>
      </w:r>
      <w:r w:rsidRPr="007C50E1">
        <w:rPr>
          <w:rFonts w:cs="Arial"/>
          <w:noProof/>
        </w:rPr>
        <w:tab/>
      </w:r>
      <w:r w:rsidR="00842212" w:rsidRPr="007C50E1">
        <w:rPr>
          <w:rFonts w:cs="Arial"/>
          <w:noProof/>
        </w:rPr>
        <w:t xml:space="preserve">Bartholomä, M. D., </w:t>
      </w:r>
      <w:r w:rsidR="00842212" w:rsidRPr="007C50E1">
        <w:rPr>
          <w:rFonts w:cs="Arial"/>
          <w:i/>
          <w:iCs/>
          <w:noProof/>
        </w:rPr>
        <w:t>et al.</w:t>
      </w:r>
      <w:r w:rsidR="00842212" w:rsidRPr="007C50E1">
        <w:rPr>
          <w:rFonts w:cs="Arial"/>
          <w:noProof/>
        </w:rPr>
        <w:t xml:space="preserve"> Synthesis, Cytotoxicity, and Insight into the Mode of Action of Re(CO)</w:t>
      </w:r>
      <w:r w:rsidR="00842212" w:rsidRPr="007C50E1">
        <w:rPr>
          <w:rFonts w:cs="Arial"/>
          <w:noProof/>
          <w:vertAlign w:val="subscript"/>
        </w:rPr>
        <w:t>3</w:t>
      </w:r>
      <w:r w:rsidR="00842212" w:rsidRPr="007C50E1">
        <w:rPr>
          <w:rFonts w:cs="Arial"/>
          <w:noProof/>
        </w:rPr>
        <w:t xml:space="preserve"> Thymidine Complexes. </w:t>
      </w:r>
      <w:r w:rsidR="00842212" w:rsidRPr="007C50E1">
        <w:rPr>
          <w:rFonts w:cs="Arial"/>
          <w:i/>
          <w:iCs/>
          <w:noProof/>
        </w:rPr>
        <w:t>ChemMedChem</w:t>
      </w:r>
      <w:r w:rsidR="00842212" w:rsidRPr="007C50E1">
        <w:rPr>
          <w:rFonts w:cs="Arial"/>
          <w:noProof/>
        </w:rPr>
        <w:t xml:space="preserve"> </w:t>
      </w:r>
      <w:r w:rsidR="00842212" w:rsidRPr="007C50E1">
        <w:rPr>
          <w:rFonts w:cs="Arial"/>
          <w:b/>
          <w:bCs/>
          <w:noProof/>
        </w:rPr>
        <w:t>5</w:t>
      </w:r>
      <w:r w:rsidR="00842212" w:rsidRPr="007C50E1">
        <w:rPr>
          <w:rFonts w:cs="Arial"/>
          <w:noProof/>
        </w:rPr>
        <w:t xml:space="preserve"> (9), 1513–1529, doi:</w:t>
      </w:r>
      <w:r w:rsidR="00842212" w:rsidRPr="007C50E1">
        <w:rPr>
          <w:rFonts w:cs="Arial"/>
          <w:shd w:val="clear" w:color="auto" w:fill="FFFFFF"/>
        </w:rPr>
        <w:t xml:space="preserve"> 10.1002/cmdc.201000196</w:t>
      </w:r>
      <w:r w:rsidR="00842212" w:rsidRPr="007C50E1">
        <w:rPr>
          <w:rFonts w:cs="Arial"/>
          <w:noProof/>
        </w:rPr>
        <w:t xml:space="preserve"> (2010).</w:t>
      </w:r>
    </w:p>
    <w:p w14:paraId="4B430D97" w14:textId="12EA59AC" w:rsidR="001B2DF6" w:rsidRPr="007C50E1" w:rsidRDefault="00FA7BC0" w:rsidP="007C50E1">
      <w:pPr>
        <w:widowControl/>
        <w:autoSpaceDE/>
        <w:autoSpaceDN/>
        <w:adjustRightInd/>
        <w:jc w:val="left"/>
        <w:rPr>
          <w:rFonts w:cs="Arial"/>
        </w:rPr>
      </w:pPr>
      <w:r w:rsidRPr="007C50E1">
        <w:rPr>
          <w:rFonts w:cs="Arial"/>
        </w:rPr>
        <w:fldChar w:fldCharType="end"/>
      </w:r>
      <w:bookmarkStart w:id="0" w:name="_GoBack"/>
      <w:bookmarkEnd w:id="0"/>
    </w:p>
    <w:sectPr w:rsidR="001B2DF6" w:rsidRPr="007C50E1" w:rsidSect="007C50E1">
      <w:headerReference w:type="default" r:id="rId8"/>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1FDBF" w14:textId="77777777" w:rsidR="001E24AE" w:rsidRDefault="001E24AE" w:rsidP="00621C4E">
      <w:r>
        <w:separator/>
      </w:r>
    </w:p>
  </w:endnote>
  <w:endnote w:type="continuationSeparator" w:id="0">
    <w:p w14:paraId="26845E3A" w14:textId="77777777" w:rsidR="001E24AE" w:rsidRDefault="001E24A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7A13A" w14:textId="77777777" w:rsidR="001E24AE" w:rsidRDefault="001E24AE" w:rsidP="00621C4E">
      <w:r>
        <w:separator/>
      </w:r>
    </w:p>
  </w:footnote>
  <w:footnote w:type="continuationSeparator" w:id="0">
    <w:p w14:paraId="7CE87A11" w14:textId="77777777" w:rsidR="001E24AE" w:rsidRDefault="001E24A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2DB9159" w:rsidR="004A3AB7" w:rsidRPr="006F06E4" w:rsidRDefault="004A3AB7"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977B13"/>
    <w:multiLevelType w:val="multilevel"/>
    <w:tmpl w:val="BAA0272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511859CC"/>
    <w:multiLevelType w:val="multilevel"/>
    <w:tmpl w:val="6FC4258E"/>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vertAlign w:val="baseline"/>
      </w:rPr>
    </w:lvl>
    <w:lvl w:ilvl="2">
      <w:start w:val="1"/>
      <w:numFmt w:val="decimal"/>
      <w:lvlText w:val="%1.%2.%3."/>
      <w:lvlJc w:val="left"/>
      <w:pPr>
        <w:ind w:left="1800" w:hanging="720"/>
      </w:pPr>
      <w:rPr>
        <w:rFonts w:hint="default"/>
        <w:vertAlign w:val="baseline"/>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60" w:hanging="1080"/>
      </w:pPr>
      <w:rPr>
        <w:rFonts w:hint="default"/>
      </w:rPr>
    </w:lvl>
    <w:lvl w:ilvl="8">
      <w:start w:val="1"/>
      <w:numFmt w:val="decimal"/>
      <w:lvlText w:val="%1.%2.%3.%4.%5.%6.%7.%8.%9."/>
      <w:lvlJc w:val="left"/>
      <w:pPr>
        <w:ind w:left="5760" w:hanging="1440"/>
      </w:pPr>
      <w:rPr>
        <w:rFonts w:hint="default"/>
      </w:rPr>
    </w:lvl>
  </w:abstractNum>
  <w:abstractNum w:abstractNumId="2" w15:restartNumberingAfterBreak="0">
    <w:nsid w:val="6AE81E65"/>
    <w:multiLevelType w:val="hybridMultilevel"/>
    <w:tmpl w:val="CA1C1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03B3"/>
    <w:rsid w:val="00001806"/>
    <w:rsid w:val="00003B25"/>
    <w:rsid w:val="00005815"/>
    <w:rsid w:val="00007DBC"/>
    <w:rsid w:val="00007EA1"/>
    <w:rsid w:val="000100F0"/>
    <w:rsid w:val="00010E81"/>
    <w:rsid w:val="00012FF9"/>
    <w:rsid w:val="00017FEE"/>
    <w:rsid w:val="00021434"/>
    <w:rsid w:val="00021DF3"/>
    <w:rsid w:val="00022175"/>
    <w:rsid w:val="00023869"/>
    <w:rsid w:val="00024598"/>
    <w:rsid w:val="00032769"/>
    <w:rsid w:val="000358A9"/>
    <w:rsid w:val="00037B58"/>
    <w:rsid w:val="00051B73"/>
    <w:rsid w:val="00052188"/>
    <w:rsid w:val="00060ABE"/>
    <w:rsid w:val="00061A50"/>
    <w:rsid w:val="00061E5B"/>
    <w:rsid w:val="00064104"/>
    <w:rsid w:val="00065BAC"/>
    <w:rsid w:val="00066025"/>
    <w:rsid w:val="000701D1"/>
    <w:rsid w:val="00071FBD"/>
    <w:rsid w:val="0007204E"/>
    <w:rsid w:val="00080A20"/>
    <w:rsid w:val="00082796"/>
    <w:rsid w:val="00085DF2"/>
    <w:rsid w:val="00087C0A"/>
    <w:rsid w:val="0009339D"/>
    <w:rsid w:val="00093BC4"/>
    <w:rsid w:val="00094CDD"/>
    <w:rsid w:val="00097929"/>
    <w:rsid w:val="00097B4D"/>
    <w:rsid w:val="000A1E80"/>
    <w:rsid w:val="000A3B70"/>
    <w:rsid w:val="000A5153"/>
    <w:rsid w:val="000B10AE"/>
    <w:rsid w:val="000B30BF"/>
    <w:rsid w:val="000B535D"/>
    <w:rsid w:val="000B566B"/>
    <w:rsid w:val="000B7294"/>
    <w:rsid w:val="000B75D0"/>
    <w:rsid w:val="000C1CF8"/>
    <w:rsid w:val="000C49CF"/>
    <w:rsid w:val="000C52E9"/>
    <w:rsid w:val="000C5CDC"/>
    <w:rsid w:val="000C65DC"/>
    <w:rsid w:val="000C66F3"/>
    <w:rsid w:val="000C6900"/>
    <w:rsid w:val="000D31E8"/>
    <w:rsid w:val="000D76E4"/>
    <w:rsid w:val="000E3816"/>
    <w:rsid w:val="000E458C"/>
    <w:rsid w:val="000E4F77"/>
    <w:rsid w:val="000F0575"/>
    <w:rsid w:val="000F265C"/>
    <w:rsid w:val="000F33D6"/>
    <w:rsid w:val="000F3AFA"/>
    <w:rsid w:val="000F5712"/>
    <w:rsid w:val="000F6233"/>
    <w:rsid w:val="000F6611"/>
    <w:rsid w:val="000F7E22"/>
    <w:rsid w:val="001031F9"/>
    <w:rsid w:val="00107EFE"/>
    <w:rsid w:val="00112C80"/>
    <w:rsid w:val="00112EEB"/>
    <w:rsid w:val="00113F08"/>
    <w:rsid w:val="001156E9"/>
    <w:rsid w:val="0012563A"/>
    <w:rsid w:val="001313A7"/>
    <w:rsid w:val="0013276F"/>
    <w:rsid w:val="001373D5"/>
    <w:rsid w:val="00151414"/>
    <w:rsid w:val="00152A23"/>
    <w:rsid w:val="0015320B"/>
    <w:rsid w:val="00160346"/>
    <w:rsid w:val="00162CB7"/>
    <w:rsid w:val="001637E1"/>
    <w:rsid w:val="00170A86"/>
    <w:rsid w:val="00171E5B"/>
    <w:rsid w:val="00171F94"/>
    <w:rsid w:val="00174B14"/>
    <w:rsid w:val="0017668A"/>
    <w:rsid w:val="001766FE"/>
    <w:rsid w:val="001771E7"/>
    <w:rsid w:val="001837CB"/>
    <w:rsid w:val="00192006"/>
    <w:rsid w:val="00193180"/>
    <w:rsid w:val="00196B6D"/>
    <w:rsid w:val="001B2DF6"/>
    <w:rsid w:val="001B2E2D"/>
    <w:rsid w:val="001B4292"/>
    <w:rsid w:val="001B5CD2"/>
    <w:rsid w:val="001C078E"/>
    <w:rsid w:val="001C0BEE"/>
    <w:rsid w:val="001C2A98"/>
    <w:rsid w:val="001C596D"/>
    <w:rsid w:val="001D326C"/>
    <w:rsid w:val="001D3D7D"/>
    <w:rsid w:val="001D3FFF"/>
    <w:rsid w:val="001D625F"/>
    <w:rsid w:val="001D7576"/>
    <w:rsid w:val="001D7A30"/>
    <w:rsid w:val="001E14A0"/>
    <w:rsid w:val="001E24AE"/>
    <w:rsid w:val="001E7376"/>
    <w:rsid w:val="001F225C"/>
    <w:rsid w:val="001F356E"/>
    <w:rsid w:val="001F3955"/>
    <w:rsid w:val="00201CFA"/>
    <w:rsid w:val="0020220D"/>
    <w:rsid w:val="00202448"/>
    <w:rsid w:val="00202D15"/>
    <w:rsid w:val="00202EA4"/>
    <w:rsid w:val="00213869"/>
    <w:rsid w:val="00214BEE"/>
    <w:rsid w:val="002205B8"/>
    <w:rsid w:val="002259E5"/>
    <w:rsid w:val="00226140"/>
    <w:rsid w:val="00226810"/>
    <w:rsid w:val="002274F3"/>
    <w:rsid w:val="0023094C"/>
    <w:rsid w:val="002345C2"/>
    <w:rsid w:val="00234BE3"/>
    <w:rsid w:val="00235602"/>
    <w:rsid w:val="00235A90"/>
    <w:rsid w:val="00241E48"/>
    <w:rsid w:val="0024214E"/>
    <w:rsid w:val="00242623"/>
    <w:rsid w:val="00250558"/>
    <w:rsid w:val="00253E55"/>
    <w:rsid w:val="00255096"/>
    <w:rsid w:val="00260652"/>
    <w:rsid w:val="00260D74"/>
    <w:rsid w:val="00261F25"/>
    <w:rsid w:val="00262944"/>
    <w:rsid w:val="002648A9"/>
    <w:rsid w:val="002648D5"/>
    <w:rsid w:val="0026553C"/>
    <w:rsid w:val="00267DD5"/>
    <w:rsid w:val="00274A0A"/>
    <w:rsid w:val="00277593"/>
    <w:rsid w:val="00280918"/>
    <w:rsid w:val="00282AF6"/>
    <w:rsid w:val="00283B48"/>
    <w:rsid w:val="00287085"/>
    <w:rsid w:val="00290AF9"/>
    <w:rsid w:val="002967CF"/>
    <w:rsid w:val="00297788"/>
    <w:rsid w:val="002A64A6"/>
    <w:rsid w:val="002B7B05"/>
    <w:rsid w:val="002C02FD"/>
    <w:rsid w:val="002C1CFE"/>
    <w:rsid w:val="002C3102"/>
    <w:rsid w:val="002C47D4"/>
    <w:rsid w:val="002C61C8"/>
    <w:rsid w:val="002C6AA2"/>
    <w:rsid w:val="002C7D95"/>
    <w:rsid w:val="002D0F38"/>
    <w:rsid w:val="002D603D"/>
    <w:rsid w:val="002D77E3"/>
    <w:rsid w:val="002F2859"/>
    <w:rsid w:val="002F60F0"/>
    <w:rsid w:val="002F6E3C"/>
    <w:rsid w:val="0030117D"/>
    <w:rsid w:val="003012E0"/>
    <w:rsid w:val="00302993"/>
    <w:rsid w:val="00303C87"/>
    <w:rsid w:val="003120CB"/>
    <w:rsid w:val="003165BA"/>
    <w:rsid w:val="00320153"/>
    <w:rsid w:val="00320367"/>
    <w:rsid w:val="00321E14"/>
    <w:rsid w:val="003227FB"/>
    <w:rsid w:val="00322871"/>
    <w:rsid w:val="003268FB"/>
    <w:rsid w:val="00326FB3"/>
    <w:rsid w:val="003305D4"/>
    <w:rsid w:val="003316D4"/>
    <w:rsid w:val="00333822"/>
    <w:rsid w:val="00335713"/>
    <w:rsid w:val="00336715"/>
    <w:rsid w:val="00340DFD"/>
    <w:rsid w:val="003478E0"/>
    <w:rsid w:val="00350CD7"/>
    <w:rsid w:val="00351AF3"/>
    <w:rsid w:val="00353C8C"/>
    <w:rsid w:val="003601D0"/>
    <w:rsid w:val="00360C17"/>
    <w:rsid w:val="003621C6"/>
    <w:rsid w:val="003622B8"/>
    <w:rsid w:val="00366B76"/>
    <w:rsid w:val="00367258"/>
    <w:rsid w:val="00373051"/>
    <w:rsid w:val="00373B8F"/>
    <w:rsid w:val="00376747"/>
    <w:rsid w:val="00376D95"/>
    <w:rsid w:val="00377FBB"/>
    <w:rsid w:val="00386A05"/>
    <w:rsid w:val="00392A44"/>
    <w:rsid w:val="00392BC4"/>
    <w:rsid w:val="003A16FC"/>
    <w:rsid w:val="003A4FCD"/>
    <w:rsid w:val="003A7AF5"/>
    <w:rsid w:val="003B0944"/>
    <w:rsid w:val="003B1593"/>
    <w:rsid w:val="003B4381"/>
    <w:rsid w:val="003C1043"/>
    <w:rsid w:val="003C1A30"/>
    <w:rsid w:val="003C6779"/>
    <w:rsid w:val="003D2998"/>
    <w:rsid w:val="003D2E7A"/>
    <w:rsid w:val="003D2F0A"/>
    <w:rsid w:val="003D3891"/>
    <w:rsid w:val="003D5B9F"/>
    <w:rsid w:val="003E0F4F"/>
    <w:rsid w:val="003E1183"/>
    <w:rsid w:val="003E168F"/>
    <w:rsid w:val="003E18AC"/>
    <w:rsid w:val="003E210B"/>
    <w:rsid w:val="003E2A12"/>
    <w:rsid w:val="003E30C8"/>
    <w:rsid w:val="003E3384"/>
    <w:rsid w:val="003E417A"/>
    <w:rsid w:val="003E548E"/>
    <w:rsid w:val="003F011A"/>
    <w:rsid w:val="003F0DCA"/>
    <w:rsid w:val="00412895"/>
    <w:rsid w:val="004148E1"/>
    <w:rsid w:val="00414A61"/>
    <w:rsid w:val="00414CFA"/>
    <w:rsid w:val="00417276"/>
    <w:rsid w:val="004207DD"/>
    <w:rsid w:val="00420BE9"/>
    <w:rsid w:val="00420D1F"/>
    <w:rsid w:val="00421AFF"/>
    <w:rsid w:val="0042377A"/>
    <w:rsid w:val="00423AD8"/>
    <w:rsid w:val="00424C85"/>
    <w:rsid w:val="00425BCA"/>
    <w:rsid w:val="004260BD"/>
    <w:rsid w:val="0043012F"/>
    <w:rsid w:val="00430F1F"/>
    <w:rsid w:val="004326EA"/>
    <w:rsid w:val="0044456B"/>
    <w:rsid w:val="00447BD1"/>
    <w:rsid w:val="004507F3"/>
    <w:rsid w:val="00450AF4"/>
    <w:rsid w:val="00451307"/>
    <w:rsid w:val="00460010"/>
    <w:rsid w:val="00461F1D"/>
    <w:rsid w:val="00463E8D"/>
    <w:rsid w:val="004671C7"/>
    <w:rsid w:val="00472F4D"/>
    <w:rsid w:val="004730BF"/>
    <w:rsid w:val="0047535C"/>
    <w:rsid w:val="0047637D"/>
    <w:rsid w:val="00485870"/>
    <w:rsid w:val="00485FE8"/>
    <w:rsid w:val="00492EB5"/>
    <w:rsid w:val="00494F77"/>
    <w:rsid w:val="00497721"/>
    <w:rsid w:val="00497E49"/>
    <w:rsid w:val="004A0229"/>
    <w:rsid w:val="004A35D2"/>
    <w:rsid w:val="004A3AB7"/>
    <w:rsid w:val="004A42F6"/>
    <w:rsid w:val="004A6ADD"/>
    <w:rsid w:val="004A7722"/>
    <w:rsid w:val="004B2F00"/>
    <w:rsid w:val="004B3CE4"/>
    <w:rsid w:val="004B6E31"/>
    <w:rsid w:val="004C1D66"/>
    <w:rsid w:val="004C31D7"/>
    <w:rsid w:val="004C4AD2"/>
    <w:rsid w:val="004C4D1D"/>
    <w:rsid w:val="004C770C"/>
    <w:rsid w:val="004D0331"/>
    <w:rsid w:val="004D0D39"/>
    <w:rsid w:val="004D1D5C"/>
    <w:rsid w:val="004D1F21"/>
    <w:rsid w:val="004D59D8"/>
    <w:rsid w:val="004D5DA1"/>
    <w:rsid w:val="004D7E3C"/>
    <w:rsid w:val="004E150F"/>
    <w:rsid w:val="004E23A1"/>
    <w:rsid w:val="004E3489"/>
    <w:rsid w:val="004E3858"/>
    <w:rsid w:val="004E3AFA"/>
    <w:rsid w:val="00502A0A"/>
    <w:rsid w:val="00507C50"/>
    <w:rsid w:val="00513A2D"/>
    <w:rsid w:val="005140BF"/>
    <w:rsid w:val="00517C3A"/>
    <w:rsid w:val="005225D9"/>
    <w:rsid w:val="005267A9"/>
    <w:rsid w:val="00527BF4"/>
    <w:rsid w:val="00532227"/>
    <w:rsid w:val="005339F6"/>
    <w:rsid w:val="00534F6C"/>
    <w:rsid w:val="0053646D"/>
    <w:rsid w:val="00540AAD"/>
    <w:rsid w:val="00546458"/>
    <w:rsid w:val="00546EDC"/>
    <w:rsid w:val="00547939"/>
    <w:rsid w:val="0055087C"/>
    <w:rsid w:val="00553413"/>
    <w:rsid w:val="005638D7"/>
    <w:rsid w:val="00574900"/>
    <w:rsid w:val="005775FE"/>
    <w:rsid w:val="0058219C"/>
    <w:rsid w:val="0058707F"/>
    <w:rsid w:val="005931FE"/>
    <w:rsid w:val="005957D1"/>
    <w:rsid w:val="00597C60"/>
    <w:rsid w:val="005A3BEE"/>
    <w:rsid w:val="005B0072"/>
    <w:rsid w:val="005B0732"/>
    <w:rsid w:val="005B38A0"/>
    <w:rsid w:val="005B491C"/>
    <w:rsid w:val="005B4DBF"/>
    <w:rsid w:val="005B5DE2"/>
    <w:rsid w:val="005B674C"/>
    <w:rsid w:val="005C0955"/>
    <w:rsid w:val="005C7561"/>
    <w:rsid w:val="005D1E57"/>
    <w:rsid w:val="005D2F57"/>
    <w:rsid w:val="005D34F6"/>
    <w:rsid w:val="005D5668"/>
    <w:rsid w:val="005E0F9C"/>
    <w:rsid w:val="005E13A7"/>
    <w:rsid w:val="005E1884"/>
    <w:rsid w:val="005F0C18"/>
    <w:rsid w:val="005F2F83"/>
    <w:rsid w:val="005F36D2"/>
    <w:rsid w:val="005F373A"/>
    <w:rsid w:val="005F48FC"/>
    <w:rsid w:val="005F6B0E"/>
    <w:rsid w:val="005F760E"/>
    <w:rsid w:val="005F7B1D"/>
    <w:rsid w:val="0060222A"/>
    <w:rsid w:val="0060463E"/>
    <w:rsid w:val="00610450"/>
    <w:rsid w:val="00610C21"/>
    <w:rsid w:val="00611907"/>
    <w:rsid w:val="00612E81"/>
    <w:rsid w:val="00613116"/>
    <w:rsid w:val="006169B2"/>
    <w:rsid w:val="00617D0A"/>
    <w:rsid w:val="006202A6"/>
    <w:rsid w:val="00621C4E"/>
    <w:rsid w:val="006256BE"/>
    <w:rsid w:val="006305D7"/>
    <w:rsid w:val="00633A01"/>
    <w:rsid w:val="006341F7"/>
    <w:rsid w:val="00635014"/>
    <w:rsid w:val="006369CE"/>
    <w:rsid w:val="006411CA"/>
    <w:rsid w:val="00642112"/>
    <w:rsid w:val="006619C8"/>
    <w:rsid w:val="00666DDB"/>
    <w:rsid w:val="00671710"/>
    <w:rsid w:val="006717B0"/>
    <w:rsid w:val="00673414"/>
    <w:rsid w:val="00676079"/>
    <w:rsid w:val="00676ECD"/>
    <w:rsid w:val="00677D0A"/>
    <w:rsid w:val="0068185F"/>
    <w:rsid w:val="00691F5D"/>
    <w:rsid w:val="006A01CF"/>
    <w:rsid w:val="006A138C"/>
    <w:rsid w:val="006A361F"/>
    <w:rsid w:val="006B074C"/>
    <w:rsid w:val="006B4876"/>
    <w:rsid w:val="006B5D8C"/>
    <w:rsid w:val="006B72D4"/>
    <w:rsid w:val="006B75E4"/>
    <w:rsid w:val="006C0861"/>
    <w:rsid w:val="006C11CC"/>
    <w:rsid w:val="006C1AEB"/>
    <w:rsid w:val="006C57FE"/>
    <w:rsid w:val="006C616B"/>
    <w:rsid w:val="006E4B63"/>
    <w:rsid w:val="006E7A08"/>
    <w:rsid w:val="006F06E4"/>
    <w:rsid w:val="006F17A8"/>
    <w:rsid w:val="006F43A2"/>
    <w:rsid w:val="006F7B41"/>
    <w:rsid w:val="007003D4"/>
    <w:rsid w:val="00702B5D"/>
    <w:rsid w:val="00703ED2"/>
    <w:rsid w:val="00706CED"/>
    <w:rsid w:val="00707B8D"/>
    <w:rsid w:val="00707FD7"/>
    <w:rsid w:val="007103BB"/>
    <w:rsid w:val="0071078E"/>
    <w:rsid w:val="00713636"/>
    <w:rsid w:val="00714B8C"/>
    <w:rsid w:val="0071675D"/>
    <w:rsid w:val="00720D0A"/>
    <w:rsid w:val="007309FD"/>
    <w:rsid w:val="0073537A"/>
    <w:rsid w:val="00735CF5"/>
    <w:rsid w:val="0074063A"/>
    <w:rsid w:val="00740E66"/>
    <w:rsid w:val="00743BA1"/>
    <w:rsid w:val="00745F1E"/>
    <w:rsid w:val="007515FE"/>
    <w:rsid w:val="00757080"/>
    <w:rsid w:val="007601D0"/>
    <w:rsid w:val="0076109D"/>
    <w:rsid w:val="00767107"/>
    <w:rsid w:val="007736AB"/>
    <w:rsid w:val="00773BFD"/>
    <w:rsid w:val="007743B3"/>
    <w:rsid w:val="00774490"/>
    <w:rsid w:val="00776094"/>
    <w:rsid w:val="007819FF"/>
    <w:rsid w:val="00784BC6"/>
    <w:rsid w:val="0078523D"/>
    <w:rsid w:val="007859C0"/>
    <w:rsid w:val="00787C2E"/>
    <w:rsid w:val="007931DF"/>
    <w:rsid w:val="007A0172"/>
    <w:rsid w:val="007A22A1"/>
    <w:rsid w:val="007A2511"/>
    <w:rsid w:val="007A260E"/>
    <w:rsid w:val="007A4D4C"/>
    <w:rsid w:val="007A5CB9"/>
    <w:rsid w:val="007A7145"/>
    <w:rsid w:val="007B6D43"/>
    <w:rsid w:val="007B7C6E"/>
    <w:rsid w:val="007C2A36"/>
    <w:rsid w:val="007C3016"/>
    <w:rsid w:val="007C50E1"/>
    <w:rsid w:val="007D44D7"/>
    <w:rsid w:val="007D621A"/>
    <w:rsid w:val="007D6953"/>
    <w:rsid w:val="007E2887"/>
    <w:rsid w:val="007E5278"/>
    <w:rsid w:val="007E716C"/>
    <w:rsid w:val="007E749C"/>
    <w:rsid w:val="007F1AF5"/>
    <w:rsid w:val="007F1B5C"/>
    <w:rsid w:val="00801257"/>
    <w:rsid w:val="008021AA"/>
    <w:rsid w:val="0080285B"/>
    <w:rsid w:val="00803A39"/>
    <w:rsid w:val="00803B0A"/>
    <w:rsid w:val="00804DED"/>
    <w:rsid w:val="00805B96"/>
    <w:rsid w:val="00807E6C"/>
    <w:rsid w:val="00810B04"/>
    <w:rsid w:val="00810D39"/>
    <w:rsid w:val="008115A5"/>
    <w:rsid w:val="00811D46"/>
    <w:rsid w:val="0081415D"/>
    <w:rsid w:val="00820229"/>
    <w:rsid w:val="00822448"/>
    <w:rsid w:val="00822ABE"/>
    <w:rsid w:val="00827F51"/>
    <w:rsid w:val="0083104E"/>
    <w:rsid w:val="00831586"/>
    <w:rsid w:val="008343BE"/>
    <w:rsid w:val="00840607"/>
    <w:rsid w:val="00840FB4"/>
    <w:rsid w:val="008410B2"/>
    <w:rsid w:val="00841950"/>
    <w:rsid w:val="00842212"/>
    <w:rsid w:val="008500A0"/>
    <w:rsid w:val="0085057B"/>
    <w:rsid w:val="00851AA7"/>
    <w:rsid w:val="0085351C"/>
    <w:rsid w:val="008549CA"/>
    <w:rsid w:val="008556C3"/>
    <w:rsid w:val="0085687C"/>
    <w:rsid w:val="00860D7A"/>
    <w:rsid w:val="00865583"/>
    <w:rsid w:val="008675BE"/>
    <w:rsid w:val="008706C5"/>
    <w:rsid w:val="00873707"/>
    <w:rsid w:val="008763E1"/>
    <w:rsid w:val="00877AAB"/>
    <w:rsid w:val="00877EC8"/>
    <w:rsid w:val="00880F36"/>
    <w:rsid w:val="00881465"/>
    <w:rsid w:val="008838DC"/>
    <w:rsid w:val="00885530"/>
    <w:rsid w:val="008910D1"/>
    <w:rsid w:val="0089296C"/>
    <w:rsid w:val="00895EE0"/>
    <w:rsid w:val="00896ABD"/>
    <w:rsid w:val="008A2AE8"/>
    <w:rsid w:val="008A6E0A"/>
    <w:rsid w:val="008A7A9C"/>
    <w:rsid w:val="008B5218"/>
    <w:rsid w:val="008B7102"/>
    <w:rsid w:val="008C3B7D"/>
    <w:rsid w:val="008D0F90"/>
    <w:rsid w:val="008D3715"/>
    <w:rsid w:val="008D3C74"/>
    <w:rsid w:val="008D5465"/>
    <w:rsid w:val="008D7EB7"/>
    <w:rsid w:val="008E1153"/>
    <w:rsid w:val="008E3684"/>
    <w:rsid w:val="008E57F5"/>
    <w:rsid w:val="008E7606"/>
    <w:rsid w:val="008F1DAA"/>
    <w:rsid w:val="008F3EBD"/>
    <w:rsid w:val="008F60B2"/>
    <w:rsid w:val="008F7C41"/>
    <w:rsid w:val="009031E2"/>
    <w:rsid w:val="009032FC"/>
    <w:rsid w:val="009049B6"/>
    <w:rsid w:val="00911DFE"/>
    <w:rsid w:val="0091276C"/>
    <w:rsid w:val="009165AC"/>
    <w:rsid w:val="0092053F"/>
    <w:rsid w:val="0092340A"/>
    <w:rsid w:val="009269B8"/>
    <w:rsid w:val="00926D1F"/>
    <w:rsid w:val="009313D9"/>
    <w:rsid w:val="00935B7F"/>
    <w:rsid w:val="00941293"/>
    <w:rsid w:val="00944B45"/>
    <w:rsid w:val="00950C17"/>
    <w:rsid w:val="00954740"/>
    <w:rsid w:val="00963ABC"/>
    <w:rsid w:val="00965D21"/>
    <w:rsid w:val="00967764"/>
    <w:rsid w:val="00967931"/>
    <w:rsid w:val="00970B0E"/>
    <w:rsid w:val="009727E1"/>
    <w:rsid w:val="00976D03"/>
    <w:rsid w:val="009779BF"/>
    <w:rsid w:val="00977B30"/>
    <w:rsid w:val="009820BC"/>
    <w:rsid w:val="00982F41"/>
    <w:rsid w:val="00985090"/>
    <w:rsid w:val="00987710"/>
    <w:rsid w:val="009904AB"/>
    <w:rsid w:val="009908AA"/>
    <w:rsid w:val="0099540B"/>
    <w:rsid w:val="00995688"/>
    <w:rsid w:val="0099574F"/>
    <w:rsid w:val="009958A6"/>
    <w:rsid w:val="00995EBD"/>
    <w:rsid w:val="00996456"/>
    <w:rsid w:val="009A04F5"/>
    <w:rsid w:val="009A15EF"/>
    <w:rsid w:val="009A38A5"/>
    <w:rsid w:val="009A3AB4"/>
    <w:rsid w:val="009A50DD"/>
    <w:rsid w:val="009A6CA8"/>
    <w:rsid w:val="009B1042"/>
    <w:rsid w:val="009B118B"/>
    <w:rsid w:val="009B1737"/>
    <w:rsid w:val="009B2F29"/>
    <w:rsid w:val="009B3D4B"/>
    <w:rsid w:val="009B5B99"/>
    <w:rsid w:val="009B6EFC"/>
    <w:rsid w:val="009C2DF8"/>
    <w:rsid w:val="009C3C2E"/>
    <w:rsid w:val="009C68B7"/>
    <w:rsid w:val="009D0834"/>
    <w:rsid w:val="009D0A1E"/>
    <w:rsid w:val="009D1F6C"/>
    <w:rsid w:val="009D380A"/>
    <w:rsid w:val="009D52BC"/>
    <w:rsid w:val="009D5783"/>
    <w:rsid w:val="009D7D0A"/>
    <w:rsid w:val="009E5A15"/>
    <w:rsid w:val="009E5F54"/>
    <w:rsid w:val="009F01B1"/>
    <w:rsid w:val="009F0C08"/>
    <w:rsid w:val="009F0DBB"/>
    <w:rsid w:val="009F3887"/>
    <w:rsid w:val="009F732B"/>
    <w:rsid w:val="00A01FE0"/>
    <w:rsid w:val="00A10656"/>
    <w:rsid w:val="00A107E2"/>
    <w:rsid w:val="00A12FA6"/>
    <w:rsid w:val="00A1339B"/>
    <w:rsid w:val="00A14ABA"/>
    <w:rsid w:val="00A24CB6"/>
    <w:rsid w:val="00A26CD2"/>
    <w:rsid w:val="00A27667"/>
    <w:rsid w:val="00A31147"/>
    <w:rsid w:val="00A34A67"/>
    <w:rsid w:val="00A34A81"/>
    <w:rsid w:val="00A37462"/>
    <w:rsid w:val="00A37E52"/>
    <w:rsid w:val="00A4206C"/>
    <w:rsid w:val="00A44F55"/>
    <w:rsid w:val="00A459E1"/>
    <w:rsid w:val="00A52296"/>
    <w:rsid w:val="00A547BC"/>
    <w:rsid w:val="00A55661"/>
    <w:rsid w:val="00A60518"/>
    <w:rsid w:val="00A61B6A"/>
    <w:rsid w:val="00A61B70"/>
    <w:rsid w:val="00A61FA8"/>
    <w:rsid w:val="00A637F4"/>
    <w:rsid w:val="00A65485"/>
    <w:rsid w:val="00A66D7F"/>
    <w:rsid w:val="00A66E05"/>
    <w:rsid w:val="00A70753"/>
    <w:rsid w:val="00A712D2"/>
    <w:rsid w:val="00A76F7B"/>
    <w:rsid w:val="00A82C8A"/>
    <w:rsid w:val="00A852FF"/>
    <w:rsid w:val="00A85D9D"/>
    <w:rsid w:val="00A87337"/>
    <w:rsid w:val="00A90C97"/>
    <w:rsid w:val="00A960C8"/>
    <w:rsid w:val="00AA1B4F"/>
    <w:rsid w:val="00AA43A6"/>
    <w:rsid w:val="00AA54F3"/>
    <w:rsid w:val="00AA6B43"/>
    <w:rsid w:val="00AB2608"/>
    <w:rsid w:val="00AB367A"/>
    <w:rsid w:val="00AC01D1"/>
    <w:rsid w:val="00AD6A05"/>
    <w:rsid w:val="00AE272B"/>
    <w:rsid w:val="00AE3E3A"/>
    <w:rsid w:val="00AE77B4"/>
    <w:rsid w:val="00AE7C1A"/>
    <w:rsid w:val="00AF0D9C"/>
    <w:rsid w:val="00AF13AB"/>
    <w:rsid w:val="00AF1D36"/>
    <w:rsid w:val="00AF5F75"/>
    <w:rsid w:val="00AF6001"/>
    <w:rsid w:val="00AF761A"/>
    <w:rsid w:val="00B01A16"/>
    <w:rsid w:val="00B07F45"/>
    <w:rsid w:val="00B1021A"/>
    <w:rsid w:val="00B138FE"/>
    <w:rsid w:val="00B14808"/>
    <w:rsid w:val="00B15A1F"/>
    <w:rsid w:val="00B15FE9"/>
    <w:rsid w:val="00B2148A"/>
    <w:rsid w:val="00B220C2"/>
    <w:rsid w:val="00B25B32"/>
    <w:rsid w:val="00B344A4"/>
    <w:rsid w:val="00B350E2"/>
    <w:rsid w:val="00B36C42"/>
    <w:rsid w:val="00B375AB"/>
    <w:rsid w:val="00B41FB9"/>
    <w:rsid w:val="00B42EA7"/>
    <w:rsid w:val="00B52DA0"/>
    <w:rsid w:val="00B5337C"/>
    <w:rsid w:val="00B53FDE"/>
    <w:rsid w:val="00B56397"/>
    <w:rsid w:val="00B6027B"/>
    <w:rsid w:val="00B63B1C"/>
    <w:rsid w:val="00B67AFF"/>
    <w:rsid w:val="00B70B59"/>
    <w:rsid w:val="00B73657"/>
    <w:rsid w:val="00B73A90"/>
    <w:rsid w:val="00B90C99"/>
    <w:rsid w:val="00B90FD2"/>
    <w:rsid w:val="00B92350"/>
    <w:rsid w:val="00B93E42"/>
    <w:rsid w:val="00B96286"/>
    <w:rsid w:val="00BA1735"/>
    <w:rsid w:val="00BA19FA"/>
    <w:rsid w:val="00BA4288"/>
    <w:rsid w:val="00BB48E5"/>
    <w:rsid w:val="00BB5607"/>
    <w:rsid w:val="00BB5ACA"/>
    <w:rsid w:val="00BC3823"/>
    <w:rsid w:val="00BC5841"/>
    <w:rsid w:val="00BD60B4"/>
    <w:rsid w:val="00BE14B6"/>
    <w:rsid w:val="00BE1DF5"/>
    <w:rsid w:val="00BE40C0"/>
    <w:rsid w:val="00BE5F4A"/>
    <w:rsid w:val="00BF09B0"/>
    <w:rsid w:val="00BF1544"/>
    <w:rsid w:val="00BF1B53"/>
    <w:rsid w:val="00C025C5"/>
    <w:rsid w:val="00C06F06"/>
    <w:rsid w:val="00C11137"/>
    <w:rsid w:val="00C11B58"/>
    <w:rsid w:val="00C20FAD"/>
    <w:rsid w:val="00C22435"/>
    <w:rsid w:val="00C2375F"/>
    <w:rsid w:val="00C247CB"/>
    <w:rsid w:val="00C254C6"/>
    <w:rsid w:val="00C26CC8"/>
    <w:rsid w:val="00C33370"/>
    <w:rsid w:val="00C3355F"/>
    <w:rsid w:val="00C34C49"/>
    <w:rsid w:val="00C3569A"/>
    <w:rsid w:val="00C371B3"/>
    <w:rsid w:val="00C40C56"/>
    <w:rsid w:val="00C43F48"/>
    <w:rsid w:val="00C443B4"/>
    <w:rsid w:val="00C448FF"/>
    <w:rsid w:val="00C45E57"/>
    <w:rsid w:val="00C52626"/>
    <w:rsid w:val="00C52F29"/>
    <w:rsid w:val="00C54BF0"/>
    <w:rsid w:val="00C55C8B"/>
    <w:rsid w:val="00C56CE6"/>
    <w:rsid w:val="00C5745F"/>
    <w:rsid w:val="00C61A98"/>
    <w:rsid w:val="00C63201"/>
    <w:rsid w:val="00C63B37"/>
    <w:rsid w:val="00C6438B"/>
    <w:rsid w:val="00C64E62"/>
    <w:rsid w:val="00C651D5"/>
    <w:rsid w:val="00C65CCC"/>
    <w:rsid w:val="00C744E4"/>
    <w:rsid w:val="00C7618F"/>
    <w:rsid w:val="00C765A9"/>
    <w:rsid w:val="00C8162D"/>
    <w:rsid w:val="00C83A0B"/>
    <w:rsid w:val="00C842D0"/>
    <w:rsid w:val="00C84ED1"/>
    <w:rsid w:val="00C86615"/>
    <w:rsid w:val="00C879F4"/>
    <w:rsid w:val="00C9038F"/>
    <w:rsid w:val="00C92AAB"/>
    <w:rsid w:val="00C9659F"/>
    <w:rsid w:val="00CA11AE"/>
    <w:rsid w:val="00CA2435"/>
    <w:rsid w:val="00CA3FD1"/>
    <w:rsid w:val="00CA7A02"/>
    <w:rsid w:val="00CB333E"/>
    <w:rsid w:val="00CB3DD5"/>
    <w:rsid w:val="00CD0E2F"/>
    <w:rsid w:val="00CD2F20"/>
    <w:rsid w:val="00CD6B20"/>
    <w:rsid w:val="00CD797B"/>
    <w:rsid w:val="00CE1339"/>
    <w:rsid w:val="00CE61CC"/>
    <w:rsid w:val="00CE6E42"/>
    <w:rsid w:val="00CF2081"/>
    <w:rsid w:val="00CF20B7"/>
    <w:rsid w:val="00CF4B50"/>
    <w:rsid w:val="00CF6692"/>
    <w:rsid w:val="00CF7441"/>
    <w:rsid w:val="00D00D16"/>
    <w:rsid w:val="00D021B4"/>
    <w:rsid w:val="00D03C6C"/>
    <w:rsid w:val="00D06288"/>
    <w:rsid w:val="00D068C7"/>
    <w:rsid w:val="00D128A4"/>
    <w:rsid w:val="00D16DF5"/>
    <w:rsid w:val="00D20954"/>
    <w:rsid w:val="00D21241"/>
    <w:rsid w:val="00D21C39"/>
    <w:rsid w:val="00D21FC6"/>
    <w:rsid w:val="00D2243A"/>
    <w:rsid w:val="00D33393"/>
    <w:rsid w:val="00D33D36"/>
    <w:rsid w:val="00D34D94"/>
    <w:rsid w:val="00D34FB3"/>
    <w:rsid w:val="00D409E2"/>
    <w:rsid w:val="00D41CBF"/>
    <w:rsid w:val="00D427D7"/>
    <w:rsid w:val="00D44E62"/>
    <w:rsid w:val="00D5031D"/>
    <w:rsid w:val="00D50C54"/>
    <w:rsid w:val="00D51570"/>
    <w:rsid w:val="00D55520"/>
    <w:rsid w:val="00D556AD"/>
    <w:rsid w:val="00D60381"/>
    <w:rsid w:val="00D616DE"/>
    <w:rsid w:val="00D62201"/>
    <w:rsid w:val="00D651D1"/>
    <w:rsid w:val="00D717BB"/>
    <w:rsid w:val="00D7226B"/>
    <w:rsid w:val="00D72707"/>
    <w:rsid w:val="00D73014"/>
    <w:rsid w:val="00D75A9C"/>
    <w:rsid w:val="00D76816"/>
    <w:rsid w:val="00D76BB6"/>
    <w:rsid w:val="00D90871"/>
    <w:rsid w:val="00D9155F"/>
    <w:rsid w:val="00D9403F"/>
    <w:rsid w:val="00D94C7D"/>
    <w:rsid w:val="00D95265"/>
    <w:rsid w:val="00D959B4"/>
    <w:rsid w:val="00DA1FBF"/>
    <w:rsid w:val="00DA44DE"/>
    <w:rsid w:val="00DB1FD2"/>
    <w:rsid w:val="00DB620A"/>
    <w:rsid w:val="00DB7E59"/>
    <w:rsid w:val="00DC3832"/>
    <w:rsid w:val="00DC73EB"/>
    <w:rsid w:val="00DC751F"/>
    <w:rsid w:val="00DC7A51"/>
    <w:rsid w:val="00DD2BB9"/>
    <w:rsid w:val="00DD34B6"/>
    <w:rsid w:val="00DD40FF"/>
    <w:rsid w:val="00DD6E5A"/>
    <w:rsid w:val="00DE1278"/>
    <w:rsid w:val="00DE40D9"/>
    <w:rsid w:val="00DE47FA"/>
    <w:rsid w:val="00DE5B5F"/>
    <w:rsid w:val="00DE720B"/>
    <w:rsid w:val="00DE7384"/>
    <w:rsid w:val="00DF163F"/>
    <w:rsid w:val="00DF5577"/>
    <w:rsid w:val="00E00696"/>
    <w:rsid w:val="00E0121D"/>
    <w:rsid w:val="00E060C2"/>
    <w:rsid w:val="00E06324"/>
    <w:rsid w:val="00E110CF"/>
    <w:rsid w:val="00E12FB0"/>
    <w:rsid w:val="00E14814"/>
    <w:rsid w:val="00E1591B"/>
    <w:rsid w:val="00E15DCD"/>
    <w:rsid w:val="00E16A50"/>
    <w:rsid w:val="00E23E2C"/>
    <w:rsid w:val="00E249D5"/>
    <w:rsid w:val="00E253AD"/>
    <w:rsid w:val="00E276CA"/>
    <w:rsid w:val="00E27E61"/>
    <w:rsid w:val="00E3281B"/>
    <w:rsid w:val="00E33C68"/>
    <w:rsid w:val="00E34EEB"/>
    <w:rsid w:val="00E44EB9"/>
    <w:rsid w:val="00E46358"/>
    <w:rsid w:val="00E471DC"/>
    <w:rsid w:val="00E50EB4"/>
    <w:rsid w:val="00E532FC"/>
    <w:rsid w:val="00E53FFA"/>
    <w:rsid w:val="00E55BB0"/>
    <w:rsid w:val="00E609E5"/>
    <w:rsid w:val="00E60F27"/>
    <w:rsid w:val="00E61315"/>
    <w:rsid w:val="00E64D93"/>
    <w:rsid w:val="00E65097"/>
    <w:rsid w:val="00E65EDB"/>
    <w:rsid w:val="00E66927"/>
    <w:rsid w:val="00E677B8"/>
    <w:rsid w:val="00E67FA1"/>
    <w:rsid w:val="00E719F6"/>
    <w:rsid w:val="00E71BB4"/>
    <w:rsid w:val="00E71E68"/>
    <w:rsid w:val="00E73D53"/>
    <w:rsid w:val="00E75111"/>
    <w:rsid w:val="00E771A6"/>
    <w:rsid w:val="00E77296"/>
    <w:rsid w:val="00E81E3C"/>
    <w:rsid w:val="00E93763"/>
    <w:rsid w:val="00E93C61"/>
    <w:rsid w:val="00E972C0"/>
    <w:rsid w:val="00E977D9"/>
    <w:rsid w:val="00EA427A"/>
    <w:rsid w:val="00EA723B"/>
    <w:rsid w:val="00EB6350"/>
    <w:rsid w:val="00EC2F62"/>
    <w:rsid w:val="00EC62EB"/>
    <w:rsid w:val="00EC6E9F"/>
    <w:rsid w:val="00ED1D7B"/>
    <w:rsid w:val="00ED44F0"/>
    <w:rsid w:val="00ED4B33"/>
    <w:rsid w:val="00ED7DD6"/>
    <w:rsid w:val="00EE04E1"/>
    <w:rsid w:val="00EE15A1"/>
    <w:rsid w:val="00EE2A7C"/>
    <w:rsid w:val="00EE2C42"/>
    <w:rsid w:val="00EE341B"/>
    <w:rsid w:val="00EE4453"/>
    <w:rsid w:val="00EE5FCE"/>
    <w:rsid w:val="00EE6BBD"/>
    <w:rsid w:val="00EE6E1E"/>
    <w:rsid w:val="00EE705F"/>
    <w:rsid w:val="00EF0114"/>
    <w:rsid w:val="00EF10FB"/>
    <w:rsid w:val="00EF54FD"/>
    <w:rsid w:val="00EF7E4A"/>
    <w:rsid w:val="00F13112"/>
    <w:rsid w:val="00F13501"/>
    <w:rsid w:val="00F14F2E"/>
    <w:rsid w:val="00F15F53"/>
    <w:rsid w:val="00F16FE6"/>
    <w:rsid w:val="00F177B6"/>
    <w:rsid w:val="00F229DA"/>
    <w:rsid w:val="00F238BD"/>
    <w:rsid w:val="00F24992"/>
    <w:rsid w:val="00F27762"/>
    <w:rsid w:val="00F32F2F"/>
    <w:rsid w:val="00F33F3F"/>
    <w:rsid w:val="00F35BDD"/>
    <w:rsid w:val="00F3663B"/>
    <w:rsid w:val="00F403FD"/>
    <w:rsid w:val="00F41E72"/>
    <w:rsid w:val="00F46899"/>
    <w:rsid w:val="00F50300"/>
    <w:rsid w:val="00F5589D"/>
    <w:rsid w:val="00F56E39"/>
    <w:rsid w:val="00F623E9"/>
    <w:rsid w:val="00F63951"/>
    <w:rsid w:val="00F63C86"/>
    <w:rsid w:val="00F63F97"/>
    <w:rsid w:val="00F6741A"/>
    <w:rsid w:val="00F749C1"/>
    <w:rsid w:val="00F766BE"/>
    <w:rsid w:val="00F77EB9"/>
    <w:rsid w:val="00F80635"/>
    <w:rsid w:val="00F815D1"/>
    <w:rsid w:val="00F81E7E"/>
    <w:rsid w:val="00F81F0F"/>
    <w:rsid w:val="00F825F4"/>
    <w:rsid w:val="00F878D3"/>
    <w:rsid w:val="00F92AA1"/>
    <w:rsid w:val="00F932DE"/>
    <w:rsid w:val="00F94DAB"/>
    <w:rsid w:val="00F963DD"/>
    <w:rsid w:val="00FA14CA"/>
    <w:rsid w:val="00FA2045"/>
    <w:rsid w:val="00FA7BC0"/>
    <w:rsid w:val="00FB1AA9"/>
    <w:rsid w:val="00FB4B5A"/>
    <w:rsid w:val="00FB5DAA"/>
    <w:rsid w:val="00FC04B9"/>
    <w:rsid w:val="00FC161A"/>
    <w:rsid w:val="00FC1D1B"/>
    <w:rsid w:val="00FC2024"/>
    <w:rsid w:val="00FC23D5"/>
    <w:rsid w:val="00FC2D75"/>
    <w:rsid w:val="00FC4C1A"/>
    <w:rsid w:val="00FC6468"/>
    <w:rsid w:val="00FC6D49"/>
    <w:rsid w:val="00FC71D7"/>
    <w:rsid w:val="00FD2E14"/>
    <w:rsid w:val="00FD4922"/>
    <w:rsid w:val="00FD5A43"/>
    <w:rsid w:val="00FD5B0D"/>
    <w:rsid w:val="00FD6461"/>
    <w:rsid w:val="00FE0281"/>
    <w:rsid w:val="00FE0395"/>
    <w:rsid w:val="00FE332E"/>
    <w:rsid w:val="00FE53B8"/>
    <w:rsid w:val="00FE5A28"/>
    <w:rsid w:val="00FE7083"/>
    <w:rsid w:val="00FE792F"/>
    <w:rsid w:val="00FF019F"/>
    <w:rsid w:val="00FF1875"/>
    <w:rsid w:val="00FF54E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EndNoteBibliography">
    <w:name w:val="EndNote Bibliography"/>
    <w:basedOn w:val="Normal"/>
    <w:link w:val="EndNoteBibliographyChar"/>
    <w:rsid w:val="00321E14"/>
    <w:pPr>
      <w:widowControl/>
      <w:autoSpaceDE/>
      <w:autoSpaceDN/>
      <w:adjustRightInd/>
    </w:pPr>
    <w:rPr>
      <w:rFonts w:eastAsiaTheme="minorHAnsi" w:cstheme="minorBidi"/>
      <w:noProof/>
      <w:color w:val="auto"/>
    </w:rPr>
  </w:style>
  <w:style w:type="character" w:customStyle="1" w:styleId="EndNoteBibliographyChar">
    <w:name w:val="EndNote Bibliography Char"/>
    <w:basedOn w:val="DefaultParagraphFont"/>
    <w:link w:val="EndNoteBibliography"/>
    <w:rsid w:val="00321E14"/>
    <w:rPr>
      <w:rFonts w:ascii="Calibri" w:eastAsiaTheme="minorHAnsi" w:hAnsi="Calibri" w:cstheme="minorBidi"/>
      <w:noProof/>
      <w:sz w:val="24"/>
      <w:szCs w:val="24"/>
    </w:rPr>
  </w:style>
  <w:style w:type="table" w:styleId="TableGrid">
    <w:name w:val="Table Grid"/>
    <w:basedOn w:val="TableNormal"/>
    <w:uiPriority w:val="59"/>
    <w:rsid w:val="00803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12895"/>
  </w:style>
  <w:style w:type="character" w:styleId="PlaceholderText">
    <w:name w:val="Placeholder Text"/>
    <w:basedOn w:val="DefaultParagraphFont"/>
    <w:uiPriority w:val="99"/>
    <w:semiHidden/>
    <w:rsid w:val="00C965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3446">
      <w:bodyDiv w:val="1"/>
      <w:marLeft w:val="0"/>
      <w:marRight w:val="0"/>
      <w:marTop w:val="0"/>
      <w:marBottom w:val="0"/>
      <w:divBdr>
        <w:top w:val="none" w:sz="0" w:space="0" w:color="auto"/>
        <w:left w:val="none" w:sz="0" w:space="0" w:color="auto"/>
        <w:bottom w:val="none" w:sz="0" w:space="0" w:color="auto"/>
        <w:right w:val="none" w:sz="0" w:space="0" w:color="auto"/>
      </w:divBdr>
    </w:div>
    <w:div w:id="33162942">
      <w:bodyDiv w:val="1"/>
      <w:marLeft w:val="0"/>
      <w:marRight w:val="0"/>
      <w:marTop w:val="0"/>
      <w:marBottom w:val="0"/>
      <w:divBdr>
        <w:top w:val="none" w:sz="0" w:space="0" w:color="auto"/>
        <w:left w:val="none" w:sz="0" w:space="0" w:color="auto"/>
        <w:bottom w:val="none" w:sz="0" w:space="0" w:color="auto"/>
        <w:right w:val="none" w:sz="0" w:space="0" w:color="auto"/>
      </w:divBdr>
    </w:div>
    <w:div w:id="126123347">
      <w:bodyDiv w:val="1"/>
      <w:marLeft w:val="0"/>
      <w:marRight w:val="0"/>
      <w:marTop w:val="0"/>
      <w:marBottom w:val="0"/>
      <w:divBdr>
        <w:top w:val="none" w:sz="0" w:space="0" w:color="auto"/>
        <w:left w:val="none" w:sz="0" w:space="0" w:color="auto"/>
        <w:bottom w:val="none" w:sz="0" w:space="0" w:color="auto"/>
        <w:right w:val="none" w:sz="0" w:space="0" w:color="auto"/>
      </w:divBdr>
    </w:div>
    <w:div w:id="370617797">
      <w:bodyDiv w:val="1"/>
      <w:marLeft w:val="0"/>
      <w:marRight w:val="0"/>
      <w:marTop w:val="0"/>
      <w:marBottom w:val="0"/>
      <w:divBdr>
        <w:top w:val="none" w:sz="0" w:space="0" w:color="auto"/>
        <w:left w:val="none" w:sz="0" w:space="0" w:color="auto"/>
        <w:bottom w:val="none" w:sz="0" w:space="0" w:color="auto"/>
        <w:right w:val="none" w:sz="0" w:space="0" w:color="auto"/>
      </w:divBdr>
    </w:div>
    <w:div w:id="439450442">
      <w:bodyDiv w:val="1"/>
      <w:marLeft w:val="0"/>
      <w:marRight w:val="0"/>
      <w:marTop w:val="0"/>
      <w:marBottom w:val="0"/>
      <w:divBdr>
        <w:top w:val="none" w:sz="0" w:space="0" w:color="auto"/>
        <w:left w:val="none" w:sz="0" w:space="0" w:color="auto"/>
        <w:bottom w:val="none" w:sz="0" w:space="0" w:color="auto"/>
        <w:right w:val="none" w:sz="0" w:space="0" w:color="auto"/>
      </w:divBdr>
    </w:div>
    <w:div w:id="498925634">
      <w:bodyDiv w:val="1"/>
      <w:marLeft w:val="0"/>
      <w:marRight w:val="0"/>
      <w:marTop w:val="0"/>
      <w:marBottom w:val="0"/>
      <w:divBdr>
        <w:top w:val="none" w:sz="0" w:space="0" w:color="auto"/>
        <w:left w:val="none" w:sz="0" w:space="0" w:color="auto"/>
        <w:bottom w:val="none" w:sz="0" w:space="0" w:color="auto"/>
        <w:right w:val="none" w:sz="0" w:space="0" w:color="auto"/>
      </w:divBdr>
    </w:div>
    <w:div w:id="547256942">
      <w:bodyDiv w:val="1"/>
      <w:marLeft w:val="0"/>
      <w:marRight w:val="0"/>
      <w:marTop w:val="0"/>
      <w:marBottom w:val="0"/>
      <w:divBdr>
        <w:top w:val="none" w:sz="0" w:space="0" w:color="auto"/>
        <w:left w:val="none" w:sz="0" w:space="0" w:color="auto"/>
        <w:bottom w:val="none" w:sz="0" w:space="0" w:color="auto"/>
        <w:right w:val="none" w:sz="0" w:space="0" w:color="auto"/>
      </w:divBdr>
    </w:div>
    <w:div w:id="589047606">
      <w:bodyDiv w:val="1"/>
      <w:marLeft w:val="0"/>
      <w:marRight w:val="0"/>
      <w:marTop w:val="0"/>
      <w:marBottom w:val="0"/>
      <w:divBdr>
        <w:top w:val="none" w:sz="0" w:space="0" w:color="auto"/>
        <w:left w:val="none" w:sz="0" w:space="0" w:color="auto"/>
        <w:bottom w:val="none" w:sz="0" w:space="0" w:color="auto"/>
        <w:right w:val="none" w:sz="0" w:space="0" w:color="auto"/>
      </w:divBdr>
    </w:div>
    <w:div w:id="604308852">
      <w:bodyDiv w:val="1"/>
      <w:marLeft w:val="0"/>
      <w:marRight w:val="0"/>
      <w:marTop w:val="0"/>
      <w:marBottom w:val="0"/>
      <w:divBdr>
        <w:top w:val="none" w:sz="0" w:space="0" w:color="auto"/>
        <w:left w:val="none" w:sz="0" w:space="0" w:color="auto"/>
        <w:bottom w:val="none" w:sz="0" w:space="0" w:color="auto"/>
        <w:right w:val="none" w:sz="0" w:space="0" w:color="auto"/>
      </w:divBdr>
    </w:div>
    <w:div w:id="636033573">
      <w:bodyDiv w:val="1"/>
      <w:marLeft w:val="0"/>
      <w:marRight w:val="0"/>
      <w:marTop w:val="0"/>
      <w:marBottom w:val="0"/>
      <w:divBdr>
        <w:top w:val="none" w:sz="0" w:space="0" w:color="auto"/>
        <w:left w:val="none" w:sz="0" w:space="0" w:color="auto"/>
        <w:bottom w:val="none" w:sz="0" w:space="0" w:color="auto"/>
        <w:right w:val="none" w:sz="0" w:space="0" w:color="auto"/>
      </w:divBdr>
    </w:div>
    <w:div w:id="672223967">
      <w:bodyDiv w:val="1"/>
      <w:marLeft w:val="0"/>
      <w:marRight w:val="0"/>
      <w:marTop w:val="0"/>
      <w:marBottom w:val="0"/>
      <w:divBdr>
        <w:top w:val="none" w:sz="0" w:space="0" w:color="auto"/>
        <w:left w:val="none" w:sz="0" w:space="0" w:color="auto"/>
        <w:bottom w:val="none" w:sz="0" w:space="0" w:color="auto"/>
        <w:right w:val="none" w:sz="0" w:space="0" w:color="auto"/>
      </w:divBdr>
    </w:div>
    <w:div w:id="693045609">
      <w:bodyDiv w:val="1"/>
      <w:marLeft w:val="0"/>
      <w:marRight w:val="0"/>
      <w:marTop w:val="0"/>
      <w:marBottom w:val="0"/>
      <w:divBdr>
        <w:top w:val="none" w:sz="0" w:space="0" w:color="auto"/>
        <w:left w:val="none" w:sz="0" w:space="0" w:color="auto"/>
        <w:bottom w:val="none" w:sz="0" w:space="0" w:color="auto"/>
        <w:right w:val="none" w:sz="0" w:space="0" w:color="auto"/>
      </w:divBdr>
    </w:div>
    <w:div w:id="70047895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09751">
      <w:bodyDiv w:val="1"/>
      <w:marLeft w:val="0"/>
      <w:marRight w:val="0"/>
      <w:marTop w:val="0"/>
      <w:marBottom w:val="0"/>
      <w:divBdr>
        <w:top w:val="none" w:sz="0" w:space="0" w:color="auto"/>
        <w:left w:val="none" w:sz="0" w:space="0" w:color="auto"/>
        <w:bottom w:val="none" w:sz="0" w:space="0" w:color="auto"/>
        <w:right w:val="none" w:sz="0" w:space="0" w:color="auto"/>
      </w:divBdr>
    </w:div>
    <w:div w:id="768047326">
      <w:bodyDiv w:val="1"/>
      <w:marLeft w:val="0"/>
      <w:marRight w:val="0"/>
      <w:marTop w:val="0"/>
      <w:marBottom w:val="0"/>
      <w:divBdr>
        <w:top w:val="none" w:sz="0" w:space="0" w:color="auto"/>
        <w:left w:val="none" w:sz="0" w:space="0" w:color="auto"/>
        <w:bottom w:val="none" w:sz="0" w:space="0" w:color="auto"/>
        <w:right w:val="none" w:sz="0" w:space="0" w:color="auto"/>
      </w:divBdr>
    </w:div>
    <w:div w:id="824202158">
      <w:bodyDiv w:val="1"/>
      <w:marLeft w:val="0"/>
      <w:marRight w:val="0"/>
      <w:marTop w:val="0"/>
      <w:marBottom w:val="0"/>
      <w:divBdr>
        <w:top w:val="none" w:sz="0" w:space="0" w:color="auto"/>
        <w:left w:val="none" w:sz="0" w:space="0" w:color="auto"/>
        <w:bottom w:val="none" w:sz="0" w:space="0" w:color="auto"/>
        <w:right w:val="none" w:sz="0" w:space="0" w:color="auto"/>
      </w:divBdr>
      <w:divsChild>
        <w:div w:id="1316909833">
          <w:marLeft w:val="0"/>
          <w:marRight w:val="0"/>
          <w:marTop w:val="0"/>
          <w:marBottom w:val="0"/>
          <w:divBdr>
            <w:top w:val="none" w:sz="0" w:space="0" w:color="auto"/>
            <w:left w:val="none" w:sz="0" w:space="0" w:color="auto"/>
            <w:bottom w:val="none" w:sz="0" w:space="0" w:color="auto"/>
            <w:right w:val="none" w:sz="0" w:space="0" w:color="auto"/>
          </w:divBdr>
        </w:div>
        <w:div w:id="79913249">
          <w:marLeft w:val="0"/>
          <w:marRight w:val="0"/>
          <w:marTop w:val="0"/>
          <w:marBottom w:val="0"/>
          <w:divBdr>
            <w:top w:val="none" w:sz="0" w:space="0" w:color="auto"/>
            <w:left w:val="none" w:sz="0" w:space="0" w:color="auto"/>
            <w:bottom w:val="none" w:sz="0" w:space="0" w:color="auto"/>
            <w:right w:val="none" w:sz="0" w:space="0" w:color="auto"/>
          </w:divBdr>
        </w:div>
        <w:div w:id="94519021">
          <w:marLeft w:val="0"/>
          <w:marRight w:val="0"/>
          <w:marTop w:val="0"/>
          <w:marBottom w:val="0"/>
          <w:divBdr>
            <w:top w:val="none" w:sz="0" w:space="0" w:color="auto"/>
            <w:left w:val="none" w:sz="0" w:space="0" w:color="auto"/>
            <w:bottom w:val="none" w:sz="0" w:space="0" w:color="auto"/>
            <w:right w:val="none" w:sz="0" w:space="0" w:color="auto"/>
          </w:divBdr>
          <w:divsChild>
            <w:div w:id="1801462361">
              <w:marLeft w:val="0"/>
              <w:marRight w:val="0"/>
              <w:marTop w:val="0"/>
              <w:marBottom w:val="0"/>
              <w:divBdr>
                <w:top w:val="none" w:sz="0" w:space="0" w:color="auto"/>
                <w:left w:val="none" w:sz="0" w:space="0" w:color="auto"/>
                <w:bottom w:val="none" w:sz="0" w:space="0" w:color="auto"/>
                <w:right w:val="none" w:sz="0" w:space="0" w:color="auto"/>
              </w:divBdr>
              <w:divsChild>
                <w:div w:id="1458255020">
                  <w:marLeft w:val="0"/>
                  <w:marRight w:val="0"/>
                  <w:marTop w:val="0"/>
                  <w:marBottom w:val="0"/>
                  <w:divBdr>
                    <w:top w:val="none" w:sz="0" w:space="0" w:color="auto"/>
                    <w:left w:val="none" w:sz="0" w:space="0" w:color="auto"/>
                    <w:bottom w:val="none" w:sz="0" w:space="0" w:color="auto"/>
                    <w:right w:val="none" w:sz="0" w:space="0" w:color="auto"/>
                  </w:divBdr>
                  <w:divsChild>
                    <w:div w:id="565183742">
                      <w:marLeft w:val="0"/>
                      <w:marRight w:val="0"/>
                      <w:marTop w:val="0"/>
                      <w:marBottom w:val="0"/>
                      <w:divBdr>
                        <w:top w:val="none" w:sz="0" w:space="0" w:color="auto"/>
                        <w:left w:val="none" w:sz="0" w:space="0" w:color="auto"/>
                        <w:bottom w:val="none" w:sz="0" w:space="0" w:color="auto"/>
                        <w:right w:val="none" w:sz="0" w:space="0" w:color="auto"/>
                      </w:divBdr>
                      <w:divsChild>
                        <w:div w:id="483471228">
                          <w:marLeft w:val="0"/>
                          <w:marRight w:val="0"/>
                          <w:marTop w:val="0"/>
                          <w:marBottom w:val="0"/>
                          <w:divBdr>
                            <w:top w:val="none" w:sz="0" w:space="0" w:color="auto"/>
                            <w:left w:val="none" w:sz="0" w:space="0" w:color="auto"/>
                            <w:bottom w:val="none" w:sz="0" w:space="0" w:color="auto"/>
                            <w:right w:val="none" w:sz="0" w:space="0" w:color="auto"/>
                          </w:divBdr>
                        </w:div>
                        <w:div w:id="379869246">
                          <w:marLeft w:val="0"/>
                          <w:marRight w:val="0"/>
                          <w:marTop w:val="0"/>
                          <w:marBottom w:val="0"/>
                          <w:divBdr>
                            <w:top w:val="none" w:sz="0" w:space="0" w:color="auto"/>
                            <w:left w:val="none" w:sz="0" w:space="0" w:color="auto"/>
                            <w:bottom w:val="none" w:sz="0" w:space="0" w:color="auto"/>
                            <w:right w:val="none" w:sz="0" w:space="0" w:color="auto"/>
                          </w:divBdr>
                          <w:divsChild>
                            <w:div w:id="242884182">
                              <w:marLeft w:val="0"/>
                              <w:marRight w:val="0"/>
                              <w:marTop w:val="0"/>
                              <w:marBottom w:val="0"/>
                              <w:divBdr>
                                <w:top w:val="none" w:sz="0" w:space="0" w:color="auto"/>
                                <w:left w:val="none" w:sz="0" w:space="0" w:color="auto"/>
                                <w:bottom w:val="none" w:sz="0" w:space="0" w:color="auto"/>
                                <w:right w:val="none" w:sz="0" w:space="0" w:color="auto"/>
                              </w:divBdr>
                            </w:div>
                            <w:div w:id="1218203510">
                              <w:marLeft w:val="0"/>
                              <w:marRight w:val="0"/>
                              <w:marTop w:val="0"/>
                              <w:marBottom w:val="0"/>
                              <w:divBdr>
                                <w:top w:val="none" w:sz="0" w:space="0" w:color="auto"/>
                                <w:left w:val="none" w:sz="0" w:space="0" w:color="auto"/>
                                <w:bottom w:val="none" w:sz="0" w:space="0" w:color="auto"/>
                                <w:right w:val="none" w:sz="0" w:space="0" w:color="auto"/>
                              </w:divBdr>
                              <w:divsChild>
                                <w:div w:id="2063291080">
                                  <w:marLeft w:val="0"/>
                                  <w:marRight w:val="0"/>
                                  <w:marTop w:val="0"/>
                                  <w:marBottom w:val="0"/>
                                  <w:divBdr>
                                    <w:top w:val="none" w:sz="0" w:space="0" w:color="auto"/>
                                    <w:left w:val="none" w:sz="0" w:space="0" w:color="auto"/>
                                    <w:bottom w:val="none" w:sz="0" w:space="0" w:color="auto"/>
                                    <w:right w:val="none" w:sz="0" w:space="0" w:color="auto"/>
                                  </w:divBdr>
                                  <w:divsChild>
                                    <w:div w:id="979188839">
                                      <w:marLeft w:val="0"/>
                                      <w:marRight w:val="0"/>
                                      <w:marTop w:val="0"/>
                                      <w:marBottom w:val="0"/>
                                      <w:divBdr>
                                        <w:top w:val="none" w:sz="0" w:space="0" w:color="auto"/>
                                        <w:left w:val="none" w:sz="0" w:space="0" w:color="auto"/>
                                        <w:bottom w:val="none" w:sz="0" w:space="0" w:color="auto"/>
                                        <w:right w:val="none" w:sz="0" w:space="0" w:color="auto"/>
                                      </w:divBdr>
                                      <w:divsChild>
                                        <w:div w:id="574782564">
                                          <w:marLeft w:val="0"/>
                                          <w:marRight w:val="0"/>
                                          <w:marTop w:val="0"/>
                                          <w:marBottom w:val="0"/>
                                          <w:divBdr>
                                            <w:top w:val="none" w:sz="0" w:space="0" w:color="auto"/>
                                            <w:left w:val="none" w:sz="0" w:space="0" w:color="auto"/>
                                            <w:bottom w:val="none" w:sz="0" w:space="0" w:color="auto"/>
                                            <w:right w:val="none" w:sz="0" w:space="0" w:color="auto"/>
                                          </w:divBdr>
                                          <w:divsChild>
                                            <w:div w:id="1884825130">
                                              <w:marLeft w:val="0"/>
                                              <w:marRight w:val="0"/>
                                              <w:marTop w:val="0"/>
                                              <w:marBottom w:val="0"/>
                                              <w:divBdr>
                                                <w:top w:val="none" w:sz="0" w:space="0" w:color="auto"/>
                                                <w:left w:val="none" w:sz="0" w:space="0" w:color="auto"/>
                                                <w:bottom w:val="none" w:sz="0" w:space="0" w:color="auto"/>
                                                <w:right w:val="none" w:sz="0" w:space="0" w:color="auto"/>
                                              </w:divBdr>
                                              <w:divsChild>
                                                <w:div w:id="35323978">
                                                  <w:marLeft w:val="0"/>
                                                  <w:marRight w:val="0"/>
                                                  <w:marTop w:val="0"/>
                                                  <w:marBottom w:val="0"/>
                                                  <w:divBdr>
                                                    <w:top w:val="none" w:sz="0" w:space="0" w:color="auto"/>
                                                    <w:left w:val="none" w:sz="0" w:space="0" w:color="auto"/>
                                                    <w:bottom w:val="none" w:sz="0" w:space="0" w:color="auto"/>
                                                    <w:right w:val="none" w:sz="0" w:space="0" w:color="auto"/>
                                                  </w:divBdr>
                                                  <w:divsChild>
                                                    <w:div w:id="1297419034">
                                                      <w:marLeft w:val="0"/>
                                                      <w:marRight w:val="0"/>
                                                      <w:marTop w:val="0"/>
                                                      <w:marBottom w:val="0"/>
                                                      <w:divBdr>
                                                        <w:top w:val="none" w:sz="0" w:space="0" w:color="auto"/>
                                                        <w:left w:val="none" w:sz="0" w:space="0" w:color="auto"/>
                                                        <w:bottom w:val="none" w:sz="0" w:space="0" w:color="auto"/>
                                                        <w:right w:val="none" w:sz="0" w:space="0" w:color="auto"/>
                                                      </w:divBdr>
                                                      <w:divsChild>
                                                        <w:div w:id="1622154353">
                                                          <w:marLeft w:val="0"/>
                                                          <w:marRight w:val="0"/>
                                                          <w:marTop w:val="0"/>
                                                          <w:marBottom w:val="0"/>
                                                          <w:divBdr>
                                                            <w:top w:val="none" w:sz="0" w:space="0" w:color="auto"/>
                                                            <w:left w:val="none" w:sz="0" w:space="0" w:color="auto"/>
                                                            <w:bottom w:val="none" w:sz="0" w:space="0" w:color="auto"/>
                                                            <w:right w:val="none" w:sz="0" w:space="0" w:color="auto"/>
                                                          </w:divBdr>
                                                          <w:divsChild>
                                                            <w:div w:id="923686379">
                                                              <w:marLeft w:val="0"/>
                                                              <w:marRight w:val="0"/>
                                                              <w:marTop w:val="0"/>
                                                              <w:marBottom w:val="0"/>
                                                              <w:divBdr>
                                                                <w:top w:val="none" w:sz="0" w:space="0" w:color="auto"/>
                                                                <w:left w:val="none" w:sz="0" w:space="0" w:color="auto"/>
                                                                <w:bottom w:val="none" w:sz="0" w:space="0" w:color="auto"/>
                                                                <w:right w:val="none" w:sz="0" w:space="0" w:color="auto"/>
                                                              </w:divBdr>
                                                              <w:divsChild>
                                                                <w:div w:id="834301526">
                                                                  <w:marLeft w:val="0"/>
                                                                  <w:marRight w:val="0"/>
                                                                  <w:marTop w:val="0"/>
                                                                  <w:marBottom w:val="0"/>
                                                                  <w:divBdr>
                                                                    <w:top w:val="none" w:sz="0" w:space="0" w:color="auto"/>
                                                                    <w:left w:val="none" w:sz="0" w:space="0" w:color="auto"/>
                                                                    <w:bottom w:val="none" w:sz="0" w:space="0" w:color="auto"/>
                                                                    <w:right w:val="none" w:sz="0" w:space="0" w:color="auto"/>
                                                                  </w:divBdr>
                                                                  <w:divsChild>
                                                                    <w:div w:id="2137793145">
                                                                      <w:marLeft w:val="0"/>
                                                                      <w:marRight w:val="0"/>
                                                                      <w:marTop w:val="0"/>
                                                                      <w:marBottom w:val="0"/>
                                                                      <w:divBdr>
                                                                        <w:top w:val="none" w:sz="0" w:space="0" w:color="auto"/>
                                                                        <w:left w:val="none" w:sz="0" w:space="0" w:color="auto"/>
                                                                        <w:bottom w:val="none" w:sz="0" w:space="0" w:color="auto"/>
                                                                        <w:right w:val="none" w:sz="0" w:space="0" w:color="auto"/>
                                                                      </w:divBdr>
                                                                    </w:div>
                                                                    <w:div w:id="1168908869">
                                                                      <w:marLeft w:val="0"/>
                                                                      <w:marRight w:val="0"/>
                                                                      <w:marTop w:val="0"/>
                                                                      <w:marBottom w:val="0"/>
                                                                      <w:divBdr>
                                                                        <w:top w:val="none" w:sz="0" w:space="0" w:color="auto"/>
                                                                        <w:left w:val="none" w:sz="0" w:space="0" w:color="auto"/>
                                                                        <w:bottom w:val="none" w:sz="0" w:space="0" w:color="auto"/>
                                                                        <w:right w:val="none" w:sz="0" w:space="0" w:color="auto"/>
                                                                      </w:divBdr>
                                                                      <w:divsChild>
                                                                        <w:div w:id="21132689">
                                                                          <w:marLeft w:val="0"/>
                                                                          <w:marRight w:val="0"/>
                                                                          <w:marTop w:val="0"/>
                                                                          <w:marBottom w:val="0"/>
                                                                          <w:divBdr>
                                                                            <w:top w:val="none" w:sz="0" w:space="0" w:color="auto"/>
                                                                            <w:left w:val="none" w:sz="0" w:space="0" w:color="auto"/>
                                                                            <w:bottom w:val="none" w:sz="0" w:space="0" w:color="auto"/>
                                                                            <w:right w:val="none" w:sz="0" w:space="0" w:color="auto"/>
                                                                          </w:divBdr>
                                                                          <w:divsChild>
                                                                            <w:div w:id="210475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9503342">
      <w:bodyDiv w:val="1"/>
      <w:marLeft w:val="0"/>
      <w:marRight w:val="0"/>
      <w:marTop w:val="0"/>
      <w:marBottom w:val="0"/>
      <w:divBdr>
        <w:top w:val="none" w:sz="0" w:space="0" w:color="auto"/>
        <w:left w:val="none" w:sz="0" w:space="0" w:color="auto"/>
        <w:bottom w:val="none" w:sz="0" w:space="0" w:color="auto"/>
        <w:right w:val="none" w:sz="0" w:space="0" w:color="auto"/>
      </w:divBdr>
    </w:div>
    <w:div w:id="933515912">
      <w:bodyDiv w:val="1"/>
      <w:marLeft w:val="0"/>
      <w:marRight w:val="0"/>
      <w:marTop w:val="0"/>
      <w:marBottom w:val="0"/>
      <w:divBdr>
        <w:top w:val="none" w:sz="0" w:space="0" w:color="auto"/>
        <w:left w:val="none" w:sz="0" w:space="0" w:color="auto"/>
        <w:bottom w:val="none" w:sz="0" w:space="0" w:color="auto"/>
        <w:right w:val="none" w:sz="0" w:space="0" w:color="auto"/>
      </w:divBdr>
    </w:div>
    <w:div w:id="97426355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01284703">
      <w:bodyDiv w:val="1"/>
      <w:marLeft w:val="0"/>
      <w:marRight w:val="0"/>
      <w:marTop w:val="0"/>
      <w:marBottom w:val="0"/>
      <w:divBdr>
        <w:top w:val="none" w:sz="0" w:space="0" w:color="auto"/>
        <w:left w:val="none" w:sz="0" w:space="0" w:color="auto"/>
        <w:bottom w:val="none" w:sz="0" w:space="0" w:color="auto"/>
        <w:right w:val="none" w:sz="0" w:space="0" w:color="auto"/>
      </w:divBdr>
    </w:div>
    <w:div w:id="1246456336">
      <w:bodyDiv w:val="1"/>
      <w:marLeft w:val="0"/>
      <w:marRight w:val="0"/>
      <w:marTop w:val="0"/>
      <w:marBottom w:val="0"/>
      <w:divBdr>
        <w:top w:val="none" w:sz="0" w:space="0" w:color="auto"/>
        <w:left w:val="none" w:sz="0" w:space="0" w:color="auto"/>
        <w:bottom w:val="none" w:sz="0" w:space="0" w:color="auto"/>
        <w:right w:val="none" w:sz="0" w:space="0" w:color="auto"/>
      </w:divBdr>
    </w:div>
    <w:div w:id="1314599120">
      <w:bodyDiv w:val="1"/>
      <w:marLeft w:val="0"/>
      <w:marRight w:val="0"/>
      <w:marTop w:val="0"/>
      <w:marBottom w:val="0"/>
      <w:divBdr>
        <w:top w:val="none" w:sz="0" w:space="0" w:color="auto"/>
        <w:left w:val="none" w:sz="0" w:space="0" w:color="auto"/>
        <w:bottom w:val="none" w:sz="0" w:space="0" w:color="auto"/>
        <w:right w:val="none" w:sz="0" w:space="0" w:color="auto"/>
      </w:divBdr>
    </w:div>
    <w:div w:id="1350133991">
      <w:bodyDiv w:val="1"/>
      <w:marLeft w:val="0"/>
      <w:marRight w:val="0"/>
      <w:marTop w:val="0"/>
      <w:marBottom w:val="0"/>
      <w:divBdr>
        <w:top w:val="none" w:sz="0" w:space="0" w:color="auto"/>
        <w:left w:val="none" w:sz="0" w:space="0" w:color="auto"/>
        <w:bottom w:val="none" w:sz="0" w:space="0" w:color="auto"/>
        <w:right w:val="none" w:sz="0" w:space="0" w:color="auto"/>
      </w:divBdr>
    </w:div>
    <w:div w:id="1406950304">
      <w:bodyDiv w:val="1"/>
      <w:marLeft w:val="0"/>
      <w:marRight w:val="0"/>
      <w:marTop w:val="0"/>
      <w:marBottom w:val="0"/>
      <w:divBdr>
        <w:top w:val="none" w:sz="0" w:space="0" w:color="auto"/>
        <w:left w:val="none" w:sz="0" w:space="0" w:color="auto"/>
        <w:bottom w:val="none" w:sz="0" w:space="0" w:color="auto"/>
        <w:right w:val="none" w:sz="0" w:space="0" w:color="auto"/>
      </w:divBdr>
    </w:div>
    <w:div w:id="1445229407">
      <w:bodyDiv w:val="1"/>
      <w:marLeft w:val="0"/>
      <w:marRight w:val="0"/>
      <w:marTop w:val="0"/>
      <w:marBottom w:val="0"/>
      <w:divBdr>
        <w:top w:val="none" w:sz="0" w:space="0" w:color="auto"/>
        <w:left w:val="none" w:sz="0" w:space="0" w:color="auto"/>
        <w:bottom w:val="none" w:sz="0" w:space="0" w:color="auto"/>
        <w:right w:val="none" w:sz="0" w:space="0" w:color="auto"/>
      </w:divBdr>
    </w:div>
    <w:div w:id="1644307112">
      <w:bodyDiv w:val="1"/>
      <w:marLeft w:val="0"/>
      <w:marRight w:val="0"/>
      <w:marTop w:val="0"/>
      <w:marBottom w:val="0"/>
      <w:divBdr>
        <w:top w:val="none" w:sz="0" w:space="0" w:color="auto"/>
        <w:left w:val="none" w:sz="0" w:space="0" w:color="auto"/>
        <w:bottom w:val="none" w:sz="0" w:space="0" w:color="auto"/>
        <w:right w:val="none" w:sz="0" w:space="0" w:color="auto"/>
      </w:divBdr>
    </w:div>
    <w:div w:id="167680697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4D8CE-040A-44D6-B56A-152E6D324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11166</Words>
  <Characters>63648</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74665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2016-08-25T18:59:00Z</dcterms:created>
  <dcterms:modified xsi:type="dcterms:W3CDTF">2016-08-25T20:05:00Z</dcterms:modified>
</cp:coreProperties>
</file>