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07D30" w14:textId="77777777" w:rsidR="00865588" w:rsidRDefault="006305D7" w:rsidP="002B1ABE">
      <w:pPr>
        <w:pStyle w:val="NormalWeb"/>
        <w:spacing w:before="0" w:beforeAutospacing="0" w:after="0" w:afterAutospacing="0"/>
        <w:rPr>
          <w:rFonts w:cs="Arial"/>
        </w:rPr>
      </w:pPr>
      <w:r w:rsidRPr="000B2F36">
        <w:rPr>
          <w:rFonts w:cs="Arial"/>
          <w:b/>
          <w:bCs/>
        </w:rPr>
        <w:t>TITLE:</w:t>
      </w:r>
      <w:r w:rsidR="00CE501F">
        <w:rPr>
          <w:rFonts w:cs="Arial"/>
        </w:rPr>
        <w:t xml:space="preserve"> </w:t>
      </w:r>
    </w:p>
    <w:p w14:paraId="5E928C16" w14:textId="0DFF9E2A" w:rsidR="006305D7" w:rsidRPr="000B2F36" w:rsidRDefault="00CE501F" w:rsidP="002B1ABE">
      <w:pPr>
        <w:pStyle w:val="NormalWeb"/>
        <w:spacing w:before="0" w:beforeAutospacing="0" w:after="0" w:afterAutospacing="0"/>
        <w:rPr>
          <w:rFonts w:cs="Arial"/>
        </w:rPr>
      </w:pPr>
      <w:r>
        <w:rPr>
          <w:rFonts w:cs="Arial"/>
        </w:rPr>
        <w:t>Determination of carbonyl functional groups</w:t>
      </w:r>
      <w:r w:rsidRPr="00CE501F">
        <w:rPr>
          <w:rFonts w:cs="Arial"/>
        </w:rPr>
        <w:t xml:space="preserve"> in bio-oils by </w:t>
      </w:r>
      <w:r>
        <w:rPr>
          <w:rFonts w:cs="Arial"/>
        </w:rPr>
        <w:t xml:space="preserve">potentiometric titration: the </w:t>
      </w:r>
      <w:r w:rsidRPr="00CE501F">
        <w:rPr>
          <w:rFonts w:cs="Arial"/>
        </w:rPr>
        <w:t>Faix method</w:t>
      </w:r>
      <w:r w:rsidR="006305D7" w:rsidRPr="000B2F36">
        <w:rPr>
          <w:rFonts w:cs="Arial"/>
        </w:rPr>
        <w:t xml:space="preserve"> </w:t>
      </w:r>
    </w:p>
    <w:p w14:paraId="37150906" w14:textId="77777777" w:rsidR="006305D7" w:rsidRPr="000B2F36" w:rsidRDefault="006305D7" w:rsidP="002B1ABE">
      <w:pPr>
        <w:rPr>
          <w:rFonts w:cs="Arial"/>
          <w:b/>
          <w:bCs/>
        </w:rPr>
      </w:pPr>
    </w:p>
    <w:p w14:paraId="3D080DA3" w14:textId="0612FB6D" w:rsidR="006305D7" w:rsidRDefault="006305D7" w:rsidP="002B1ABE">
      <w:pPr>
        <w:rPr>
          <w:rFonts w:cs="Arial"/>
          <w:b/>
          <w:bCs/>
        </w:rPr>
      </w:pPr>
      <w:r w:rsidRPr="000B2F36">
        <w:rPr>
          <w:rFonts w:cs="Arial"/>
          <w:b/>
          <w:bCs/>
        </w:rPr>
        <w:t>AUTHORS:</w:t>
      </w:r>
    </w:p>
    <w:p w14:paraId="21443108" w14:textId="76E33E39" w:rsidR="00CE501F" w:rsidRPr="00CE501F" w:rsidRDefault="00CE501F" w:rsidP="002B1ABE">
      <w:pPr>
        <w:rPr>
          <w:rFonts w:cs="Arial"/>
          <w:bCs/>
          <w:i/>
          <w:color w:val="808080"/>
        </w:rPr>
      </w:pPr>
      <w:r>
        <w:rPr>
          <w:rFonts w:cs="Arial"/>
          <w:bCs/>
        </w:rPr>
        <w:t xml:space="preserve">Black, Stuart </w:t>
      </w:r>
    </w:p>
    <w:p w14:paraId="0E31C03B" w14:textId="0E5AF731" w:rsidR="006305D7" w:rsidRPr="00CE501F" w:rsidRDefault="00CE501F" w:rsidP="002B1ABE">
      <w:pPr>
        <w:rPr>
          <w:rFonts w:cs="Arial"/>
          <w:bCs/>
          <w:color w:val="auto"/>
        </w:rPr>
      </w:pPr>
      <w:r w:rsidRPr="00CE501F">
        <w:rPr>
          <w:rFonts w:cs="Arial"/>
          <w:bCs/>
          <w:color w:val="auto"/>
        </w:rPr>
        <w:t>National Bioenergy Center</w:t>
      </w:r>
    </w:p>
    <w:p w14:paraId="25A84405" w14:textId="3BF7B72B" w:rsidR="006305D7" w:rsidRPr="00CE501F" w:rsidRDefault="00CE501F" w:rsidP="002B1ABE">
      <w:pPr>
        <w:rPr>
          <w:rFonts w:cs="Arial"/>
          <w:bCs/>
          <w:color w:val="auto"/>
        </w:rPr>
      </w:pPr>
      <w:r w:rsidRPr="00CE501F">
        <w:rPr>
          <w:rFonts w:cs="Arial"/>
          <w:bCs/>
          <w:color w:val="auto"/>
        </w:rPr>
        <w:t>National Renewable Energy Laboratory</w:t>
      </w:r>
    </w:p>
    <w:p w14:paraId="43462A37" w14:textId="4CEBDF16" w:rsidR="006305D7" w:rsidRPr="00CE501F" w:rsidRDefault="00CE501F" w:rsidP="002B1ABE">
      <w:pPr>
        <w:rPr>
          <w:rFonts w:cs="Arial"/>
          <w:bCs/>
          <w:color w:val="auto"/>
        </w:rPr>
      </w:pPr>
      <w:r w:rsidRPr="00CE501F">
        <w:rPr>
          <w:rFonts w:cs="Arial"/>
          <w:bCs/>
          <w:color w:val="auto"/>
        </w:rPr>
        <w:t>Golden, Colorado</w:t>
      </w:r>
    </w:p>
    <w:p w14:paraId="75CE54DF" w14:textId="1EE8D0E1" w:rsidR="006305D7" w:rsidRDefault="001327F4" w:rsidP="002B1ABE">
      <w:pPr>
        <w:rPr>
          <w:rFonts w:cs="Arial"/>
          <w:bCs/>
          <w:color w:val="auto"/>
        </w:rPr>
      </w:pPr>
      <w:hyperlink r:id="rId8" w:history="1">
        <w:r w:rsidR="00CE501F" w:rsidRPr="003C12F1">
          <w:rPr>
            <w:rStyle w:val="Hyperlink"/>
            <w:rFonts w:cs="Arial"/>
            <w:bCs/>
          </w:rPr>
          <w:t>Stuart.Black@nrel.gov</w:t>
        </w:r>
      </w:hyperlink>
    </w:p>
    <w:p w14:paraId="2F8F8DBC" w14:textId="77777777" w:rsidR="00CE501F" w:rsidRDefault="00CE501F" w:rsidP="002B1ABE">
      <w:pPr>
        <w:rPr>
          <w:rFonts w:cs="Arial"/>
          <w:bCs/>
          <w:color w:val="auto"/>
        </w:rPr>
      </w:pPr>
    </w:p>
    <w:p w14:paraId="4643C840" w14:textId="5BBF7DF1" w:rsidR="007F730C" w:rsidRDefault="00CE501F" w:rsidP="002B1ABE">
      <w:pPr>
        <w:rPr>
          <w:rFonts w:cs="Arial"/>
          <w:bCs/>
          <w:color w:val="auto"/>
        </w:rPr>
      </w:pPr>
      <w:r>
        <w:rPr>
          <w:rFonts w:cs="Arial"/>
          <w:bCs/>
          <w:color w:val="auto"/>
        </w:rPr>
        <w:t>Ferrell, Jack R. III</w:t>
      </w:r>
    </w:p>
    <w:p w14:paraId="6766481C" w14:textId="77777777" w:rsidR="00CE501F" w:rsidRPr="00CE501F" w:rsidRDefault="00CE501F" w:rsidP="002B1ABE">
      <w:pPr>
        <w:rPr>
          <w:rFonts w:cs="Arial"/>
          <w:bCs/>
          <w:color w:val="auto"/>
        </w:rPr>
      </w:pPr>
      <w:r w:rsidRPr="00CE501F">
        <w:rPr>
          <w:rFonts w:cs="Arial"/>
          <w:bCs/>
          <w:color w:val="auto"/>
        </w:rPr>
        <w:t>National Bioenergy Center</w:t>
      </w:r>
    </w:p>
    <w:p w14:paraId="59E951FB" w14:textId="77777777" w:rsidR="00CE501F" w:rsidRPr="00CE501F" w:rsidRDefault="00CE501F" w:rsidP="002B1ABE">
      <w:pPr>
        <w:rPr>
          <w:rFonts w:cs="Arial"/>
          <w:bCs/>
          <w:color w:val="auto"/>
        </w:rPr>
      </w:pPr>
      <w:r w:rsidRPr="00CE501F">
        <w:rPr>
          <w:rFonts w:cs="Arial"/>
          <w:bCs/>
          <w:color w:val="auto"/>
        </w:rPr>
        <w:t>National Renewable Energy Laboratory</w:t>
      </w:r>
    </w:p>
    <w:p w14:paraId="66FAF507" w14:textId="77777777" w:rsidR="00CE501F" w:rsidRPr="00CE501F" w:rsidRDefault="00CE501F" w:rsidP="002B1ABE">
      <w:pPr>
        <w:rPr>
          <w:rFonts w:cs="Arial"/>
          <w:bCs/>
          <w:color w:val="auto"/>
        </w:rPr>
      </w:pPr>
      <w:r w:rsidRPr="00CE501F">
        <w:rPr>
          <w:rFonts w:cs="Arial"/>
          <w:bCs/>
          <w:color w:val="auto"/>
        </w:rPr>
        <w:t>Golden, Colorado</w:t>
      </w:r>
    </w:p>
    <w:p w14:paraId="3D5C16AC" w14:textId="73B9A810" w:rsidR="00CE501F" w:rsidRDefault="001327F4" w:rsidP="002B1ABE">
      <w:pPr>
        <w:rPr>
          <w:rFonts w:cs="Arial"/>
          <w:bCs/>
          <w:color w:val="auto"/>
        </w:rPr>
      </w:pPr>
      <w:hyperlink r:id="rId9" w:history="1">
        <w:r w:rsidR="003766FF" w:rsidRPr="003C12F1">
          <w:rPr>
            <w:rStyle w:val="Hyperlink"/>
            <w:rFonts w:cs="Arial"/>
            <w:bCs/>
          </w:rPr>
          <w:t>Jack.Ferrell@nrel.gov</w:t>
        </w:r>
      </w:hyperlink>
    </w:p>
    <w:p w14:paraId="544D8D61" w14:textId="77777777" w:rsidR="003766FF" w:rsidRPr="00CE501F" w:rsidRDefault="003766FF" w:rsidP="002B1ABE">
      <w:pPr>
        <w:rPr>
          <w:rFonts w:cs="Arial"/>
          <w:bCs/>
          <w:color w:val="auto"/>
        </w:rPr>
      </w:pPr>
    </w:p>
    <w:p w14:paraId="0E39C294" w14:textId="77777777" w:rsidR="00865588" w:rsidRDefault="006305D7" w:rsidP="002B1ABE">
      <w:pPr>
        <w:pStyle w:val="NormalWeb"/>
        <w:spacing w:before="0" w:beforeAutospacing="0" w:after="0" w:afterAutospacing="0"/>
        <w:rPr>
          <w:rFonts w:cs="Arial"/>
        </w:rPr>
      </w:pPr>
      <w:r w:rsidRPr="000B2F36">
        <w:rPr>
          <w:rFonts w:cs="Arial"/>
          <w:b/>
          <w:bCs/>
        </w:rPr>
        <w:t>CORRESPONDING AUTHOR:</w:t>
      </w:r>
      <w:r w:rsidR="00B13671">
        <w:rPr>
          <w:rFonts w:cs="Arial"/>
        </w:rPr>
        <w:t xml:space="preserve"> </w:t>
      </w:r>
    </w:p>
    <w:p w14:paraId="5CAFCFF9" w14:textId="58EA60DC" w:rsidR="006305D7" w:rsidRPr="000B2F36" w:rsidRDefault="00B95BA2" w:rsidP="002B1ABE">
      <w:pPr>
        <w:pStyle w:val="NormalWeb"/>
        <w:spacing w:before="0" w:beforeAutospacing="0" w:after="0" w:afterAutospacing="0"/>
        <w:rPr>
          <w:rFonts w:cs="Arial"/>
        </w:rPr>
      </w:pPr>
      <w:r>
        <w:rPr>
          <w:rFonts w:cs="Arial"/>
        </w:rPr>
        <w:t>Jack Ferrell (Jack.Ferrell</w:t>
      </w:r>
      <w:r w:rsidR="00CE501F">
        <w:rPr>
          <w:rFonts w:cs="Arial"/>
        </w:rPr>
        <w:t>@nrel.gov)</w:t>
      </w:r>
    </w:p>
    <w:p w14:paraId="5FCA5F51" w14:textId="77777777" w:rsidR="006305D7" w:rsidRPr="000B2F36" w:rsidRDefault="006305D7" w:rsidP="002B1ABE">
      <w:pPr>
        <w:pStyle w:val="NormalWeb"/>
        <w:spacing w:before="0" w:beforeAutospacing="0" w:after="0" w:afterAutospacing="0"/>
        <w:rPr>
          <w:rFonts w:cs="Arial"/>
          <w:b/>
          <w:bCs/>
        </w:rPr>
      </w:pPr>
    </w:p>
    <w:p w14:paraId="71B79AC9" w14:textId="322534B8" w:rsidR="006305D7" w:rsidRDefault="006305D7" w:rsidP="002B1ABE">
      <w:pPr>
        <w:pStyle w:val="NormalWeb"/>
        <w:spacing w:before="0" w:beforeAutospacing="0" w:after="0" w:afterAutospacing="0"/>
        <w:rPr>
          <w:rFonts w:cs="Arial"/>
        </w:rPr>
      </w:pPr>
      <w:r w:rsidRPr="000B2F36">
        <w:rPr>
          <w:rFonts w:cs="Arial"/>
          <w:b/>
          <w:bCs/>
        </w:rPr>
        <w:t>KEYWORDS:</w:t>
      </w:r>
    </w:p>
    <w:p w14:paraId="1CB4E390" w14:textId="260D1C29" w:rsidR="006305D7" w:rsidRPr="003766FF" w:rsidRDefault="003766FF" w:rsidP="002B1ABE">
      <w:pPr>
        <w:pStyle w:val="NormalWeb"/>
        <w:spacing w:before="0" w:beforeAutospacing="0" w:after="0" w:afterAutospacing="0"/>
        <w:rPr>
          <w:rFonts w:cs="Arial"/>
          <w:color w:val="auto"/>
        </w:rPr>
      </w:pPr>
      <w:r w:rsidRPr="003766FF">
        <w:rPr>
          <w:rFonts w:cs="Arial"/>
          <w:color w:val="auto"/>
        </w:rPr>
        <w:t>pyrolysis, bio-oil, analysis, analytical, carbonyl, titration</w:t>
      </w:r>
    </w:p>
    <w:p w14:paraId="2259E8BA" w14:textId="77777777" w:rsidR="00865588" w:rsidRDefault="00865588" w:rsidP="002B1ABE">
      <w:pPr>
        <w:rPr>
          <w:rFonts w:cs="Arial"/>
          <w:b/>
          <w:bCs/>
        </w:rPr>
      </w:pPr>
    </w:p>
    <w:p w14:paraId="628AC4B5" w14:textId="4224C6D0" w:rsidR="006305D7" w:rsidRDefault="006305D7" w:rsidP="002B1ABE">
      <w:pPr>
        <w:rPr>
          <w:rFonts w:cs="Arial"/>
        </w:rPr>
      </w:pPr>
      <w:r w:rsidRPr="000B2F36">
        <w:rPr>
          <w:rFonts w:cs="Arial"/>
          <w:b/>
          <w:bCs/>
        </w:rPr>
        <w:t>SHORT ABSTRACT:</w:t>
      </w:r>
    </w:p>
    <w:p w14:paraId="00A932D8" w14:textId="6A1193DB" w:rsidR="006305D7" w:rsidRPr="000B2F36" w:rsidRDefault="003766FF" w:rsidP="002B1ABE">
      <w:pPr>
        <w:rPr>
          <w:rFonts w:cs="Arial"/>
          <w:color w:val="808080"/>
        </w:rPr>
      </w:pPr>
      <w:r>
        <w:rPr>
          <w:rFonts w:cs="Arial"/>
        </w:rPr>
        <w:t xml:space="preserve">Here we present a </w:t>
      </w:r>
      <w:r w:rsidR="00530FC5">
        <w:rPr>
          <w:rFonts w:cs="Arial"/>
        </w:rPr>
        <w:t xml:space="preserve">potentiometric </w:t>
      </w:r>
      <w:r>
        <w:rPr>
          <w:rFonts w:cs="Arial"/>
        </w:rPr>
        <w:t>titration technique for accurately quantifying carbonyl compounds in pyrolysis bio-oils.</w:t>
      </w:r>
    </w:p>
    <w:p w14:paraId="761028D6" w14:textId="77777777" w:rsidR="006305D7" w:rsidRPr="000B2F36" w:rsidRDefault="006305D7" w:rsidP="002B1ABE">
      <w:pPr>
        <w:rPr>
          <w:rFonts w:cs="Arial"/>
        </w:rPr>
      </w:pPr>
    </w:p>
    <w:p w14:paraId="64FB8590" w14:textId="3BEF3113" w:rsidR="006305D7" w:rsidRPr="000B2F36" w:rsidRDefault="006305D7" w:rsidP="002B1ABE">
      <w:pPr>
        <w:rPr>
          <w:rFonts w:cs="Arial"/>
          <w:i/>
          <w:color w:val="808080"/>
        </w:rPr>
      </w:pPr>
      <w:r w:rsidRPr="000B2F36">
        <w:rPr>
          <w:rFonts w:cs="Arial"/>
          <w:b/>
          <w:bCs/>
        </w:rPr>
        <w:t>LONG ABSTRACT:</w:t>
      </w:r>
      <w:r w:rsidRPr="000B2F36">
        <w:rPr>
          <w:rFonts w:cs="Arial"/>
        </w:rPr>
        <w:t xml:space="preserve"> </w:t>
      </w:r>
    </w:p>
    <w:p w14:paraId="203FD93B" w14:textId="15862354" w:rsidR="006305D7" w:rsidRPr="000B2F36" w:rsidRDefault="003766FF" w:rsidP="002B1ABE">
      <w:pPr>
        <w:rPr>
          <w:rFonts w:cs="Arial"/>
        </w:rPr>
      </w:pPr>
      <w:r w:rsidRPr="00A129BF">
        <w:t xml:space="preserve">Carbonyl compounds present in bio-oils are known to be responsible for bio-oil property changes upon storage and during upgrading. </w:t>
      </w:r>
      <w:r>
        <w:t xml:space="preserve">Specifically, carbonyls cause an increase in viscosity (often referred to as ‘aging’) during storage of bio-oils. </w:t>
      </w:r>
      <w:r w:rsidRPr="00A129BF">
        <w:t>As such, carbonyl content has previously been used as a method of tracking bio-oil aging and condensation reactions with less variabili</w:t>
      </w:r>
      <w:r w:rsidR="00376AE7">
        <w:t xml:space="preserve">ty than viscosity measurements. Additionally, carbonyls are also responsible for coke formation in bio-oil upgrading processes. </w:t>
      </w:r>
      <w:r w:rsidRPr="00A129BF">
        <w:t>Given the importance of carbonyls in bio-oils, accurate analytical methods for their quantification are very important for the bio-oil community.</w:t>
      </w:r>
      <w:r w:rsidR="00865588">
        <w:t xml:space="preserve"> </w:t>
      </w:r>
      <w:r w:rsidRPr="00A129BF">
        <w:t>Potentiometric titration methods based on carbonyl oximation have long been used for the determination of carbonyl content in pyrolysis bio-oils. Here, we present a modification of the traditional carbonyl oximation procedures that results in less reaction time, smaller sample size, higher precision, and more acc</w:t>
      </w:r>
      <w:r w:rsidR="00530FC5">
        <w:t>urate carbonyl determinations.</w:t>
      </w:r>
      <w:r w:rsidR="00865588">
        <w:t xml:space="preserve"> </w:t>
      </w:r>
      <w:r w:rsidR="00530FC5">
        <w:t>While traditional carbonyl oximation methods occur at room temperature, the Faix method presented here occurs at an elevated temperature of 80 ᵒC.</w:t>
      </w:r>
    </w:p>
    <w:p w14:paraId="4C7D5FD5" w14:textId="77777777" w:rsidR="006305D7" w:rsidRPr="000B2F36" w:rsidRDefault="006305D7" w:rsidP="002B1ABE">
      <w:pPr>
        <w:rPr>
          <w:rFonts w:cs="Arial"/>
        </w:rPr>
      </w:pPr>
    </w:p>
    <w:p w14:paraId="00D25F73" w14:textId="1D20F55D" w:rsidR="006305D7" w:rsidRPr="000B2F36" w:rsidRDefault="006305D7" w:rsidP="002B1ABE">
      <w:pPr>
        <w:rPr>
          <w:rFonts w:cs="Arial"/>
          <w:i/>
          <w:color w:val="808080"/>
        </w:rPr>
      </w:pPr>
      <w:r w:rsidRPr="000B2F36">
        <w:rPr>
          <w:rFonts w:cs="Arial"/>
          <w:b/>
        </w:rPr>
        <w:t>INTRODUCTION</w:t>
      </w:r>
      <w:r w:rsidRPr="000B2F36">
        <w:rPr>
          <w:rFonts w:cs="Arial"/>
          <w:b/>
          <w:bCs/>
        </w:rPr>
        <w:t>:</w:t>
      </w:r>
    </w:p>
    <w:p w14:paraId="2C7E027C" w14:textId="2BD04560" w:rsidR="000C7F1C" w:rsidRDefault="00170AA4" w:rsidP="002B1ABE">
      <w:pPr>
        <w:rPr>
          <w:rFonts w:cs="Arial"/>
          <w:color w:val="auto"/>
        </w:rPr>
      </w:pPr>
      <w:r w:rsidRPr="00170AA4">
        <w:rPr>
          <w:rFonts w:cs="Arial"/>
          <w:color w:val="auto"/>
        </w:rPr>
        <w:t xml:space="preserve">While pyrolysis bio-oils are comprised of a large variety of compounds and chemical functional </w:t>
      </w:r>
      <w:r w:rsidRPr="00170AA4">
        <w:rPr>
          <w:rFonts w:cs="Arial"/>
          <w:color w:val="auto"/>
        </w:rPr>
        <w:lastRenderedPageBreak/>
        <w:t>groups, quantification of carbonyl groups is especially important. Carbonyls are known to be responsible for the instability of bio-oil during both storage</w:t>
      </w:r>
      <w:r w:rsidR="003A4AF9">
        <w:rPr>
          <w:rFonts w:cs="Arial"/>
          <w:color w:val="auto"/>
          <w:vertAlign w:val="superscript"/>
        </w:rPr>
        <w:t>1</w:t>
      </w:r>
      <w:r w:rsidRPr="00170AA4">
        <w:rPr>
          <w:rFonts w:cs="Arial"/>
          <w:color w:val="auto"/>
        </w:rPr>
        <w:t xml:space="preserve"> and processing</w:t>
      </w:r>
      <w:r w:rsidR="003A4AF9">
        <w:rPr>
          <w:rFonts w:cs="Arial"/>
          <w:color w:val="auto"/>
          <w:vertAlign w:val="superscript"/>
        </w:rPr>
        <w:t>2</w:t>
      </w:r>
      <w:r w:rsidRPr="00170AA4">
        <w:rPr>
          <w:rFonts w:cs="Arial"/>
          <w:color w:val="auto"/>
        </w:rPr>
        <w:t>. The titration method presented here is a simple technique which can reliably quantify the total carbonyl content of bio-oils.</w:t>
      </w:r>
      <w:r w:rsidR="00D3421F">
        <w:rPr>
          <w:rFonts w:cs="Arial"/>
          <w:color w:val="auto"/>
        </w:rPr>
        <w:t xml:space="preserve"> </w:t>
      </w:r>
      <w:r w:rsidR="00FC1F55">
        <w:rPr>
          <w:rFonts w:cs="Arial"/>
          <w:color w:val="auto"/>
        </w:rPr>
        <w:t>O</w:t>
      </w:r>
      <w:r w:rsidR="00D3421F">
        <w:rPr>
          <w:rFonts w:cs="Arial"/>
          <w:color w:val="auto"/>
        </w:rPr>
        <w:t>nly aldehyde and ketone functional groups are quantified using this method; carboxylic acid and lactone groups are not quantified.</w:t>
      </w:r>
    </w:p>
    <w:p w14:paraId="72AC2A58" w14:textId="77777777" w:rsidR="00170AA4" w:rsidRDefault="00170AA4" w:rsidP="002B1ABE">
      <w:pPr>
        <w:rPr>
          <w:rFonts w:cs="Arial"/>
          <w:color w:val="auto"/>
        </w:rPr>
      </w:pPr>
    </w:p>
    <w:p w14:paraId="469DB924" w14:textId="4DD40D85" w:rsidR="000C7F1C" w:rsidRPr="000C7F1C" w:rsidRDefault="00170AA4" w:rsidP="002B1ABE">
      <w:pPr>
        <w:rPr>
          <w:rFonts w:cs="Arial"/>
          <w:color w:val="auto"/>
        </w:rPr>
      </w:pPr>
      <w:r w:rsidRPr="00170AA4">
        <w:rPr>
          <w:rFonts w:cs="Arial"/>
          <w:color w:val="auto"/>
        </w:rPr>
        <w:t>For analysis of bio-oils, quantification of carbonyl groups by titration has traditionally been accomplished us</w:t>
      </w:r>
      <w:r w:rsidR="00E36283">
        <w:rPr>
          <w:rFonts w:cs="Arial"/>
          <w:color w:val="auto"/>
        </w:rPr>
        <w:t>ing the method of Nicolaides</w:t>
      </w:r>
      <w:r w:rsidR="00362D13">
        <w:rPr>
          <w:rFonts w:cs="Arial"/>
          <w:color w:val="auto"/>
          <w:vertAlign w:val="superscript"/>
        </w:rPr>
        <w:t>3</w:t>
      </w:r>
      <w:r w:rsidRPr="00170AA4">
        <w:rPr>
          <w:rFonts w:cs="Arial"/>
          <w:color w:val="auto"/>
        </w:rPr>
        <w:t xml:space="preserve">. </w:t>
      </w:r>
      <w:r w:rsidR="00362D13">
        <w:rPr>
          <w:rFonts w:cs="Arial"/>
          <w:color w:val="auto"/>
        </w:rPr>
        <w:t>This method has been commonly used in the bio-oil literature</w:t>
      </w:r>
      <w:r w:rsidR="00362D13">
        <w:rPr>
          <w:rFonts w:cs="Arial"/>
          <w:color w:val="auto"/>
          <w:vertAlign w:val="superscript"/>
        </w:rPr>
        <w:t>4-</w:t>
      </w:r>
      <w:r w:rsidR="007A69B9">
        <w:rPr>
          <w:rFonts w:cs="Arial"/>
          <w:color w:val="auto"/>
          <w:vertAlign w:val="superscript"/>
        </w:rPr>
        <w:t>7</w:t>
      </w:r>
      <w:r w:rsidR="00362D13">
        <w:rPr>
          <w:rFonts w:cs="Arial"/>
          <w:color w:val="auto"/>
        </w:rPr>
        <w:t xml:space="preserve">. </w:t>
      </w:r>
      <w:r w:rsidRPr="00170AA4">
        <w:rPr>
          <w:rFonts w:cs="Arial"/>
          <w:color w:val="auto"/>
        </w:rPr>
        <w:t xml:space="preserve">This is a simple procedure where carbonyls are converted to the corresponding oxime (see </w:t>
      </w:r>
      <w:r w:rsidR="004A2781">
        <w:rPr>
          <w:rFonts w:cs="Arial"/>
          <w:color w:val="auto"/>
        </w:rPr>
        <w:t>Figure</w:t>
      </w:r>
      <w:r w:rsidRPr="00170AA4">
        <w:rPr>
          <w:rFonts w:cs="Arial"/>
          <w:color w:val="auto"/>
        </w:rPr>
        <w:t xml:space="preserve"> 1). The liberated HCl reacts with pyridine to force the equilibrium to completion.</w:t>
      </w:r>
      <w:r w:rsidR="00865588">
        <w:rPr>
          <w:rFonts w:cs="Arial"/>
          <w:color w:val="auto"/>
        </w:rPr>
        <w:t xml:space="preserve"> </w:t>
      </w:r>
      <w:r w:rsidRPr="00170AA4">
        <w:rPr>
          <w:rFonts w:cs="Arial"/>
          <w:color w:val="auto"/>
        </w:rPr>
        <w:t>The conjugate acid of pyridine is titrated with a known amount of NaOH (base titrant). The number of equivalents of NaOH used is stoichiometrically equivalent to the moles of carbonyl present in the bio-oil.</w:t>
      </w:r>
    </w:p>
    <w:p w14:paraId="0EB24417" w14:textId="0B900937" w:rsidR="000C7F1C" w:rsidRPr="000C7F1C" w:rsidRDefault="000C7F1C" w:rsidP="002B1ABE">
      <w:pPr>
        <w:rPr>
          <w:rFonts w:cs="Arial"/>
          <w:color w:val="auto"/>
        </w:rPr>
      </w:pPr>
    </w:p>
    <w:p w14:paraId="67EAF255" w14:textId="7A51B260" w:rsidR="000C7F1C" w:rsidRDefault="00170AA4" w:rsidP="002B1ABE">
      <w:pPr>
        <w:rPr>
          <w:rFonts w:cs="Arial"/>
          <w:color w:val="auto"/>
        </w:rPr>
      </w:pPr>
      <w:r w:rsidRPr="00170AA4">
        <w:rPr>
          <w:rFonts w:cs="Arial"/>
          <w:color w:val="auto"/>
        </w:rPr>
        <w:t>The Nicolaides method, however, has several limitations. It can require reaction times in excess of 48 hours to reach completion. This severely limits sample throughput. It utilizes pyridine, which is toxic.</w:t>
      </w:r>
      <w:r w:rsidR="00865588">
        <w:rPr>
          <w:rFonts w:cs="Arial"/>
          <w:color w:val="auto"/>
        </w:rPr>
        <w:t xml:space="preserve"> </w:t>
      </w:r>
      <w:r w:rsidRPr="00170AA4">
        <w:rPr>
          <w:rFonts w:cs="Arial"/>
          <w:color w:val="auto"/>
        </w:rPr>
        <w:t>Sample weights of 1 to 2 g are required. Sample weight used is dependent on the amount of hydroxylamine HCl present and the carbonyl content of the sample.</w:t>
      </w:r>
      <w:r w:rsidR="00865588">
        <w:rPr>
          <w:rFonts w:cs="Arial"/>
          <w:color w:val="auto"/>
        </w:rPr>
        <w:t xml:space="preserve"> </w:t>
      </w:r>
      <w:r w:rsidRPr="00170AA4">
        <w:rPr>
          <w:rFonts w:cs="Arial"/>
          <w:color w:val="auto"/>
        </w:rPr>
        <w:t xml:space="preserve">If initial estimates of the sample weight used are incorrect, the titration has to be repeated. </w:t>
      </w:r>
    </w:p>
    <w:p w14:paraId="7A5020AB" w14:textId="77777777" w:rsidR="00170AA4" w:rsidRDefault="00170AA4" w:rsidP="002B1ABE">
      <w:pPr>
        <w:rPr>
          <w:rFonts w:cs="Arial"/>
          <w:color w:val="auto"/>
        </w:rPr>
      </w:pPr>
    </w:p>
    <w:p w14:paraId="6F024544" w14:textId="6D41A724" w:rsidR="00170AA4" w:rsidRDefault="00E36283" w:rsidP="002B1ABE">
      <w:pPr>
        <w:rPr>
          <w:rFonts w:cs="Arial"/>
          <w:color w:val="auto"/>
        </w:rPr>
      </w:pPr>
      <w:r>
        <w:rPr>
          <w:rFonts w:cs="Arial"/>
          <w:color w:val="auto"/>
        </w:rPr>
        <w:t>Faix et al.</w:t>
      </w:r>
      <w:r w:rsidR="007A69B9">
        <w:rPr>
          <w:rFonts w:cs="Arial"/>
          <w:color w:val="auto"/>
          <w:vertAlign w:val="superscript"/>
        </w:rPr>
        <w:t>8</w:t>
      </w:r>
      <w:r w:rsidR="00170AA4" w:rsidRPr="00170AA4">
        <w:rPr>
          <w:rFonts w:cs="Arial"/>
          <w:color w:val="auto"/>
        </w:rPr>
        <w:t xml:space="preserve"> developed a method that has been modified here to address the issues of the Nicolaides method.</w:t>
      </w:r>
      <w:r w:rsidR="00865588">
        <w:rPr>
          <w:rFonts w:cs="Arial"/>
          <w:color w:val="auto"/>
        </w:rPr>
        <w:t xml:space="preserve"> </w:t>
      </w:r>
      <w:r w:rsidR="00170AA4" w:rsidRPr="00170AA4">
        <w:rPr>
          <w:rFonts w:cs="Arial"/>
          <w:color w:val="auto"/>
        </w:rPr>
        <w:t>The</w:t>
      </w:r>
      <w:r>
        <w:rPr>
          <w:rFonts w:cs="Arial"/>
          <w:color w:val="auto"/>
        </w:rPr>
        <w:t xml:space="preserve"> reaction is carried out at 80 ᵒ</w:t>
      </w:r>
      <w:r w:rsidR="00170AA4" w:rsidRPr="00170AA4">
        <w:rPr>
          <w:rFonts w:cs="Arial"/>
          <w:color w:val="auto"/>
        </w:rPr>
        <w:t>C for 2 hours, thereby increasing sample throughput.</w:t>
      </w:r>
      <w:r w:rsidR="00865588">
        <w:rPr>
          <w:rFonts w:cs="Arial"/>
          <w:color w:val="auto"/>
        </w:rPr>
        <w:t xml:space="preserve"> </w:t>
      </w:r>
      <w:r w:rsidR="00170AA4" w:rsidRPr="00170AA4">
        <w:rPr>
          <w:rFonts w:cs="Arial"/>
          <w:color w:val="auto"/>
        </w:rPr>
        <w:t>Pyridine has been replaced with triethanolamine</w:t>
      </w:r>
      <w:r w:rsidR="005970D8">
        <w:rPr>
          <w:rFonts w:cs="Arial"/>
          <w:color w:val="auto"/>
        </w:rPr>
        <w:t>,</w:t>
      </w:r>
      <w:r w:rsidR="00170AA4" w:rsidRPr="00170AA4">
        <w:rPr>
          <w:rFonts w:cs="Arial"/>
          <w:color w:val="auto"/>
        </w:rPr>
        <w:t xml:space="preserve"> which is a less toxic chemical.</w:t>
      </w:r>
      <w:r w:rsidR="00865588">
        <w:rPr>
          <w:rFonts w:cs="Arial"/>
          <w:color w:val="auto"/>
        </w:rPr>
        <w:t xml:space="preserve"> </w:t>
      </w:r>
      <w:r w:rsidR="00170AA4" w:rsidRPr="00170AA4">
        <w:rPr>
          <w:rFonts w:cs="Arial"/>
          <w:color w:val="auto"/>
        </w:rPr>
        <w:t>The sample size can be reduced to 100 to 150 mg.</w:t>
      </w:r>
      <w:r w:rsidR="00865588">
        <w:rPr>
          <w:rFonts w:cs="Arial"/>
          <w:color w:val="auto"/>
        </w:rPr>
        <w:t xml:space="preserve"> </w:t>
      </w:r>
      <w:r w:rsidR="00170AA4" w:rsidRPr="00170AA4">
        <w:rPr>
          <w:rFonts w:cs="Arial"/>
          <w:color w:val="auto"/>
        </w:rPr>
        <w:t>The triethanolamine consumes the liberated HCl, driving the reaction to completion and the unconsumed triethanolamine is titrated directly.</w:t>
      </w:r>
      <w:r w:rsidR="00865588">
        <w:rPr>
          <w:rFonts w:cs="Arial"/>
          <w:color w:val="auto"/>
        </w:rPr>
        <w:t xml:space="preserve"> </w:t>
      </w:r>
      <w:r w:rsidR="00170AA4" w:rsidRPr="00170AA4">
        <w:rPr>
          <w:rFonts w:cs="Arial"/>
          <w:color w:val="auto"/>
        </w:rPr>
        <w:t>A secondary titration of the hydroxylamine is unnecessary</w:t>
      </w:r>
      <w:r>
        <w:rPr>
          <w:rFonts w:cs="Arial"/>
          <w:color w:val="auto"/>
        </w:rPr>
        <w:t>.</w:t>
      </w:r>
      <w:r w:rsidRPr="00E36283">
        <w:rPr>
          <w:rFonts w:cs="Arial"/>
          <w:color w:val="auto"/>
        </w:rPr>
        <w:t xml:space="preserve"> </w:t>
      </w:r>
      <w:r w:rsidR="00DB2A40">
        <w:rPr>
          <w:rFonts w:cs="Arial"/>
          <w:color w:val="auto"/>
        </w:rPr>
        <w:t>Comparison of these titration methods has</w:t>
      </w:r>
      <w:r w:rsidRPr="00170AA4">
        <w:rPr>
          <w:rFonts w:cs="Arial"/>
          <w:color w:val="auto"/>
        </w:rPr>
        <w:t xml:space="preserve"> shown that the Nicolaides method significantly underestimates carbonyl content of bio-oil</w:t>
      </w:r>
      <w:r>
        <w:rPr>
          <w:rFonts w:cs="Arial"/>
          <w:color w:val="auto"/>
        </w:rPr>
        <w:t>s</w:t>
      </w:r>
      <w:r w:rsidR="007A69B9">
        <w:rPr>
          <w:rFonts w:cs="Arial"/>
          <w:color w:val="auto"/>
          <w:vertAlign w:val="superscript"/>
        </w:rPr>
        <w:t>9</w:t>
      </w:r>
      <w:r w:rsidRPr="00170AA4">
        <w:rPr>
          <w:rFonts w:cs="Arial"/>
          <w:color w:val="auto"/>
        </w:rPr>
        <w:t>.</w:t>
      </w:r>
      <w:r w:rsidR="00170AA4" w:rsidRPr="00170AA4">
        <w:rPr>
          <w:rFonts w:cs="Arial"/>
          <w:color w:val="auto"/>
        </w:rPr>
        <w:t xml:space="preserve"> </w:t>
      </w:r>
    </w:p>
    <w:p w14:paraId="6C7ECACD" w14:textId="77777777" w:rsidR="008E5196" w:rsidRDefault="008E5196" w:rsidP="002B1ABE">
      <w:pPr>
        <w:rPr>
          <w:rFonts w:cs="Arial"/>
          <w:color w:val="auto"/>
        </w:rPr>
      </w:pPr>
    </w:p>
    <w:p w14:paraId="4C8A2C87" w14:textId="3D875994" w:rsidR="008E5196" w:rsidRDefault="008E5196" w:rsidP="002B1ABE">
      <w:pPr>
        <w:rPr>
          <w:rFonts w:cs="Arial"/>
          <w:color w:val="auto"/>
        </w:rPr>
      </w:pPr>
      <w:r w:rsidRPr="008E5196">
        <w:rPr>
          <w:rFonts w:cs="Arial"/>
          <w:color w:val="auto"/>
        </w:rPr>
        <w:t>The method described here has been modif</w:t>
      </w:r>
      <w:r w:rsidR="00E36283">
        <w:rPr>
          <w:rFonts w:cs="Arial"/>
          <w:color w:val="auto"/>
        </w:rPr>
        <w:t>ied from the original method</w:t>
      </w:r>
      <w:r w:rsidR="00F012E4">
        <w:rPr>
          <w:rFonts w:cs="Arial"/>
          <w:color w:val="auto"/>
          <w:vertAlign w:val="superscript"/>
        </w:rPr>
        <w:t>8</w:t>
      </w:r>
      <w:r w:rsidRPr="008E5196">
        <w:rPr>
          <w:rFonts w:cs="Arial"/>
          <w:color w:val="auto"/>
        </w:rPr>
        <w:t xml:space="preserve"> to be more applicable to the analysis of pyrolysis bio-oils. This method was developed for the analysis of raw pyrolysis bio-oils, but it has been successfully applied to other types of biomass-derived oils, including hydrotreated bio-oils. Additionally, this method has been used to monitor changes in carbonyl content during both aging and upgrading.</w:t>
      </w:r>
    </w:p>
    <w:p w14:paraId="470F558E" w14:textId="77777777" w:rsidR="00170AA4" w:rsidRPr="000C7F1C" w:rsidRDefault="00170AA4" w:rsidP="002B1ABE">
      <w:pPr>
        <w:rPr>
          <w:rFonts w:cs="Arial"/>
          <w:color w:val="auto"/>
        </w:rPr>
      </w:pPr>
    </w:p>
    <w:p w14:paraId="47458F0E" w14:textId="22533852" w:rsidR="006305D7" w:rsidRPr="002E6FDF" w:rsidRDefault="006305D7" w:rsidP="002B1ABE">
      <w:pPr>
        <w:rPr>
          <w:rFonts w:cs="Arial"/>
          <w:b/>
        </w:rPr>
      </w:pPr>
      <w:r w:rsidRPr="002E6FDF">
        <w:rPr>
          <w:rFonts w:cs="Arial"/>
          <w:b/>
        </w:rPr>
        <w:t>PROTOCOL:</w:t>
      </w:r>
    </w:p>
    <w:p w14:paraId="6120854D" w14:textId="77777777" w:rsidR="00C54567" w:rsidRPr="002E6FDF" w:rsidRDefault="00C54567" w:rsidP="002B1ABE">
      <w:pPr>
        <w:rPr>
          <w:rFonts w:cs="Arial"/>
          <w:b/>
        </w:rPr>
      </w:pPr>
    </w:p>
    <w:p w14:paraId="60A7668B" w14:textId="3F1AB7E1" w:rsidR="00C54567" w:rsidRPr="002E6FDF" w:rsidRDefault="00C54567" w:rsidP="002B1ABE">
      <w:pPr>
        <w:rPr>
          <w:rFonts w:cs="Arial"/>
          <w:bCs/>
          <w:color w:val="808080"/>
          <w:highlight w:val="yellow"/>
        </w:rPr>
      </w:pPr>
      <w:r w:rsidRPr="002E6FDF">
        <w:rPr>
          <w:rFonts w:cs="Arial"/>
        </w:rPr>
        <w:t xml:space="preserve">Caution: Please review all relevant material safety data sheets (MSDS) before beginning. </w:t>
      </w:r>
      <w:r w:rsidR="008A59DE">
        <w:rPr>
          <w:rFonts w:cs="Arial"/>
        </w:rPr>
        <w:t xml:space="preserve">Ethanol </w:t>
      </w:r>
      <w:r w:rsidRPr="002E6FDF">
        <w:rPr>
          <w:rFonts w:cs="Arial"/>
        </w:rPr>
        <w:t xml:space="preserve">is flammable. </w:t>
      </w:r>
      <w:r w:rsidRPr="002E6FDF">
        <w:rPr>
          <w:rFonts w:cs="Arial"/>
          <w:color w:val="auto"/>
        </w:rPr>
        <w:t>All applicable chemical handling procedures should be followed</w:t>
      </w:r>
      <w:r w:rsidR="006C6858" w:rsidRPr="002E6FDF">
        <w:rPr>
          <w:rFonts w:cs="Arial"/>
          <w:color w:val="auto"/>
        </w:rPr>
        <w:t xml:space="preserve">, as well as </w:t>
      </w:r>
      <w:r w:rsidRPr="002E6FDF">
        <w:rPr>
          <w:rFonts w:cs="Arial"/>
          <w:color w:val="auto"/>
        </w:rPr>
        <w:t>all applicable waste disposable and handling procedures.</w:t>
      </w:r>
    </w:p>
    <w:p w14:paraId="6AE4207B" w14:textId="77777777" w:rsidR="00717CF1" w:rsidRPr="002E6FDF" w:rsidRDefault="00717CF1" w:rsidP="002B1ABE">
      <w:pPr>
        <w:pStyle w:val="NormalWeb"/>
        <w:spacing w:before="0" w:beforeAutospacing="0" w:after="0" w:afterAutospacing="0"/>
        <w:rPr>
          <w:rFonts w:cs="Arial"/>
          <w:color w:val="auto"/>
          <w:highlight w:val="yellow"/>
        </w:rPr>
      </w:pPr>
    </w:p>
    <w:p w14:paraId="6A70B544" w14:textId="751A4181" w:rsidR="008C4784" w:rsidRPr="002E6FDF" w:rsidRDefault="00E86635" w:rsidP="002B1ABE">
      <w:pPr>
        <w:pStyle w:val="NormalWeb"/>
        <w:spacing w:before="0" w:beforeAutospacing="0" w:after="0" w:afterAutospacing="0"/>
        <w:rPr>
          <w:rFonts w:cs="Arial"/>
          <w:b/>
          <w:color w:val="auto"/>
          <w:highlight w:val="yellow"/>
        </w:rPr>
      </w:pPr>
      <w:r w:rsidRPr="002E6FDF">
        <w:rPr>
          <w:rFonts w:cs="Arial"/>
          <w:color w:val="auto"/>
          <w:highlight w:val="yellow"/>
        </w:rPr>
        <w:t>1.</w:t>
      </w:r>
      <w:r w:rsidR="008C4784" w:rsidRPr="002E6FDF">
        <w:rPr>
          <w:rFonts w:cs="Arial"/>
          <w:color w:val="auto"/>
          <w:highlight w:val="yellow"/>
        </w:rPr>
        <w:t xml:space="preserve"> </w:t>
      </w:r>
      <w:r w:rsidR="008C4784" w:rsidRPr="002E6FDF">
        <w:rPr>
          <w:rFonts w:cs="Arial"/>
          <w:b/>
          <w:color w:val="auto"/>
          <w:highlight w:val="yellow"/>
        </w:rPr>
        <w:t>Reagent Solutions</w:t>
      </w:r>
    </w:p>
    <w:p w14:paraId="4C95B8EF" w14:textId="12741059" w:rsidR="00B6240F" w:rsidRDefault="00E86635" w:rsidP="002B1ABE">
      <w:pPr>
        <w:pStyle w:val="NormalWeb"/>
        <w:spacing w:before="0" w:beforeAutospacing="0" w:after="0" w:afterAutospacing="0"/>
        <w:rPr>
          <w:rFonts w:cs="Arial"/>
          <w:color w:val="auto"/>
          <w:highlight w:val="yellow"/>
        </w:rPr>
      </w:pPr>
      <w:r w:rsidRPr="002E6FDF">
        <w:rPr>
          <w:rFonts w:cs="Arial"/>
          <w:color w:val="auto"/>
          <w:highlight w:val="yellow"/>
        </w:rPr>
        <w:t>1</w:t>
      </w:r>
      <w:r w:rsidR="008C4784" w:rsidRPr="002E6FDF">
        <w:rPr>
          <w:rFonts w:cs="Arial"/>
          <w:color w:val="auto"/>
          <w:highlight w:val="yellow"/>
        </w:rPr>
        <w:t>.1)</w:t>
      </w:r>
      <w:r w:rsidR="008C4784" w:rsidRPr="002E6FDF">
        <w:rPr>
          <w:rFonts w:cs="Arial"/>
          <w:color w:val="auto"/>
          <w:highlight w:val="yellow"/>
        </w:rPr>
        <w:tab/>
      </w:r>
      <w:r w:rsidR="00B6240F">
        <w:rPr>
          <w:rFonts w:cs="Arial"/>
          <w:color w:val="auto"/>
          <w:highlight w:val="yellow"/>
        </w:rPr>
        <w:t>Prepare the h</w:t>
      </w:r>
      <w:r w:rsidR="008C4784" w:rsidRPr="002E6FDF">
        <w:rPr>
          <w:rFonts w:cs="Arial"/>
          <w:color w:val="auto"/>
          <w:highlight w:val="yellow"/>
        </w:rPr>
        <w:t>ydroxylamine hydrochloride solution (Solution A): Add 7.7 g of hydroxylamine hydrochloride and 50</w:t>
      </w:r>
      <w:r w:rsidR="00B6240F">
        <w:rPr>
          <w:rFonts w:cs="Arial"/>
          <w:color w:val="auto"/>
          <w:highlight w:val="yellow"/>
        </w:rPr>
        <w:t xml:space="preserve"> mL</w:t>
      </w:r>
      <w:r w:rsidR="008C4784" w:rsidRPr="002E6FDF">
        <w:rPr>
          <w:rFonts w:cs="Arial"/>
          <w:color w:val="auto"/>
          <w:highlight w:val="yellow"/>
        </w:rPr>
        <w:t xml:space="preserve"> of deionized water to a 250</w:t>
      </w:r>
      <w:r w:rsidR="00B6240F">
        <w:rPr>
          <w:rFonts w:cs="Arial"/>
          <w:color w:val="auto"/>
          <w:highlight w:val="yellow"/>
        </w:rPr>
        <w:t xml:space="preserve"> mL</w:t>
      </w:r>
      <w:r w:rsidR="008C4784" w:rsidRPr="002E6FDF">
        <w:rPr>
          <w:rFonts w:cs="Arial"/>
          <w:color w:val="auto"/>
          <w:highlight w:val="yellow"/>
        </w:rPr>
        <w:t xml:space="preserve"> volumetric flask. </w:t>
      </w:r>
      <w:r w:rsidR="00D94D63">
        <w:rPr>
          <w:rFonts w:cs="Arial"/>
          <w:color w:val="auto"/>
          <w:highlight w:val="yellow"/>
        </w:rPr>
        <w:t xml:space="preserve">When </w:t>
      </w:r>
      <w:r w:rsidR="00D94D63">
        <w:rPr>
          <w:rFonts w:cs="Arial"/>
          <w:color w:val="auto"/>
          <w:highlight w:val="yellow"/>
        </w:rPr>
        <w:lastRenderedPageBreak/>
        <w:t>all solids have dissolved, dilute to mark with ethanol.</w:t>
      </w:r>
      <w:r w:rsidR="00794DDC">
        <w:rPr>
          <w:rFonts w:cs="Arial"/>
          <w:color w:val="auto"/>
          <w:highlight w:val="yellow"/>
        </w:rPr>
        <w:t xml:space="preserve"> </w:t>
      </w:r>
      <w:r w:rsidR="00794DDC" w:rsidRPr="002E6FDF">
        <w:rPr>
          <w:rFonts w:cs="Arial"/>
          <w:color w:val="auto"/>
          <w:highlight w:val="yellow"/>
        </w:rPr>
        <w:t>This results in a 0.55</w:t>
      </w:r>
      <w:r w:rsidR="005970D8">
        <w:rPr>
          <w:rFonts w:cs="Arial"/>
          <w:color w:val="auto"/>
          <w:highlight w:val="yellow"/>
        </w:rPr>
        <w:t xml:space="preserve"> </w:t>
      </w:r>
      <w:r w:rsidR="00794DDC" w:rsidRPr="002E6FDF">
        <w:rPr>
          <w:rFonts w:cs="Arial"/>
          <w:color w:val="auto"/>
          <w:highlight w:val="yellow"/>
        </w:rPr>
        <w:t xml:space="preserve">M hydroxylamine </w:t>
      </w:r>
      <w:r w:rsidR="00B6240F" w:rsidRPr="002E6FDF">
        <w:rPr>
          <w:rFonts w:cs="Arial"/>
          <w:color w:val="auto"/>
          <w:highlight w:val="yellow"/>
        </w:rPr>
        <w:t>hydrochloride</w:t>
      </w:r>
      <w:r w:rsidR="00794DDC" w:rsidRPr="002E6FDF">
        <w:rPr>
          <w:rFonts w:cs="Arial"/>
          <w:color w:val="auto"/>
          <w:highlight w:val="yellow"/>
        </w:rPr>
        <w:t xml:space="preserve"> solution in 80</w:t>
      </w:r>
      <w:r w:rsidR="004A3D5F" w:rsidRPr="002E6FDF">
        <w:rPr>
          <w:rFonts w:cs="Arial"/>
          <w:color w:val="auto"/>
          <w:highlight w:val="yellow"/>
        </w:rPr>
        <w:t>% (</w:t>
      </w:r>
      <w:r w:rsidR="00794DDC" w:rsidRPr="002E6FDF">
        <w:rPr>
          <w:rFonts w:cs="Arial"/>
          <w:color w:val="auto"/>
          <w:highlight w:val="yellow"/>
        </w:rPr>
        <w:t>v/v</w:t>
      </w:r>
      <w:r w:rsidR="004A3D5F" w:rsidRPr="002E6FDF">
        <w:rPr>
          <w:rFonts w:cs="Arial"/>
          <w:color w:val="auto"/>
          <w:highlight w:val="yellow"/>
        </w:rPr>
        <w:t>)</w:t>
      </w:r>
      <w:r w:rsidR="00794DDC" w:rsidRPr="002E6FDF">
        <w:rPr>
          <w:rFonts w:cs="Arial"/>
          <w:color w:val="auto"/>
          <w:highlight w:val="yellow"/>
        </w:rPr>
        <w:t xml:space="preserve"> ethanol.</w:t>
      </w:r>
    </w:p>
    <w:p w14:paraId="1B103D02" w14:textId="77777777" w:rsidR="00B6240F" w:rsidRPr="002E6FDF" w:rsidRDefault="00B6240F" w:rsidP="002B1ABE">
      <w:pPr>
        <w:pStyle w:val="NormalWeb"/>
        <w:spacing w:before="0" w:beforeAutospacing="0" w:after="0" w:afterAutospacing="0"/>
        <w:rPr>
          <w:rFonts w:cs="Arial"/>
          <w:color w:val="auto"/>
          <w:highlight w:val="yellow"/>
        </w:rPr>
      </w:pPr>
    </w:p>
    <w:p w14:paraId="1E6D09CB" w14:textId="466B8F99" w:rsidR="008C4784" w:rsidRDefault="00E86635" w:rsidP="002B1ABE">
      <w:pPr>
        <w:pStyle w:val="NormalWeb"/>
        <w:spacing w:before="0" w:beforeAutospacing="0" w:after="0" w:afterAutospacing="0"/>
        <w:rPr>
          <w:highlight w:val="yellow"/>
        </w:rPr>
      </w:pPr>
      <w:r w:rsidRPr="002E6FDF">
        <w:rPr>
          <w:rFonts w:cs="Arial"/>
          <w:color w:val="auto"/>
          <w:highlight w:val="yellow"/>
        </w:rPr>
        <w:t>1</w:t>
      </w:r>
      <w:r w:rsidR="008C4784" w:rsidRPr="002E6FDF">
        <w:rPr>
          <w:rFonts w:cs="Arial"/>
          <w:color w:val="auto"/>
          <w:highlight w:val="yellow"/>
        </w:rPr>
        <w:t>.2)</w:t>
      </w:r>
      <w:r w:rsidR="008C4784" w:rsidRPr="002E6FDF">
        <w:rPr>
          <w:rFonts w:cs="Arial"/>
          <w:color w:val="auto"/>
          <w:highlight w:val="yellow"/>
        </w:rPr>
        <w:tab/>
      </w:r>
      <w:r w:rsidR="00B6240F">
        <w:rPr>
          <w:rFonts w:cs="Arial"/>
          <w:color w:val="auto"/>
          <w:highlight w:val="yellow"/>
        </w:rPr>
        <w:t>Prepare the t</w:t>
      </w:r>
      <w:r w:rsidR="00B6240F" w:rsidRPr="002E6FDF">
        <w:rPr>
          <w:rFonts w:cs="Arial"/>
          <w:color w:val="auto"/>
          <w:highlight w:val="yellow"/>
        </w:rPr>
        <w:t xml:space="preserve">riethanolamine </w:t>
      </w:r>
      <w:r w:rsidR="008C4784" w:rsidRPr="002E6FDF">
        <w:rPr>
          <w:rFonts w:cs="Arial"/>
          <w:color w:val="auto"/>
          <w:highlight w:val="yellow"/>
        </w:rPr>
        <w:t>solution (Solution B): Add 17.4</w:t>
      </w:r>
      <w:r w:rsidR="00B6240F">
        <w:rPr>
          <w:rFonts w:cs="Arial"/>
          <w:color w:val="auto"/>
          <w:highlight w:val="yellow"/>
        </w:rPr>
        <w:t xml:space="preserve"> mL</w:t>
      </w:r>
      <w:r w:rsidR="008C4784" w:rsidRPr="002E6FDF">
        <w:rPr>
          <w:rFonts w:cs="Arial"/>
          <w:color w:val="auto"/>
          <w:highlight w:val="yellow"/>
        </w:rPr>
        <w:t xml:space="preserve"> of triethanolamine to a 250</w:t>
      </w:r>
      <w:r w:rsidR="00B6240F">
        <w:rPr>
          <w:rFonts w:cs="Arial"/>
          <w:color w:val="auto"/>
          <w:highlight w:val="yellow"/>
        </w:rPr>
        <w:t xml:space="preserve"> mL</w:t>
      </w:r>
      <w:r w:rsidR="008C4784" w:rsidRPr="002E6FDF">
        <w:rPr>
          <w:rFonts w:cs="Arial"/>
          <w:color w:val="auto"/>
          <w:highlight w:val="yellow"/>
        </w:rPr>
        <w:t xml:space="preserve"> volumetric flask</w:t>
      </w:r>
      <w:r w:rsidR="00E904F1">
        <w:rPr>
          <w:rFonts w:cs="Arial"/>
          <w:color w:val="auto"/>
          <w:highlight w:val="yellow"/>
        </w:rPr>
        <w:t>.</w:t>
      </w:r>
      <w:r w:rsidR="00B6240F">
        <w:rPr>
          <w:rFonts w:cs="Arial"/>
          <w:color w:val="auto"/>
          <w:highlight w:val="yellow"/>
        </w:rPr>
        <w:t xml:space="preserve"> </w:t>
      </w:r>
      <w:r w:rsidR="00E904F1">
        <w:rPr>
          <w:rFonts w:cs="Arial"/>
          <w:color w:val="auto"/>
          <w:highlight w:val="yellow"/>
        </w:rPr>
        <w:t>Add 10</w:t>
      </w:r>
      <w:r w:rsidR="00B6240F">
        <w:rPr>
          <w:rFonts w:cs="Arial"/>
          <w:color w:val="auto"/>
          <w:highlight w:val="yellow"/>
        </w:rPr>
        <w:t xml:space="preserve"> mL</w:t>
      </w:r>
      <w:r w:rsidR="00E904F1">
        <w:rPr>
          <w:rFonts w:cs="Arial"/>
          <w:color w:val="auto"/>
          <w:highlight w:val="yellow"/>
        </w:rPr>
        <w:t xml:space="preserve"> of water</w:t>
      </w:r>
      <w:r w:rsidR="008C4784" w:rsidRPr="002E6FDF">
        <w:rPr>
          <w:rFonts w:cs="Arial"/>
          <w:color w:val="auto"/>
          <w:highlight w:val="yellow"/>
        </w:rPr>
        <w:t xml:space="preserve">, </w:t>
      </w:r>
      <w:r w:rsidR="005970D8">
        <w:rPr>
          <w:rFonts w:cs="Arial"/>
          <w:color w:val="auto"/>
          <w:highlight w:val="yellow"/>
        </w:rPr>
        <w:t xml:space="preserve">and </w:t>
      </w:r>
      <w:r w:rsidR="008C4784" w:rsidRPr="002E6FDF">
        <w:rPr>
          <w:rFonts w:cs="Arial"/>
          <w:color w:val="auto"/>
          <w:highlight w:val="yellow"/>
        </w:rPr>
        <w:t>then dilute up to the mark with ethanol.</w:t>
      </w:r>
      <w:r w:rsidR="00B6240F">
        <w:rPr>
          <w:rFonts w:cs="Arial"/>
          <w:color w:val="auto"/>
          <w:highlight w:val="yellow"/>
        </w:rPr>
        <w:t xml:space="preserve"> </w:t>
      </w:r>
      <w:r w:rsidR="00E904F1">
        <w:rPr>
          <w:rFonts w:cs="Arial"/>
          <w:color w:val="auto"/>
          <w:highlight w:val="yellow"/>
        </w:rPr>
        <w:t>95% ethanol can also be used if the addition of water is skipped.</w:t>
      </w:r>
      <w:r w:rsidR="004A3D5F">
        <w:rPr>
          <w:rFonts w:cs="Arial"/>
          <w:color w:val="auto"/>
          <w:highlight w:val="yellow"/>
        </w:rPr>
        <w:t xml:space="preserve"> This results in a</w:t>
      </w:r>
      <w:r w:rsidR="004A3D5F" w:rsidRPr="009A2FCD">
        <w:rPr>
          <w:rFonts w:cs="Arial"/>
          <w:color w:val="auto"/>
          <w:highlight w:val="yellow"/>
        </w:rPr>
        <w:t xml:space="preserve"> </w:t>
      </w:r>
      <w:r w:rsidR="004A3D5F" w:rsidRPr="002E6FDF">
        <w:rPr>
          <w:highlight w:val="yellow"/>
        </w:rPr>
        <w:t>0.48</w:t>
      </w:r>
      <w:r w:rsidR="005970D8">
        <w:rPr>
          <w:highlight w:val="yellow"/>
        </w:rPr>
        <w:t xml:space="preserve"> </w:t>
      </w:r>
      <w:r w:rsidR="004A3D5F" w:rsidRPr="002E6FDF">
        <w:rPr>
          <w:highlight w:val="yellow"/>
        </w:rPr>
        <w:t>M triethanolamine solution in 96 % (v/v) ethanol</w:t>
      </w:r>
    </w:p>
    <w:p w14:paraId="3A64C6F5" w14:textId="77777777" w:rsidR="00B6240F" w:rsidRPr="002E6FDF" w:rsidRDefault="00B6240F" w:rsidP="002B1ABE">
      <w:pPr>
        <w:pStyle w:val="NormalWeb"/>
        <w:spacing w:before="0" w:beforeAutospacing="0" w:after="0" w:afterAutospacing="0"/>
        <w:rPr>
          <w:rFonts w:cs="Arial"/>
          <w:color w:val="auto"/>
          <w:highlight w:val="yellow"/>
        </w:rPr>
      </w:pPr>
    </w:p>
    <w:p w14:paraId="393492E0" w14:textId="232B3AE8" w:rsidR="008C4784" w:rsidRPr="002E6FDF" w:rsidRDefault="00E86635" w:rsidP="002B1ABE">
      <w:pPr>
        <w:pStyle w:val="NormalWeb"/>
        <w:spacing w:before="0" w:beforeAutospacing="0" w:after="0" w:afterAutospacing="0"/>
        <w:rPr>
          <w:rFonts w:cs="Arial"/>
          <w:color w:val="auto"/>
          <w:highlight w:val="yellow"/>
        </w:rPr>
      </w:pPr>
      <w:r w:rsidRPr="002E6FDF">
        <w:rPr>
          <w:rFonts w:cs="Arial"/>
          <w:color w:val="auto"/>
          <w:highlight w:val="yellow"/>
        </w:rPr>
        <w:t>1</w:t>
      </w:r>
      <w:r w:rsidR="008C4784" w:rsidRPr="002E6FDF">
        <w:rPr>
          <w:rFonts w:cs="Arial"/>
          <w:color w:val="auto"/>
          <w:highlight w:val="yellow"/>
        </w:rPr>
        <w:t>.3)</w:t>
      </w:r>
      <w:r w:rsidR="008C4784" w:rsidRPr="002E6FDF">
        <w:rPr>
          <w:rFonts w:cs="Arial"/>
          <w:color w:val="auto"/>
          <w:highlight w:val="yellow"/>
        </w:rPr>
        <w:tab/>
      </w:r>
      <w:r w:rsidR="00B6240F">
        <w:rPr>
          <w:rFonts w:cs="Arial"/>
          <w:color w:val="auto"/>
          <w:highlight w:val="yellow"/>
        </w:rPr>
        <w:t>Prepare the h</w:t>
      </w:r>
      <w:r w:rsidR="00B6240F" w:rsidRPr="002E6FDF">
        <w:rPr>
          <w:rFonts w:cs="Arial"/>
          <w:color w:val="auto"/>
          <w:highlight w:val="yellow"/>
        </w:rPr>
        <w:t xml:space="preserve">ydrochloric </w:t>
      </w:r>
      <w:r w:rsidR="005970D8">
        <w:rPr>
          <w:rFonts w:cs="Arial"/>
          <w:color w:val="auto"/>
          <w:highlight w:val="yellow"/>
        </w:rPr>
        <w:t xml:space="preserve">acid solution. </w:t>
      </w:r>
      <w:r w:rsidR="008C4784" w:rsidRPr="002E6FDF">
        <w:rPr>
          <w:rFonts w:cs="Arial"/>
          <w:color w:val="auto"/>
          <w:highlight w:val="yellow"/>
        </w:rPr>
        <w:t>Either purchase 0.1</w:t>
      </w:r>
      <w:r w:rsidR="00865588" w:rsidRPr="002E6FDF">
        <w:rPr>
          <w:rFonts w:cs="Arial"/>
          <w:color w:val="auto"/>
          <w:highlight w:val="yellow"/>
        </w:rPr>
        <w:t xml:space="preserve"> </w:t>
      </w:r>
      <w:r w:rsidR="008C4784" w:rsidRPr="002E6FDF">
        <w:rPr>
          <w:rFonts w:cs="Arial"/>
          <w:color w:val="auto"/>
          <w:highlight w:val="yellow"/>
        </w:rPr>
        <w:t>N solution or prepare using 10</w:t>
      </w:r>
      <w:r w:rsidR="00B6240F">
        <w:rPr>
          <w:rFonts w:cs="Arial"/>
          <w:color w:val="auto"/>
          <w:highlight w:val="yellow"/>
        </w:rPr>
        <w:t xml:space="preserve"> mL</w:t>
      </w:r>
      <w:r w:rsidR="008C4784" w:rsidRPr="002E6FDF">
        <w:rPr>
          <w:rFonts w:cs="Arial"/>
          <w:color w:val="auto"/>
          <w:highlight w:val="yellow"/>
        </w:rPr>
        <w:t xml:space="preserve"> concentrated HCl and 1 L water.</w:t>
      </w:r>
      <w:r w:rsidR="00865588" w:rsidRPr="002E6FDF">
        <w:rPr>
          <w:rFonts w:cs="Arial"/>
          <w:color w:val="auto"/>
          <w:highlight w:val="yellow"/>
        </w:rPr>
        <w:t xml:space="preserve"> </w:t>
      </w:r>
    </w:p>
    <w:p w14:paraId="7C5BD7BF" w14:textId="77777777" w:rsidR="008C4784" w:rsidRPr="002E6FDF" w:rsidRDefault="008C4784" w:rsidP="002B1ABE">
      <w:pPr>
        <w:pStyle w:val="NormalWeb"/>
        <w:spacing w:before="0" w:beforeAutospacing="0" w:after="0" w:afterAutospacing="0"/>
        <w:rPr>
          <w:rFonts w:cs="Arial"/>
          <w:color w:val="auto"/>
          <w:highlight w:val="yellow"/>
        </w:rPr>
      </w:pPr>
    </w:p>
    <w:p w14:paraId="315790EF" w14:textId="533080FD" w:rsidR="00E36458" w:rsidRPr="002E6FDF" w:rsidRDefault="00E86635" w:rsidP="002B1ABE">
      <w:pPr>
        <w:pStyle w:val="NormalWeb"/>
        <w:spacing w:before="0" w:beforeAutospacing="0" w:after="0" w:afterAutospacing="0"/>
        <w:rPr>
          <w:rFonts w:cs="Arial"/>
          <w:b/>
          <w:bCs/>
          <w:color w:val="auto"/>
          <w:highlight w:val="yellow"/>
        </w:rPr>
      </w:pPr>
      <w:r w:rsidRPr="002E6FDF">
        <w:rPr>
          <w:rFonts w:cs="Arial"/>
          <w:b/>
          <w:bCs/>
          <w:color w:val="auto"/>
          <w:highlight w:val="yellow"/>
        </w:rPr>
        <w:t>2</w:t>
      </w:r>
      <w:r w:rsidR="00E36458" w:rsidRPr="002E6FDF">
        <w:rPr>
          <w:rFonts w:cs="Arial"/>
          <w:b/>
          <w:bCs/>
          <w:color w:val="auto"/>
          <w:highlight w:val="yellow"/>
        </w:rPr>
        <w:t xml:space="preserve">. </w:t>
      </w:r>
      <w:r w:rsidRPr="002E6FDF">
        <w:rPr>
          <w:rFonts w:cs="Arial"/>
          <w:b/>
          <w:bCs/>
          <w:color w:val="auto"/>
          <w:highlight w:val="yellow"/>
        </w:rPr>
        <w:t xml:space="preserve">Bio-oil </w:t>
      </w:r>
      <w:r w:rsidR="00E36458" w:rsidRPr="002E6FDF">
        <w:rPr>
          <w:rFonts w:cs="Arial"/>
          <w:b/>
          <w:bCs/>
          <w:color w:val="auto"/>
          <w:highlight w:val="yellow"/>
        </w:rPr>
        <w:t>Sampling</w:t>
      </w:r>
      <w:r w:rsidRPr="002E6FDF">
        <w:rPr>
          <w:rFonts w:cs="Arial"/>
          <w:b/>
          <w:bCs/>
          <w:color w:val="auto"/>
          <w:highlight w:val="yellow"/>
        </w:rPr>
        <w:t xml:space="preserve"> and Handling</w:t>
      </w:r>
    </w:p>
    <w:p w14:paraId="312B975B" w14:textId="102CFCCD" w:rsidR="00E36458" w:rsidRPr="002E6FDF" w:rsidRDefault="00E86635" w:rsidP="002B1ABE">
      <w:pPr>
        <w:pStyle w:val="NormalWeb"/>
        <w:spacing w:before="0" w:beforeAutospacing="0" w:after="0" w:afterAutospacing="0"/>
        <w:rPr>
          <w:rFonts w:cs="Arial"/>
          <w:color w:val="auto"/>
          <w:highlight w:val="yellow"/>
        </w:rPr>
      </w:pPr>
      <w:r w:rsidRPr="002E6FDF">
        <w:rPr>
          <w:rFonts w:cs="Arial"/>
          <w:color w:val="auto"/>
          <w:highlight w:val="yellow"/>
        </w:rPr>
        <w:t>2</w:t>
      </w:r>
      <w:r w:rsidR="00E36458" w:rsidRPr="002E6FDF">
        <w:rPr>
          <w:rFonts w:cs="Arial"/>
          <w:color w:val="auto"/>
          <w:highlight w:val="yellow"/>
        </w:rPr>
        <w:t xml:space="preserve">.1) Make sure the oil sample is at room temperature prior to withdrawing a sample. </w:t>
      </w:r>
      <w:r w:rsidR="00EE0F62" w:rsidRPr="002E6FDF">
        <w:rPr>
          <w:rFonts w:cs="Arial"/>
          <w:color w:val="auto"/>
          <w:highlight w:val="yellow"/>
        </w:rPr>
        <w:t>T</w:t>
      </w:r>
      <w:r w:rsidR="00E36458" w:rsidRPr="002E6FDF">
        <w:rPr>
          <w:rFonts w:cs="Arial"/>
          <w:color w:val="auto"/>
          <w:highlight w:val="yellow"/>
        </w:rPr>
        <w:t>horoughly homogenize</w:t>
      </w:r>
      <w:r w:rsidRPr="002E6FDF">
        <w:rPr>
          <w:rFonts w:cs="Arial"/>
          <w:color w:val="auto"/>
          <w:highlight w:val="yellow"/>
        </w:rPr>
        <w:t xml:space="preserve"> (mix by shaking vigorously for at least 1 minute</w:t>
      </w:r>
      <w:r w:rsidR="000F78B8">
        <w:rPr>
          <w:rFonts w:cs="Arial"/>
          <w:color w:val="auto"/>
          <w:highlight w:val="yellow"/>
        </w:rPr>
        <w:t>, and visually inspect the sample to ensure it is homogenous. Some bio-oils may require longer shaking times</w:t>
      </w:r>
      <w:r w:rsidRPr="002E6FDF">
        <w:rPr>
          <w:rFonts w:cs="Arial"/>
          <w:color w:val="auto"/>
          <w:highlight w:val="yellow"/>
        </w:rPr>
        <w:t>)</w:t>
      </w:r>
      <w:r w:rsidR="00E36458" w:rsidRPr="002E6FDF">
        <w:rPr>
          <w:rFonts w:cs="Arial"/>
          <w:color w:val="auto"/>
          <w:highlight w:val="yellow"/>
        </w:rPr>
        <w:t xml:space="preserve"> </w:t>
      </w:r>
      <w:r w:rsidR="00EE0F62" w:rsidRPr="002E6FDF">
        <w:rPr>
          <w:rFonts w:cs="Arial"/>
          <w:color w:val="auto"/>
          <w:highlight w:val="yellow"/>
        </w:rPr>
        <w:t xml:space="preserve">bio-oil </w:t>
      </w:r>
      <w:r w:rsidR="00E36458" w:rsidRPr="002E6FDF">
        <w:rPr>
          <w:rFonts w:cs="Arial"/>
          <w:color w:val="auto"/>
          <w:highlight w:val="yellow"/>
        </w:rPr>
        <w:t>to obtain a representative sample.</w:t>
      </w:r>
    </w:p>
    <w:p w14:paraId="182F8E04" w14:textId="77777777" w:rsidR="00865588" w:rsidRPr="002E6FDF" w:rsidRDefault="00865588" w:rsidP="002B1ABE">
      <w:pPr>
        <w:pStyle w:val="NormalWeb"/>
        <w:spacing w:before="0" w:beforeAutospacing="0" w:after="0" w:afterAutospacing="0"/>
        <w:rPr>
          <w:rFonts w:cs="Arial"/>
          <w:color w:val="auto"/>
          <w:highlight w:val="yellow"/>
        </w:rPr>
      </w:pPr>
    </w:p>
    <w:p w14:paraId="705A446A" w14:textId="4999D67F" w:rsidR="00E36458" w:rsidRPr="002E6FDF" w:rsidRDefault="00E86635" w:rsidP="002B1ABE">
      <w:pPr>
        <w:pStyle w:val="NormalWeb"/>
        <w:spacing w:before="0" w:beforeAutospacing="0" w:after="0" w:afterAutospacing="0"/>
        <w:rPr>
          <w:rFonts w:cs="Arial"/>
          <w:color w:val="auto"/>
          <w:highlight w:val="yellow"/>
        </w:rPr>
      </w:pPr>
      <w:r w:rsidRPr="002E6FDF">
        <w:rPr>
          <w:rFonts w:cs="Arial"/>
          <w:color w:val="auto"/>
          <w:highlight w:val="yellow"/>
        </w:rPr>
        <w:t>2</w:t>
      </w:r>
      <w:r w:rsidR="00E36458" w:rsidRPr="002E6FDF">
        <w:rPr>
          <w:rFonts w:cs="Arial"/>
          <w:color w:val="auto"/>
          <w:highlight w:val="yellow"/>
        </w:rPr>
        <w:t xml:space="preserve">.2) </w:t>
      </w:r>
      <w:r w:rsidR="00B6240F">
        <w:rPr>
          <w:rFonts w:cs="Arial"/>
          <w:color w:val="auto"/>
          <w:highlight w:val="yellow"/>
        </w:rPr>
        <w:t>For the</w:t>
      </w:r>
      <w:r w:rsidR="00B6240F" w:rsidRPr="002E6FDF">
        <w:rPr>
          <w:rFonts w:cs="Arial"/>
          <w:color w:val="auto"/>
          <w:highlight w:val="yellow"/>
        </w:rPr>
        <w:t xml:space="preserve"> </w:t>
      </w:r>
      <w:r w:rsidRPr="002E6FDF">
        <w:rPr>
          <w:rFonts w:cs="Arial"/>
          <w:color w:val="auto"/>
          <w:highlight w:val="yellow"/>
        </w:rPr>
        <w:t>bio-oil sample</w:t>
      </w:r>
      <w:r w:rsidR="00B6240F">
        <w:rPr>
          <w:rFonts w:cs="Arial"/>
          <w:color w:val="auto"/>
          <w:highlight w:val="yellow"/>
        </w:rPr>
        <w:t xml:space="preserve">, use </w:t>
      </w:r>
      <w:r w:rsidR="00E36458" w:rsidRPr="002E6FDF">
        <w:rPr>
          <w:rFonts w:cs="Arial"/>
          <w:color w:val="auto"/>
          <w:highlight w:val="yellow"/>
        </w:rPr>
        <w:t xml:space="preserve">100 to 150 </w:t>
      </w:r>
      <w:r w:rsidR="00B6240F">
        <w:rPr>
          <w:rFonts w:cs="Arial"/>
          <w:color w:val="auto"/>
          <w:highlight w:val="yellow"/>
        </w:rPr>
        <w:t>mg</w:t>
      </w:r>
      <w:r w:rsidR="00B6240F" w:rsidRPr="002E6FDF">
        <w:rPr>
          <w:rFonts w:cs="Arial"/>
          <w:color w:val="auto"/>
          <w:highlight w:val="yellow"/>
        </w:rPr>
        <w:t xml:space="preserve"> </w:t>
      </w:r>
      <w:r w:rsidR="00E36458" w:rsidRPr="002E6FDF">
        <w:rPr>
          <w:rFonts w:cs="Arial"/>
          <w:color w:val="auto"/>
          <w:highlight w:val="yellow"/>
        </w:rPr>
        <w:t>of bio-oil.</w:t>
      </w:r>
    </w:p>
    <w:p w14:paraId="2A5F6298" w14:textId="77777777" w:rsidR="00865588" w:rsidRPr="002E6FDF" w:rsidRDefault="00865588" w:rsidP="002B1ABE">
      <w:pPr>
        <w:pStyle w:val="NormalWeb"/>
        <w:spacing w:before="0" w:beforeAutospacing="0" w:after="0" w:afterAutospacing="0"/>
        <w:rPr>
          <w:rFonts w:cs="Arial"/>
          <w:color w:val="auto"/>
          <w:highlight w:val="yellow"/>
        </w:rPr>
      </w:pPr>
    </w:p>
    <w:p w14:paraId="14D33AF6" w14:textId="049936A1" w:rsidR="00E36458" w:rsidRPr="002E6FDF" w:rsidRDefault="00E86635" w:rsidP="002B1ABE">
      <w:pPr>
        <w:pStyle w:val="NormalWeb"/>
        <w:spacing w:before="0" w:beforeAutospacing="0" w:after="0" w:afterAutospacing="0"/>
        <w:rPr>
          <w:rFonts w:cs="Arial"/>
          <w:color w:val="auto"/>
          <w:highlight w:val="yellow"/>
        </w:rPr>
      </w:pPr>
      <w:r w:rsidRPr="002E6FDF">
        <w:rPr>
          <w:rFonts w:cs="Arial"/>
          <w:color w:val="auto"/>
          <w:highlight w:val="yellow"/>
        </w:rPr>
        <w:t>2</w:t>
      </w:r>
      <w:r w:rsidR="00E36458" w:rsidRPr="002E6FDF">
        <w:rPr>
          <w:rFonts w:cs="Arial"/>
          <w:color w:val="auto"/>
          <w:highlight w:val="yellow"/>
        </w:rPr>
        <w:t xml:space="preserve">.3) </w:t>
      </w:r>
      <w:r w:rsidR="00592531" w:rsidRPr="002E6FDF">
        <w:rPr>
          <w:rFonts w:cs="Arial"/>
          <w:color w:val="auto"/>
          <w:highlight w:val="yellow"/>
        </w:rPr>
        <w:t>Minimize e</w:t>
      </w:r>
      <w:r w:rsidR="00E36458" w:rsidRPr="002E6FDF">
        <w:rPr>
          <w:rFonts w:cs="Arial"/>
          <w:color w:val="auto"/>
          <w:highlight w:val="yellow"/>
        </w:rPr>
        <w:t>xposure to oxygen and heat to prevent sample degradation prior to analysis.</w:t>
      </w:r>
    </w:p>
    <w:p w14:paraId="2DD0CDF5" w14:textId="77777777" w:rsidR="006305D7" w:rsidRPr="002E6FDF" w:rsidRDefault="006305D7" w:rsidP="002B1ABE">
      <w:pPr>
        <w:rPr>
          <w:rFonts w:cs="Arial"/>
          <w:b/>
          <w:highlight w:val="yellow"/>
        </w:rPr>
      </w:pPr>
    </w:p>
    <w:p w14:paraId="37500C14" w14:textId="04D1636F" w:rsidR="00865588" w:rsidRPr="002E6FDF" w:rsidRDefault="00BD039B" w:rsidP="002B1ABE">
      <w:pPr>
        <w:pStyle w:val="NormalWeb"/>
        <w:spacing w:before="0" w:beforeAutospacing="0" w:after="0" w:afterAutospacing="0"/>
        <w:rPr>
          <w:rFonts w:cs="Arial"/>
          <w:b/>
          <w:bCs/>
          <w:color w:val="auto"/>
          <w:highlight w:val="yellow"/>
        </w:rPr>
      </w:pPr>
      <w:r w:rsidRPr="002E6FDF">
        <w:rPr>
          <w:rFonts w:cs="Arial"/>
          <w:b/>
          <w:bCs/>
          <w:color w:val="auto"/>
          <w:highlight w:val="yellow"/>
        </w:rPr>
        <w:t>3</w:t>
      </w:r>
      <w:r w:rsidR="00E36458" w:rsidRPr="002E6FDF">
        <w:rPr>
          <w:rFonts w:cs="Arial"/>
          <w:b/>
          <w:bCs/>
          <w:color w:val="auto"/>
          <w:highlight w:val="yellow"/>
        </w:rPr>
        <w:t>. Analytical Procedure</w:t>
      </w:r>
    </w:p>
    <w:p w14:paraId="447C357E" w14:textId="6FE03B7D" w:rsidR="00865588" w:rsidRPr="002E6FDF" w:rsidRDefault="00BD039B" w:rsidP="002B1ABE">
      <w:pPr>
        <w:pStyle w:val="NormalWeb"/>
        <w:spacing w:before="0" w:beforeAutospacing="0" w:after="0" w:afterAutospacing="0"/>
        <w:rPr>
          <w:rFonts w:cs="Arial"/>
          <w:b/>
          <w:bCs/>
          <w:color w:val="auto"/>
          <w:highlight w:val="yellow"/>
        </w:rPr>
      </w:pPr>
      <w:r w:rsidRPr="002E6FDF">
        <w:rPr>
          <w:rFonts w:cs="Arial"/>
          <w:bCs/>
          <w:color w:val="auto"/>
          <w:highlight w:val="yellow"/>
        </w:rPr>
        <w:t>3</w:t>
      </w:r>
      <w:r w:rsidR="003B2D8D" w:rsidRPr="002E6FDF">
        <w:rPr>
          <w:rFonts w:cs="Arial"/>
          <w:bCs/>
          <w:color w:val="auto"/>
          <w:highlight w:val="yellow"/>
        </w:rPr>
        <w:t xml:space="preserve">.1) </w:t>
      </w:r>
      <w:r w:rsidR="003B2D8D" w:rsidRPr="002E6FDF">
        <w:rPr>
          <w:rFonts w:cs="Arial"/>
          <w:b/>
          <w:bCs/>
          <w:color w:val="auto"/>
          <w:highlight w:val="yellow"/>
        </w:rPr>
        <w:t>Standardization of the Base S</w:t>
      </w:r>
      <w:r w:rsidR="00E36458" w:rsidRPr="002E6FDF">
        <w:rPr>
          <w:rFonts w:cs="Arial"/>
          <w:b/>
          <w:bCs/>
          <w:color w:val="auto"/>
          <w:highlight w:val="yellow"/>
        </w:rPr>
        <w:t>olution</w:t>
      </w:r>
    </w:p>
    <w:p w14:paraId="6CF9BEB9" w14:textId="7786B7E0"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.1.1)</w:t>
      </w:r>
      <w:r w:rsidR="003B2D8D" w:rsidRPr="002E6FDF">
        <w:rPr>
          <w:rFonts w:cs="Arial"/>
          <w:bCs/>
          <w:color w:val="auto"/>
          <w:highlight w:val="yellow"/>
        </w:rPr>
        <w:tab/>
      </w:r>
      <w:r w:rsidR="003A7330">
        <w:rPr>
          <w:rFonts w:cs="Arial"/>
          <w:bCs/>
          <w:color w:val="auto"/>
          <w:highlight w:val="yellow"/>
        </w:rPr>
        <w:t>Dry Na</w:t>
      </w:r>
      <w:r w:rsidR="003A7330">
        <w:rPr>
          <w:rFonts w:cs="Arial"/>
          <w:bCs/>
          <w:color w:val="auto"/>
          <w:highlight w:val="yellow"/>
          <w:vertAlign w:val="subscript"/>
        </w:rPr>
        <w:t>2</w:t>
      </w:r>
      <w:r w:rsidR="003A7330">
        <w:rPr>
          <w:rFonts w:cs="Arial"/>
          <w:bCs/>
          <w:color w:val="auto"/>
          <w:highlight w:val="yellow"/>
        </w:rPr>
        <w:t>CO</w:t>
      </w:r>
      <w:r w:rsidR="003A7330">
        <w:rPr>
          <w:rFonts w:cs="Arial"/>
          <w:bCs/>
          <w:color w:val="auto"/>
          <w:highlight w:val="yellow"/>
          <w:vertAlign w:val="subscript"/>
        </w:rPr>
        <w:t>3</w:t>
      </w:r>
      <w:r w:rsidR="003A7330">
        <w:rPr>
          <w:rFonts w:cs="Arial"/>
          <w:bCs/>
          <w:color w:val="auto"/>
          <w:highlight w:val="yellow"/>
        </w:rPr>
        <w:t xml:space="preserve"> primary standard in an ove</w:t>
      </w:r>
      <w:r w:rsidR="004A3D5F">
        <w:rPr>
          <w:rFonts w:cs="Arial"/>
          <w:bCs/>
          <w:color w:val="auto"/>
          <w:highlight w:val="yellow"/>
        </w:rPr>
        <w:t>n</w:t>
      </w:r>
      <w:r w:rsidR="003A7330">
        <w:rPr>
          <w:rFonts w:cs="Arial"/>
          <w:bCs/>
          <w:color w:val="auto"/>
          <w:highlight w:val="yellow"/>
        </w:rPr>
        <w:t xml:space="preserve"> at 105</w:t>
      </w:r>
      <w:r w:rsidR="00B6240F">
        <w:rPr>
          <w:rFonts w:cs="Arial"/>
          <w:bCs/>
          <w:color w:val="auto"/>
          <w:highlight w:val="yellow"/>
        </w:rPr>
        <w:t xml:space="preserve"> </w:t>
      </w:r>
      <w:r w:rsidR="003A7330">
        <w:rPr>
          <w:rFonts w:cs="Arial"/>
          <w:bCs/>
          <w:color w:val="auto"/>
          <w:highlight w:val="yellow"/>
        </w:rPr>
        <w:t>°C overnight to ensure a dry sample.</w:t>
      </w:r>
      <w:r w:rsidR="00B6240F">
        <w:rPr>
          <w:rFonts w:cs="Arial"/>
          <w:bCs/>
          <w:color w:val="auto"/>
          <w:highlight w:val="yellow"/>
        </w:rPr>
        <w:t xml:space="preserve"> </w:t>
      </w:r>
      <w:r w:rsidR="003A7330">
        <w:rPr>
          <w:rFonts w:cs="Arial"/>
          <w:bCs/>
          <w:color w:val="auto"/>
          <w:highlight w:val="yellow"/>
        </w:rPr>
        <w:t>Allow the</w:t>
      </w:r>
      <w:r w:rsidR="00B6240F">
        <w:rPr>
          <w:rFonts w:cs="Arial"/>
          <w:bCs/>
          <w:color w:val="auto"/>
          <w:highlight w:val="yellow"/>
        </w:rPr>
        <w:t xml:space="preserve"> </w:t>
      </w:r>
      <w:r w:rsidR="003A7330">
        <w:rPr>
          <w:rFonts w:cs="Arial"/>
          <w:bCs/>
          <w:color w:val="auto"/>
          <w:highlight w:val="yellow"/>
        </w:rPr>
        <w:t>Na</w:t>
      </w:r>
      <w:r w:rsidR="003A7330">
        <w:rPr>
          <w:rFonts w:cs="Arial"/>
          <w:bCs/>
          <w:color w:val="auto"/>
          <w:highlight w:val="yellow"/>
          <w:vertAlign w:val="subscript"/>
        </w:rPr>
        <w:t>2</w:t>
      </w:r>
      <w:r w:rsidR="003A7330">
        <w:rPr>
          <w:rFonts w:cs="Arial"/>
          <w:bCs/>
          <w:color w:val="auto"/>
          <w:highlight w:val="yellow"/>
        </w:rPr>
        <w:t>CO</w:t>
      </w:r>
      <w:r w:rsidR="003A7330">
        <w:rPr>
          <w:rFonts w:cs="Arial"/>
          <w:bCs/>
          <w:color w:val="auto"/>
          <w:highlight w:val="yellow"/>
          <w:vertAlign w:val="subscript"/>
        </w:rPr>
        <w:t>3</w:t>
      </w:r>
      <w:r w:rsidR="00B6240F">
        <w:rPr>
          <w:rFonts w:cs="Arial"/>
          <w:bCs/>
          <w:color w:val="auto"/>
          <w:highlight w:val="yellow"/>
          <w:vertAlign w:val="subscript"/>
        </w:rPr>
        <w:t xml:space="preserve"> </w:t>
      </w:r>
      <w:r w:rsidR="003A7330">
        <w:rPr>
          <w:rFonts w:cs="Arial"/>
          <w:bCs/>
          <w:color w:val="auto"/>
          <w:highlight w:val="yellow"/>
        </w:rPr>
        <w:t>to cool to room temperature before weighing.</w:t>
      </w:r>
    </w:p>
    <w:p w14:paraId="5E16B18C" w14:textId="77777777" w:rsidR="00865588" w:rsidRPr="002E6FDF" w:rsidRDefault="00865588" w:rsidP="002B1ABE">
      <w:pPr>
        <w:pStyle w:val="NormalWeb"/>
        <w:spacing w:before="0" w:beforeAutospacing="0" w:after="0" w:afterAutospacing="0"/>
        <w:rPr>
          <w:rFonts w:cs="Arial"/>
          <w:bCs/>
          <w:color w:val="auto"/>
          <w:highlight w:val="yellow"/>
        </w:rPr>
      </w:pPr>
    </w:p>
    <w:p w14:paraId="4416B18C" w14:textId="3844003E"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.1.2)</w:t>
      </w:r>
      <w:r w:rsidR="003B2D8D" w:rsidRPr="002E6FDF">
        <w:rPr>
          <w:rFonts w:cs="Arial"/>
          <w:bCs/>
          <w:color w:val="auto"/>
          <w:highlight w:val="yellow"/>
        </w:rPr>
        <w:tab/>
      </w:r>
      <w:r w:rsidR="00E36458" w:rsidRPr="002E6FDF">
        <w:rPr>
          <w:rFonts w:cs="Arial"/>
          <w:bCs/>
          <w:color w:val="auto"/>
          <w:highlight w:val="yellow"/>
        </w:rPr>
        <w:t>Weigh 100 to 150</w:t>
      </w:r>
      <w:r w:rsidR="00865588" w:rsidRPr="002E6FDF">
        <w:rPr>
          <w:rFonts w:cs="Arial"/>
          <w:bCs/>
          <w:color w:val="auto"/>
          <w:highlight w:val="yellow"/>
        </w:rPr>
        <w:t xml:space="preserve"> </w:t>
      </w:r>
      <w:r w:rsidR="00E36458" w:rsidRPr="002E6FDF">
        <w:rPr>
          <w:rFonts w:cs="Arial"/>
          <w:bCs/>
          <w:color w:val="auto"/>
          <w:highlight w:val="yellow"/>
        </w:rPr>
        <w:t xml:space="preserve">mg of sodium carbonate to a titration vessel, record the actual weight, add a stir bar and add </w:t>
      </w:r>
      <w:r w:rsidR="003A7330">
        <w:rPr>
          <w:rFonts w:cs="Arial"/>
          <w:bCs/>
          <w:color w:val="auto"/>
          <w:highlight w:val="yellow"/>
        </w:rPr>
        <w:t xml:space="preserve">enough water to cover the </w:t>
      </w:r>
      <w:r w:rsidR="00EC3756">
        <w:rPr>
          <w:rFonts w:cs="Arial"/>
          <w:bCs/>
          <w:color w:val="auto"/>
          <w:highlight w:val="yellow"/>
        </w:rPr>
        <w:t xml:space="preserve">pH </w:t>
      </w:r>
      <w:r w:rsidR="003A7330">
        <w:rPr>
          <w:rFonts w:cs="Arial"/>
          <w:bCs/>
          <w:color w:val="auto"/>
          <w:highlight w:val="yellow"/>
        </w:rPr>
        <w:t>electrode bulb and junction.</w:t>
      </w:r>
    </w:p>
    <w:p w14:paraId="4BD62791" w14:textId="77777777" w:rsidR="00865588" w:rsidRPr="002E6FDF" w:rsidRDefault="00865588" w:rsidP="002B1ABE">
      <w:pPr>
        <w:pStyle w:val="NormalWeb"/>
        <w:spacing w:before="0" w:beforeAutospacing="0" w:after="0" w:afterAutospacing="0"/>
        <w:rPr>
          <w:rFonts w:cs="Arial"/>
          <w:bCs/>
          <w:color w:val="auto"/>
          <w:highlight w:val="yellow"/>
        </w:rPr>
      </w:pPr>
    </w:p>
    <w:p w14:paraId="35A628BE" w14:textId="30527657"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.1.3)</w:t>
      </w:r>
      <w:r w:rsidR="003B2D8D" w:rsidRPr="002E6FDF">
        <w:rPr>
          <w:rFonts w:cs="Arial"/>
          <w:bCs/>
          <w:color w:val="auto"/>
          <w:highlight w:val="yellow"/>
        </w:rPr>
        <w:tab/>
      </w:r>
      <w:r w:rsidR="009A6BA9">
        <w:rPr>
          <w:rFonts w:cs="Arial"/>
          <w:bCs/>
          <w:color w:val="auto"/>
          <w:highlight w:val="yellow"/>
        </w:rPr>
        <w:t>T</w:t>
      </w:r>
      <w:r w:rsidR="00E36458" w:rsidRPr="002E6FDF">
        <w:rPr>
          <w:rFonts w:cs="Arial"/>
          <w:bCs/>
          <w:color w:val="auto"/>
          <w:highlight w:val="yellow"/>
        </w:rPr>
        <w:t>ransfer the sample to a titration vessel</w:t>
      </w:r>
      <w:r w:rsidR="009A6BA9">
        <w:rPr>
          <w:rFonts w:cs="Arial"/>
          <w:bCs/>
          <w:color w:val="auto"/>
          <w:highlight w:val="yellow"/>
        </w:rPr>
        <w:t xml:space="preserve">, washing the reaction vial several times </w:t>
      </w:r>
      <w:r w:rsidR="00862F6E">
        <w:rPr>
          <w:rFonts w:cs="Arial"/>
          <w:bCs/>
          <w:color w:val="auto"/>
          <w:highlight w:val="yellow"/>
        </w:rPr>
        <w:t xml:space="preserve">separately </w:t>
      </w:r>
      <w:r w:rsidR="009A6BA9">
        <w:rPr>
          <w:rFonts w:cs="Arial"/>
          <w:bCs/>
          <w:color w:val="auto"/>
          <w:highlight w:val="yellow"/>
        </w:rPr>
        <w:t xml:space="preserve">with ethanol and water </w:t>
      </w:r>
      <w:r w:rsidR="00862F6E">
        <w:rPr>
          <w:rFonts w:cs="Arial"/>
          <w:bCs/>
          <w:color w:val="auto"/>
          <w:highlight w:val="yellow"/>
        </w:rPr>
        <w:t xml:space="preserve">in proportions </w:t>
      </w:r>
      <w:r w:rsidR="009A6BA9">
        <w:rPr>
          <w:rFonts w:cs="Arial"/>
          <w:bCs/>
          <w:color w:val="auto"/>
          <w:highlight w:val="yellow"/>
        </w:rPr>
        <w:t>to make a</w:t>
      </w:r>
      <w:r w:rsidR="00862F6E">
        <w:rPr>
          <w:rFonts w:cs="Arial"/>
          <w:bCs/>
          <w:color w:val="auto"/>
          <w:highlight w:val="yellow"/>
        </w:rPr>
        <w:t xml:space="preserve"> final</w:t>
      </w:r>
      <w:r w:rsidR="009A6BA9">
        <w:rPr>
          <w:rFonts w:cs="Arial"/>
          <w:bCs/>
          <w:color w:val="auto"/>
          <w:highlight w:val="yellow"/>
        </w:rPr>
        <w:t xml:space="preserve"> 80% solution of ethanol/water.</w:t>
      </w:r>
      <w:r w:rsidR="00E36458" w:rsidRPr="002E6FDF">
        <w:rPr>
          <w:rFonts w:cs="Arial"/>
          <w:bCs/>
          <w:color w:val="auto"/>
          <w:highlight w:val="yellow"/>
        </w:rPr>
        <w:t xml:space="preserve"> </w:t>
      </w:r>
      <w:r w:rsidR="009A6BA9">
        <w:rPr>
          <w:rFonts w:cs="Arial"/>
          <w:bCs/>
          <w:color w:val="auto"/>
          <w:highlight w:val="yellow"/>
        </w:rPr>
        <w:t>T</w:t>
      </w:r>
      <w:r w:rsidR="00E36458" w:rsidRPr="002E6FDF">
        <w:rPr>
          <w:rFonts w:cs="Arial"/>
          <w:bCs/>
          <w:color w:val="auto"/>
          <w:highlight w:val="yellow"/>
        </w:rPr>
        <w:t>itrate with the acid solution using an automatic titrator</w:t>
      </w:r>
      <w:r w:rsidR="003A7330">
        <w:rPr>
          <w:rFonts w:cs="Arial"/>
          <w:bCs/>
          <w:color w:val="auto"/>
          <w:highlight w:val="yellow"/>
        </w:rPr>
        <w:t xml:space="preserve"> to the endpoint. R</w:t>
      </w:r>
      <w:r w:rsidR="00E36458" w:rsidRPr="002E6FDF">
        <w:rPr>
          <w:rFonts w:cs="Arial"/>
          <w:bCs/>
          <w:color w:val="auto"/>
          <w:highlight w:val="yellow"/>
        </w:rPr>
        <w:t>ecord the endpoint.</w:t>
      </w:r>
      <w:r w:rsidR="00E17BFB">
        <w:rPr>
          <w:rFonts w:cs="Arial"/>
          <w:bCs/>
          <w:color w:val="auto"/>
          <w:highlight w:val="yellow"/>
        </w:rPr>
        <w:t xml:space="preserve"> The endpoint is defined as the inflection point on the titration curve.</w:t>
      </w:r>
    </w:p>
    <w:p w14:paraId="3B690605" w14:textId="77777777" w:rsidR="00865588" w:rsidRPr="002E6FDF" w:rsidRDefault="00865588" w:rsidP="002B1ABE">
      <w:pPr>
        <w:pStyle w:val="NormalWeb"/>
        <w:spacing w:before="0" w:beforeAutospacing="0" w:after="0" w:afterAutospacing="0"/>
        <w:rPr>
          <w:rFonts w:cs="Arial"/>
          <w:bCs/>
          <w:color w:val="auto"/>
          <w:highlight w:val="yellow"/>
        </w:rPr>
      </w:pPr>
    </w:p>
    <w:p w14:paraId="4275D58B" w14:textId="597299BD"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.1.4)</w:t>
      </w:r>
      <w:r w:rsidR="003B2D8D" w:rsidRPr="002E6FDF">
        <w:rPr>
          <w:rFonts w:cs="Arial"/>
          <w:bCs/>
          <w:color w:val="auto"/>
          <w:highlight w:val="yellow"/>
        </w:rPr>
        <w:tab/>
      </w:r>
      <w:r w:rsidR="00E36458" w:rsidRPr="002E6FDF">
        <w:rPr>
          <w:rFonts w:cs="Arial"/>
          <w:bCs/>
          <w:color w:val="auto"/>
          <w:highlight w:val="yellow"/>
        </w:rPr>
        <w:t xml:space="preserve">Repeat the process twice to obtain three points. </w:t>
      </w:r>
    </w:p>
    <w:p w14:paraId="0CB0D2F0" w14:textId="77777777" w:rsidR="00865588" w:rsidRPr="002E6FDF" w:rsidRDefault="00865588" w:rsidP="002B1ABE">
      <w:pPr>
        <w:pStyle w:val="NormalWeb"/>
        <w:spacing w:before="0" w:beforeAutospacing="0" w:after="0" w:afterAutospacing="0"/>
        <w:rPr>
          <w:rFonts w:cs="Arial"/>
          <w:bCs/>
          <w:color w:val="auto"/>
          <w:highlight w:val="yellow"/>
        </w:rPr>
      </w:pPr>
    </w:p>
    <w:p w14:paraId="3D8E0B24" w14:textId="1C80CB8B"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.1.5)</w:t>
      </w:r>
      <w:r w:rsidR="003B2D8D" w:rsidRPr="002E6FDF">
        <w:rPr>
          <w:rFonts w:cs="Arial"/>
          <w:bCs/>
          <w:color w:val="auto"/>
          <w:highlight w:val="yellow"/>
        </w:rPr>
        <w:tab/>
      </w:r>
      <w:r w:rsidR="00E36458" w:rsidRPr="002E6FDF">
        <w:rPr>
          <w:rFonts w:cs="Arial"/>
          <w:bCs/>
          <w:color w:val="auto"/>
          <w:highlight w:val="yellow"/>
        </w:rPr>
        <w:t xml:space="preserve">Use the average value as the normality of the acid solution. </w:t>
      </w:r>
    </w:p>
    <w:p w14:paraId="40A90F86" w14:textId="77777777" w:rsidR="00865588" w:rsidRPr="002E6FDF" w:rsidRDefault="00865588" w:rsidP="002B1ABE">
      <w:pPr>
        <w:pStyle w:val="NormalWeb"/>
        <w:spacing w:before="0" w:beforeAutospacing="0" w:after="0" w:afterAutospacing="0"/>
        <w:rPr>
          <w:rFonts w:cs="Arial"/>
          <w:bCs/>
          <w:color w:val="auto"/>
          <w:highlight w:val="yellow"/>
        </w:rPr>
      </w:pPr>
    </w:p>
    <w:p w14:paraId="3B234FB9" w14:textId="140D4BD8" w:rsidR="00865588" w:rsidRPr="002E6FDF" w:rsidRDefault="00BD039B" w:rsidP="002B1ABE">
      <w:pPr>
        <w:pStyle w:val="NormalWeb"/>
        <w:spacing w:before="0" w:beforeAutospacing="0" w:after="0" w:afterAutospacing="0"/>
        <w:rPr>
          <w:rFonts w:cs="Arial"/>
          <w:b/>
          <w:bCs/>
          <w:color w:val="auto"/>
          <w:highlight w:val="yellow"/>
        </w:rPr>
      </w:pPr>
      <w:r w:rsidRPr="002E6FDF">
        <w:rPr>
          <w:rFonts w:cs="Arial"/>
          <w:bCs/>
          <w:color w:val="auto"/>
          <w:highlight w:val="yellow"/>
        </w:rPr>
        <w:t>3</w:t>
      </w:r>
      <w:r w:rsidR="003B2D8D" w:rsidRPr="002E6FDF">
        <w:rPr>
          <w:rFonts w:cs="Arial"/>
          <w:bCs/>
          <w:color w:val="auto"/>
          <w:highlight w:val="yellow"/>
        </w:rPr>
        <w:t xml:space="preserve">.2) </w:t>
      </w:r>
      <w:r w:rsidR="003B2D8D" w:rsidRPr="002E6FDF">
        <w:rPr>
          <w:rFonts w:cs="Arial"/>
          <w:b/>
          <w:bCs/>
          <w:color w:val="auto"/>
          <w:highlight w:val="yellow"/>
        </w:rPr>
        <w:t>Preparation of Titration B</w:t>
      </w:r>
      <w:r w:rsidR="00E36458" w:rsidRPr="002E6FDF">
        <w:rPr>
          <w:rFonts w:cs="Arial"/>
          <w:b/>
          <w:bCs/>
          <w:color w:val="auto"/>
          <w:highlight w:val="yellow"/>
        </w:rPr>
        <w:t>lanks</w:t>
      </w:r>
    </w:p>
    <w:p w14:paraId="0B73EB86" w14:textId="2E029F08"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.2.1)</w:t>
      </w:r>
      <w:r w:rsidR="003B2D8D" w:rsidRPr="002E6FDF">
        <w:rPr>
          <w:rFonts w:cs="Arial"/>
          <w:bCs/>
          <w:color w:val="auto"/>
          <w:highlight w:val="yellow"/>
        </w:rPr>
        <w:tab/>
      </w:r>
      <w:r w:rsidR="00B6240F">
        <w:rPr>
          <w:rFonts w:cs="Arial"/>
          <w:bCs/>
          <w:color w:val="auto"/>
          <w:highlight w:val="yellow"/>
        </w:rPr>
        <w:t xml:space="preserve">For </w:t>
      </w:r>
      <w:r w:rsidR="00E36458" w:rsidRPr="002E6FDF">
        <w:rPr>
          <w:rFonts w:cs="Arial"/>
          <w:bCs/>
          <w:color w:val="auto"/>
          <w:highlight w:val="yellow"/>
        </w:rPr>
        <w:t>Blank A:</w:t>
      </w:r>
      <w:r w:rsidR="00865588" w:rsidRPr="002E6FDF">
        <w:rPr>
          <w:rFonts w:cs="Arial"/>
          <w:bCs/>
          <w:color w:val="auto"/>
          <w:highlight w:val="yellow"/>
        </w:rPr>
        <w:t xml:space="preserve"> </w:t>
      </w:r>
      <w:r w:rsidR="00E36458" w:rsidRPr="002E6FDF">
        <w:rPr>
          <w:rFonts w:cs="Arial"/>
          <w:bCs/>
          <w:color w:val="auto"/>
          <w:highlight w:val="yellow"/>
        </w:rPr>
        <w:t xml:space="preserve">add </w:t>
      </w:r>
      <w:r w:rsidR="00366D11">
        <w:rPr>
          <w:rFonts w:cs="Arial"/>
          <w:bCs/>
          <w:color w:val="auto"/>
          <w:highlight w:val="yellow"/>
        </w:rPr>
        <w:t>0.5</w:t>
      </w:r>
      <w:r w:rsidR="00B6240F">
        <w:rPr>
          <w:rFonts w:cs="Arial"/>
          <w:bCs/>
          <w:color w:val="auto"/>
          <w:highlight w:val="yellow"/>
        </w:rPr>
        <w:t xml:space="preserve"> mL</w:t>
      </w:r>
      <w:r w:rsidR="00E36458" w:rsidRPr="002E6FDF">
        <w:rPr>
          <w:rFonts w:cs="Arial"/>
          <w:bCs/>
          <w:color w:val="auto"/>
          <w:highlight w:val="yellow"/>
        </w:rPr>
        <w:t xml:space="preserve"> dimethyl sulfoxide (DMSO) to </w:t>
      </w:r>
      <w:r w:rsidR="00B6240F">
        <w:rPr>
          <w:rFonts w:cs="Arial"/>
          <w:bCs/>
          <w:color w:val="auto"/>
          <w:highlight w:val="yellow"/>
        </w:rPr>
        <w:t xml:space="preserve">a </w:t>
      </w:r>
      <w:r w:rsidR="00E36458" w:rsidRPr="002E6FDF">
        <w:rPr>
          <w:rFonts w:cs="Arial"/>
          <w:bCs/>
          <w:color w:val="auto"/>
          <w:highlight w:val="yellow"/>
        </w:rPr>
        <w:t>5</w:t>
      </w:r>
      <w:r w:rsidR="00B6240F">
        <w:rPr>
          <w:rFonts w:cs="Arial"/>
          <w:bCs/>
          <w:color w:val="auto"/>
          <w:highlight w:val="yellow"/>
        </w:rPr>
        <w:t xml:space="preserve"> mL</w:t>
      </w:r>
      <w:r w:rsidR="00E36458" w:rsidRPr="002E6FDF">
        <w:rPr>
          <w:rFonts w:cs="Arial"/>
          <w:bCs/>
          <w:color w:val="auto"/>
          <w:highlight w:val="yellow"/>
        </w:rPr>
        <w:t xml:space="preserve"> vial </w:t>
      </w:r>
      <w:r w:rsidR="00B6240F">
        <w:rPr>
          <w:rFonts w:cs="Arial"/>
          <w:bCs/>
          <w:color w:val="auto"/>
          <w:highlight w:val="yellow"/>
        </w:rPr>
        <w:t xml:space="preserve">with a </w:t>
      </w:r>
      <w:r w:rsidR="00B6240F" w:rsidRPr="002E6FDF">
        <w:rPr>
          <w:rFonts w:cs="Arial"/>
          <w:bCs/>
          <w:color w:val="auto"/>
          <w:highlight w:val="yellow"/>
        </w:rPr>
        <w:t>spin</w:t>
      </w:r>
      <w:r w:rsidR="00B6240F">
        <w:rPr>
          <w:rFonts w:cs="Arial"/>
          <w:bCs/>
          <w:color w:val="auto"/>
          <w:highlight w:val="yellow"/>
        </w:rPr>
        <w:t xml:space="preserve"> </w:t>
      </w:r>
      <w:r w:rsidR="00E36458" w:rsidRPr="002E6FDF">
        <w:rPr>
          <w:rFonts w:cs="Arial"/>
          <w:bCs/>
          <w:color w:val="auto"/>
          <w:highlight w:val="yellow"/>
        </w:rPr>
        <w:t>vane.</w:t>
      </w:r>
    </w:p>
    <w:p w14:paraId="3D31C99C" w14:textId="77777777" w:rsidR="00865588" w:rsidRPr="002E6FDF" w:rsidRDefault="00865588" w:rsidP="002B1ABE">
      <w:pPr>
        <w:pStyle w:val="NormalWeb"/>
        <w:spacing w:before="0" w:beforeAutospacing="0" w:after="0" w:afterAutospacing="0"/>
        <w:rPr>
          <w:rFonts w:cs="Arial"/>
          <w:bCs/>
          <w:color w:val="auto"/>
          <w:highlight w:val="yellow"/>
        </w:rPr>
      </w:pPr>
    </w:p>
    <w:p w14:paraId="791F2CEC" w14:textId="33EB362A"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.2.2)</w:t>
      </w:r>
      <w:r w:rsidR="003B2D8D" w:rsidRPr="002E6FDF">
        <w:rPr>
          <w:rFonts w:cs="Arial"/>
          <w:bCs/>
          <w:color w:val="auto"/>
          <w:highlight w:val="yellow"/>
        </w:rPr>
        <w:tab/>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hydroxylamine hydrochloride solution (solution A).</w:t>
      </w:r>
    </w:p>
    <w:p w14:paraId="1CEDCF9C" w14:textId="77777777" w:rsidR="00865588" w:rsidRPr="002E6FDF" w:rsidRDefault="00865588" w:rsidP="002B1ABE">
      <w:pPr>
        <w:pStyle w:val="NormalWeb"/>
        <w:spacing w:before="0" w:beforeAutospacing="0" w:after="0" w:afterAutospacing="0"/>
        <w:rPr>
          <w:rFonts w:cs="Arial"/>
          <w:bCs/>
          <w:color w:val="auto"/>
          <w:highlight w:val="yellow"/>
        </w:rPr>
      </w:pPr>
    </w:p>
    <w:p w14:paraId="3C0B513F" w14:textId="7D36A5F1"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.2.3)</w:t>
      </w:r>
      <w:r w:rsidR="003B2D8D" w:rsidRPr="002E6FDF">
        <w:rPr>
          <w:rFonts w:cs="Arial"/>
          <w:bCs/>
          <w:color w:val="auto"/>
          <w:highlight w:val="yellow"/>
        </w:rPr>
        <w:tab/>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triethanolamine solution (solution B).</w:t>
      </w:r>
    </w:p>
    <w:p w14:paraId="5B6977A5" w14:textId="77777777" w:rsidR="00865588" w:rsidRPr="002E6FDF" w:rsidRDefault="00865588" w:rsidP="002B1ABE">
      <w:pPr>
        <w:pStyle w:val="NormalWeb"/>
        <w:spacing w:before="0" w:beforeAutospacing="0" w:after="0" w:afterAutospacing="0"/>
        <w:rPr>
          <w:rFonts w:cs="Arial"/>
          <w:bCs/>
          <w:color w:val="auto"/>
          <w:highlight w:val="yellow"/>
        </w:rPr>
      </w:pPr>
    </w:p>
    <w:p w14:paraId="1938ACF0" w14:textId="3488FAF9"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.2.4)</w:t>
      </w:r>
      <w:r w:rsidR="003B2D8D" w:rsidRPr="002E6FDF">
        <w:rPr>
          <w:rFonts w:cs="Arial"/>
          <w:bCs/>
          <w:color w:val="auto"/>
          <w:highlight w:val="yellow"/>
        </w:rPr>
        <w:tab/>
      </w:r>
      <w:r w:rsidR="00E36458" w:rsidRPr="002E6FDF">
        <w:rPr>
          <w:rFonts w:cs="Arial"/>
          <w:bCs/>
          <w:color w:val="auto"/>
          <w:highlight w:val="yellow"/>
        </w:rPr>
        <w:t>Cap t</w:t>
      </w:r>
      <w:r w:rsidR="00E36283" w:rsidRPr="002E6FDF">
        <w:rPr>
          <w:rFonts w:cs="Arial"/>
          <w:bCs/>
          <w:color w:val="auto"/>
          <w:highlight w:val="yellow"/>
        </w:rPr>
        <w:t>ightly, place in preheated (80 ᵒ</w:t>
      </w:r>
      <w:r w:rsidR="00E36458" w:rsidRPr="002E6FDF">
        <w:rPr>
          <w:rFonts w:cs="Arial"/>
          <w:bCs/>
          <w:color w:val="auto"/>
          <w:highlight w:val="yellow"/>
        </w:rPr>
        <w:t>C) heater block or water bath and stir for 2 hours.</w:t>
      </w:r>
    </w:p>
    <w:p w14:paraId="0FBCABF6" w14:textId="77777777" w:rsidR="00865588" w:rsidRPr="002E6FDF" w:rsidRDefault="00865588" w:rsidP="002B1ABE">
      <w:pPr>
        <w:pStyle w:val="NormalWeb"/>
        <w:spacing w:before="0" w:beforeAutospacing="0" w:after="0" w:afterAutospacing="0"/>
        <w:rPr>
          <w:rFonts w:cs="Arial"/>
          <w:bCs/>
          <w:color w:val="auto"/>
          <w:highlight w:val="yellow"/>
        </w:rPr>
      </w:pPr>
    </w:p>
    <w:p w14:paraId="2E4F3EDE" w14:textId="0610F602"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.2.5)</w:t>
      </w:r>
      <w:r w:rsidR="003B2D8D" w:rsidRPr="002E6FDF">
        <w:rPr>
          <w:rFonts w:cs="Arial"/>
          <w:bCs/>
          <w:color w:val="auto"/>
          <w:highlight w:val="yellow"/>
        </w:rPr>
        <w:tab/>
      </w:r>
      <w:r w:rsidR="00E36458" w:rsidRPr="002E6FDF">
        <w:rPr>
          <w:rFonts w:cs="Arial"/>
          <w:bCs/>
          <w:color w:val="auto"/>
          <w:highlight w:val="yellow"/>
        </w:rPr>
        <w:t xml:space="preserve">Titrate with acid solution using an automatic titrator </w:t>
      </w:r>
      <w:r w:rsidR="00136B0E">
        <w:rPr>
          <w:rFonts w:cs="Arial"/>
          <w:bCs/>
          <w:color w:val="auto"/>
          <w:highlight w:val="yellow"/>
        </w:rPr>
        <w:t xml:space="preserve">to the endpoint, </w:t>
      </w:r>
      <w:r w:rsidR="00E36458" w:rsidRPr="002E6FDF">
        <w:rPr>
          <w:rFonts w:cs="Arial"/>
          <w:bCs/>
          <w:color w:val="auto"/>
          <w:highlight w:val="yellow"/>
        </w:rPr>
        <w:t>and record endpoint.</w:t>
      </w:r>
    </w:p>
    <w:p w14:paraId="19039CBB" w14:textId="77777777" w:rsidR="00865588" w:rsidRPr="002E6FDF" w:rsidRDefault="00865588" w:rsidP="002B1ABE">
      <w:pPr>
        <w:pStyle w:val="NormalWeb"/>
        <w:spacing w:before="0" w:beforeAutospacing="0" w:after="0" w:afterAutospacing="0"/>
        <w:rPr>
          <w:rFonts w:cs="Arial"/>
          <w:bCs/>
          <w:color w:val="auto"/>
          <w:highlight w:val="yellow"/>
        </w:rPr>
      </w:pPr>
    </w:p>
    <w:p w14:paraId="312B8FA9" w14:textId="51265EB1"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.2.6)</w:t>
      </w:r>
      <w:r w:rsidR="003B2D8D" w:rsidRPr="002E6FDF">
        <w:rPr>
          <w:rFonts w:cs="Arial"/>
          <w:bCs/>
          <w:color w:val="auto"/>
          <w:highlight w:val="yellow"/>
        </w:rPr>
        <w:tab/>
      </w:r>
      <w:r w:rsidR="00B6240F">
        <w:rPr>
          <w:rFonts w:cs="Arial"/>
          <w:bCs/>
          <w:color w:val="auto"/>
          <w:highlight w:val="yellow"/>
        </w:rPr>
        <w:t xml:space="preserve">For </w:t>
      </w:r>
      <w:r w:rsidR="00E36458" w:rsidRPr="002E6FDF">
        <w:rPr>
          <w:rFonts w:cs="Arial"/>
          <w:bCs/>
          <w:color w:val="auto"/>
          <w:highlight w:val="yellow"/>
        </w:rPr>
        <w:t>Blank B:</w:t>
      </w:r>
      <w:r w:rsidR="00865588" w:rsidRPr="002E6FDF">
        <w:rPr>
          <w:rFonts w:cs="Arial"/>
          <w:bCs/>
          <w:color w:val="auto"/>
          <w:highlight w:val="yellow"/>
        </w:rPr>
        <w:t xml:space="preserve"> </w:t>
      </w:r>
      <w:r w:rsidR="00E36458" w:rsidRPr="002E6FDF">
        <w:rPr>
          <w:rFonts w:cs="Arial"/>
          <w:bCs/>
          <w:color w:val="auto"/>
          <w:highlight w:val="yellow"/>
        </w:rPr>
        <w:t xml:space="preserve">If mineral acid is suspected to be present in sample, add </w:t>
      </w:r>
      <w:r w:rsidR="009A2FCD">
        <w:rPr>
          <w:rFonts w:cs="Arial"/>
          <w:bCs/>
          <w:color w:val="auto"/>
          <w:highlight w:val="yellow"/>
        </w:rPr>
        <w:t>0.5</w:t>
      </w:r>
      <w:r w:rsidR="00B6240F">
        <w:rPr>
          <w:rFonts w:cs="Arial"/>
          <w:bCs/>
          <w:color w:val="auto"/>
          <w:highlight w:val="yellow"/>
        </w:rPr>
        <w:t xml:space="preserve"> mL</w:t>
      </w:r>
      <w:r w:rsidR="00E36458" w:rsidRPr="002E6FDF">
        <w:rPr>
          <w:rFonts w:cs="Arial"/>
          <w:bCs/>
          <w:color w:val="auto"/>
          <w:highlight w:val="yellow"/>
        </w:rPr>
        <w:t xml:space="preserve"> DMSO to 5</w:t>
      </w:r>
      <w:r w:rsidR="00B6240F">
        <w:rPr>
          <w:rFonts w:cs="Arial"/>
          <w:bCs/>
          <w:color w:val="auto"/>
          <w:highlight w:val="yellow"/>
        </w:rPr>
        <w:t xml:space="preserve"> mL</w:t>
      </w:r>
      <w:r w:rsidR="00E36458" w:rsidRPr="002E6FDF">
        <w:rPr>
          <w:rFonts w:cs="Arial"/>
          <w:bCs/>
          <w:color w:val="auto"/>
          <w:highlight w:val="yellow"/>
        </w:rPr>
        <w:t xml:space="preserve"> vial with </w:t>
      </w:r>
      <w:r w:rsidR="00B6240F">
        <w:rPr>
          <w:rFonts w:cs="Arial"/>
          <w:bCs/>
          <w:color w:val="auto"/>
          <w:highlight w:val="yellow"/>
        </w:rPr>
        <w:t xml:space="preserve">a </w:t>
      </w:r>
      <w:r w:rsidR="00E36458" w:rsidRPr="002E6FDF">
        <w:rPr>
          <w:rFonts w:cs="Arial"/>
          <w:bCs/>
          <w:color w:val="auto"/>
          <w:highlight w:val="yellow"/>
        </w:rPr>
        <w:t>spin</w:t>
      </w:r>
      <w:r w:rsidR="00B6240F">
        <w:rPr>
          <w:rFonts w:cs="Arial"/>
          <w:bCs/>
          <w:color w:val="auto"/>
          <w:highlight w:val="yellow"/>
        </w:rPr>
        <w:t xml:space="preserve"> </w:t>
      </w:r>
      <w:r w:rsidR="00E36458" w:rsidRPr="002E6FDF">
        <w:rPr>
          <w:rFonts w:cs="Arial"/>
          <w:bCs/>
          <w:color w:val="auto"/>
          <w:highlight w:val="yellow"/>
        </w:rPr>
        <w:t>vane.</w:t>
      </w:r>
    </w:p>
    <w:p w14:paraId="3594CA83" w14:textId="77777777" w:rsidR="00865588" w:rsidRPr="002E6FDF" w:rsidRDefault="00865588" w:rsidP="002B1ABE">
      <w:pPr>
        <w:pStyle w:val="NormalWeb"/>
        <w:spacing w:before="0" w:beforeAutospacing="0" w:after="0" w:afterAutospacing="0"/>
        <w:rPr>
          <w:rFonts w:cs="Arial"/>
          <w:bCs/>
          <w:color w:val="auto"/>
          <w:highlight w:val="yellow"/>
        </w:rPr>
      </w:pPr>
    </w:p>
    <w:p w14:paraId="6F330508" w14:textId="7F8D0912"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.2.7)</w:t>
      </w:r>
      <w:r w:rsidR="003B2D8D" w:rsidRPr="002E6FDF">
        <w:rPr>
          <w:rFonts w:cs="Arial"/>
          <w:bCs/>
          <w:color w:val="auto"/>
          <w:highlight w:val="yellow"/>
        </w:rPr>
        <w:tab/>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triethanolamine solution (solution B).</w:t>
      </w:r>
    </w:p>
    <w:p w14:paraId="07F3CE7C" w14:textId="77777777" w:rsidR="00865588" w:rsidRPr="002E6FDF" w:rsidRDefault="00865588" w:rsidP="002B1ABE">
      <w:pPr>
        <w:pStyle w:val="NormalWeb"/>
        <w:spacing w:before="0" w:beforeAutospacing="0" w:after="0" w:afterAutospacing="0"/>
        <w:rPr>
          <w:rFonts w:cs="Arial"/>
          <w:bCs/>
          <w:color w:val="auto"/>
          <w:highlight w:val="yellow"/>
        </w:rPr>
      </w:pPr>
    </w:p>
    <w:p w14:paraId="1354FE6B" w14:textId="60A1F7BD"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.2.8)</w:t>
      </w:r>
      <w:r w:rsidR="003B2D8D" w:rsidRPr="002E6FDF">
        <w:rPr>
          <w:rFonts w:cs="Arial"/>
          <w:bCs/>
          <w:color w:val="auto"/>
          <w:highlight w:val="yellow"/>
        </w:rPr>
        <w:tab/>
      </w:r>
      <w:r w:rsidR="00E36283" w:rsidRPr="002E6FDF">
        <w:rPr>
          <w:rFonts w:cs="Arial"/>
          <w:bCs/>
          <w:color w:val="auto"/>
          <w:highlight w:val="yellow"/>
        </w:rPr>
        <w:t>Cap tightly and stir at 80 ᵒ</w:t>
      </w:r>
      <w:r w:rsidR="00E36458" w:rsidRPr="002E6FDF">
        <w:rPr>
          <w:rFonts w:cs="Arial"/>
          <w:bCs/>
          <w:color w:val="auto"/>
          <w:highlight w:val="yellow"/>
        </w:rPr>
        <w:t>C for 2 hours.</w:t>
      </w:r>
    </w:p>
    <w:p w14:paraId="3E8FBA3C" w14:textId="77777777" w:rsidR="00865588" w:rsidRPr="002E6FDF" w:rsidRDefault="00865588" w:rsidP="002B1ABE">
      <w:pPr>
        <w:pStyle w:val="NormalWeb"/>
        <w:spacing w:before="0" w:beforeAutospacing="0" w:after="0" w:afterAutospacing="0"/>
        <w:rPr>
          <w:rFonts w:cs="Arial"/>
          <w:bCs/>
          <w:color w:val="auto"/>
          <w:highlight w:val="yellow"/>
        </w:rPr>
      </w:pPr>
    </w:p>
    <w:p w14:paraId="3EB101BF" w14:textId="76CF69DB"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.2.9)</w:t>
      </w:r>
      <w:r w:rsidR="003B2D8D" w:rsidRPr="002E6FDF">
        <w:rPr>
          <w:rFonts w:cs="Arial"/>
          <w:bCs/>
          <w:color w:val="auto"/>
          <w:highlight w:val="yellow"/>
        </w:rPr>
        <w:tab/>
      </w:r>
      <w:r w:rsidR="00C92AA2">
        <w:rPr>
          <w:rFonts w:cs="Arial"/>
          <w:bCs/>
          <w:color w:val="auto"/>
          <w:highlight w:val="yellow"/>
        </w:rPr>
        <w:t>T</w:t>
      </w:r>
      <w:r w:rsidR="00C92AA2" w:rsidRPr="002E6FDF">
        <w:rPr>
          <w:rFonts w:cs="Arial"/>
          <w:bCs/>
          <w:color w:val="auto"/>
          <w:highlight w:val="yellow"/>
        </w:rPr>
        <w:t>ransfer the sample to a titration vessel</w:t>
      </w:r>
      <w:r w:rsidR="00C92AA2">
        <w:rPr>
          <w:rFonts w:cs="Arial"/>
          <w:bCs/>
          <w:color w:val="auto"/>
          <w:highlight w:val="yellow"/>
        </w:rPr>
        <w:t xml:space="preserve">, washing the reaction vial several times </w:t>
      </w:r>
      <w:r w:rsidR="00EE0E0E">
        <w:rPr>
          <w:rFonts w:cs="Arial"/>
          <w:bCs/>
          <w:color w:val="auto"/>
          <w:highlight w:val="yellow"/>
        </w:rPr>
        <w:t xml:space="preserve">separately </w:t>
      </w:r>
      <w:r w:rsidR="00C92AA2">
        <w:rPr>
          <w:rFonts w:cs="Arial"/>
          <w:bCs/>
          <w:color w:val="auto"/>
          <w:highlight w:val="yellow"/>
        </w:rPr>
        <w:t xml:space="preserve">with ethanol and water </w:t>
      </w:r>
      <w:r w:rsidR="00EE0E0E">
        <w:rPr>
          <w:rFonts w:cs="Arial"/>
          <w:bCs/>
          <w:color w:val="auto"/>
          <w:highlight w:val="yellow"/>
        </w:rPr>
        <w:t xml:space="preserve">in proportions </w:t>
      </w:r>
      <w:r w:rsidR="00C92AA2">
        <w:rPr>
          <w:rFonts w:cs="Arial"/>
          <w:bCs/>
          <w:color w:val="auto"/>
          <w:highlight w:val="yellow"/>
        </w:rPr>
        <w:t>to make a</w:t>
      </w:r>
      <w:r w:rsidR="00EE0E0E">
        <w:rPr>
          <w:rFonts w:cs="Arial"/>
          <w:bCs/>
          <w:color w:val="auto"/>
          <w:highlight w:val="yellow"/>
        </w:rPr>
        <w:t xml:space="preserve"> final</w:t>
      </w:r>
      <w:r w:rsidR="00C92AA2">
        <w:rPr>
          <w:rFonts w:cs="Arial"/>
          <w:bCs/>
          <w:color w:val="auto"/>
          <w:highlight w:val="yellow"/>
        </w:rPr>
        <w:t xml:space="preserve"> 80% solution of ethanol/water.</w:t>
      </w:r>
      <w:r w:rsidR="00C92AA2" w:rsidRPr="002E6FDF">
        <w:rPr>
          <w:rFonts w:cs="Arial"/>
          <w:bCs/>
          <w:color w:val="auto"/>
          <w:highlight w:val="yellow"/>
        </w:rPr>
        <w:t xml:space="preserve"> </w:t>
      </w:r>
      <w:r w:rsidR="00C92AA2">
        <w:rPr>
          <w:rFonts w:cs="Arial"/>
          <w:bCs/>
          <w:color w:val="auto"/>
          <w:highlight w:val="yellow"/>
        </w:rPr>
        <w:t>T</w:t>
      </w:r>
      <w:r w:rsidR="00C92AA2" w:rsidRPr="002E6FDF">
        <w:rPr>
          <w:rFonts w:cs="Arial"/>
          <w:bCs/>
          <w:color w:val="auto"/>
          <w:highlight w:val="yellow"/>
        </w:rPr>
        <w:t>itrate with the acid solution using an automatic titrator</w:t>
      </w:r>
      <w:r w:rsidR="00C92AA2">
        <w:rPr>
          <w:rFonts w:cs="Arial"/>
          <w:bCs/>
          <w:color w:val="auto"/>
          <w:highlight w:val="yellow"/>
        </w:rPr>
        <w:t xml:space="preserve"> to the endpoint. R</w:t>
      </w:r>
      <w:r w:rsidR="00C92AA2" w:rsidRPr="002E6FDF">
        <w:rPr>
          <w:rFonts w:cs="Arial"/>
          <w:bCs/>
          <w:color w:val="auto"/>
          <w:highlight w:val="yellow"/>
        </w:rPr>
        <w:t>ecord the endpoint.</w:t>
      </w:r>
    </w:p>
    <w:p w14:paraId="53932DC2" w14:textId="77777777" w:rsidR="00865588" w:rsidRPr="002E6FDF" w:rsidRDefault="00865588" w:rsidP="002B1ABE">
      <w:pPr>
        <w:pStyle w:val="NormalWeb"/>
        <w:spacing w:before="0" w:beforeAutospacing="0" w:after="0" w:afterAutospacing="0"/>
        <w:rPr>
          <w:rFonts w:cs="Arial"/>
          <w:bCs/>
          <w:color w:val="auto"/>
          <w:highlight w:val="yellow"/>
        </w:rPr>
      </w:pPr>
    </w:p>
    <w:p w14:paraId="279CE30A" w14:textId="4AC3EC34"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.2.10)</w:t>
      </w:r>
      <w:r w:rsidR="0072162C" w:rsidRPr="002E6FDF">
        <w:rPr>
          <w:rFonts w:cs="Arial"/>
          <w:bCs/>
          <w:color w:val="auto"/>
          <w:highlight w:val="yellow"/>
        </w:rPr>
        <w:t xml:space="preserve"> </w:t>
      </w:r>
      <w:r w:rsidR="00E36458" w:rsidRPr="002E6FDF">
        <w:rPr>
          <w:rFonts w:cs="Arial"/>
          <w:bCs/>
          <w:color w:val="auto"/>
          <w:highlight w:val="yellow"/>
        </w:rPr>
        <w:t>Repeat process three times to obtain three points.</w:t>
      </w:r>
    </w:p>
    <w:p w14:paraId="3A6252AB" w14:textId="77777777" w:rsidR="00865588" w:rsidRPr="002E6FDF" w:rsidRDefault="00865588" w:rsidP="002B1ABE">
      <w:pPr>
        <w:pStyle w:val="NormalWeb"/>
        <w:spacing w:before="0" w:beforeAutospacing="0" w:after="0" w:afterAutospacing="0"/>
        <w:rPr>
          <w:rFonts w:cs="Arial"/>
          <w:bCs/>
          <w:color w:val="auto"/>
          <w:highlight w:val="yellow"/>
        </w:rPr>
      </w:pPr>
    </w:p>
    <w:p w14:paraId="48BECAA1" w14:textId="59495304"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 xml:space="preserve">.3) </w:t>
      </w:r>
      <w:r w:rsidR="00E36458" w:rsidRPr="002E6FDF">
        <w:rPr>
          <w:rFonts w:cs="Arial"/>
          <w:b/>
          <w:bCs/>
          <w:color w:val="auto"/>
          <w:highlight w:val="yellow"/>
        </w:rPr>
        <w:t>Validation of th</w:t>
      </w:r>
      <w:r w:rsidR="003B2D8D" w:rsidRPr="002E6FDF">
        <w:rPr>
          <w:rFonts w:cs="Arial"/>
          <w:b/>
          <w:bCs/>
          <w:color w:val="auto"/>
          <w:highlight w:val="yellow"/>
        </w:rPr>
        <w:t>e Method Using a Known Carbonyl</w:t>
      </w:r>
    </w:p>
    <w:p w14:paraId="5A704DB7" w14:textId="0AC1E24D"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.3.1)</w:t>
      </w:r>
      <w:r w:rsidR="003B2D8D" w:rsidRPr="002E6FDF">
        <w:rPr>
          <w:rFonts w:cs="Arial"/>
          <w:bCs/>
          <w:color w:val="auto"/>
          <w:highlight w:val="yellow"/>
        </w:rPr>
        <w:tab/>
      </w:r>
      <w:r w:rsidR="00E36458" w:rsidRPr="002E6FDF">
        <w:rPr>
          <w:rFonts w:cs="Arial"/>
          <w:bCs/>
          <w:color w:val="auto"/>
          <w:highlight w:val="yellow"/>
        </w:rPr>
        <w:t>Weigh ~ 100</w:t>
      </w:r>
      <w:r w:rsidR="00865588" w:rsidRPr="002E6FDF">
        <w:rPr>
          <w:rFonts w:cs="Arial"/>
          <w:bCs/>
          <w:color w:val="auto"/>
          <w:highlight w:val="yellow"/>
        </w:rPr>
        <w:t xml:space="preserve"> </w:t>
      </w:r>
      <w:r w:rsidR="00E36458" w:rsidRPr="002E6FDF">
        <w:rPr>
          <w:rFonts w:cs="Arial"/>
          <w:bCs/>
          <w:color w:val="auto"/>
          <w:highlight w:val="yellow"/>
        </w:rPr>
        <w:t xml:space="preserve">mg of 4-(benzyloxy)benzaldehyde (4-BBA) to a </w:t>
      </w:r>
      <w:r w:rsidR="008F4689" w:rsidRPr="002E6FDF">
        <w:rPr>
          <w:rFonts w:cs="Arial"/>
          <w:bCs/>
          <w:color w:val="auto"/>
          <w:highlight w:val="yellow"/>
        </w:rPr>
        <w:t>5</w:t>
      </w:r>
      <w:r w:rsidR="00B6240F">
        <w:rPr>
          <w:rFonts w:cs="Arial"/>
          <w:bCs/>
          <w:color w:val="auto"/>
          <w:highlight w:val="yellow"/>
        </w:rPr>
        <w:t xml:space="preserve"> mL</w:t>
      </w:r>
      <w:r w:rsidR="008F4689" w:rsidRPr="002E6FDF">
        <w:rPr>
          <w:rFonts w:cs="Arial"/>
          <w:bCs/>
          <w:color w:val="auto"/>
          <w:highlight w:val="yellow"/>
        </w:rPr>
        <w:t xml:space="preserve"> </w:t>
      </w:r>
      <w:r w:rsidR="00E36458" w:rsidRPr="002E6FDF">
        <w:rPr>
          <w:rFonts w:cs="Arial"/>
          <w:bCs/>
          <w:color w:val="auto"/>
          <w:highlight w:val="yellow"/>
        </w:rPr>
        <w:t>vial, record the actual weight, add a spin</w:t>
      </w:r>
      <w:r w:rsidR="002E6FDF">
        <w:rPr>
          <w:rFonts w:cs="Arial"/>
          <w:bCs/>
          <w:color w:val="auto"/>
          <w:highlight w:val="yellow"/>
        </w:rPr>
        <w:t xml:space="preserve"> </w:t>
      </w:r>
      <w:r w:rsidR="00E36458" w:rsidRPr="002E6FDF">
        <w:rPr>
          <w:rFonts w:cs="Arial"/>
          <w:bCs/>
          <w:color w:val="auto"/>
          <w:highlight w:val="yellow"/>
        </w:rPr>
        <w:t xml:space="preserve">vane. </w:t>
      </w:r>
    </w:p>
    <w:p w14:paraId="76811688" w14:textId="77777777" w:rsidR="00865588" w:rsidRPr="002E6FDF" w:rsidRDefault="00865588" w:rsidP="002B1ABE">
      <w:pPr>
        <w:pStyle w:val="NormalWeb"/>
        <w:spacing w:before="0" w:beforeAutospacing="0" w:after="0" w:afterAutospacing="0"/>
        <w:rPr>
          <w:rFonts w:cs="Arial"/>
          <w:bCs/>
          <w:color w:val="auto"/>
          <w:highlight w:val="yellow"/>
        </w:rPr>
      </w:pPr>
    </w:p>
    <w:p w14:paraId="21624D68" w14:textId="527FAEA5"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.3.2)</w:t>
      </w:r>
      <w:r w:rsidR="003B2D8D" w:rsidRPr="002E6FDF">
        <w:rPr>
          <w:rFonts w:cs="Arial"/>
          <w:bCs/>
          <w:color w:val="auto"/>
          <w:highlight w:val="yellow"/>
        </w:rPr>
        <w:tab/>
      </w:r>
      <w:r w:rsidR="00E36458" w:rsidRPr="002E6FDF">
        <w:rPr>
          <w:rFonts w:cs="Arial"/>
          <w:bCs/>
          <w:color w:val="auto"/>
          <w:highlight w:val="yellow"/>
        </w:rPr>
        <w:t xml:space="preserve">Add </w:t>
      </w:r>
      <w:r w:rsidR="000D0556">
        <w:rPr>
          <w:rFonts w:cs="Arial"/>
          <w:bCs/>
          <w:color w:val="auto"/>
          <w:highlight w:val="yellow"/>
        </w:rPr>
        <w:t>0.5</w:t>
      </w:r>
      <w:r w:rsidR="00B6240F">
        <w:rPr>
          <w:rFonts w:cs="Arial"/>
          <w:bCs/>
          <w:color w:val="auto"/>
          <w:highlight w:val="yellow"/>
        </w:rPr>
        <w:t xml:space="preserve"> mL</w:t>
      </w:r>
      <w:r w:rsidR="00E36458" w:rsidRPr="002E6FDF">
        <w:rPr>
          <w:rFonts w:cs="Arial"/>
          <w:bCs/>
          <w:color w:val="auto"/>
          <w:highlight w:val="yellow"/>
        </w:rPr>
        <w:t xml:space="preserve"> DMSO.</w:t>
      </w:r>
    </w:p>
    <w:p w14:paraId="6B418371" w14:textId="77777777" w:rsidR="00865588" w:rsidRPr="002E6FDF" w:rsidRDefault="00865588" w:rsidP="002B1ABE">
      <w:pPr>
        <w:pStyle w:val="NormalWeb"/>
        <w:spacing w:before="0" w:beforeAutospacing="0" w:after="0" w:afterAutospacing="0"/>
        <w:rPr>
          <w:rFonts w:cs="Arial"/>
          <w:bCs/>
          <w:color w:val="auto"/>
          <w:highlight w:val="yellow"/>
        </w:rPr>
      </w:pPr>
    </w:p>
    <w:p w14:paraId="53406626" w14:textId="6B35A2D6"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.3.3)</w:t>
      </w:r>
      <w:r w:rsidR="003B2D8D" w:rsidRPr="002E6FDF">
        <w:rPr>
          <w:rFonts w:cs="Arial"/>
          <w:bCs/>
          <w:color w:val="auto"/>
          <w:highlight w:val="yellow"/>
        </w:rPr>
        <w:tab/>
      </w:r>
      <w:r w:rsidR="00E36458" w:rsidRPr="002E6FDF">
        <w:rPr>
          <w:rFonts w:cs="Arial"/>
          <w:bCs/>
          <w:color w:val="auto"/>
          <w:highlight w:val="yellow"/>
        </w:rPr>
        <w:t>Dissolve the sample in 2</w:t>
      </w:r>
      <w:r w:rsidR="00B6240F">
        <w:rPr>
          <w:rFonts w:cs="Arial"/>
          <w:bCs/>
          <w:color w:val="auto"/>
          <w:highlight w:val="yellow"/>
        </w:rPr>
        <w:t xml:space="preserve"> mL</w:t>
      </w:r>
      <w:r w:rsidR="00E36458" w:rsidRPr="002E6FDF">
        <w:rPr>
          <w:rFonts w:cs="Arial"/>
          <w:bCs/>
          <w:color w:val="auto"/>
          <w:highlight w:val="yellow"/>
        </w:rPr>
        <w:t xml:space="preserve"> hydroxylamine hydrochloride solution (solution A).</w:t>
      </w:r>
    </w:p>
    <w:p w14:paraId="4F509FD3" w14:textId="77777777" w:rsidR="00865588" w:rsidRPr="002E6FDF" w:rsidRDefault="00865588" w:rsidP="002B1ABE">
      <w:pPr>
        <w:pStyle w:val="NormalWeb"/>
        <w:spacing w:before="0" w:beforeAutospacing="0" w:after="0" w:afterAutospacing="0"/>
        <w:rPr>
          <w:rFonts w:cs="Arial"/>
          <w:bCs/>
          <w:color w:val="auto"/>
          <w:highlight w:val="yellow"/>
        </w:rPr>
      </w:pPr>
    </w:p>
    <w:p w14:paraId="689B91B3" w14:textId="4F003255"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.3.4)</w:t>
      </w:r>
      <w:r w:rsidR="003B2D8D" w:rsidRPr="002E6FDF">
        <w:rPr>
          <w:rFonts w:cs="Arial"/>
          <w:bCs/>
          <w:color w:val="auto"/>
          <w:highlight w:val="yellow"/>
        </w:rPr>
        <w:tab/>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triethanolamine solution (solution B).</w:t>
      </w:r>
    </w:p>
    <w:p w14:paraId="08308EB1" w14:textId="77777777" w:rsidR="00865588" w:rsidRPr="002E6FDF" w:rsidRDefault="00865588" w:rsidP="002B1ABE">
      <w:pPr>
        <w:pStyle w:val="NormalWeb"/>
        <w:spacing w:before="0" w:beforeAutospacing="0" w:after="0" w:afterAutospacing="0"/>
        <w:rPr>
          <w:rFonts w:cs="Arial"/>
          <w:bCs/>
          <w:color w:val="auto"/>
          <w:highlight w:val="yellow"/>
        </w:rPr>
      </w:pPr>
    </w:p>
    <w:p w14:paraId="33316E53" w14:textId="5597C9C9"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.3.5)</w:t>
      </w:r>
      <w:r w:rsidR="003B2D8D" w:rsidRPr="002E6FDF">
        <w:rPr>
          <w:rFonts w:cs="Arial"/>
          <w:bCs/>
          <w:color w:val="auto"/>
          <w:highlight w:val="yellow"/>
        </w:rPr>
        <w:tab/>
      </w:r>
      <w:r w:rsidR="00E36458" w:rsidRPr="002E6FDF">
        <w:rPr>
          <w:rFonts w:cs="Arial"/>
          <w:bCs/>
          <w:color w:val="auto"/>
          <w:highlight w:val="yellow"/>
        </w:rPr>
        <w:t>Cl</w:t>
      </w:r>
      <w:r w:rsidR="00E36283" w:rsidRPr="002E6FDF">
        <w:rPr>
          <w:rFonts w:cs="Arial"/>
          <w:bCs/>
          <w:color w:val="auto"/>
          <w:highlight w:val="yellow"/>
        </w:rPr>
        <w:t>ose lid tightly and stir at 80 ᵒ</w:t>
      </w:r>
      <w:r w:rsidR="00E36458" w:rsidRPr="002E6FDF">
        <w:rPr>
          <w:rFonts w:cs="Arial"/>
          <w:bCs/>
          <w:color w:val="auto"/>
          <w:highlight w:val="yellow"/>
        </w:rPr>
        <w:t xml:space="preserve">C for 2 hours. </w:t>
      </w:r>
    </w:p>
    <w:p w14:paraId="41368A1E" w14:textId="77777777" w:rsidR="00865588" w:rsidRPr="002E6FDF" w:rsidRDefault="00865588" w:rsidP="002B1ABE">
      <w:pPr>
        <w:pStyle w:val="NormalWeb"/>
        <w:spacing w:before="0" w:beforeAutospacing="0" w:after="0" w:afterAutospacing="0"/>
        <w:rPr>
          <w:rFonts w:cs="Arial"/>
          <w:bCs/>
          <w:color w:val="auto"/>
          <w:highlight w:val="yellow"/>
        </w:rPr>
      </w:pPr>
    </w:p>
    <w:p w14:paraId="0A622805" w14:textId="09E14070"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.3.6)</w:t>
      </w:r>
      <w:r w:rsidR="003B2D8D" w:rsidRPr="002E6FDF">
        <w:rPr>
          <w:rFonts w:cs="Arial"/>
          <w:bCs/>
          <w:color w:val="auto"/>
          <w:highlight w:val="yellow"/>
        </w:rPr>
        <w:tab/>
      </w:r>
      <w:r w:rsidR="00B76488" w:rsidRPr="00B76488">
        <w:rPr>
          <w:rFonts w:cs="Arial"/>
          <w:bCs/>
          <w:color w:val="auto"/>
          <w:highlight w:val="yellow"/>
        </w:rPr>
        <w:t xml:space="preserve">Transfer the sample to a titration vessel, washing the reaction vial several times </w:t>
      </w:r>
      <w:r w:rsidR="001F6D84">
        <w:rPr>
          <w:rFonts w:cs="Arial"/>
          <w:bCs/>
          <w:color w:val="auto"/>
          <w:highlight w:val="yellow"/>
        </w:rPr>
        <w:t xml:space="preserve">separately </w:t>
      </w:r>
      <w:r w:rsidR="00B76488" w:rsidRPr="00B76488">
        <w:rPr>
          <w:rFonts w:cs="Arial"/>
          <w:bCs/>
          <w:color w:val="auto"/>
          <w:highlight w:val="yellow"/>
        </w:rPr>
        <w:t xml:space="preserve">with ethanol and water </w:t>
      </w:r>
      <w:r w:rsidR="001F6D84">
        <w:rPr>
          <w:rFonts w:cs="Arial"/>
          <w:bCs/>
          <w:color w:val="auto"/>
          <w:highlight w:val="yellow"/>
        </w:rPr>
        <w:t xml:space="preserve">in proportions </w:t>
      </w:r>
      <w:r w:rsidR="00B76488" w:rsidRPr="00B76488">
        <w:rPr>
          <w:rFonts w:cs="Arial"/>
          <w:bCs/>
          <w:color w:val="auto"/>
          <w:highlight w:val="yellow"/>
        </w:rPr>
        <w:t>to make a</w:t>
      </w:r>
      <w:r w:rsidR="001F6D84">
        <w:rPr>
          <w:rFonts w:cs="Arial"/>
          <w:bCs/>
          <w:color w:val="auto"/>
          <w:highlight w:val="yellow"/>
        </w:rPr>
        <w:t xml:space="preserve"> final</w:t>
      </w:r>
      <w:r w:rsidR="00B76488" w:rsidRPr="00B76488">
        <w:rPr>
          <w:rFonts w:cs="Arial"/>
          <w:bCs/>
          <w:color w:val="auto"/>
          <w:highlight w:val="yellow"/>
        </w:rPr>
        <w:t xml:space="preserve"> 80% solution of ethanol/water. Titrate with the acid solution using an automatic titrator to the endpoint. Record the endpoint.</w:t>
      </w:r>
    </w:p>
    <w:p w14:paraId="1DFC23C2" w14:textId="77777777" w:rsidR="00865588" w:rsidRPr="002E6FDF" w:rsidRDefault="00865588" w:rsidP="002B1ABE">
      <w:pPr>
        <w:pStyle w:val="NormalWeb"/>
        <w:spacing w:before="0" w:beforeAutospacing="0" w:after="0" w:afterAutospacing="0"/>
        <w:rPr>
          <w:rFonts w:cs="Arial"/>
          <w:bCs/>
          <w:color w:val="auto"/>
          <w:highlight w:val="yellow"/>
        </w:rPr>
      </w:pPr>
    </w:p>
    <w:p w14:paraId="72A5EE54" w14:textId="13D2C21E"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.3.7)</w:t>
      </w:r>
      <w:r w:rsidR="003B2D8D" w:rsidRPr="002E6FDF">
        <w:rPr>
          <w:rFonts w:cs="Arial"/>
          <w:bCs/>
          <w:color w:val="auto"/>
          <w:highlight w:val="yellow"/>
        </w:rPr>
        <w:tab/>
      </w:r>
      <w:r w:rsidR="00E36458" w:rsidRPr="002E6FDF">
        <w:rPr>
          <w:rFonts w:cs="Arial"/>
          <w:bCs/>
          <w:color w:val="auto"/>
          <w:highlight w:val="yellow"/>
        </w:rPr>
        <w:t>Repeat the process three times, to obtain three points.</w:t>
      </w:r>
    </w:p>
    <w:p w14:paraId="373A6A2B" w14:textId="77777777" w:rsidR="00865588" w:rsidRPr="002E6FDF" w:rsidRDefault="00865588" w:rsidP="002B1ABE">
      <w:pPr>
        <w:pStyle w:val="NormalWeb"/>
        <w:spacing w:before="0" w:beforeAutospacing="0" w:after="0" w:afterAutospacing="0"/>
        <w:rPr>
          <w:rFonts w:cs="Arial"/>
          <w:bCs/>
          <w:color w:val="auto"/>
          <w:highlight w:val="yellow"/>
        </w:rPr>
      </w:pPr>
    </w:p>
    <w:p w14:paraId="62B4F44A" w14:textId="176DA7BB"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 xml:space="preserve">.4) </w:t>
      </w:r>
      <w:r w:rsidR="003B2D8D" w:rsidRPr="002E6FDF">
        <w:rPr>
          <w:rFonts w:cs="Arial"/>
          <w:b/>
          <w:bCs/>
          <w:color w:val="auto"/>
          <w:highlight w:val="yellow"/>
        </w:rPr>
        <w:t>Analysis of Bio-oil Using the M</w:t>
      </w:r>
      <w:r w:rsidR="00E36458" w:rsidRPr="002E6FDF">
        <w:rPr>
          <w:rFonts w:cs="Arial"/>
          <w:b/>
          <w:bCs/>
          <w:color w:val="auto"/>
          <w:highlight w:val="yellow"/>
        </w:rPr>
        <w:t>ethod</w:t>
      </w:r>
      <w:r w:rsidR="00865588" w:rsidRPr="002E6FDF">
        <w:rPr>
          <w:rFonts w:cs="Arial"/>
          <w:b/>
          <w:bCs/>
          <w:color w:val="auto"/>
          <w:highlight w:val="yellow"/>
        </w:rPr>
        <w:t xml:space="preserve"> </w:t>
      </w:r>
    </w:p>
    <w:p w14:paraId="530CAAC0" w14:textId="40A12CE7"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.4.1)</w:t>
      </w:r>
      <w:r w:rsidR="003B2D8D" w:rsidRPr="002E6FDF">
        <w:rPr>
          <w:rFonts w:cs="Arial"/>
          <w:bCs/>
          <w:color w:val="auto"/>
          <w:highlight w:val="yellow"/>
        </w:rPr>
        <w:tab/>
      </w:r>
      <w:r w:rsidR="00E36458" w:rsidRPr="002E6FDF">
        <w:rPr>
          <w:rFonts w:cs="Arial"/>
          <w:bCs/>
          <w:color w:val="auto"/>
          <w:highlight w:val="yellow"/>
        </w:rPr>
        <w:t xml:space="preserve">Weigh close to 100 mg of the bio-oil to </w:t>
      </w:r>
      <w:r w:rsidR="008F4689" w:rsidRPr="002E6FDF">
        <w:rPr>
          <w:rFonts w:cs="Arial"/>
          <w:bCs/>
          <w:color w:val="auto"/>
          <w:highlight w:val="yellow"/>
        </w:rPr>
        <w:t>5</w:t>
      </w:r>
      <w:r w:rsidR="00B6240F">
        <w:rPr>
          <w:rFonts w:cs="Arial"/>
          <w:bCs/>
          <w:color w:val="auto"/>
          <w:highlight w:val="yellow"/>
        </w:rPr>
        <w:t xml:space="preserve"> mL</w:t>
      </w:r>
      <w:r w:rsidR="008F4689" w:rsidRPr="002E6FDF">
        <w:rPr>
          <w:rFonts w:cs="Arial"/>
          <w:bCs/>
          <w:color w:val="auto"/>
          <w:highlight w:val="yellow"/>
        </w:rPr>
        <w:t xml:space="preserve"> </w:t>
      </w:r>
      <w:r w:rsidR="00E36458" w:rsidRPr="002E6FDF">
        <w:rPr>
          <w:rFonts w:cs="Arial"/>
          <w:bCs/>
          <w:color w:val="auto"/>
          <w:highlight w:val="yellow"/>
        </w:rPr>
        <w:t>vial, record the actual weight and add a spin</w:t>
      </w:r>
      <w:r w:rsidR="002E6FDF">
        <w:rPr>
          <w:rFonts w:cs="Arial"/>
          <w:bCs/>
          <w:color w:val="auto"/>
          <w:highlight w:val="yellow"/>
        </w:rPr>
        <w:t xml:space="preserve"> </w:t>
      </w:r>
      <w:r w:rsidR="00E36458" w:rsidRPr="002E6FDF">
        <w:rPr>
          <w:rFonts w:cs="Arial"/>
          <w:bCs/>
          <w:color w:val="auto"/>
          <w:highlight w:val="yellow"/>
        </w:rPr>
        <w:t>vane.</w:t>
      </w:r>
    </w:p>
    <w:p w14:paraId="3296214E" w14:textId="77777777" w:rsidR="00865588" w:rsidRPr="002E6FDF" w:rsidRDefault="00865588" w:rsidP="002B1ABE">
      <w:pPr>
        <w:pStyle w:val="NormalWeb"/>
        <w:spacing w:before="0" w:beforeAutospacing="0" w:after="0" w:afterAutospacing="0"/>
        <w:rPr>
          <w:rFonts w:cs="Arial"/>
          <w:bCs/>
          <w:color w:val="auto"/>
          <w:highlight w:val="yellow"/>
        </w:rPr>
      </w:pPr>
    </w:p>
    <w:p w14:paraId="27FF68DC" w14:textId="6B09AC5E"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.4.2)</w:t>
      </w:r>
      <w:r w:rsidR="003B2D8D" w:rsidRPr="002E6FDF">
        <w:rPr>
          <w:rFonts w:cs="Arial"/>
          <w:bCs/>
          <w:color w:val="auto"/>
          <w:highlight w:val="yellow"/>
        </w:rPr>
        <w:tab/>
      </w:r>
      <w:r w:rsidR="00E36458" w:rsidRPr="002E6FDF">
        <w:rPr>
          <w:rFonts w:cs="Arial"/>
          <w:bCs/>
          <w:color w:val="auto"/>
          <w:highlight w:val="yellow"/>
        </w:rPr>
        <w:t xml:space="preserve">Add </w:t>
      </w:r>
      <w:r w:rsidR="000D0556">
        <w:rPr>
          <w:rFonts w:cs="Arial"/>
          <w:bCs/>
          <w:color w:val="auto"/>
          <w:highlight w:val="yellow"/>
        </w:rPr>
        <w:t>0.5</w:t>
      </w:r>
      <w:r w:rsidR="00B6240F">
        <w:rPr>
          <w:rFonts w:cs="Arial"/>
          <w:bCs/>
          <w:color w:val="auto"/>
          <w:highlight w:val="yellow"/>
        </w:rPr>
        <w:t xml:space="preserve"> mL</w:t>
      </w:r>
      <w:r w:rsidR="00E36458" w:rsidRPr="002E6FDF">
        <w:rPr>
          <w:rFonts w:cs="Arial"/>
          <w:bCs/>
          <w:color w:val="auto"/>
          <w:highlight w:val="yellow"/>
        </w:rPr>
        <w:t xml:space="preserve"> DMSO.</w:t>
      </w:r>
    </w:p>
    <w:p w14:paraId="1E960A58" w14:textId="77777777" w:rsidR="00865588" w:rsidRPr="002E6FDF" w:rsidRDefault="00865588" w:rsidP="002B1ABE">
      <w:pPr>
        <w:pStyle w:val="NormalWeb"/>
        <w:spacing w:before="0" w:beforeAutospacing="0" w:after="0" w:afterAutospacing="0"/>
        <w:rPr>
          <w:rFonts w:cs="Arial"/>
          <w:bCs/>
          <w:color w:val="auto"/>
          <w:highlight w:val="yellow"/>
        </w:rPr>
      </w:pPr>
    </w:p>
    <w:p w14:paraId="0C6682FC" w14:textId="787C3E76"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.4.3)</w:t>
      </w:r>
      <w:r w:rsidR="003B2D8D" w:rsidRPr="002E6FDF">
        <w:rPr>
          <w:rFonts w:cs="Arial"/>
          <w:bCs/>
          <w:color w:val="auto"/>
          <w:highlight w:val="yellow"/>
        </w:rPr>
        <w:tab/>
      </w:r>
      <w:r w:rsidR="00E36458" w:rsidRPr="002E6FDF">
        <w:rPr>
          <w:rFonts w:cs="Arial"/>
          <w:bCs/>
          <w:color w:val="auto"/>
          <w:highlight w:val="yellow"/>
        </w:rPr>
        <w:t>Dissolve the sample in 2</w:t>
      </w:r>
      <w:r w:rsidR="00B6240F">
        <w:rPr>
          <w:rFonts w:cs="Arial"/>
          <w:bCs/>
          <w:color w:val="auto"/>
          <w:highlight w:val="yellow"/>
        </w:rPr>
        <w:t xml:space="preserve"> mL</w:t>
      </w:r>
      <w:r w:rsidR="00E36458" w:rsidRPr="002E6FDF">
        <w:rPr>
          <w:rFonts w:cs="Arial"/>
          <w:bCs/>
          <w:color w:val="auto"/>
          <w:highlight w:val="yellow"/>
        </w:rPr>
        <w:t xml:space="preserve"> hydroxylamine hydrochloride solution (solution A).</w:t>
      </w:r>
    </w:p>
    <w:p w14:paraId="78DCA701" w14:textId="77777777" w:rsidR="00865588" w:rsidRPr="002E6FDF" w:rsidRDefault="00865588" w:rsidP="002B1ABE">
      <w:pPr>
        <w:pStyle w:val="NormalWeb"/>
        <w:spacing w:before="0" w:beforeAutospacing="0" w:after="0" w:afterAutospacing="0"/>
        <w:rPr>
          <w:rFonts w:cs="Arial"/>
          <w:bCs/>
          <w:color w:val="auto"/>
          <w:highlight w:val="yellow"/>
        </w:rPr>
      </w:pPr>
    </w:p>
    <w:p w14:paraId="53BBC6D3" w14:textId="17179595"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.4.4)</w:t>
      </w:r>
      <w:r w:rsidR="003B2D8D" w:rsidRPr="002E6FDF">
        <w:rPr>
          <w:rFonts w:cs="Arial"/>
          <w:bCs/>
          <w:color w:val="auto"/>
          <w:highlight w:val="yellow"/>
        </w:rPr>
        <w:tab/>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triethanolamine solution (solution B).</w:t>
      </w:r>
    </w:p>
    <w:p w14:paraId="6721BEAA" w14:textId="77777777" w:rsidR="00865588" w:rsidRPr="002E6FDF" w:rsidRDefault="00865588" w:rsidP="002B1ABE">
      <w:pPr>
        <w:pStyle w:val="NormalWeb"/>
        <w:spacing w:before="0" w:beforeAutospacing="0" w:after="0" w:afterAutospacing="0"/>
        <w:rPr>
          <w:rFonts w:cs="Arial"/>
          <w:bCs/>
          <w:color w:val="auto"/>
          <w:highlight w:val="yellow"/>
        </w:rPr>
      </w:pPr>
    </w:p>
    <w:p w14:paraId="65C77F37" w14:textId="7ED243A6"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.4.5)</w:t>
      </w:r>
      <w:r w:rsidR="003B2D8D" w:rsidRPr="002E6FDF">
        <w:rPr>
          <w:rFonts w:cs="Arial"/>
          <w:bCs/>
          <w:color w:val="auto"/>
          <w:highlight w:val="yellow"/>
        </w:rPr>
        <w:tab/>
      </w:r>
      <w:r w:rsidR="00E36458" w:rsidRPr="002E6FDF">
        <w:rPr>
          <w:rFonts w:cs="Arial"/>
          <w:bCs/>
          <w:color w:val="auto"/>
          <w:highlight w:val="yellow"/>
        </w:rPr>
        <w:t>Cl</w:t>
      </w:r>
      <w:r w:rsidR="00E36283" w:rsidRPr="002E6FDF">
        <w:rPr>
          <w:rFonts w:cs="Arial"/>
          <w:bCs/>
          <w:color w:val="auto"/>
          <w:highlight w:val="yellow"/>
        </w:rPr>
        <w:t>ose lid tightly and stir at 80 ᵒ</w:t>
      </w:r>
      <w:r w:rsidR="00E36458" w:rsidRPr="002E6FDF">
        <w:rPr>
          <w:rFonts w:cs="Arial"/>
          <w:bCs/>
          <w:color w:val="auto"/>
          <w:highlight w:val="yellow"/>
        </w:rPr>
        <w:t xml:space="preserve">C for 2 hours. </w:t>
      </w:r>
    </w:p>
    <w:p w14:paraId="1AB879B5" w14:textId="77777777" w:rsidR="00865588" w:rsidRPr="002E6FDF" w:rsidRDefault="00865588" w:rsidP="002B1ABE">
      <w:pPr>
        <w:pStyle w:val="NormalWeb"/>
        <w:spacing w:before="0" w:beforeAutospacing="0" w:after="0" w:afterAutospacing="0"/>
        <w:rPr>
          <w:rFonts w:cs="Arial"/>
          <w:bCs/>
          <w:color w:val="auto"/>
          <w:highlight w:val="yellow"/>
        </w:rPr>
      </w:pPr>
    </w:p>
    <w:p w14:paraId="316856C5" w14:textId="15D1532C"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.4.6)</w:t>
      </w:r>
      <w:r w:rsidR="003B2D8D" w:rsidRPr="002E6FDF">
        <w:rPr>
          <w:rFonts w:cs="Arial"/>
          <w:bCs/>
          <w:color w:val="auto"/>
          <w:highlight w:val="yellow"/>
        </w:rPr>
        <w:tab/>
      </w:r>
      <w:r w:rsidR="00032361" w:rsidRPr="00032361">
        <w:rPr>
          <w:rFonts w:cs="Arial"/>
          <w:bCs/>
          <w:color w:val="auto"/>
          <w:highlight w:val="yellow"/>
        </w:rPr>
        <w:t xml:space="preserve">Transfer the sample to a titration vessel, washing the reaction vial several times </w:t>
      </w:r>
      <w:r w:rsidR="005A5E99">
        <w:rPr>
          <w:rFonts w:cs="Arial"/>
          <w:bCs/>
          <w:color w:val="auto"/>
          <w:highlight w:val="yellow"/>
        </w:rPr>
        <w:t xml:space="preserve">separately </w:t>
      </w:r>
      <w:r w:rsidR="00032361" w:rsidRPr="00032361">
        <w:rPr>
          <w:rFonts w:cs="Arial"/>
          <w:bCs/>
          <w:color w:val="auto"/>
          <w:highlight w:val="yellow"/>
        </w:rPr>
        <w:t xml:space="preserve">with ethanol and water </w:t>
      </w:r>
      <w:r w:rsidR="005A5E99">
        <w:rPr>
          <w:rFonts w:cs="Arial"/>
          <w:bCs/>
          <w:color w:val="auto"/>
          <w:highlight w:val="yellow"/>
        </w:rPr>
        <w:t xml:space="preserve">in proportions </w:t>
      </w:r>
      <w:r w:rsidR="00032361" w:rsidRPr="00032361">
        <w:rPr>
          <w:rFonts w:cs="Arial"/>
          <w:bCs/>
          <w:color w:val="auto"/>
          <w:highlight w:val="yellow"/>
        </w:rPr>
        <w:t>to make a</w:t>
      </w:r>
      <w:r w:rsidR="005A5E99">
        <w:rPr>
          <w:rFonts w:cs="Arial"/>
          <w:bCs/>
          <w:color w:val="auto"/>
          <w:highlight w:val="yellow"/>
        </w:rPr>
        <w:t xml:space="preserve"> final</w:t>
      </w:r>
      <w:r w:rsidR="00032361" w:rsidRPr="00032361">
        <w:rPr>
          <w:rFonts w:cs="Arial"/>
          <w:bCs/>
          <w:color w:val="auto"/>
          <w:highlight w:val="yellow"/>
        </w:rPr>
        <w:t xml:space="preserve"> 80% solution of ethanol/water. Titrate with the acid solution using an automatic titrator to the endpoint. Record the endpoint.</w:t>
      </w:r>
    </w:p>
    <w:p w14:paraId="0E3DD3E8" w14:textId="77777777" w:rsidR="00865588" w:rsidRPr="002E6FDF" w:rsidRDefault="00865588" w:rsidP="002B1ABE">
      <w:pPr>
        <w:pStyle w:val="NormalWeb"/>
        <w:spacing w:before="0" w:beforeAutospacing="0" w:after="0" w:afterAutospacing="0"/>
        <w:rPr>
          <w:rFonts w:cs="Arial"/>
          <w:bCs/>
          <w:color w:val="auto"/>
          <w:highlight w:val="yellow"/>
        </w:rPr>
      </w:pPr>
    </w:p>
    <w:p w14:paraId="0AD58BBA" w14:textId="64C1302D"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.4.7)</w:t>
      </w:r>
      <w:r w:rsidR="003B2D8D" w:rsidRPr="002E6FDF">
        <w:rPr>
          <w:rFonts w:cs="Arial"/>
          <w:bCs/>
          <w:color w:val="auto"/>
          <w:highlight w:val="yellow"/>
        </w:rPr>
        <w:tab/>
      </w:r>
      <w:r w:rsidR="00E36458" w:rsidRPr="002E6FDF">
        <w:rPr>
          <w:rFonts w:cs="Arial"/>
          <w:bCs/>
          <w:color w:val="auto"/>
          <w:highlight w:val="yellow"/>
        </w:rPr>
        <w:t>Repeat the process three times, to obtain three points.</w:t>
      </w:r>
    </w:p>
    <w:p w14:paraId="7A46EA4E" w14:textId="77777777" w:rsidR="00865588" w:rsidRPr="002E6FDF" w:rsidRDefault="00865588" w:rsidP="002B1ABE">
      <w:pPr>
        <w:pStyle w:val="NormalWeb"/>
        <w:spacing w:before="0" w:beforeAutospacing="0" w:after="0" w:afterAutospacing="0"/>
        <w:rPr>
          <w:rFonts w:cs="Arial"/>
          <w:bCs/>
          <w:color w:val="auto"/>
          <w:highlight w:val="yellow"/>
        </w:rPr>
      </w:pPr>
    </w:p>
    <w:p w14:paraId="3D5E0EF9" w14:textId="02C1BE84"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.4.8)</w:t>
      </w:r>
      <w:r w:rsidR="003B2D8D" w:rsidRPr="002E6FDF">
        <w:rPr>
          <w:rFonts w:cs="Arial"/>
          <w:bCs/>
          <w:color w:val="auto"/>
          <w:highlight w:val="yellow"/>
        </w:rPr>
        <w:tab/>
      </w:r>
      <w:r w:rsidR="00E36458" w:rsidRPr="002E6FDF">
        <w:rPr>
          <w:rFonts w:cs="Arial"/>
          <w:bCs/>
          <w:color w:val="auto"/>
          <w:highlight w:val="yellow"/>
        </w:rPr>
        <w:t>Blank C:</w:t>
      </w:r>
      <w:r w:rsidR="00865588" w:rsidRPr="002E6FDF">
        <w:rPr>
          <w:rFonts w:cs="Arial"/>
          <w:bCs/>
          <w:color w:val="auto"/>
          <w:highlight w:val="yellow"/>
        </w:rPr>
        <w:t xml:space="preserve"> </w:t>
      </w:r>
      <w:r w:rsidR="00E36458" w:rsidRPr="002E6FDF">
        <w:rPr>
          <w:rFonts w:cs="Arial"/>
          <w:bCs/>
          <w:color w:val="auto"/>
          <w:highlight w:val="yellow"/>
        </w:rPr>
        <w:t xml:space="preserve">If mineral acid is suspected to be present in sample, </w:t>
      </w:r>
      <w:r w:rsidR="002E6FDF" w:rsidRPr="002E6FDF">
        <w:rPr>
          <w:rFonts w:cs="Arial"/>
          <w:bCs/>
          <w:color w:val="auto"/>
          <w:highlight w:val="yellow"/>
        </w:rPr>
        <w:t>weigh</w:t>
      </w:r>
      <w:r w:rsidR="00E36458" w:rsidRPr="002E6FDF">
        <w:rPr>
          <w:rFonts w:cs="Arial"/>
          <w:bCs/>
          <w:color w:val="auto"/>
          <w:highlight w:val="yellow"/>
        </w:rPr>
        <w:t xml:space="preserve"> close to 100 mg of the bio-oil into a </w:t>
      </w:r>
      <w:r w:rsidR="008F4689" w:rsidRPr="002E6FDF">
        <w:rPr>
          <w:rFonts w:cs="Arial"/>
          <w:bCs/>
          <w:color w:val="auto"/>
          <w:highlight w:val="yellow"/>
        </w:rPr>
        <w:t>5</w:t>
      </w:r>
      <w:r w:rsidR="00B6240F">
        <w:rPr>
          <w:rFonts w:cs="Arial"/>
          <w:bCs/>
          <w:color w:val="auto"/>
          <w:highlight w:val="yellow"/>
        </w:rPr>
        <w:t xml:space="preserve"> mL</w:t>
      </w:r>
      <w:r w:rsidR="008F4689" w:rsidRPr="002E6FDF">
        <w:rPr>
          <w:rFonts w:cs="Arial"/>
          <w:bCs/>
          <w:color w:val="auto"/>
          <w:highlight w:val="yellow"/>
        </w:rPr>
        <w:t xml:space="preserve"> </w:t>
      </w:r>
      <w:r w:rsidR="00E36458" w:rsidRPr="002E6FDF">
        <w:rPr>
          <w:rFonts w:cs="Arial"/>
          <w:bCs/>
          <w:color w:val="auto"/>
          <w:highlight w:val="yellow"/>
        </w:rPr>
        <w:t xml:space="preserve">vial, record </w:t>
      </w:r>
      <w:r w:rsidR="002E6FDF">
        <w:rPr>
          <w:rFonts w:cs="Arial"/>
          <w:bCs/>
          <w:color w:val="auto"/>
          <w:highlight w:val="yellow"/>
        </w:rPr>
        <w:t xml:space="preserve">the </w:t>
      </w:r>
      <w:r w:rsidR="00E36458" w:rsidRPr="002E6FDF">
        <w:rPr>
          <w:rFonts w:cs="Arial"/>
          <w:bCs/>
          <w:color w:val="auto"/>
          <w:highlight w:val="yellow"/>
        </w:rPr>
        <w:t>weight and add a spin</w:t>
      </w:r>
      <w:r w:rsidR="002E6FDF">
        <w:rPr>
          <w:rFonts w:cs="Arial"/>
          <w:bCs/>
          <w:color w:val="auto"/>
          <w:highlight w:val="yellow"/>
        </w:rPr>
        <w:t xml:space="preserve"> </w:t>
      </w:r>
      <w:r w:rsidR="00E36458" w:rsidRPr="002E6FDF">
        <w:rPr>
          <w:rFonts w:cs="Arial"/>
          <w:bCs/>
          <w:color w:val="auto"/>
          <w:highlight w:val="yellow"/>
        </w:rPr>
        <w:t>vane.</w:t>
      </w:r>
    </w:p>
    <w:p w14:paraId="53F173F2" w14:textId="77777777" w:rsidR="00865588" w:rsidRPr="002E6FDF" w:rsidRDefault="00865588" w:rsidP="002B1ABE">
      <w:pPr>
        <w:pStyle w:val="NormalWeb"/>
        <w:spacing w:before="0" w:beforeAutospacing="0" w:after="0" w:afterAutospacing="0"/>
        <w:rPr>
          <w:rFonts w:cs="Arial"/>
          <w:bCs/>
          <w:color w:val="auto"/>
          <w:highlight w:val="yellow"/>
        </w:rPr>
      </w:pPr>
    </w:p>
    <w:p w14:paraId="5C714D55" w14:textId="74C44BE8"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.4.9)</w:t>
      </w:r>
      <w:r w:rsidR="003B2D8D" w:rsidRPr="002E6FDF">
        <w:rPr>
          <w:rFonts w:cs="Arial"/>
          <w:bCs/>
          <w:color w:val="auto"/>
          <w:highlight w:val="yellow"/>
        </w:rPr>
        <w:tab/>
      </w:r>
      <w:r w:rsidR="00E36458" w:rsidRPr="002E6FDF">
        <w:rPr>
          <w:rFonts w:cs="Arial"/>
          <w:bCs/>
          <w:color w:val="auto"/>
          <w:highlight w:val="yellow"/>
        </w:rPr>
        <w:t xml:space="preserve">Add </w:t>
      </w:r>
      <w:r w:rsidR="000D0556">
        <w:rPr>
          <w:rFonts w:cs="Arial"/>
          <w:bCs/>
          <w:color w:val="auto"/>
          <w:highlight w:val="yellow"/>
        </w:rPr>
        <w:t>0.5</w:t>
      </w:r>
      <w:r w:rsidR="00B6240F">
        <w:rPr>
          <w:rFonts w:cs="Arial"/>
          <w:bCs/>
          <w:color w:val="auto"/>
          <w:highlight w:val="yellow"/>
        </w:rPr>
        <w:t xml:space="preserve"> mL</w:t>
      </w:r>
      <w:r w:rsidR="00E36458" w:rsidRPr="002E6FDF">
        <w:rPr>
          <w:rFonts w:cs="Arial"/>
          <w:bCs/>
          <w:color w:val="auto"/>
          <w:highlight w:val="yellow"/>
        </w:rPr>
        <w:t xml:space="preserve"> DMSO.</w:t>
      </w:r>
    </w:p>
    <w:p w14:paraId="182E89E9" w14:textId="77777777" w:rsidR="00865588" w:rsidRPr="002E6FDF" w:rsidRDefault="00865588" w:rsidP="002B1ABE">
      <w:pPr>
        <w:pStyle w:val="NormalWeb"/>
        <w:spacing w:before="0" w:beforeAutospacing="0" w:after="0" w:afterAutospacing="0"/>
        <w:rPr>
          <w:rFonts w:cs="Arial"/>
          <w:bCs/>
          <w:color w:val="auto"/>
          <w:highlight w:val="yellow"/>
        </w:rPr>
      </w:pPr>
    </w:p>
    <w:p w14:paraId="01B09EC8" w14:textId="0E2D1884"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.4.10)</w:t>
      </w:r>
      <w:r w:rsidR="00850995" w:rsidRPr="002E6FDF">
        <w:rPr>
          <w:rFonts w:cs="Arial"/>
          <w:bCs/>
          <w:color w:val="auto"/>
          <w:highlight w:val="yellow"/>
        </w:rPr>
        <w:t xml:space="preserve"> </w:t>
      </w:r>
      <w:r w:rsidR="00E36458" w:rsidRPr="002E6FDF">
        <w:rPr>
          <w:rFonts w:cs="Arial"/>
          <w:bCs/>
          <w:color w:val="auto"/>
          <w:highlight w:val="yellow"/>
        </w:rPr>
        <w:t>Add 2</w:t>
      </w:r>
      <w:r w:rsidR="00B6240F">
        <w:rPr>
          <w:rFonts w:cs="Arial"/>
          <w:bCs/>
          <w:color w:val="auto"/>
          <w:highlight w:val="yellow"/>
        </w:rPr>
        <w:t xml:space="preserve"> mL</w:t>
      </w:r>
      <w:r w:rsidR="00E36458" w:rsidRPr="002E6FDF">
        <w:rPr>
          <w:rFonts w:cs="Arial"/>
          <w:bCs/>
          <w:color w:val="auto"/>
          <w:highlight w:val="yellow"/>
        </w:rPr>
        <w:t xml:space="preserve"> triethanolamine so</w:t>
      </w:r>
      <w:r w:rsidR="00865588" w:rsidRPr="002E6FDF">
        <w:rPr>
          <w:rFonts w:cs="Arial"/>
          <w:bCs/>
          <w:color w:val="auto"/>
          <w:highlight w:val="yellow"/>
        </w:rPr>
        <w:t>l</w:t>
      </w:r>
      <w:r w:rsidR="00E36458" w:rsidRPr="002E6FDF">
        <w:rPr>
          <w:rFonts w:cs="Arial"/>
          <w:bCs/>
          <w:color w:val="auto"/>
          <w:highlight w:val="yellow"/>
        </w:rPr>
        <w:t xml:space="preserve">ution (solution B). </w:t>
      </w:r>
    </w:p>
    <w:p w14:paraId="61B611A0" w14:textId="77777777" w:rsidR="00865588" w:rsidRPr="002E6FDF" w:rsidRDefault="00865588" w:rsidP="002B1ABE">
      <w:pPr>
        <w:pStyle w:val="NormalWeb"/>
        <w:spacing w:before="0" w:beforeAutospacing="0" w:after="0" w:afterAutospacing="0"/>
        <w:rPr>
          <w:rFonts w:cs="Arial"/>
          <w:bCs/>
          <w:color w:val="auto"/>
          <w:highlight w:val="yellow"/>
        </w:rPr>
      </w:pPr>
    </w:p>
    <w:p w14:paraId="6FC81D85" w14:textId="1F81EFA6"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.4.11)</w:t>
      </w:r>
      <w:r w:rsidR="00850995" w:rsidRPr="002E6FDF">
        <w:rPr>
          <w:rFonts w:cs="Arial"/>
          <w:bCs/>
          <w:color w:val="auto"/>
          <w:highlight w:val="yellow"/>
        </w:rPr>
        <w:t xml:space="preserve"> </w:t>
      </w:r>
      <w:r w:rsidR="00E36283" w:rsidRPr="002E6FDF">
        <w:rPr>
          <w:rFonts w:cs="Arial"/>
          <w:bCs/>
          <w:color w:val="auto"/>
          <w:highlight w:val="yellow"/>
        </w:rPr>
        <w:t>Cap tightly and stir at 80 ᵒ</w:t>
      </w:r>
      <w:r w:rsidR="00E36458" w:rsidRPr="002E6FDF">
        <w:rPr>
          <w:rFonts w:cs="Arial"/>
          <w:bCs/>
          <w:color w:val="auto"/>
          <w:highlight w:val="yellow"/>
        </w:rPr>
        <w:t>C for 2 hours.</w:t>
      </w:r>
    </w:p>
    <w:p w14:paraId="6CAA8A95" w14:textId="77777777" w:rsidR="00865588" w:rsidRPr="002E6FDF" w:rsidRDefault="00865588" w:rsidP="002B1ABE">
      <w:pPr>
        <w:pStyle w:val="NormalWeb"/>
        <w:spacing w:before="0" w:beforeAutospacing="0" w:after="0" w:afterAutospacing="0"/>
        <w:rPr>
          <w:rFonts w:cs="Arial"/>
          <w:bCs/>
          <w:color w:val="auto"/>
          <w:highlight w:val="yellow"/>
        </w:rPr>
      </w:pPr>
    </w:p>
    <w:p w14:paraId="6B21605E" w14:textId="792B1E1F" w:rsidR="00E36458"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.4.12)</w:t>
      </w:r>
      <w:r w:rsidR="00850995" w:rsidRPr="002E6FDF">
        <w:rPr>
          <w:rFonts w:cs="Arial"/>
          <w:bCs/>
          <w:color w:val="auto"/>
          <w:highlight w:val="yellow"/>
        </w:rPr>
        <w:t xml:space="preserve"> </w:t>
      </w:r>
      <w:r w:rsidR="00B7468F" w:rsidRPr="00B7468F">
        <w:rPr>
          <w:rFonts w:cs="Arial"/>
          <w:bCs/>
          <w:color w:val="auto"/>
          <w:highlight w:val="yellow"/>
        </w:rPr>
        <w:t xml:space="preserve">Transfer the sample to a titration vessel, washing the reaction vial several times </w:t>
      </w:r>
      <w:r w:rsidR="00524122">
        <w:rPr>
          <w:rFonts w:cs="Arial"/>
          <w:bCs/>
          <w:color w:val="auto"/>
          <w:highlight w:val="yellow"/>
        </w:rPr>
        <w:t xml:space="preserve">separately </w:t>
      </w:r>
      <w:r w:rsidR="00B7468F" w:rsidRPr="00B7468F">
        <w:rPr>
          <w:rFonts w:cs="Arial"/>
          <w:bCs/>
          <w:color w:val="auto"/>
          <w:highlight w:val="yellow"/>
        </w:rPr>
        <w:t xml:space="preserve">with ethanol and water </w:t>
      </w:r>
      <w:r w:rsidR="00524122">
        <w:rPr>
          <w:rFonts w:cs="Arial"/>
          <w:bCs/>
          <w:color w:val="auto"/>
          <w:highlight w:val="yellow"/>
        </w:rPr>
        <w:t xml:space="preserve">in proportions </w:t>
      </w:r>
      <w:r w:rsidR="00B7468F" w:rsidRPr="00B7468F">
        <w:rPr>
          <w:rFonts w:cs="Arial"/>
          <w:bCs/>
          <w:color w:val="auto"/>
          <w:highlight w:val="yellow"/>
        </w:rPr>
        <w:t>to make a</w:t>
      </w:r>
      <w:r w:rsidR="00524122">
        <w:rPr>
          <w:rFonts w:cs="Arial"/>
          <w:bCs/>
          <w:color w:val="auto"/>
          <w:highlight w:val="yellow"/>
        </w:rPr>
        <w:t xml:space="preserve"> final</w:t>
      </w:r>
      <w:r w:rsidR="00B7468F" w:rsidRPr="00B7468F">
        <w:rPr>
          <w:rFonts w:cs="Arial"/>
          <w:bCs/>
          <w:color w:val="auto"/>
          <w:highlight w:val="yellow"/>
        </w:rPr>
        <w:t xml:space="preserve"> 80% solution of ethanol/water. Titrate with the acid solution using an automatic titrator to the endpoint. Record the endpoint.</w:t>
      </w:r>
    </w:p>
    <w:p w14:paraId="423856A4" w14:textId="77777777" w:rsidR="00865588" w:rsidRPr="002E6FDF" w:rsidRDefault="00865588" w:rsidP="002B1ABE">
      <w:pPr>
        <w:pStyle w:val="NormalWeb"/>
        <w:spacing w:before="0" w:beforeAutospacing="0" w:after="0" w:afterAutospacing="0"/>
        <w:rPr>
          <w:rFonts w:cs="Arial"/>
          <w:bCs/>
          <w:color w:val="auto"/>
          <w:highlight w:val="yellow"/>
        </w:rPr>
      </w:pPr>
    </w:p>
    <w:p w14:paraId="6BD9CFC2" w14:textId="13E1D263" w:rsidR="00C416FC" w:rsidRPr="002E6FDF" w:rsidRDefault="00BD039B" w:rsidP="002B1ABE">
      <w:pPr>
        <w:pStyle w:val="NormalWeb"/>
        <w:spacing w:before="0" w:beforeAutospacing="0" w:after="0" w:afterAutospacing="0"/>
        <w:rPr>
          <w:rFonts w:cs="Arial"/>
          <w:bCs/>
          <w:color w:val="auto"/>
          <w:highlight w:val="yellow"/>
        </w:rPr>
      </w:pPr>
      <w:r w:rsidRPr="002E6FDF">
        <w:rPr>
          <w:rFonts w:cs="Arial"/>
          <w:bCs/>
          <w:color w:val="auto"/>
          <w:highlight w:val="yellow"/>
        </w:rPr>
        <w:t>3</w:t>
      </w:r>
      <w:r w:rsidR="003B2D8D" w:rsidRPr="002E6FDF">
        <w:rPr>
          <w:rFonts w:cs="Arial"/>
          <w:bCs/>
          <w:color w:val="auto"/>
          <w:highlight w:val="yellow"/>
        </w:rPr>
        <w:t>.4.13)</w:t>
      </w:r>
      <w:r w:rsidR="00850995" w:rsidRPr="002E6FDF">
        <w:rPr>
          <w:rFonts w:cs="Arial"/>
          <w:bCs/>
          <w:color w:val="auto"/>
          <w:highlight w:val="yellow"/>
        </w:rPr>
        <w:t xml:space="preserve"> </w:t>
      </w:r>
      <w:r w:rsidR="00E36458" w:rsidRPr="002E6FDF">
        <w:rPr>
          <w:rFonts w:cs="Arial"/>
          <w:bCs/>
          <w:color w:val="auto"/>
          <w:highlight w:val="yellow"/>
        </w:rPr>
        <w:t>Repeat process three times to obtain three points.</w:t>
      </w:r>
    </w:p>
    <w:p w14:paraId="0654AB2D" w14:textId="77777777" w:rsidR="00C416FC" w:rsidRDefault="00C416FC" w:rsidP="002B1ABE">
      <w:pPr>
        <w:rPr>
          <w:rFonts w:cs="Arial"/>
          <w:b/>
        </w:rPr>
      </w:pPr>
    </w:p>
    <w:p w14:paraId="01AC817C" w14:textId="2F6BF239" w:rsidR="00C71A57" w:rsidRDefault="009426AE" w:rsidP="002B1ABE">
      <w:pPr>
        <w:pStyle w:val="NormalWeb"/>
        <w:spacing w:before="0" w:beforeAutospacing="0" w:after="0" w:afterAutospacing="0"/>
        <w:rPr>
          <w:rFonts w:cs="Arial"/>
          <w:bCs/>
          <w:color w:val="auto"/>
        </w:rPr>
      </w:pPr>
      <w:r>
        <w:rPr>
          <w:rFonts w:cs="Arial"/>
          <w:b/>
          <w:bCs/>
          <w:color w:val="auto"/>
        </w:rPr>
        <w:t>4</w:t>
      </w:r>
      <w:r w:rsidR="00C71A57" w:rsidRPr="008E5196">
        <w:rPr>
          <w:rFonts w:cs="Arial"/>
          <w:b/>
          <w:bCs/>
          <w:color w:val="auto"/>
        </w:rPr>
        <w:t xml:space="preserve">. </w:t>
      </w:r>
      <w:r w:rsidR="00C71A57">
        <w:rPr>
          <w:rFonts w:cs="Arial"/>
          <w:b/>
          <w:bCs/>
          <w:color w:val="auto"/>
        </w:rPr>
        <w:t>Calculations</w:t>
      </w:r>
    </w:p>
    <w:p w14:paraId="12422F04" w14:textId="5B382F3A" w:rsidR="00B92BC5" w:rsidRPr="00B92BC5" w:rsidRDefault="009426AE" w:rsidP="002B1ABE">
      <w:pPr>
        <w:pStyle w:val="NormalWeb"/>
        <w:spacing w:before="0" w:beforeAutospacing="0" w:after="0" w:afterAutospacing="0"/>
        <w:rPr>
          <w:rFonts w:cs="Arial"/>
          <w:bCs/>
          <w:color w:val="auto"/>
        </w:rPr>
      </w:pPr>
      <w:r>
        <w:rPr>
          <w:rFonts w:cs="Arial"/>
          <w:bCs/>
          <w:color w:val="auto"/>
        </w:rPr>
        <w:t>4</w:t>
      </w:r>
      <w:r w:rsidR="00B92BC5">
        <w:rPr>
          <w:rFonts w:cs="Arial"/>
          <w:bCs/>
          <w:color w:val="auto"/>
        </w:rPr>
        <w:t xml:space="preserve">.1) </w:t>
      </w:r>
      <w:r w:rsidR="00B92BC5" w:rsidRPr="00B92BC5">
        <w:rPr>
          <w:rFonts w:cs="Arial"/>
          <w:b/>
          <w:bCs/>
          <w:color w:val="auto"/>
        </w:rPr>
        <w:t>Standardization of the Base Solution</w:t>
      </w:r>
    </w:p>
    <w:p w14:paraId="101256A3" w14:textId="71770703" w:rsidR="00B92BC5" w:rsidRPr="00B92BC5" w:rsidRDefault="002E6FDF" w:rsidP="002B1ABE">
      <w:pPr>
        <w:pStyle w:val="NormalWeb"/>
        <w:spacing w:before="0" w:beforeAutospacing="0" w:after="0" w:afterAutospacing="0"/>
        <w:rPr>
          <w:rFonts w:cs="Arial"/>
          <w:bCs/>
          <w:color w:val="auto"/>
        </w:rPr>
      </w:pPr>
      <w:r>
        <w:rPr>
          <w:rFonts w:cs="Arial"/>
          <w:bCs/>
          <w:color w:val="auto"/>
        </w:rPr>
        <w:t xml:space="preserve">4.1.1) </w:t>
      </w:r>
      <w:r w:rsidR="00AA22EA">
        <w:rPr>
          <w:rFonts w:cs="Arial"/>
          <w:bCs/>
          <w:color w:val="auto"/>
        </w:rPr>
        <w:t xml:space="preserve">Calculate </w:t>
      </w:r>
      <w:r w:rsidR="00AA22EA" w:rsidRPr="00B92BC5">
        <w:rPr>
          <w:rFonts w:cs="Arial"/>
          <w:bCs/>
          <w:color w:val="auto"/>
        </w:rPr>
        <w:t xml:space="preserve">the concentration of the acid solution (mol/L) </w:t>
      </w:r>
      <w:r w:rsidR="00AA22EA">
        <w:rPr>
          <w:rFonts w:cs="Arial"/>
          <w:bCs/>
          <w:color w:val="auto"/>
        </w:rPr>
        <w:t>using the following equation.</w:t>
      </w:r>
      <w:r w:rsidR="00AA22EA" w:rsidRPr="00B92BC5">
        <w:rPr>
          <w:rFonts w:cs="Arial"/>
          <w:bCs/>
          <w:color w:val="auto"/>
        </w:rPr>
        <w:t xml:space="preserve"> </w:t>
      </w:r>
      <w:r w:rsidR="00AA22EA">
        <w:rPr>
          <w:rFonts w:cs="Arial"/>
          <w:bCs/>
          <w:color w:val="auto"/>
        </w:rPr>
        <w:t>T</w:t>
      </w:r>
      <w:r w:rsidR="00AA22EA" w:rsidRPr="00B92BC5">
        <w:rPr>
          <w:rFonts w:cs="Arial"/>
          <w:bCs/>
          <w:color w:val="auto"/>
        </w:rPr>
        <w:t>he weight of the dry sodium carbonate in grams is w</w:t>
      </w:r>
      <w:r w:rsidR="00AA22EA" w:rsidRPr="00B92BC5">
        <w:rPr>
          <w:rFonts w:cs="Arial"/>
          <w:bCs/>
          <w:color w:val="auto"/>
          <w:vertAlign w:val="subscript"/>
        </w:rPr>
        <w:t>1</w:t>
      </w:r>
      <w:r w:rsidR="00AA22EA">
        <w:rPr>
          <w:rFonts w:cs="Arial"/>
          <w:bCs/>
          <w:color w:val="auto"/>
        </w:rPr>
        <w:t>, t</w:t>
      </w:r>
      <w:r w:rsidR="00AA22EA" w:rsidRPr="00B92BC5">
        <w:rPr>
          <w:rFonts w:cs="Arial"/>
          <w:bCs/>
          <w:color w:val="auto"/>
        </w:rPr>
        <w:t>he purity</w:t>
      </w:r>
      <w:r w:rsidR="00AA22EA">
        <w:rPr>
          <w:rFonts w:cs="Arial"/>
          <w:bCs/>
          <w:color w:val="auto"/>
        </w:rPr>
        <w:t xml:space="preserve"> is </w:t>
      </w:r>
      <w:r w:rsidR="00AA22EA" w:rsidRPr="00B92BC5">
        <w:rPr>
          <w:rFonts w:cs="Arial"/>
          <w:bCs/>
          <w:color w:val="auto"/>
        </w:rPr>
        <w:t>written as a fraction</w:t>
      </w:r>
      <w:r w:rsidR="00AA22EA">
        <w:rPr>
          <w:rFonts w:cs="Arial"/>
          <w:bCs/>
          <w:color w:val="auto"/>
        </w:rPr>
        <w:t xml:space="preserve"> (</w:t>
      </w:r>
      <w:r w:rsidR="00AA22EA" w:rsidRPr="00B92BC5">
        <w:rPr>
          <w:rFonts w:cs="Arial"/>
          <w:bCs/>
          <w:color w:val="auto"/>
        </w:rPr>
        <w:t xml:space="preserve">i.e., 99% is 0.99), and the endpoint </w:t>
      </w:r>
      <w:r w:rsidR="00AA22EA">
        <w:rPr>
          <w:rFonts w:cs="Arial"/>
          <w:bCs/>
          <w:color w:val="auto"/>
        </w:rPr>
        <w:t xml:space="preserve">is </w:t>
      </w:r>
      <w:r w:rsidR="00AA22EA" w:rsidRPr="00B92BC5">
        <w:rPr>
          <w:rFonts w:cs="Arial"/>
          <w:bCs/>
          <w:color w:val="auto"/>
        </w:rPr>
        <w:t>in</w:t>
      </w:r>
      <w:r w:rsidR="00AA22EA">
        <w:rPr>
          <w:rFonts w:cs="Arial"/>
          <w:bCs/>
          <w:color w:val="auto"/>
        </w:rPr>
        <w:t xml:space="preserve"> mL.</w:t>
      </w:r>
      <w:r w:rsidR="005F0C77">
        <w:rPr>
          <w:rFonts w:cs="Arial"/>
          <w:bCs/>
          <w:color w:val="auto"/>
        </w:rPr>
        <w:t xml:space="preserve"> </w:t>
      </w:r>
    </w:p>
    <w:p w14:paraId="5E1A7794" w14:textId="0B7C4F31" w:rsidR="00B92BC5" w:rsidRPr="00865588" w:rsidRDefault="00B92BC5" w:rsidP="002B1ABE">
      <w:pPr>
        <w:pStyle w:val="NormalWeb"/>
        <w:spacing w:before="0" w:beforeAutospacing="0" w:after="0" w:afterAutospacing="0"/>
        <w:rPr>
          <w:rFonts w:cs="Arial"/>
        </w:rPr>
      </w:pPr>
      <m:oMathPara>
        <m:oMath>
          <m:r>
            <w:rPr>
              <w:rFonts w:ascii="Cambria Math" w:hAnsi="Cambria Math"/>
            </w:rPr>
            <m:t>[acid]= (1000*</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 xml:space="preserve">*purity of </m:t>
          </m:r>
          <m:r>
            <m:rPr>
              <m:sty m:val="p"/>
            </m:rPr>
            <w:rPr>
              <w:rFonts w:ascii="Cambria Math" w:hAnsi="Cambria Math"/>
            </w:rPr>
            <m:t>Na</m:t>
          </m:r>
          <m:r>
            <m:rPr>
              <m:sty m:val="p"/>
            </m:rPr>
            <w:rPr>
              <w:rFonts w:ascii="Cambria Math" w:hAnsi="Cambria Math"/>
              <w:vertAlign w:val="subscript"/>
            </w:rPr>
            <m:t>2</m:t>
          </m:r>
          <m:r>
            <m:rPr>
              <m:sty m:val="p"/>
            </m:rPr>
            <w:rPr>
              <w:rFonts w:ascii="Cambria Math" w:hAnsi="Cambria Math"/>
            </w:rPr>
            <m:t>CO</m:t>
          </m:r>
          <m:r>
            <m:rPr>
              <m:sty m:val="p"/>
            </m:rPr>
            <w:rPr>
              <w:rFonts w:ascii="Cambria Math" w:hAnsi="Cambria Math"/>
              <w:vertAlign w:val="subscript"/>
            </w:rPr>
            <m:t>3</m:t>
          </m:r>
          <m:r>
            <w:rPr>
              <w:rFonts w:ascii="Cambria Math" w:hAnsi="Cambria Math"/>
            </w:rPr>
            <m:t>)/(105.9885*endpoint)</m:t>
          </m:r>
        </m:oMath>
      </m:oMathPara>
    </w:p>
    <w:p w14:paraId="7A45E881" w14:textId="77777777" w:rsidR="00865588" w:rsidRDefault="00865588" w:rsidP="002B1ABE">
      <w:pPr>
        <w:pStyle w:val="NormalWeb"/>
        <w:spacing w:before="0" w:beforeAutospacing="0" w:after="0" w:afterAutospacing="0"/>
        <w:rPr>
          <w:rFonts w:cs="Arial"/>
        </w:rPr>
      </w:pPr>
    </w:p>
    <w:p w14:paraId="4CA711AC" w14:textId="066D2F95" w:rsidR="00B92BC5" w:rsidRPr="00B92BC5" w:rsidRDefault="009426AE" w:rsidP="002B1ABE">
      <w:pPr>
        <w:pStyle w:val="NormalWeb"/>
        <w:spacing w:before="0" w:beforeAutospacing="0" w:after="0" w:afterAutospacing="0"/>
        <w:rPr>
          <w:rFonts w:cs="Arial"/>
          <w:bCs/>
          <w:color w:val="auto"/>
        </w:rPr>
      </w:pPr>
      <w:r>
        <w:rPr>
          <w:rFonts w:cs="Arial"/>
        </w:rPr>
        <w:t>4</w:t>
      </w:r>
      <w:r w:rsidR="00B92BC5">
        <w:rPr>
          <w:rFonts w:cs="Arial"/>
        </w:rPr>
        <w:t xml:space="preserve">.2) </w:t>
      </w:r>
      <w:r w:rsidR="00B92BC5" w:rsidRPr="00B92BC5">
        <w:rPr>
          <w:rFonts w:cs="Arial"/>
          <w:b/>
          <w:bCs/>
          <w:color w:val="auto"/>
        </w:rPr>
        <w:t>Validation of the Method Using a Known Carbonyl</w:t>
      </w:r>
    </w:p>
    <w:p w14:paraId="405DD3BB" w14:textId="1A30BB37" w:rsidR="00B92BC5" w:rsidRPr="00B92BC5" w:rsidRDefault="002E6FDF" w:rsidP="002B1ABE">
      <w:pPr>
        <w:pStyle w:val="NormalWeb"/>
        <w:spacing w:before="0" w:beforeAutospacing="0" w:after="0" w:afterAutospacing="0"/>
        <w:rPr>
          <w:rFonts w:cs="Arial"/>
          <w:bCs/>
          <w:color w:val="auto"/>
        </w:rPr>
      </w:pPr>
      <w:r>
        <w:rPr>
          <w:rFonts w:cs="Arial"/>
          <w:bCs/>
          <w:color w:val="auto"/>
        </w:rPr>
        <w:t xml:space="preserve">4.2.1) </w:t>
      </w:r>
      <w:r w:rsidR="00AA22EA">
        <w:rPr>
          <w:rFonts w:cs="Arial"/>
          <w:bCs/>
          <w:color w:val="auto"/>
        </w:rPr>
        <w:t xml:space="preserve">Calculate </w:t>
      </w:r>
      <w:r w:rsidR="00AA22EA" w:rsidRPr="00B92BC5">
        <w:rPr>
          <w:rFonts w:cs="Arial"/>
          <w:bCs/>
          <w:color w:val="auto"/>
        </w:rPr>
        <w:t xml:space="preserve">the concentration of 4BBA (mol/L) in the sample </w:t>
      </w:r>
      <w:r w:rsidR="00AA22EA">
        <w:rPr>
          <w:rFonts w:cs="Arial"/>
          <w:bCs/>
          <w:color w:val="auto"/>
        </w:rPr>
        <w:t>using the following equation. T</w:t>
      </w:r>
      <w:r w:rsidR="00B92BC5" w:rsidRPr="00B92BC5">
        <w:rPr>
          <w:rFonts w:cs="Arial"/>
          <w:bCs/>
          <w:color w:val="auto"/>
        </w:rPr>
        <w:t>he weight of the 4BBA in grams is w</w:t>
      </w:r>
      <w:r w:rsidR="00B92BC5" w:rsidRPr="00B92BC5">
        <w:rPr>
          <w:rFonts w:cs="Arial"/>
          <w:bCs/>
          <w:color w:val="auto"/>
          <w:vertAlign w:val="subscript"/>
        </w:rPr>
        <w:t>2</w:t>
      </w:r>
      <w:r w:rsidR="00B92BC5" w:rsidRPr="00B92BC5">
        <w:rPr>
          <w:rFonts w:cs="Arial"/>
          <w:bCs/>
          <w:color w:val="auto"/>
        </w:rPr>
        <w:t xml:space="preserve">, the </w:t>
      </w:r>
      <w:r w:rsidR="00AA22EA">
        <w:rPr>
          <w:rFonts w:cs="Arial"/>
          <w:bCs/>
          <w:color w:val="auto"/>
        </w:rPr>
        <w:t xml:space="preserve">4BBA </w:t>
      </w:r>
      <w:r w:rsidR="00B92BC5" w:rsidRPr="00B92BC5">
        <w:rPr>
          <w:rFonts w:cs="Arial"/>
          <w:bCs/>
          <w:color w:val="auto"/>
        </w:rPr>
        <w:t xml:space="preserve">purity </w:t>
      </w:r>
      <w:r w:rsidR="00AA22EA">
        <w:rPr>
          <w:rFonts w:cs="Arial"/>
          <w:bCs/>
          <w:color w:val="auto"/>
        </w:rPr>
        <w:t xml:space="preserve">is </w:t>
      </w:r>
      <w:r w:rsidR="00B92BC5" w:rsidRPr="00B92BC5">
        <w:rPr>
          <w:rFonts w:cs="Arial"/>
          <w:bCs/>
          <w:color w:val="auto"/>
        </w:rPr>
        <w:t xml:space="preserve">written as a fraction </w:t>
      </w:r>
      <w:r w:rsidR="00AA22EA">
        <w:rPr>
          <w:rFonts w:cs="Arial"/>
          <w:bCs/>
          <w:color w:val="auto"/>
        </w:rPr>
        <w:t>(</w:t>
      </w:r>
      <w:r w:rsidR="00B92BC5" w:rsidRPr="00B92BC5">
        <w:rPr>
          <w:rFonts w:cs="Arial"/>
          <w:bCs/>
          <w:color w:val="auto"/>
        </w:rPr>
        <w:t>i.e., 99% is 0.99), the concentration of the acid solution</w:t>
      </w:r>
      <w:r w:rsidR="00236D7E">
        <w:rPr>
          <w:rFonts w:cs="Arial"/>
          <w:bCs/>
          <w:color w:val="auto"/>
        </w:rPr>
        <w:t xml:space="preserve"> (mol/L)</w:t>
      </w:r>
      <w:r w:rsidR="00B92BC5" w:rsidRPr="00B92BC5">
        <w:rPr>
          <w:rFonts w:cs="Arial"/>
          <w:bCs/>
          <w:color w:val="auto"/>
        </w:rPr>
        <w:t xml:space="preserve"> is [acid], </w:t>
      </w:r>
      <w:r w:rsidR="00AA22EA">
        <w:rPr>
          <w:rFonts w:cs="Arial"/>
          <w:bCs/>
          <w:color w:val="auto"/>
        </w:rPr>
        <w:t xml:space="preserve">the </w:t>
      </w:r>
      <w:r w:rsidR="00B92BC5" w:rsidRPr="00B92BC5">
        <w:rPr>
          <w:rFonts w:cs="Arial"/>
          <w:bCs/>
          <w:color w:val="auto"/>
        </w:rPr>
        <w:t xml:space="preserve">triethanolamine/hydroxylamine•HCl blank </w:t>
      </w:r>
      <w:r w:rsidR="00AA22EA">
        <w:rPr>
          <w:rFonts w:cs="Arial"/>
          <w:bCs/>
          <w:color w:val="auto"/>
        </w:rPr>
        <w:t xml:space="preserve">endpoint </w:t>
      </w:r>
      <w:r w:rsidR="00B92BC5" w:rsidRPr="00B92BC5">
        <w:rPr>
          <w:rFonts w:cs="Arial"/>
          <w:bCs/>
          <w:color w:val="auto"/>
        </w:rPr>
        <w:t>is EP</w:t>
      </w:r>
      <w:r w:rsidR="00B92BC5" w:rsidRPr="00B92BC5">
        <w:rPr>
          <w:rFonts w:cs="Arial"/>
          <w:bCs/>
          <w:color w:val="auto"/>
          <w:vertAlign w:val="subscript"/>
        </w:rPr>
        <w:t>BA</w:t>
      </w:r>
      <w:r w:rsidR="00B92BC5" w:rsidRPr="00B92BC5">
        <w:rPr>
          <w:rFonts w:cs="Arial"/>
          <w:bCs/>
          <w:color w:val="auto"/>
        </w:rPr>
        <w:t xml:space="preserve"> (the average value of three blanks, in</w:t>
      </w:r>
      <w:r w:rsidR="00B6240F">
        <w:rPr>
          <w:rFonts w:cs="Arial"/>
          <w:bCs/>
          <w:color w:val="auto"/>
        </w:rPr>
        <w:t xml:space="preserve"> mL</w:t>
      </w:r>
      <w:r w:rsidR="00B92BC5" w:rsidRPr="00B92BC5">
        <w:rPr>
          <w:rFonts w:cs="Arial"/>
          <w:bCs/>
          <w:color w:val="auto"/>
        </w:rPr>
        <w:t>)</w:t>
      </w:r>
      <w:r w:rsidR="00236D7E">
        <w:rPr>
          <w:rFonts w:cs="Arial"/>
          <w:bCs/>
          <w:color w:val="auto"/>
        </w:rPr>
        <w:t>,</w:t>
      </w:r>
      <w:r w:rsidR="00B92BC5" w:rsidRPr="00B92BC5">
        <w:rPr>
          <w:rFonts w:cs="Arial"/>
          <w:bCs/>
          <w:color w:val="auto"/>
        </w:rPr>
        <w:t xml:space="preserve"> and the endpoint is EP (in</w:t>
      </w:r>
      <w:r w:rsidR="00B6240F">
        <w:rPr>
          <w:rFonts w:cs="Arial"/>
          <w:bCs/>
          <w:color w:val="auto"/>
        </w:rPr>
        <w:t xml:space="preserve"> mL</w:t>
      </w:r>
      <w:r w:rsidR="00B92BC5" w:rsidRPr="00B92BC5">
        <w:rPr>
          <w:rFonts w:cs="Arial"/>
          <w:bCs/>
          <w:color w:val="auto"/>
        </w:rPr>
        <w:t>)</w:t>
      </w:r>
      <w:r w:rsidR="00AA22EA">
        <w:rPr>
          <w:rFonts w:cs="Arial"/>
          <w:bCs/>
          <w:color w:val="auto"/>
        </w:rPr>
        <w:t>.</w:t>
      </w:r>
      <w:r w:rsidR="00B92BC5" w:rsidRPr="00B92BC5">
        <w:rPr>
          <w:rFonts w:cs="Arial"/>
          <w:bCs/>
          <w:color w:val="auto"/>
        </w:rPr>
        <w:t xml:space="preserve"> </w:t>
      </w:r>
    </w:p>
    <w:p w14:paraId="571E2FF2" w14:textId="5800D6B2" w:rsidR="00B92BC5" w:rsidRPr="00865588" w:rsidRDefault="001327F4" w:rsidP="002B1ABE">
      <w:pPr>
        <w:pStyle w:val="NormalWeb"/>
        <w:spacing w:before="0" w:beforeAutospacing="0" w:after="0" w:afterAutospacing="0"/>
        <w:rPr>
          <w:rFonts w:cs="Arial"/>
        </w:rPr>
      </w:pPr>
      <m:oMathPara>
        <m:oMath>
          <m:d>
            <m:dPr>
              <m:begChr m:val="["/>
              <m:endChr m:val="]"/>
              <m:ctrlPr>
                <w:rPr>
                  <w:rFonts w:ascii="Cambria Math" w:hAnsi="Cambria Math"/>
                  <w:i/>
                </w:rPr>
              </m:ctrlPr>
            </m:dPr>
            <m:e>
              <m:r>
                <w:rPr>
                  <w:rFonts w:ascii="Cambria Math" w:hAnsi="Cambria Math"/>
                </w:rPr>
                <m:t>4BBA</m:t>
              </m:r>
            </m:e>
          </m:d>
          <m:r>
            <w:rPr>
              <w:rFonts w:ascii="Cambria Math" w:hAnsi="Cambria Math"/>
            </w:rPr>
            <m:t xml:space="preserve">= </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EP</m:t>
                          </m:r>
                        </m:e>
                        <m:sub>
                          <m:r>
                            <w:rPr>
                              <w:rFonts w:ascii="Cambria Math" w:hAnsi="Cambria Math"/>
                            </w:rPr>
                            <m:t>BA</m:t>
                          </m:r>
                        </m:sub>
                      </m:sSub>
                      <m:r>
                        <w:rPr>
                          <w:rFonts w:ascii="Cambria Math" w:hAnsi="Cambria Math"/>
                        </w:rPr>
                        <m:t>-EP</m:t>
                      </m:r>
                    </m:e>
                  </m:d>
                </m:num>
                <m:den>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*purity of 4BBA</m:t>
                  </m:r>
                </m:den>
              </m:f>
            </m:e>
          </m:d>
          <m:r>
            <w:rPr>
              <w:rFonts w:ascii="Cambria Math" w:hAnsi="Cambria Math"/>
            </w:rPr>
            <m:t>*</m:t>
          </m:r>
          <m:d>
            <m:dPr>
              <m:begChr m:val="["/>
              <m:endChr m:val="]"/>
              <m:ctrlPr>
                <w:rPr>
                  <w:rFonts w:ascii="Cambria Math" w:hAnsi="Cambria Math"/>
                  <w:i/>
                </w:rPr>
              </m:ctrlPr>
            </m:dPr>
            <m:e>
              <m:r>
                <w:rPr>
                  <w:rFonts w:ascii="Cambria Math" w:hAnsi="Cambria Math"/>
                </w:rPr>
                <m:t>acid</m:t>
              </m:r>
            </m:e>
          </m:d>
        </m:oMath>
      </m:oMathPara>
    </w:p>
    <w:p w14:paraId="4AC435D1" w14:textId="77777777" w:rsidR="00865588" w:rsidRPr="00B92BC5" w:rsidRDefault="00865588" w:rsidP="002B1ABE">
      <w:pPr>
        <w:pStyle w:val="NormalWeb"/>
        <w:spacing w:before="0" w:beforeAutospacing="0" w:after="0" w:afterAutospacing="0"/>
        <w:rPr>
          <w:rFonts w:cs="Arial"/>
        </w:rPr>
      </w:pPr>
    </w:p>
    <w:p w14:paraId="4483D7A1" w14:textId="58337908" w:rsidR="00B92BC5" w:rsidRPr="00B92BC5" w:rsidRDefault="009426AE" w:rsidP="002B1ABE">
      <w:pPr>
        <w:pStyle w:val="NormalWeb"/>
        <w:spacing w:before="0" w:beforeAutospacing="0" w:after="0" w:afterAutospacing="0"/>
        <w:rPr>
          <w:rFonts w:cs="Arial"/>
          <w:bCs/>
          <w:color w:val="auto"/>
        </w:rPr>
      </w:pPr>
      <w:r>
        <w:rPr>
          <w:rFonts w:cs="Arial"/>
          <w:bCs/>
          <w:color w:val="auto"/>
        </w:rPr>
        <w:t>4</w:t>
      </w:r>
      <w:r w:rsidR="00B92BC5">
        <w:rPr>
          <w:rFonts w:cs="Arial"/>
          <w:bCs/>
          <w:color w:val="auto"/>
        </w:rPr>
        <w:t xml:space="preserve">.3) </w:t>
      </w:r>
      <w:r w:rsidR="00B92BC5" w:rsidRPr="00B92BC5">
        <w:rPr>
          <w:rFonts w:cs="Arial"/>
          <w:b/>
          <w:bCs/>
          <w:color w:val="auto"/>
        </w:rPr>
        <w:t>Analysis of Bio-oil</w:t>
      </w:r>
    </w:p>
    <w:p w14:paraId="10F41482" w14:textId="6180CC6A" w:rsidR="00B92BC5" w:rsidRPr="00B92BC5" w:rsidRDefault="002E6FDF" w:rsidP="002B1ABE">
      <w:pPr>
        <w:pStyle w:val="NormalWeb"/>
        <w:spacing w:before="0" w:beforeAutospacing="0" w:after="0" w:afterAutospacing="0"/>
        <w:rPr>
          <w:rFonts w:cs="Arial"/>
          <w:bCs/>
          <w:color w:val="auto"/>
        </w:rPr>
      </w:pPr>
      <w:r>
        <w:rPr>
          <w:rFonts w:cs="Arial"/>
          <w:bCs/>
          <w:color w:val="auto"/>
        </w:rPr>
        <w:t xml:space="preserve">4.3.1) </w:t>
      </w:r>
      <w:r w:rsidR="00236D7E">
        <w:rPr>
          <w:rFonts w:cs="Arial"/>
          <w:bCs/>
          <w:color w:val="auto"/>
        </w:rPr>
        <w:t>Calculate</w:t>
      </w:r>
      <w:r w:rsidR="00236D7E" w:rsidRPr="00B92BC5">
        <w:rPr>
          <w:rFonts w:cs="Arial"/>
          <w:bCs/>
          <w:color w:val="auto"/>
        </w:rPr>
        <w:t xml:space="preserve"> the concentration of carbonyls in bio-oils [CO] (mmol/g-bio oil)</w:t>
      </w:r>
      <w:r w:rsidR="00236D7E">
        <w:rPr>
          <w:rFonts w:cs="Arial"/>
          <w:bCs/>
          <w:color w:val="auto"/>
        </w:rPr>
        <w:t xml:space="preserve"> using the following equation.</w:t>
      </w:r>
      <w:r w:rsidR="00236D7E" w:rsidRPr="00B92BC5">
        <w:rPr>
          <w:rFonts w:cs="Arial"/>
          <w:bCs/>
          <w:color w:val="auto"/>
        </w:rPr>
        <w:t xml:space="preserve"> </w:t>
      </w:r>
      <w:r w:rsidR="00236D7E">
        <w:rPr>
          <w:rFonts w:cs="Arial"/>
          <w:bCs/>
          <w:color w:val="auto"/>
        </w:rPr>
        <w:t>T</w:t>
      </w:r>
      <w:r w:rsidR="00B92BC5" w:rsidRPr="00B92BC5">
        <w:rPr>
          <w:rFonts w:cs="Arial"/>
          <w:bCs/>
          <w:color w:val="auto"/>
        </w:rPr>
        <w:t>he weight of the bio-oil in grams is w</w:t>
      </w:r>
      <w:r w:rsidR="00B92BC5" w:rsidRPr="00B92BC5">
        <w:rPr>
          <w:rFonts w:cs="Arial"/>
          <w:bCs/>
          <w:color w:val="auto"/>
          <w:vertAlign w:val="subscript"/>
        </w:rPr>
        <w:t>3</w:t>
      </w:r>
      <w:r w:rsidR="00B92BC5" w:rsidRPr="00B92BC5">
        <w:rPr>
          <w:rFonts w:cs="Arial"/>
          <w:bCs/>
          <w:color w:val="auto"/>
        </w:rPr>
        <w:t>, the concentration of the acid solution</w:t>
      </w:r>
      <w:r w:rsidR="00236D7E">
        <w:rPr>
          <w:rFonts w:cs="Arial"/>
          <w:bCs/>
          <w:color w:val="auto"/>
        </w:rPr>
        <w:t xml:space="preserve"> (mol/L)</w:t>
      </w:r>
      <w:r w:rsidR="00B92BC5" w:rsidRPr="00B92BC5">
        <w:rPr>
          <w:rFonts w:cs="Arial"/>
          <w:bCs/>
          <w:color w:val="auto"/>
        </w:rPr>
        <w:t xml:space="preserve"> is [acid], </w:t>
      </w:r>
      <w:r w:rsidR="00236D7E">
        <w:rPr>
          <w:rFonts w:cs="Arial"/>
          <w:bCs/>
          <w:color w:val="auto"/>
        </w:rPr>
        <w:t xml:space="preserve">the </w:t>
      </w:r>
      <w:r w:rsidR="00B92BC5" w:rsidRPr="00B92BC5">
        <w:rPr>
          <w:rFonts w:cs="Arial"/>
          <w:bCs/>
          <w:color w:val="auto"/>
        </w:rPr>
        <w:t xml:space="preserve">triethanolamine/hydroxylamine•HCl blank </w:t>
      </w:r>
      <w:r w:rsidR="00236D7E">
        <w:rPr>
          <w:rFonts w:cs="Arial"/>
          <w:bCs/>
          <w:color w:val="auto"/>
        </w:rPr>
        <w:t xml:space="preserve">endpoint </w:t>
      </w:r>
      <w:r w:rsidR="00B92BC5" w:rsidRPr="00B92BC5">
        <w:rPr>
          <w:rFonts w:cs="Arial"/>
          <w:bCs/>
          <w:color w:val="auto"/>
        </w:rPr>
        <w:t>is EP</w:t>
      </w:r>
      <w:r w:rsidR="00B92BC5" w:rsidRPr="00B92BC5">
        <w:rPr>
          <w:rFonts w:cs="Arial"/>
          <w:bCs/>
          <w:color w:val="auto"/>
          <w:vertAlign w:val="subscript"/>
        </w:rPr>
        <w:t>BA</w:t>
      </w:r>
      <w:r w:rsidR="00B92BC5" w:rsidRPr="00B92BC5">
        <w:rPr>
          <w:rFonts w:cs="Arial"/>
          <w:bCs/>
          <w:color w:val="auto"/>
        </w:rPr>
        <w:t xml:space="preserve"> (the average value of three blanks in</w:t>
      </w:r>
      <w:r w:rsidR="00B6240F">
        <w:rPr>
          <w:rFonts w:cs="Arial"/>
          <w:bCs/>
          <w:color w:val="auto"/>
        </w:rPr>
        <w:t xml:space="preserve"> mL</w:t>
      </w:r>
      <w:r w:rsidR="00B92BC5" w:rsidRPr="00B92BC5">
        <w:rPr>
          <w:rFonts w:cs="Arial"/>
          <w:bCs/>
          <w:color w:val="auto"/>
        </w:rPr>
        <w:t>)</w:t>
      </w:r>
      <w:r w:rsidR="00236D7E">
        <w:rPr>
          <w:rFonts w:cs="Arial"/>
          <w:bCs/>
          <w:color w:val="auto"/>
        </w:rPr>
        <w:t>,</w:t>
      </w:r>
      <w:r w:rsidR="00B92BC5" w:rsidRPr="00B92BC5">
        <w:rPr>
          <w:rFonts w:cs="Arial"/>
          <w:bCs/>
          <w:color w:val="auto"/>
        </w:rPr>
        <w:t xml:space="preserve"> and the endpoint is EP (in</w:t>
      </w:r>
      <w:r w:rsidR="00B6240F">
        <w:rPr>
          <w:rFonts w:cs="Arial"/>
          <w:bCs/>
          <w:color w:val="auto"/>
        </w:rPr>
        <w:t xml:space="preserve"> mL</w:t>
      </w:r>
      <w:r w:rsidR="00B92BC5" w:rsidRPr="00B92BC5">
        <w:rPr>
          <w:rFonts w:cs="Arial"/>
          <w:bCs/>
          <w:color w:val="auto"/>
        </w:rPr>
        <w:t>)</w:t>
      </w:r>
      <w:r w:rsidR="00236D7E">
        <w:rPr>
          <w:rFonts w:cs="Arial"/>
          <w:bCs/>
          <w:color w:val="auto"/>
        </w:rPr>
        <w:t>.</w:t>
      </w:r>
      <w:r>
        <w:rPr>
          <w:rFonts w:cs="Arial"/>
          <w:bCs/>
          <w:color w:val="auto"/>
        </w:rPr>
        <w:t xml:space="preserve"> </w:t>
      </w:r>
    </w:p>
    <w:p w14:paraId="5F797393" w14:textId="03B08144" w:rsidR="00B92BC5" w:rsidRPr="00865588" w:rsidRDefault="001327F4" w:rsidP="002B1ABE">
      <w:pPr>
        <w:pStyle w:val="NormalWeb"/>
        <w:spacing w:before="0" w:beforeAutospacing="0" w:after="0" w:afterAutospacing="0"/>
        <w:rPr>
          <w:rFonts w:cs="Arial"/>
        </w:rPr>
      </w:pPr>
      <m:oMathPara>
        <m:oMath>
          <m:d>
            <m:dPr>
              <m:begChr m:val="["/>
              <m:endChr m:val="]"/>
              <m:ctrlPr>
                <w:rPr>
                  <w:rFonts w:ascii="Cambria Math" w:hAnsi="Cambria Math"/>
                  <w:i/>
                </w:rPr>
              </m:ctrlPr>
            </m:dPr>
            <m:e>
              <m:r>
                <w:rPr>
                  <w:rFonts w:ascii="Cambria Math" w:hAnsi="Cambria Math"/>
                </w:rPr>
                <m:t>CO</m:t>
              </m:r>
            </m:e>
          </m:d>
          <m:r>
            <w:rPr>
              <w:rFonts w:ascii="Cambria Math" w:hAnsi="Cambria Math"/>
            </w:rPr>
            <m:t xml:space="preserve">= </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rPr>
                          </m:ctrlPr>
                        </m:sSubPr>
                        <m:e>
                          <m:r>
                            <m:rPr>
                              <m:sty m:val="p"/>
                            </m:rPr>
                            <w:rPr>
                              <w:rFonts w:ascii="Cambria Math" w:hAnsi="Cambria Math"/>
                            </w:rPr>
                            <m:t>EP</m:t>
                          </m:r>
                        </m:e>
                        <m:sub>
                          <m:r>
                            <w:rPr>
                              <w:rFonts w:ascii="Cambria Math" w:hAnsi="Cambria Math"/>
                            </w:rPr>
                            <m:t>BA</m:t>
                          </m:r>
                        </m:sub>
                      </m:sSub>
                      <m:r>
                        <w:rPr>
                          <w:rFonts w:ascii="Cambria Math" w:hAnsi="Cambria Math"/>
                        </w:rPr>
                        <m:t>-EP</m:t>
                      </m:r>
                    </m:e>
                  </m:d>
                </m:num>
                <m:den>
                  <m:sSub>
                    <m:sSubPr>
                      <m:ctrlPr>
                        <w:rPr>
                          <w:rFonts w:ascii="Cambria Math" w:hAnsi="Cambria Math"/>
                          <w:i/>
                        </w:rPr>
                      </m:ctrlPr>
                    </m:sSubPr>
                    <m:e>
                      <m:r>
                        <w:rPr>
                          <w:rFonts w:ascii="Cambria Math" w:hAnsi="Cambria Math"/>
                        </w:rPr>
                        <m:t>w</m:t>
                      </m:r>
                    </m:e>
                    <m:sub>
                      <m:r>
                        <w:rPr>
                          <w:rFonts w:ascii="Cambria Math" w:hAnsi="Cambria Math"/>
                        </w:rPr>
                        <m:t>3</m:t>
                      </m:r>
                    </m:sub>
                  </m:sSub>
                </m:den>
              </m:f>
            </m:e>
          </m:d>
          <m:r>
            <w:rPr>
              <w:rFonts w:ascii="Cambria Math" w:hAnsi="Cambria Math"/>
            </w:rPr>
            <m:t>*</m:t>
          </m:r>
          <m:d>
            <m:dPr>
              <m:begChr m:val="["/>
              <m:endChr m:val="]"/>
              <m:ctrlPr>
                <w:rPr>
                  <w:rFonts w:ascii="Cambria Math" w:hAnsi="Cambria Math"/>
                  <w:i/>
                </w:rPr>
              </m:ctrlPr>
            </m:dPr>
            <m:e>
              <m:r>
                <w:rPr>
                  <w:rFonts w:ascii="Cambria Math" w:hAnsi="Cambria Math"/>
                </w:rPr>
                <m:t>acid</m:t>
              </m:r>
            </m:e>
          </m:d>
        </m:oMath>
      </m:oMathPara>
    </w:p>
    <w:p w14:paraId="262F57B6" w14:textId="645213A6" w:rsidR="002E6FDF" w:rsidRDefault="009426AE" w:rsidP="002E6FDF">
      <w:pPr>
        <w:pStyle w:val="NormalWeb"/>
        <w:spacing w:before="0" w:beforeAutospacing="0" w:after="0" w:afterAutospacing="0"/>
        <w:rPr>
          <w:rFonts w:cs="Arial"/>
          <w:bCs/>
          <w:color w:val="auto"/>
        </w:rPr>
      </w:pPr>
      <w:r>
        <w:rPr>
          <w:rFonts w:cs="Arial"/>
          <w:bCs/>
          <w:color w:val="auto"/>
        </w:rPr>
        <w:t>4</w:t>
      </w:r>
      <w:r w:rsidR="0037750B">
        <w:rPr>
          <w:rFonts w:cs="Arial"/>
          <w:bCs/>
          <w:color w:val="auto"/>
        </w:rPr>
        <w:t xml:space="preserve">.4) </w:t>
      </w:r>
      <w:r w:rsidR="0037750B" w:rsidRPr="0037750B">
        <w:rPr>
          <w:rFonts w:cs="Arial"/>
          <w:b/>
          <w:bCs/>
          <w:color w:val="auto"/>
        </w:rPr>
        <w:t>Acid C</w:t>
      </w:r>
      <w:r w:rsidR="00B92BC5" w:rsidRPr="0037750B">
        <w:rPr>
          <w:rFonts w:cs="Arial"/>
          <w:b/>
          <w:bCs/>
          <w:color w:val="auto"/>
        </w:rPr>
        <w:t>orrection</w:t>
      </w:r>
    </w:p>
    <w:p w14:paraId="0144A9E0" w14:textId="43EA2269" w:rsidR="002E6FDF" w:rsidRDefault="002E6FDF" w:rsidP="002E6FDF">
      <w:pPr>
        <w:pStyle w:val="NormalWeb"/>
        <w:spacing w:before="0" w:beforeAutospacing="0" w:after="0" w:afterAutospacing="0"/>
        <w:rPr>
          <w:rFonts w:cs="Arial"/>
          <w:bCs/>
          <w:color w:val="auto"/>
        </w:rPr>
      </w:pPr>
      <w:r>
        <w:rPr>
          <w:rFonts w:cs="Arial"/>
          <w:bCs/>
          <w:color w:val="auto"/>
        </w:rPr>
        <w:t xml:space="preserve">Note: </w:t>
      </w:r>
      <w:r w:rsidRPr="00B92BC5">
        <w:rPr>
          <w:rFonts w:cs="Arial"/>
          <w:bCs/>
          <w:color w:val="auto"/>
        </w:rPr>
        <w:t>The presence of mineral acids or organic acids with pKa &lt; 2 can cause artificially low carbonyl values due to the reaction of the acid with triethanolamine.</w:t>
      </w:r>
    </w:p>
    <w:p w14:paraId="0836F887" w14:textId="77777777" w:rsidR="002E6FDF" w:rsidRPr="00B92BC5" w:rsidRDefault="002E6FDF" w:rsidP="002E6FDF">
      <w:pPr>
        <w:pStyle w:val="NormalWeb"/>
        <w:spacing w:before="0" w:beforeAutospacing="0" w:after="0" w:afterAutospacing="0"/>
        <w:rPr>
          <w:rFonts w:cs="Arial"/>
        </w:rPr>
      </w:pPr>
    </w:p>
    <w:p w14:paraId="3B8FD403" w14:textId="60BB29C8" w:rsidR="00B92BC5" w:rsidRPr="00B92BC5" w:rsidRDefault="002E6FDF" w:rsidP="002B1ABE">
      <w:pPr>
        <w:pStyle w:val="NormalWeb"/>
        <w:spacing w:before="0" w:beforeAutospacing="0" w:after="0" w:afterAutospacing="0"/>
        <w:rPr>
          <w:rFonts w:cs="Arial"/>
          <w:bCs/>
          <w:color w:val="auto"/>
        </w:rPr>
      </w:pPr>
      <w:r>
        <w:rPr>
          <w:rFonts w:cs="Arial"/>
          <w:bCs/>
          <w:color w:val="auto"/>
        </w:rPr>
        <w:t xml:space="preserve">4.4.1) </w:t>
      </w:r>
      <w:r w:rsidR="00B92BC5" w:rsidRPr="00B92BC5">
        <w:rPr>
          <w:rFonts w:cs="Arial"/>
          <w:bCs/>
          <w:color w:val="auto"/>
        </w:rPr>
        <w:t>If this is suspecte</w:t>
      </w:r>
      <w:r w:rsidR="00881A8B">
        <w:rPr>
          <w:rFonts w:cs="Arial"/>
          <w:bCs/>
          <w:color w:val="auto"/>
        </w:rPr>
        <w:t xml:space="preserve">d, </w:t>
      </w:r>
      <w:r>
        <w:rPr>
          <w:rFonts w:cs="Arial"/>
          <w:bCs/>
          <w:color w:val="auto"/>
        </w:rPr>
        <w:t xml:space="preserve">perform the </w:t>
      </w:r>
      <w:r w:rsidR="00881A8B">
        <w:rPr>
          <w:rFonts w:cs="Arial"/>
          <w:bCs/>
          <w:color w:val="auto"/>
        </w:rPr>
        <w:t xml:space="preserve">blanks detailed in sections </w:t>
      </w:r>
      <w:r w:rsidR="007E6D85">
        <w:rPr>
          <w:rFonts w:cs="Arial"/>
          <w:bCs/>
          <w:color w:val="auto"/>
        </w:rPr>
        <w:t>3</w:t>
      </w:r>
      <w:r w:rsidR="00881A8B">
        <w:rPr>
          <w:rFonts w:cs="Arial"/>
          <w:bCs/>
          <w:color w:val="auto"/>
        </w:rPr>
        <w:t xml:space="preserve">.2.6 and </w:t>
      </w:r>
      <w:r w:rsidR="007E6D85">
        <w:rPr>
          <w:rFonts w:cs="Arial"/>
          <w:bCs/>
          <w:color w:val="auto"/>
        </w:rPr>
        <w:t>3</w:t>
      </w:r>
      <w:r w:rsidR="00B92BC5" w:rsidRPr="00B92BC5">
        <w:rPr>
          <w:rFonts w:cs="Arial"/>
          <w:bCs/>
          <w:color w:val="auto"/>
        </w:rPr>
        <w:t>.4.8. The weight of bio-oil in the sample in grams is w</w:t>
      </w:r>
      <w:r w:rsidR="00B92BC5" w:rsidRPr="00881A8B">
        <w:rPr>
          <w:rFonts w:cs="Arial"/>
          <w:bCs/>
          <w:color w:val="auto"/>
          <w:vertAlign w:val="subscript"/>
        </w:rPr>
        <w:t>3</w:t>
      </w:r>
      <w:r w:rsidR="00B92BC5" w:rsidRPr="00B92BC5">
        <w:rPr>
          <w:rFonts w:cs="Arial"/>
          <w:bCs/>
          <w:color w:val="auto"/>
        </w:rPr>
        <w:t>, EP is the endpoint of the sample and EP</w:t>
      </w:r>
      <w:r w:rsidR="00B92BC5" w:rsidRPr="00881A8B">
        <w:rPr>
          <w:rFonts w:cs="Arial"/>
          <w:bCs/>
          <w:color w:val="auto"/>
          <w:vertAlign w:val="subscript"/>
        </w:rPr>
        <w:t>BA</w:t>
      </w:r>
      <w:r w:rsidR="00B92BC5" w:rsidRPr="00B92BC5">
        <w:rPr>
          <w:rFonts w:cs="Arial"/>
          <w:bCs/>
          <w:color w:val="auto"/>
        </w:rPr>
        <w:t xml:space="preserve"> is the triethanolamine/hydroxylamine blank. EP</w:t>
      </w:r>
      <w:r w:rsidR="00B92BC5" w:rsidRPr="00881A8B">
        <w:rPr>
          <w:rFonts w:cs="Arial"/>
          <w:bCs/>
          <w:color w:val="auto"/>
          <w:vertAlign w:val="subscript"/>
        </w:rPr>
        <w:t>BB</w:t>
      </w:r>
      <w:r w:rsidR="00B92BC5" w:rsidRPr="00B92BC5">
        <w:rPr>
          <w:rFonts w:cs="Arial"/>
          <w:bCs/>
          <w:color w:val="auto"/>
        </w:rPr>
        <w:t xml:space="preserve"> is the endpoint of Blank B, EP</w:t>
      </w:r>
      <w:r w:rsidR="00B92BC5" w:rsidRPr="00881A8B">
        <w:rPr>
          <w:rFonts w:cs="Arial"/>
          <w:bCs/>
          <w:color w:val="auto"/>
          <w:vertAlign w:val="subscript"/>
        </w:rPr>
        <w:t>BC</w:t>
      </w:r>
      <w:r w:rsidR="00B92BC5" w:rsidRPr="00B92BC5">
        <w:rPr>
          <w:rFonts w:cs="Arial"/>
          <w:bCs/>
          <w:color w:val="auto"/>
        </w:rPr>
        <w:t xml:space="preserve"> is endpoint of Blank C and the weight (g) of oil used in Blank C is w</w:t>
      </w:r>
      <w:r w:rsidR="00B92BC5" w:rsidRPr="00881A8B">
        <w:rPr>
          <w:rFonts w:cs="Arial"/>
          <w:bCs/>
          <w:color w:val="auto"/>
          <w:vertAlign w:val="subscript"/>
        </w:rPr>
        <w:t>BC</w:t>
      </w:r>
      <w:r w:rsidR="00B92BC5" w:rsidRPr="00B92BC5">
        <w:rPr>
          <w:rFonts w:cs="Arial"/>
          <w:bCs/>
          <w:color w:val="auto"/>
        </w:rPr>
        <w:t>:</w:t>
      </w:r>
    </w:p>
    <w:p w14:paraId="0F5E2D5F" w14:textId="252EF858" w:rsidR="00881A8B" w:rsidRPr="00881A8B" w:rsidRDefault="001327F4" w:rsidP="002B1ABE">
      <w:pPr>
        <w:pStyle w:val="NormalWeb"/>
        <w:spacing w:before="0" w:beforeAutospacing="0" w:after="0" w:afterAutospacing="0"/>
        <w:rPr>
          <w:rFonts w:cs="Arial"/>
        </w:rPr>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CO</m:t>
                  </m:r>
                </m:e>
                <m:sub>
                  <m:r>
                    <w:rPr>
                      <w:rFonts w:ascii="Cambria Math" w:hAnsi="Cambria Math"/>
                    </w:rPr>
                    <m:t>corrected</m:t>
                  </m:r>
                </m:sub>
              </m:sSub>
              <m:r>
                <w:rPr>
                  <w:rFonts w:ascii="Cambria Math" w:hAnsi="Cambria Math"/>
                </w:rPr>
                <m:t xml:space="preserve"> </m:t>
              </m:r>
            </m:e>
          </m:d>
          <m:r>
            <w:rPr>
              <w:rFonts w:ascii="Cambria Math" w:hAnsi="Cambria Math"/>
            </w:rPr>
            <m:t xml:space="preserve">= </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EP</m:t>
                          </m:r>
                        </m:e>
                        <m:sub>
                          <m:r>
                            <w:rPr>
                              <w:rFonts w:ascii="Cambria Math" w:hAnsi="Cambria Math"/>
                            </w:rPr>
                            <m:t>BA</m:t>
                          </m:r>
                        </m:sub>
                      </m:sSub>
                      <m:r>
                        <w:rPr>
                          <w:rFonts w:ascii="Cambria Math" w:hAnsi="Cambria Math"/>
                        </w:rPr>
                        <m:t>-EP</m:t>
                      </m:r>
                    </m:e>
                  </m:d>
                </m:num>
                <m:den>
                  <m:sSub>
                    <m:sSubPr>
                      <m:ctrlPr>
                        <w:rPr>
                          <w:rFonts w:ascii="Cambria Math" w:hAnsi="Cambria Math"/>
                          <w:i/>
                        </w:rPr>
                      </m:ctrlPr>
                    </m:sSubPr>
                    <m:e>
                      <m:r>
                        <w:rPr>
                          <w:rFonts w:ascii="Cambria Math" w:hAnsi="Cambria Math"/>
                        </w:rPr>
                        <m:t>w</m:t>
                      </m:r>
                    </m:e>
                    <m:sub>
                      <m:r>
                        <w:rPr>
                          <w:rFonts w:ascii="Cambria Math" w:hAnsi="Cambria Math"/>
                        </w:rPr>
                        <m:t>3</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EP</m:t>
                      </m:r>
                    </m:e>
                    <m:sub>
                      <m:r>
                        <w:rPr>
                          <w:rFonts w:ascii="Cambria Math" w:hAnsi="Cambria Math"/>
                        </w:rPr>
                        <m:t>BB</m:t>
                      </m:r>
                    </m:sub>
                  </m:sSub>
                  <m:r>
                    <w:rPr>
                      <w:rFonts w:ascii="Cambria Math" w:hAnsi="Cambria Math"/>
                    </w:rPr>
                    <m:t>-</m:t>
                  </m:r>
                  <m:sSub>
                    <m:sSubPr>
                      <m:ctrlPr>
                        <w:rPr>
                          <w:rFonts w:ascii="Cambria Math" w:hAnsi="Cambria Math"/>
                          <w:i/>
                        </w:rPr>
                      </m:ctrlPr>
                    </m:sSubPr>
                    <m:e>
                      <m:r>
                        <w:rPr>
                          <w:rFonts w:ascii="Cambria Math" w:hAnsi="Cambria Math"/>
                        </w:rPr>
                        <m:t>EP</m:t>
                      </m:r>
                    </m:e>
                    <m:sub>
                      <m:r>
                        <w:rPr>
                          <w:rFonts w:ascii="Cambria Math" w:hAnsi="Cambria Math"/>
                        </w:rPr>
                        <m:t>BC</m:t>
                      </m:r>
                    </m:sub>
                  </m:sSub>
                </m:num>
                <m:den>
                  <m:sSub>
                    <m:sSubPr>
                      <m:ctrlPr>
                        <w:rPr>
                          <w:rFonts w:ascii="Cambria Math" w:hAnsi="Cambria Math"/>
                          <w:i/>
                        </w:rPr>
                      </m:ctrlPr>
                    </m:sSubPr>
                    <m:e>
                      <m:r>
                        <w:rPr>
                          <w:rFonts w:ascii="Cambria Math" w:hAnsi="Cambria Math"/>
                        </w:rPr>
                        <m:t>w</m:t>
                      </m:r>
                    </m:e>
                    <m:sub>
                      <m:r>
                        <w:rPr>
                          <w:rFonts w:ascii="Cambria Math" w:hAnsi="Cambria Math"/>
                        </w:rPr>
                        <m:t>BC</m:t>
                      </m:r>
                    </m:sub>
                  </m:sSub>
                </m:den>
              </m:f>
            </m:e>
          </m:d>
          <m:r>
            <w:rPr>
              <w:rFonts w:ascii="Cambria Math" w:hAnsi="Cambria Math"/>
            </w:rPr>
            <m:t>*</m:t>
          </m:r>
          <m:d>
            <m:dPr>
              <m:begChr m:val="["/>
              <m:endChr m:val="]"/>
              <m:ctrlPr>
                <w:rPr>
                  <w:rFonts w:ascii="Cambria Math" w:hAnsi="Cambria Math"/>
                  <w:i/>
                </w:rPr>
              </m:ctrlPr>
            </m:dPr>
            <m:e>
              <m:r>
                <w:rPr>
                  <w:rFonts w:ascii="Cambria Math" w:hAnsi="Cambria Math"/>
                </w:rPr>
                <m:t>acid</m:t>
              </m:r>
            </m:e>
          </m:d>
        </m:oMath>
      </m:oMathPara>
    </w:p>
    <w:p w14:paraId="7923DB56" w14:textId="4945F375" w:rsidR="00865588" w:rsidRPr="00881A8B" w:rsidRDefault="00B92BC5" w:rsidP="002B1ABE">
      <w:pPr>
        <w:pStyle w:val="NormalWeb"/>
        <w:spacing w:before="0" w:beforeAutospacing="0" w:after="0" w:afterAutospacing="0"/>
        <w:rPr>
          <w:rFonts w:cs="Arial"/>
          <w:bCs/>
          <w:color w:val="auto"/>
        </w:rPr>
      </w:pPr>
      <w:r w:rsidRPr="00B92BC5">
        <w:rPr>
          <w:rFonts w:cs="Arial"/>
          <w:bCs/>
          <w:color w:val="auto"/>
        </w:rPr>
        <w:t>For bio-oil samples that contain mostly acetic acid, this is an unnecessary step.</w:t>
      </w:r>
      <w:r w:rsidRPr="00B92BC5">
        <w:rPr>
          <w:rFonts w:cs="Arial"/>
          <w:bCs/>
          <w:color w:val="auto"/>
        </w:rPr>
        <w:tab/>
      </w:r>
    </w:p>
    <w:p w14:paraId="622C324C" w14:textId="77777777" w:rsidR="00C416FC" w:rsidRDefault="00C416FC" w:rsidP="00967E5E">
      <w:pPr>
        <w:pStyle w:val="NormalWeb"/>
        <w:spacing w:before="0" w:beforeAutospacing="0" w:after="0" w:afterAutospacing="0"/>
      </w:pPr>
    </w:p>
    <w:p w14:paraId="3E79FCA8" w14:textId="1B999B1C" w:rsidR="006305D7" w:rsidRPr="000B2F36" w:rsidRDefault="006305D7" w:rsidP="002B1ABE">
      <w:pPr>
        <w:rPr>
          <w:rFonts w:cs="Arial"/>
          <w:color w:val="808080"/>
        </w:rPr>
      </w:pPr>
      <w:r w:rsidRPr="000B2F36">
        <w:rPr>
          <w:rFonts w:cs="Arial"/>
          <w:b/>
        </w:rPr>
        <w:t>REPRESENTATIVE RESULTS</w:t>
      </w:r>
      <w:r w:rsidRPr="000B2F36">
        <w:rPr>
          <w:rFonts w:cs="Arial"/>
          <w:b/>
          <w:bCs/>
        </w:rPr>
        <w:t>:</w:t>
      </w:r>
    </w:p>
    <w:p w14:paraId="68DE8BE6" w14:textId="100EC6E7" w:rsidR="006305D7" w:rsidRPr="00F031F9" w:rsidRDefault="00F031F9" w:rsidP="002B1ABE">
      <w:pPr>
        <w:rPr>
          <w:rFonts w:cs="Arial"/>
          <w:color w:val="auto"/>
        </w:rPr>
      </w:pPr>
      <w:r w:rsidRPr="00F031F9">
        <w:rPr>
          <w:rFonts w:cs="Arial"/>
          <w:color w:val="auto"/>
        </w:rPr>
        <w:t>A</w:t>
      </w:r>
      <w:r w:rsidR="00C71A57" w:rsidRPr="00F031F9">
        <w:rPr>
          <w:rFonts w:cs="Arial"/>
          <w:color w:val="auto"/>
        </w:rPr>
        <w:t xml:space="preserve"> typical titration cur</w:t>
      </w:r>
      <w:r w:rsidR="00635490">
        <w:rPr>
          <w:rFonts w:cs="Arial"/>
          <w:color w:val="auto"/>
        </w:rPr>
        <w:t xml:space="preserve">ve consists of a single endpoint, as shown in Figure </w:t>
      </w:r>
      <w:r w:rsidR="00F852E7">
        <w:rPr>
          <w:rFonts w:cs="Arial"/>
          <w:color w:val="auto"/>
        </w:rPr>
        <w:t>2</w:t>
      </w:r>
      <w:r w:rsidR="00635490">
        <w:rPr>
          <w:rFonts w:cs="Arial"/>
          <w:color w:val="auto"/>
        </w:rPr>
        <w:t xml:space="preserve">. Typical titrations for both a raw bio-oil sample, and a blank titration, are shown. As the endpoint lies at the inflection </w:t>
      </w:r>
      <w:r w:rsidR="00FB314A">
        <w:rPr>
          <w:rFonts w:cs="Arial"/>
          <w:color w:val="auto"/>
        </w:rPr>
        <w:t>point in the titration curve;</w:t>
      </w:r>
      <w:r w:rsidR="00635490">
        <w:rPr>
          <w:rFonts w:cs="Arial"/>
          <w:color w:val="auto"/>
        </w:rPr>
        <w:t xml:space="preserve"> the endpoint can be easily identified by plotting the first derivative of the titration curve (shown on the right axis, dpH/dV, in Figure </w:t>
      </w:r>
      <w:r w:rsidR="00F852E7">
        <w:rPr>
          <w:rFonts w:cs="Arial"/>
          <w:color w:val="auto"/>
        </w:rPr>
        <w:t>2</w:t>
      </w:r>
      <w:r w:rsidR="00635490">
        <w:rPr>
          <w:rFonts w:cs="Arial"/>
          <w:color w:val="auto"/>
        </w:rPr>
        <w:t xml:space="preserve">). Many automatic titration systems have software that calculates the derivative of the titration curve, which is sometimes referred to as endpoint recognition criteria (ERC). </w:t>
      </w:r>
    </w:p>
    <w:p w14:paraId="14582F1A" w14:textId="77777777" w:rsidR="006305D7" w:rsidRPr="000B2F36" w:rsidRDefault="006305D7" w:rsidP="002B1ABE">
      <w:pPr>
        <w:rPr>
          <w:rFonts w:cs="Arial"/>
          <w:b/>
        </w:rPr>
      </w:pPr>
    </w:p>
    <w:p w14:paraId="03386617" w14:textId="77777777" w:rsidR="002E2C44" w:rsidRDefault="000759F8" w:rsidP="002B1ABE">
      <w:pPr>
        <w:rPr>
          <w:rFonts w:cs="Arial"/>
          <w:b/>
        </w:rPr>
      </w:pPr>
      <w:r>
        <w:rPr>
          <w:rFonts w:cs="Arial"/>
          <w:b/>
        </w:rPr>
        <w:t>Figure 1: Oximation Reaction.</w:t>
      </w:r>
      <w:r w:rsidR="00FB3044">
        <w:rPr>
          <w:rFonts w:cs="Arial"/>
          <w:b/>
        </w:rPr>
        <w:t xml:space="preserve"> </w:t>
      </w:r>
    </w:p>
    <w:p w14:paraId="54F1092E" w14:textId="053CA952" w:rsidR="000759F8" w:rsidRPr="00FB3044" w:rsidRDefault="00FB3044" w:rsidP="002B1ABE">
      <w:pPr>
        <w:rPr>
          <w:rFonts w:cs="Arial"/>
        </w:rPr>
      </w:pPr>
      <w:r>
        <w:rPr>
          <w:rFonts w:cs="Arial"/>
        </w:rPr>
        <w:t>Reaction schematic showing the conversion of a carbonyl compound to the corresponding oxime.</w:t>
      </w:r>
    </w:p>
    <w:p w14:paraId="103C38A4" w14:textId="77777777" w:rsidR="000759F8" w:rsidRDefault="000759F8" w:rsidP="002B1ABE">
      <w:pPr>
        <w:rPr>
          <w:rFonts w:cs="Arial"/>
          <w:b/>
        </w:rPr>
      </w:pPr>
    </w:p>
    <w:p w14:paraId="3AACC49A" w14:textId="21F139C7" w:rsidR="002E6FDF" w:rsidRDefault="006305D7" w:rsidP="002B1ABE">
      <w:pPr>
        <w:rPr>
          <w:rFonts w:cs="Arial"/>
          <w:b/>
          <w:color w:val="auto"/>
        </w:rPr>
      </w:pPr>
      <w:r w:rsidRPr="000B2F36">
        <w:rPr>
          <w:rFonts w:cs="Arial"/>
          <w:b/>
        </w:rPr>
        <w:t xml:space="preserve">Figure </w:t>
      </w:r>
      <w:r w:rsidR="000759F8">
        <w:rPr>
          <w:rFonts w:cs="Arial"/>
          <w:b/>
        </w:rPr>
        <w:t>2</w:t>
      </w:r>
      <w:r w:rsidRPr="000B2F36">
        <w:rPr>
          <w:rFonts w:cs="Arial"/>
          <w:b/>
        </w:rPr>
        <w:t xml:space="preserve">: </w:t>
      </w:r>
      <w:r w:rsidR="008D6B55">
        <w:rPr>
          <w:rFonts w:cs="Arial"/>
          <w:b/>
          <w:color w:val="auto"/>
        </w:rPr>
        <w:t xml:space="preserve">Sample and Blank Titration Curves. </w:t>
      </w:r>
    </w:p>
    <w:p w14:paraId="1613B271" w14:textId="6FA57CAC" w:rsidR="006305D7" w:rsidRPr="00DB446D" w:rsidRDefault="00DB446D" w:rsidP="002B1ABE">
      <w:pPr>
        <w:rPr>
          <w:rFonts w:cs="Arial"/>
          <w:color w:val="auto"/>
        </w:rPr>
      </w:pPr>
      <w:r>
        <w:rPr>
          <w:rFonts w:cs="Arial"/>
          <w:color w:val="auto"/>
        </w:rPr>
        <w:t>Representative titration curves for a raw pyrolysis bio-oil, and a blank titration. First derivatives of the titration curves, dpH/dV, are also shown.</w:t>
      </w:r>
    </w:p>
    <w:p w14:paraId="055338DB" w14:textId="77777777" w:rsidR="006305D7" w:rsidRDefault="006305D7" w:rsidP="002B1ABE">
      <w:pPr>
        <w:rPr>
          <w:b/>
        </w:rPr>
      </w:pPr>
    </w:p>
    <w:p w14:paraId="64B8CF78" w14:textId="3E9BCD3D" w:rsidR="006305D7" w:rsidRPr="00E541D9" w:rsidRDefault="006305D7" w:rsidP="002B1ABE">
      <w:pPr>
        <w:rPr>
          <w:rFonts w:cs="Arial"/>
          <w:b/>
        </w:rPr>
      </w:pPr>
      <w:r w:rsidRPr="00510549">
        <w:rPr>
          <w:b/>
        </w:rPr>
        <w:t>DISCUSSION</w:t>
      </w:r>
      <w:r w:rsidRPr="00510549">
        <w:rPr>
          <w:b/>
          <w:bCs/>
        </w:rPr>
        <w:t>:</w:t>
      </w:r>
    </w:p>
    <w:p w14:paraId="2E67DA77" w14:textId="6CA79D80" w:rsidR="00B57BA0" w:rsidRDefault="00B57BA0" w:rsidP="006B0564">
      <w:pPr>
        <w:rPr>
          <w:rFonts w:cs="Arial"/>
          <w:color w:val="auto"/>
        </w:rPr>
      </w:pPr>
      <w:r>
        <w:rPr>
          <w:rFonts w:cs="Arial"/>
          <w:color w:val="auto"/>
        </w:rPr>
        <w:t xml:space="preserve">Representative titration curves are shown in Figure 2. A blank titration, as well as a titration for a pyrolysis oil sample, are shown. Furthermore, the first derivative of the titration curve (dpH/dV) is shown, which allows for easy recognition of the titration endpoint. The inset table on Figure 2 shows triplicate data for both pyrolysis oil and blank titrations, with average values and standard deviations. The endpoint values shown (in mL) are used in Section 4 to calculate the total carbonyl content (in </w:t>
      </w:r>
      <w:r w:rsidR="0055552D">
        <w:rPr>
          <w:rFonts w:cs="Arial"/>
          <w:color w:val="auto"/>
        </w:rPr>
        <w:t>m</w:t>
      </w:r>
      <w:r>
        <w:rPr>
          <w:rFonts w:cs="Arial"/>
          <w:color w:val="auto"/>
        </w:rPr>
        <w:t>mol/</w:t>
      </w:r>
      <w:r w:rsidR="0055552D">
        <w:rPr>
          <w:rFonts w:cs="Arial"/>
          <w:color w:val="auto"/>
        </w:rPr>
        <w:t>g</w:t>
      </w:r>
      <w:r>
        <w:rPr>
          <w:rFonts w:cs="Arial"/>
          <w:color w:val="auto"/>
        </w:rPr>
        <w:t xml:space="preserve">) in the pyrolysis oil sample. For the pyrolysis oil titration </w:t>
      </w:r>
      <w:r>
        <w:rPr>
          <w:rFonts w:cs="Arial"/>
          <w:color w:val="auto"/>
        </w:rPr>
        <w:lastRenderedPageBreak/>
        <w:t xml:space="preserve">shown in Figure 2, </w:t>
      </w:r>
      <w:r w:rsidR="00A160E5">
        <w:rPr>
          <w:rFonts w:cs="Arial"/>
          <w:color w:val="auto"/>
        </w:rPr>
        <w:t xml:space="preserve">the bio-oil sample mass was </w:t>
      </w:r>
      <w:r w:rsidR="000376A2">
        <w:rPr>
          <w:rFonts w:cs="Arial"/>
          <w:color w:val="auto"/>
        </w:rPr>
        <w:t>0.1148</w:t>
      </w:r>
      <w:r w:rsidR="00A160E5">
        <w:rPr>
          <w:rFonts w:cs="Arial"/>
          <w:color w:val="auto"/>
        </w:rPr>
        <w:t xml:space="preserve"> g</w:t>
      </w:r>
      <w:r w:rsidR="006B5E48">
        <w:rPr>
          <w:rFonts w:cs="Arial"/>
          <w:color w:val="auto"/>
        </w:rPr>
        <w:t xml:space="preserve">, </w:t>
      </w:r>
      <w:r w:rsidR="00A160E5">
        <w:rPr>
          <w:rFonts w:cs="Arial"/>
          <w:color w:val="auto"/>
        </w:rPr>
        <w:t xml:space="preserve">the acid concentration was </w:t>
      </w:r>
      <w:r w:rsidR="000376A2">
        <w:rPr>
          <w:rFonts w:cs="Arial"/>
          <w:color w:val="auto"/>
        </w:rPr>
        <w:t>0.07032</w:t>
      </w:r>
      <w:r w:rsidR="007E3941">
        <w:rPr>
          <w:rFonts w:cs="Arial"/>
          <w:color w:val="auto"/>
        </w:rPr>
        <w:t xml:space="preserve"> mol/L, </w:t>
      </w:r>
      <w:r w:rsidR="006B5E48">
        <w:t xml:space="preserve">the blank endpoint was 13.041 mL, and the pyrolysis oil endpoint was 4.891 mL. This resulted in a </w:t>
      </w:r>
      <w:r>
        <w:rPr>
          <w:rFonts w:cs="Arial"/>
          <w:color w:val="auto"/>
        </w:rPr>
        <w:t xml:space="preserve">carbonyl content </w:t>
      </w:r>
      <w:r w:rsidR="00967408">
        <w:rPr>
          <w:rFonts w:cs="Arial"/>
          <w:color w:val="auto"/>
        </w:rPr>
        <w:t>of</w:t>
      </w:r>
      <w:r>
        <w:rPr>
          <w:rFonts w:cs="Arial"/>
          <w:color w:val="auto"/>
        </w:rPr>
        <w:t xml:space="preserve"> </w:t>
      </w:r>
      <w:r w:rsidR="000376A2">
        <w:rPr>
          <w:rFonts w:cs="Arial"/>
          <w:color w:val="auto"/>
        </w:rPr>
        <w:t>4.9</w:t>
      </w:r>
      <w:r w:rsidR="006B5E48">
        <w:rPr>
          <w:rFonts w:cs="Arial"/>
          <w:color w:val="auto"/>
        </w:rPr>
        <w:t>92</w:t>
      </w:r>
      <w:r>
        <w:rPr>
          <w:rFonts w:cs="Arial"/>
          <w:color w:val="auto"/>
        </w:rPr>
        <w:t xml:space="preserve"> </w:t>
      </w:r>
      <w:r w:rsidR="00967408">
        <w:rPr>
          <w:rFonts w:cs="Arial"/>
          <w:color w:val="auto"/>
        </w:rPr>
        <w:t>m</w:t>
      </w:r>
      <w:r>
        <w:rPr>
          <w:rFonts w:cs="Arial"/>
          <w:color w:val="auto"/>
        </w:rPr>
        <w:t>mol/</w:t>
      </w:r>
      <w:r w:rsidR="00967408">
        <w:rPr>
          <w:rFonts w:cs="Arial"/>
          <w:color w:val="auto"/>
        </w:rPr>
        <w:t>g bio-oil</w:t>
      </w:r>
      <w:r>
        <w:rPr>
          <w:rFonts w:cs="Arial"/>
          <w:color w:val="auto"/>
        </w:rPr>
        <w:t>.</w:t>
      </w:r>
    </w:p>
    <w:p w14:paraId="0A6631EA" w14:textId="77777777" w:rsidR="00A160E5" w:rsidRDefault="00A160E5" w:rsidP="006B0564">
      <w:pPr>
        <w:rPr>
          <w:rFonts w:cs="Arial"/>
          <w:color w:val="auto"/>
        </w:rPr>
      </w:pPr>
    </w:p>
    <w:p w14:paraId="5B02C100" w14:textId="6BFC5F7C" w:rsidR="000934A6" w:rsidRDefault="007174A8" w:rsidP="006B0564">
      <w:pPr>
        <w:rPr>
          <w:rFonts w:cs="Arial"/>
          <w:bCs/>
          <w:color w:val="auto"/>
        </w:rPr>
      </w:pPr>
      <w:r>
        <w:rPr>
          <w:rFonts w:cs="Arial"/>
          <w:color w:val="auto"/>
        </w:rPr>
        <w:t>During method development, n</w:t>
      </w:r>
      <w:r w:rsidR="006B0564" w:rsidRPr="008E5196">
        <w:rPr>
          <w:rFonts w:cs="Arial"/>
          <w:color w:val="auto"/>
        </w:rPr>
        <w:t xml:space="preserve">o interferences were seen for ethyl acetate or acetic acid. </w:t>
      </w:r>
      <w:r>
        <w:rPr>
          <w:rFonts w:cs="Arial"/>
          <w:color w:val="auto"/>
        </w:rPr>
        <w:t>We have found that the a</w:t>
      </w:r>
      <w:r w:rsidRPr="008E5196">
        <w:rPr>
          <w:rFonts w:cs="Arial"/>
          <w:color w:val="auto"/>
        </w:rPr>
        <w:t>ddition of alcohols cause</w:t>
      </w:r>
      <w:r w:rsidR="0058571A">
        <w:rPr>
          <w:rFonts w:cs="Arial"/>
          <w:color w:val="auto"/>
        </w:rPr>
        <w:t>s</w:t>
      </w:r>
      <w:r w:rsidRPr="008E5196">
        <w:rPr>
          <w:rFonts w:cs="Arial"/>
          <w:color w:val="auto"/>
        </w:rPr>
        <w:t xml:space="preserve"> interferences but it is dependent on chain length. The reason is as yet undetermined but may be related to solvent properties of the alcohol.</w:t>
      </w:r>
      <w:r>
        <w:rPr>
          <w:rFonts w:cs="Arial"/>
          <w:color w:val="auto"/>
        </w:rPr>
        <w:t xml:space="preserve"> It is worth noting that m</w:t>
      </w:r>
      <w:r w:rsidR="006B0564" w:rsidRPr="008E5196">
        <w:rPr>
          <w:rFonts w:cs="Arial"/>
          <w:color w:val="auto"/>
        </w:rPr>
        <w:t>onosaccharides are measured using this method. The selectivity of th</w:t>
      </w:r>
      <w:r>
        <w:rPr>
          <w:rFonts w:cs="Arial"/>
          <w:color w:val="auto"/>
        </w:rPr>
        <w:t>is</w:t>
      </w:r>
      <w:r w:rsidR="006B0564" w:rsidRPr="008E5196">
        <w:rPr>
          <w:rFonts w:cs="Arial"/>
          <w:color w:val="auto"/>
        </w:rPr>
        <w:t xml:space="preserve"> method was tested by using 1-butanol, 1-pentanol, tertiary butanol, 2-propanol, ethyl acetate, acetic acid, xylose and glucose as model compounds, representing alcohol, ester, carboxylic acid and carbohydrates in the bio-oil.</w:t>
      </w:r>
      <w:r w:rsidR="00564B9E">
        <w:rPr>
          <w:rFonts w:cs="Arial"/>
          <w:bCs/>
          <w:color w:val="auto"/>
        </w:rPr>
        <w:t xml:space="preserve"> </w:t>
      </w:r>
      <w:r w:rsidR="000934A6">
        <w:rPr>
          <w:rFonts w:cs="Arial"/>
          <w:bCs/>
          <w:color w:val="auto"/>
        </w:rPr>
        <w:t>This method has been used to</w:t>
      </w:r>
      <w:r w:rsidR="00F0349E">
        <w:rPr>
          <w:rFonts w:cs="Arial"/>
          <w:bCs/>
          <w:color w:val="auto"/>
        </w:rPr>
        <w:t xml:space="preserve"> reliably analyze at least 20</w:t>
      </w:r>
      <w:r w:rsidR="000934A6">
        <w:rPr>
          <w:rFonts w:cs="Arial"/>
          <w:bCs/>
          <w:color w:val="auto"/>
        </w:rPr>
        <w:t xml:space="preserve"> raw pyrolysis bio-oils</w:t>
      </w:r>
      <w:r w:rsidR="009A3F80">
        <w:rPr>
          <w:rFonts w:cs="Arial"/>
          <w:bCs/>
          <w:color w:val="auto"/>
        </w:rPr>
        <w:t>,</w:t>
      </w:r>
      <w:r w:rsidR="000376A2" w:rsidRPr="000376A2">
        <w:rPr>
          <w:rFonts w:cs="Arial"/>
          <w:bCs/>
          <w:color w:val="auto"/>
        </w:rPr>
        <w:t xml:space="preserve"> </w:t>
      </w:r>
      <w:r w:rsidR="000376A2">
        <w:rPr>
          <w:rFonts w:cs="Arial"/>
          <w:bCs/>
          <w:color w:val="auto"/>
        </w:rPr>
        <w:t>both fresh and aged up to 120</w:t>
      </w:r>
      <w:r w:rsidR="005970D8">
        <w:rPr>
          <w:rFonts w:cs="Arial"/>
          <w:bCs/>
          <w:color w:val="auto"/>
        </w:rPr>
        <w:t xml:space="preserve"> </w:t>
      </w:r>
      <w:r w:rsidR="000376A2">
        <w:rPr>
          <w:rFonts w:cs="Arial"/>
          <w:bCs/>
          <w:color w:val="auto"/>
        </w:rPr>
        <w:t>h at 80</w:t>
      </w:r>
      <w:r w:rsidR="005970D8">
        <w:rPr>
          <w:rFonts w:cs="Arial"/>
          <w:bCs/>
          <w:color w:val="auto"/>
        </w:rPr>
        <w:t xml:space="preserve"> </w:t>
      </w:r>
      <w:r w:rsidR="000376A2">
        <w:rPr>
          <w:rFonts w:cs="Arial"/>
          <w:bCs/>
          <w:color w:val="auto"/>
        </w:rPr>
        <w:t>°C</w:t>
      </w:r>
      <w:r w:rsidR="000934A6">
        <w:rPr>
          <w:rFonts w:cs="Arial"/>
          <w:bCs/>
          <w:color w:val="auto"/>
        </w:rPr>
        <w:t>. Additionally, several hydrotreated pyrolysis bio-oils have been successfully analyzed. The applicability of this method to a wide variety of bio-oil samples, combined with a high level of accuracy and reliability, may lend this method to other</w:t>
      </w:r>
      <w:r w:rsidR="00F0349E">
        <w:rPr>
          <w:rFonts w:cs="Arial"/>
          <w:bCs/>
          <w:color w:val="auto"/>
        </w:rPr>
        <w:t xml:space="preserve"> applications in the future. For example, carbonyl content may be used to replace viscosity in a bio-oil aging test.</w:t>
      </w:r>
    </w:p>
    <w:p w14:paraId="50077DD5" w14:textId="77777777" w:rsidR="000934A6" w:rsidRDefault="000934A6" w:rsidP="006B0564">
      <w:pPr>
        <w:rPr>
          <w:rFonts w:cs="Arial"/>
          <w:bCs/>
          <w:color w:val="auto"/>
        </w:rPr>
      </w:pPr>
    </w:p>
    <w:p w14:paraId="4DA4919B" w14:textId="13B3077A" w:rsidR="006B0564" w:rsidRDefault="00564B9E" w:rsidP="006B0564">
      <w:r>
        <w:rPr>
          <w:rFonts w:cs="Arial"/>
          <w:bCs/>
          <w:color w:val="auto"/>
        </w:rPr>
        <w:t xml:space="preserve">In the original method, </w:t>
      </w:r>
      <w:r w:rsidR="006B0564">
        <w:rPr>
          <w:rFonts w:cs="Arial"/>
          <w:bCs/>
          <w:color w:val="auto"/>
        </w:rPr>
        <w:t>Faix et al.</w:t>
      </w:r>
      <w:r w:rsidR="006B0564">
        <w:rPr>
          <w:rFonts w:cs="Arial"/>
          <w:bCs/>
          <w:color w:val="auto"/>
          <w:vertAlign w:val="superscript"/>
        </w:rPr>
        <w:t>8</w:t>
      </w:r>
      <w:r w:rsidR="006B0564" w:rsidRPr="00E36458">
        <w:rPr>
          <w:rFonts w:cs="Arial"/>
          <w:bCs/>
          <w:color w:val="auto"/>
        </w:rPr>
        <w:t xml:space="preserve"> mix</w:t>
      </w:r>
      <w:r w:rsidR="002E6FDF">
        <w:rPr>
          <w:rFonts w:cs="Arial"/>
          <w:bCs/>
          <w:color w:val="auto"/>
        </w:rPr>
        <w:t>ed</w:t>
      </w:r>
      <w:r w:rsidR="006B0564" w:rsidRPr="00E36458">
        <w:rPr>
          <w:rFonts w:cs="Arial"/>
          <w:bCs/>
          <w:color w:val="auto"/>
        </w:rPr>
        <w:t xml:space="preserve"> the triethanolamine and hydroxylamine hydrochloride solutions to make a stock solution.</w:t>
      </w:r>
      <w:r w:rsidR="006B0564">
        <w:rPr>
          <w:rFonts w:cs="Arial"/>
          <w:bCs/>
          <w:color w:val="auto"/>
        </w:rPr>
        <w:t xml:space="preserve"> </w:t>
      </w:r>
      <w:r w:rsidR="006B0564" w:rsidRPr="00E36458">
        <w:rPr>
          <w:rFonts w:cs="Arial"/>
          <w:bCs/>
          <w:color w:val="auto"/>
        </w:rPr>
        <w:t>This leads to the formation of triethanolamine•HCl which will result in a measurement error.</w:t>
      </w:r>
      <w:r>
        <w:rPr>
          <w:rFonts w:cs="Arial"/>
          <w:bCs/>
          <w:color w:val="auto"/>
        </w:rPr>
        <w:t xml:space="preserve"> In this method, t</w:t>
      </w:r>
      <w:r w:rsidR="006B0564" w:rsidRPr="00E36458">
        <w:rPr>
          <w:rFonts w:cs="Arial"/>
          <w:bCs/>
          <w:color w:val="auto"/>
        </w:rPr>
        <w:t xml:space="preserve">itration of the sample should be done </w:t>
      </w:r>
      <w:r w:rsidR="0092078B">
        <w:rPr>
          <w:rFonts w:cs="Arial"/>
          <w:bCs/>
          <w:color w:val="auto"/>
        </w:rPr>
        <w:t xml:space="preserve">immediately </w:t>
      </w:r>
      <w:r w:rsidR="0092078B" w:rsidRPr="00E36458">
        <w:rPr>
          <w:rFonts w:cs="Arial"/>
          <w:bCs/>
          <w:color w:val="auto"/>
        </w:rPr>
        <w:t xml:space="preserve">following </w:t>
      </w:r>
      <w:r w:rsidR="0092078B">
        <w:rPr>
          <w:rFonts w:cs="Arial"/>
          <w:bCs/>
          <w:color w:val="auto"/>
        </w:rPr>
        <w:t>oximation (after 2 hours of stirring).</w:t>
      </w:r>
      <w:r w:rsidR="006B0564">
        <w:rPr>
          <w:rFonts w:cs="Arial"/>
          <w:bCs/>
          <w:color w:val="auto"/>
        </w:rPr>
        <w:t xml:space="preserve"> </w:t>
      </w:r>
      <w:r w:rsidR="0092078B">
        <w:rPr>
          <w:rFonts w:cs="Arial"/>
          <w:bCs/>
          <w:color w:val="auto"/>
        </w:rPr>
        <w:t>If titration is delayed following oximation, t</w:t>
      </w:r>
      <w:r w:rsidR="006B0564" w:rsidRPr="00E36458">
        <w:rPr>
          <w:rFonts w:cs="Arial"/>
          <w:bCs/>
          <w:color w:val="auto"/>
        </w:rPr>
        <w:t>riethanolamine can form triethanolamine•HCl</w:t>
      </w:r>
      <w:r w:rsidR="000760E3">
        <w:rPr>
          <w:rFonts w:cs="Arial"/>
          <w:bCs/>
          <w:color w:val="auto"/>
        </w:rPr>
        <w:t>,</w:t>
      </w:r>
      <w:r w:rsidR="006B0564" w:rsidRPr="00E36458">
        <w:rPr>
          <w:rFonts w:cs="Arial"/>
          <w:bCs/>
          <w:color w:val="auto"/>
        </w:rPr>
        <w:t xml:space="preserve"> which will result in an error in the measurement.</w:t>
      </w:r>
    </w:p>
    <w:p w14:paraId="066BEB36" w14:textId="77777777" w:rsidR="00B5213F" w:rsidRDefault="00B5213F" w:rsidP="006B0564">
      <w:pPr>
        <w:rPr>
          <w:rFonts w:cs="Arial"/>
          <w:bCs/>
          <w:color w:val="auto"/>
        </w:rPr>
      </w:pPr>
    </w:p>
    <w:p w14:paraId="563A3ABD" w14:textId="539A8314" w:rsidR="006B0564" w:rsidRDefault="006B0564" w:rsidP="006B0564">
      <w:r w:rsidRPr="00E36458">
        <w:rPr>
          <w:rFonts w:cs="Arial"/>
          <w:bCs/>
          <w:color w:val="auto"/>
        </w:rPr>
        <w:t>An 80% solution of ethanol is not necessary for the transfer of the sample to the titration vessel</w:t>
      </w:r>
      <w:r w:rsidR="00F62674">
        <w:rPr>
          <w:rFonts w:cs="Arial"/>
          <w:bCs/>
          <w:color w:val="auto"/>
        </w:rPr>
        <w:t>; o</w:t>
      </w:r>
      <w:r w:rsidRPr="00E36458">
        <w:rPr>
          <w:rFonts w:cs="Arial"/>
          <w:bCs/>
          <w:color w:val="auto"/>
        </w:rPr>
        <w:t>nly a final volume of 80% ethanol is needed.</w:t>
      </w:r>
      <w:r w:rsidR="00450B46">
        <w:rPr>
          <w:rFonts w:cs="Arial"/>
          <w:bCs/>
          <w:color w:val="auto"/>
        </w:rPr>
        <w:t xml:space="preserve"> </w:t>
      </w:r>
      <w:r w:rsidR="00B5213F">
        <w:rPr>
          <w:rFonts w:cs="Arial"/>
          <w:bCs/>
          <w:color w:val="auto"/>
        </w:rPr>
        <w:t xml:space="preserve">As a model compound, </w:t>
      </w:r>
      <w:r w:rsidRPr="00E36458">
        <w:rPr>
          <w:rFonts w:cs="Arial"/>
          <w:bCs/>
          <w:color w:val="auto"/>
        </w:rPr>
        <w:t>4-(benzyloxy)benzaldehyde (4-BBA) has a sufficiently high molecular weight to use approximately the same amount</w:t>
      </w:r>
      <w:r w:rsidR="00A75FB7">
        <w:rPr>
          <w:rFonts w:cs="Arial"/>
          <w:bCs/>
          <w:color w:val="auto"/>
        </w:rPr>
        <w:t xml:space="preserve"> (~ 100</w:t>
      </w:r>
      <w:r w:rsidR="002E6FDF">
        <w:rPr>
          <w:rFonts w:cs="Arial"/>
          <w:bCs/>
          <w:color w:val="auto"/>
        </w:rPr>
        <w:t xml:space="preserve"> </w:t>
      </w:r>
      <w:r w:rsidR="00A75FB7">
        <w:rPr>
          <w:rFonts w:cs="Arial"/>
          <w:bCs/>
          <w:color w:val="auto"/>
        </w:rPr>
        <w:t>mg)</w:t>
      </w:r>
      <w:r w:rsidRPr="00E36458">
        <w:rPr>
          <w:rFonts w:cs="Arial"/>
          <w:bCs/>
          <w:color w:val="auto"/>
        </w:rPr>
        <w:t xml:space="preserve"> as </w:t>
      </w:r>
      <w:r w:rsidR="00A75FB7">
        <w:rPr>
          <w:rFonts w:cs="Arial"/>
          <w:bCs/>
          <w:color w:val="auto"/>
        </w:rPr>
        <w:t>the</w:t>
      </w:r>
      <w:r w:rsidRPr="00E36458">
        <w:rPr>
          <w:rFonts w:cs="Arial"/>
          <w:bCs/>
          <w:color w:val="auto"/>
        </w:rPr>
        <w:t xml:space="preserve"> bio-oil sample.</w:t>
      </w:r>
      <w:r>
        <w:rPr>
          <w:rFonts w:cs="Arial"/>
          <w:bCs/>
          <w:color w:val="auto"/>
        </w:rPr>
        <w:t xml:space="preserve"> </w:t>
      </w:r>
      <w:r w:rsidR="00B5213F">
        <w:rPr>
          <w:rFonts w:cs="Arial"/>
          <w:bCs/>
          <w:color w:val="auto"/>
        </w:rPr>
        <w:t>While we suggest using 4-BBA as the carbonyl model compound, o</w:t>
      </w:r>
      <w:r w:rsidRPr="00E36458">
        <w:rPr>
          <w:rFonts w:cs="Arial"/>
          <w:bCs/>
          <w:color w:val="auto"/>
        </w:rPr>
        <w:t xml:space="preserve">ther </w:t>
      </w:r>
      <w:r w:rsidR="00B5213F">
        <w:rPr>
          <w:rFonts w:cs="Arial"/>
          <w:bCs/>
          <w:color w:val="auto"/>
        </w:rPr>
        <w:t>compounds</w:t>
      </w:r>
      <w:r w:rsidRPr="00E36458">
        <w:rPr>
          <w:rFonts w:cs="Arial"/>
          <w:bCs/>
          <w:color w:val="auto"/>
        </w:rPr>
        <w:t xml:space="preserve"> may be used</w:t>
      </w:r>
      <w:r w:rsidR="00B5213F">
        <w:rPr>
          <w:rFonts w:cs="Arial"/>
          <w:bCs/>
          <w:color w:val="auto"/>
        </w:rPr>
        <w:t xml:space="preserve"> in place of 4-BBA.</w:t>
      </w:r>
      <w:r w:rsidR="003F0520">
        <w:rPr>
          <w:rFonts w:cs="Arial"/>
          <w:bCs/>
          <w:color w:val="auto"/>
        </w:rPr>
        <w:t xml:space="preserve"> </w:t>
      </w:r>
      <w:r w:rsidR="00907EF5">
        <w:rPr>
          <w:rFonts w:cs="Arial"/>
          <w:bCs/>
          <w:color w:val="auto"/>
        </w:rPr>
        <w:t>Finally, b</w:t>
      </w:r>
      <w:r w:rsidRPr="00E36458">
        <w:rPr>
          <w:rFonts w:cs="Arial"/>
          <w:bCs/>
          <w:color w:val="auto"/>
        </w:rPr>
        <w:t>lanks B and C are unnecessary if only organic acids are present in the bio-oil sample.</w:t>
      </w:r>
    </w:p>
    <w:p w14:paraId="6B132737" w14:textId="77777777" w:rsidR="001A4936" w:rsidRDefault="001A4936" w:rsidP="002B1ABE"/>
    <w:p w14:paraId="1D84D436" w14:textId="77777777" w:rsidR="005970D8" w:rsidRDefault="00B5213F" w:rsidP="002B1ABE">
      <w:pPr>
        <w:rPr>
          <w:rFonts w:cs="Arial"/>
          <w:color w:val="auto"/>
        </w:rPr>
      </w:pPr>
      <w:r>
        <w:t>As discussed in the introduction, the Faix method presented here has many advantages over the traditional carbonyl titration method (the Nicolaides method).</w:t>
      </w:r>
      <w:r>
        <w:rPr>
          <w:rFonts w:cs="Arial"/>
          <w:color w:val="auto"/>
        </w:rPr>
        <w:t xml:space="preserve"> </w:t>
      </w:r>
      <w:r w:rsidR="006F17AC">
        <w:rPr>
          <w:rFonts w:cs="Arial"/>
          <w:color w:val="auto"/>
        </w:rPr>
        <w:t>Recently, a c</w:t>
      </w:r>
      <w:r w:rsidR="00795275">
        <w:rPr>
          <w:rFonts w:cs="Arial"/>
          <w:color w:val="auto"/>
        </w:rPr>
        <w:t xml:space="preserve">omparison of </w:t>
      </w:r>
      <w:r w:rsidR="006F17AC">
        <w:rPr>
          <w:rFonts w:cs="Arial"/>
          <w:color w:val="auto"/>
        </w:rPr>
        <w:t>Nicolaides and Faix</w:t>
      </w:r>
      <w:r w:rsidR="00795275">
        <w:rPr>
          <w:rFonts w:cs="Arial"/>
          <w:color w:val="auto"/>
        </w:rPr>
        <w:t xml:space="preserve"> titration m</w:t>
      </w:r>
      <w:bookmarkStart w:id="0" w:name="_GoBack"/>
      <w:bookmarkEnd w:id="0"/>
      <w:r w:rsidR="00795275">
        <w:rPr>
          <w:rFonts w:cs="Arial"/>
          <w:color w:val="auto"/>
        </w:rPr>
        <w:t>ethods has</w:t>
      </w:r>
      <w:r w:rsidR="00795275" w:rsidRPr="00170AA4">
        <w:rPr>
          <w:rFonts w:cs="Arial"/>
          <w:color w:val="auto"/>
        </w:rPr>
        <w:t xml:space="preserve"> shown that the Nicolaides method significantly underestimates carbonyl content of bio-oil</w:t>
      </w:r>
      <w:r w:rsidR="00795275">
        <w:rPr>
          <w:rFonts w:cs="Arial"/>
          <w:color w:val="auto"/>
        </w:rPr>
        <w:t>s</w:t>
      </w:r>
      <w:r w:rsidR="00795275">
        <w:rPr>
          <w:rFonts w:cs="Arial"/>
          <w:color w:val="auto"/>
          <w:vertAlign w:val="superscript"/>
        </w:rPr>
        <w:t>9</w:t>
      </w:r>
      <w:r w:rsidR="00795275" w:rsidRPr="00170AA4">
        <w:rPr>
          <w:rFonts w:cs="Arial"/>
          <w:color w:val="auto"/>
        </w:rPr>
        <w:t xml:space="preserve">. </w:t>
      </w:r>
      <w:r w:rsidR="006F17AC">
        <w:rPr>
          <w:rFonts w:cs="Arial"/>
          <w:color w:val="auto"/>
        </w:rPr>
        <w:t xml:space="preserve">Additionally, in 2015 </w:t>
      </w:r>
      <w:r w:rsidR="00795275" w:rsidRPr="00F031F9">
        <w:rPr>
          <w:rFonts w:cs="Arial"/>
          <w:color w:val="auto"/>
        </w:rPr>
        <w:t>an inter-laboratory study was performed on a raw pyrolysis bio-oil</w:t>
      </w:r>
      <w:r w:rsidR="006F17AC">
        <w:rPr>
          <w:rFonts w:cs="Arial"/>
          <w:color w:val="auto"/>
        </w:rPr>
        <w:t>, and this study included both Faix and Nicolaides titration methods</w:t>
      </w:r>
      <w:r w:rsidR="00795275">
        <w:rPr>
          <w:rFonts w:cs="Arial"/>
          <w:color w:val="auto"/>
          <w:vertAlign w:val="superscript"/>
        </w:rPr>
        <w:t>10</w:t>
      </w:r>
      <w:r w:rsidR="00795275" w:rsidRPr="00F031F9">
        <w:rPr>
          <w:rFonts w:cs="Arial"/>
          <w:color w:val="auto"/>
        </w:rPr>
        <w:t xml:space="preserve">. It was found that the Faix carbonyl method presented here was especially reliable, with &lt; 5% </w:t>
      </w:r>
      <w:r w:rsidR="008F4689">
        <w:rPr>
          <w:rFonts w:cs="Arial"/>
          <w:color w:val="auto"/>
        </w:rPr>
        <w:t>relative standard deviation (</w:t>
      </w:r>
      <w:r w:rsidR="00795275" w:rsidRPr="00F031F9">
        <w:rPr>
          <w:rFonts w:cs="Arial"/>
          <w:color w:val="auto"/>
        </w:rPr>
        <w:t>RSD</w:t>
      </w:r>
      <w:r w:rsidR="008F4689">
        <w:rPr>
          <w:rFonts w:cs="Arial"/>
          <w:color w:val="auto"/>
        </w:rPr>
        <w:t>)</w:t>
      </w:r>
      <w:r w:rsidR="00795275" w:rsidRPr="00F031F9">
        <w:rPr>
          <w:rFonts w:cs="Arial"/>
          <w:color w:val="auto"/>
        </w:rPr>
        <w:t xml:space="preserve"> variability between all participating laboratories.</w:t>
      </w:r>
      <w:r w:rsidR="00795275">
        <w:rPr>
          <w:rFonts w:cs="Arial"/>
          <w:color w:val="auto"/>
        </w:rPr>
        <w:t xml:space="preserve"> In comparison, the Nicolaides </w:t>
      </w:r>
      <w:r w:rsidR="00AB11A3">
        <w:rPr>
          <w:rFonts w:cs="Arial"/>
          <w:color w:val="auto"/>
        </w:rPr>
        <w:t xml:space="preserve">method </w:t>
      </w:r>
      <w:r w:rsidR="00795275">
        <w:rPr>
          <w:rFonts w:cs="Arial"/>
          <w:color w:val="auto"/>
        </w:rPr>
        <w:t>showed an inter-laboratory variability of ~10% RSD.</w:t>
      </w:r>
      <w:r>
        <w:rPr>
          <w:rFonts w:cs="Arial"/>
          <w:color w:val="auto"/>
        </w:rPr>
        <w:t xml:space="preserve"> Finally, while this method was developed for the analysis of raw pyrolysis bio-oils, it </w:t>
      </w:r>
      <w:r w:rsidR="00AB11A3">
        <w:rPr>
          <w:rFonts w:cs="Arial"/>
          <w:color w:val="auto"/>
        </w:rPr>
        <w:t xml:space="preserve">has </w:t>
      </w:r>
      <w:r>
        <w:rPr>
          <w:rFonts w:cs="Arial"/>
          <w:color w:val="auto"/>
        </w:rPr>
        <w:t xml:space="preserve">also </w:t>
      </w:r>
      <w:r w:rsidR="00AB11A3">
        <w:rPr>
          <w:rFonts w:cs="Arial"/>
          <w:color w:val="auto"/>
        </w:rPr>
        <w:t>been successfully used for carbonyl quantification in upgraded</w:t>
      </w:r>
      <w:r w:rsidR="00865588">
        <w:rPr>
          <w:rFonts w:cs="Arial"/>
          <w:color w:val="auto"/>
        </w:rPr>
        <w:t xml:space="preserve"> </w:t>
      </w:r>
      <w:r>
        <w:rPr>
          <w:rFonts w:cs="Arial"/>
          <w:color w:val="auto"/>
        </w:rPr>
        <w:t xml:space="preserve">pyrolysis </w:t>
      </w:r>
      <w:r w:rsidR="00AB11A3">
        <w:rPr>
          <w:rFonts w:cs="Arial"/>
          <w:color w:val="auto"/>
        </w:rPr>
        <w:t xml:space="preserve">bio-oils. </w:t>
      </w:r>
    </w:p>
    <w:p w14:paraId="75A20E71" w14:textId="77777777" w:rsidR="005970D8" w:rsidRDefault="005970D8" w:rsidP="002B1ABE">
      <w:pPr>
        <w:rPr>
          <w:rFonts w:cs="Arial"/>
          <w:color w:val="auto"/>
        </w:rPr>
      </w:pPr>
    </w:p>
    <w:p w14:paraId="7FEEE012" w14:textId="0BCDEA4C" w:rsidR="006305D7" w:rsidRPr="000B2F36" w:rsidRDefault="006305D7" w:rsidP="002B1ABE">
      <w:pPr>
        <w:rPr>
          <w:rFonts w:cs="Arial"/>
        </w:rPr>
      </w:pPr>
      <w:r w:rsidRPr="000B2F36">
        <w:rPr>
          <w:rFonts w:cs="Arial"/>
          <w:b/>
          <w:bCs/>
        </w:rPr>
        <w:t>ACKNOWLEDGMENTS:</w:t>
      </w:r>
    </w:p>
    <w:p w14:paraId="3179122B" w14:textId="1AADC881" w:rsidR="006305D7" w:rsidRDefault="00FF79D3" w:rsidP="002B1ABE">
      <w:r w:rsidRPr="00FF79D3">
        <w:t>This work was supported by the U.S. Department of Energy under Contract No. DE-AC36-</w:t>
      </w:r>
      <w:r w:rsidRPr="00FF79D3">
        <w:lastRenderedPageBreak/>
        <w:t>08GO28308 with the National Renewable Energy Laboratory. Funding provided by U.S. DOE Office of Energy Efficiency and Renewable Energy Bioenergy Technologies Office. The U.S. Government retains and the publisher, by accepting the article for publication, acknowledges that the U.S. Government retains a nonexclusive, paid-up, irrevocable, worldwide license to publish or reproduce the published form of this work, or allow others to do so, for U.S. Government purposes.</w:t>
      </w:r>
    </w:p>
    <w:p w14:paraId="17F1CC24" w14:textId="77777777" w:rsidR="00FF79D3" w:rsidRPr="00510549" w:rsidRDefault="00FF79D3" w:rsidP="002B1ABE"/>
    <w:p w14:paraId="0CBAD311" w14:textId="25BCB19F" w:rsidR="006305D7" w:rsidRPr="000B2F36" w:rsidRDefault="006305D7" w:rsidP="002B1ABE">
      <w:pPr>
        <w:rPr>
          <w:rFonts w:cs="Arial"/>
          <w:b/>
        </w:rPr>
      </w:pPr>
      <w:r w:rsidRPr="000B2F36">
        <w:rPr>
          <w:rFonts w:cs="Arial"/>
          <w:b/>
        </w:rPr>
        <w:t>DISCLOSURES:</w:t>
      </w:r>
    </w:p>
    <w:p w14:paraId="0C5B0806" w14:textId="55630AEB" w:rsidR="006305D7" w:rsidRPr="00E541D9" w:rsidRDefault="006305D7" w:rsidP="002B1ABE">
      <w:pPr>
        <w:rPr>
          <w:rFonts w:cs="Arial"/>
          <w:color w:val="808080"/>
        </w:rPr>
      </w:pPr>
      <w:r w:rsidRPr="00881A8B">
        <w:rPr>
          <w:rFonts w:cs="Arial"/>
          <w:color w:val="auto"/>
        </w:rPr>
        <w:t>The authors have nothing to disclose.</w:t>
      </w:r>
    </w:p>
    <w:p w14:paraId="1B4F907E" w14:textId="77777777" w:rsidR="006305D7" w:rsidRPr="00510549" w:rsidRDefault="006305D7" w:rsidP="002B1ABE">
      <w:pPr>
        <w:rPr>
          <w:color w:val="7F7F7F"/>
        </w:rPr>
      </w:pPr>
    </w:p>
    <w:p w14:paraId="56670218" w14:textId="7468B94E" w:rsidR="006305D7" w:rsidRPr="000B2F36" w:rsidRDefault="006305D7" w:rsidP="002B1ABE">
      <w:pPr>
        <w:rPr>
          <w:rFonts w:cs="Arial"/>
          <w:i/>
          <w:color w:val="808080"/>
        </w:rPr>
      </w:pPr>
      <w:r w:rsidRPr="000B2F36">
        <w:rPr>
          <w:rFonts w:cs="Arial"/>
          <w:b/>
          <w:bCs/>
        </w:rPr>
        <w:t>REFERENCES</w:t>
      </w:r>
    </w:p>
    <w:p w14:paraId="0701A3A7" w14:textId="50608C6D" w:rsidR="003A4AF9" w:rsidRDefault="00B92D74" w:rsidP="00547B97">
      <w:pPr>
        <w:widowControl/>
        <w:numPr>
          <w:ilvl w:val="0"/>
          <w:numId w:val="48"/>
        </w:numPr>
        <w:jc w:val="left"/>
        <w:rPr>
          <w:rFonts w:cs="Arial"/>
        </w:rPr>
      </w:pPr>
      <w:r>
        <w:rPr>
          <w:rFonts w:cs="Arial"/>
        </w:rPr>
        <w:t xml:space="preserve">Oasmaa, A., Kuoppala, E., </w:t>
      </w:r>
      <w:r w:rsidR="003A4AF9" w:rsidRPr="003A4AF9">
        <w:rPr>
          <w:rFonts w:cs="Arial"/>
        </w:rPr>
        <w:t xml:space="preserve">Solantausta, Y. Fast pyrolysis of forestry residue. 2. physicochemical composition of product liquid, </w:t>
      </w:r>
      <w:r w:rsidR="003A4AF9" w:rsidRPr="003A4AF9">
        <w:rPr>
          <w:rFonts w:cs="Arial"/>
          <w:i/>
        </w:rPr>
        <w:t>Energy Fuels</w:t>
      </w:r>
      <w:r w:rsidR="003A4AF9">
        <w:rPr>
          <w:rFonts w:cs="Arial"/>
        </w:rPr>
        <w:t xml:space="preserve">, </w:t>
      </w:r>
      <w:r w:rsidR="003A4AF9" w:rsidRPr="003A4AF9">
        <w:rPr>
          <w:rFonts w:cs="Arial"/>
          <w:b/>
        </w:rPr>
        <w:t>17</w:t>
      </w:r>
      <w:r w:rsidR="003A4AF9">
        <w:rPr>
          <w:rFonts w:cs="Arial"/>
        </w:rPr>
        <w:t xml:space="preserve"> (2), 433-443</w:t>
      </w:r>
      <w:r w:rsidR="00547B97">
        <w:rPr>
          <w:rFonts w:cs="Arial"/>
        </w:rPr>
        <w:t xml:space="preserve">, </w:t>
      </w:r>
      <w:r w:rsidR="00547B97" w:rsidRPr="00547B97">
        <w:rPr>
          <w:rFonts w:cs="Arial"/>
        </w:rPr>
        <w:t>DOI: 10.1021/ef020206g</w:t>
      </w:r>
      <w:r w:rsidR="00865588">
        <w:rPr>
          <w:rFonts w:cs="Arial"/>
        </w:rPr>
        <w:t xml:space="preserve"> (</w:t>
      </w:r>
      <w:r w:rsidR="003A4AF9" w:rsidRPr="003A4AF9">
        <w:rPr>
          <w:rFonts w:cs="Arial"/>
        </w:rPr>
        <w:t>2003</w:t>
      </w:r>
      <w:r w:rsidR="003A4AF9">
        <w:rPr>
          <w:rFonts w:cs="Arial"/>
        </w:rPr>
        <w:t>).</w:t>
      </w:r>
    </w:p>
    <w:p w14:paraId="2857151D" w14:textId="21659327" w:rsidR="003A4AF9" w:rsidRPr="003A4AF9" w:rsidRDefault="00B92D74" w:rsidP="002B1ABE">
      <w:pPr>
        <w:widowControl/>
        <w:numPr>
          <w:ilvl w:val="0"/>
          <w:numId w:val="48"/>
        </w:numPr>
        <w:jc w:val="left"/>
        <w:rPr>
          <w:rFonts w:cs="Arial"/>
        </w:rPr>
      </w:pPr>
      <w:r>
        <w:rPr>
          <w:rFonts w:cs="Arial"/>
        </w:rPr>
        <w:t xml:space="preserve">Olarte, M. </w:t>
      </w:r>
      <w:r>
        <w:rPr>
          <w:rFonts w:cs="Arial"/>
          <w:i/>
        </w:rPr>
        <w:t>et al.</w:t>
      </w:r>
      <w:r>
        <w:rPr>
          <w:rFonts w:cs="Arial"/>
        </w:rPr>
        <w:t xml:space="preserve"> Stabilization of Softwood-Derived Pyrolysis Oils for Continuous Bio-oil Hydroprocessing. </w:t>
      </w:r>
      <w:r>
        <w:rPr>
          <w:rFonts w:cs="Arial"/>
          <w:i/>
        </w:rPr>
        <w:t>Top</w:t>
      </w:r>
      <w:r w:rsidR="00AC4BC9">
        <w:rPr>
          <w:rFonts w:cs="Arial"/>
          <w:i/>
        </w:rPr>
        <w:t xml:space="preserve">. </w:t>
      </w:r>
      <w:r>
        <w:rPr>
          <w:rFonts w:cs="Arial"/>
          <w:i/>
        </w:rPr>
        <w:t>Catal</w:t>
      </w:r>
      <w:r w:rsidR="00AC4BC9">
        <w:rPr>
          <w:rFonts w:cs="Arial"/>
          <w:i/>
        </w:rPr>
        <w:t>.</w:t>
      </w:r>
      <w:r>
        <w:rPr>
          <w:rFonts w:cs="Arial"/>
        </w:rPr>
        <w:t xml:space="preserve">, </w:t>
      </w:r>
      <w:r>
        <w:rPr>
          <w:rFonts w:cs="Arial"/>
          <w:b/>
        </w:rPr>
        <w:t>59</w:t>
      </w:r>
      <w:r>
        <w:rPr>
          <w:rFonts w:cs="Arial"/>
        </w:rPr>
        <w:t xml:space="preserve"> (1), 55-64, DOI: </w:t>
      </w:r>
      <w:r w:rsidRPr="00B92D74">
        <w:rPr>
          <w:rFonts w:cs="Arial"/>
        </w:rPr>
        <w:t>10.1007/s11244-015-0505-7</w:t>
      </w:r>
      <w:r w:rsidR="00865588">
        <w:rPr>
          <w:rFonts w:cs="Arial"/>
        </w:rPr>
        <w:t xml:space="preserve"> (</w:t>
      </w:r>
      <w:r>
        <w:rPr>
          <w:rFonts w:cs="Arial"/>
        </w:rPr>
        <w:t>2016).</w:t>
      </w:r>
    </w:p>
    <w:p w14:paraId="07EC58B0" w14:textId="1DCBB99B" w:rsidR="00881A8B" w:rsidRPr="00EB298F" w:rsidRDefault="004D10C7" w:rsidP="002B1ABE">
      <w:pPr>
        <w:widowControl/>
        <w:numPr>
          <w:ilvl w:val="0"/>
          <w:numId w:val="48"/>
        </w:numPr>
        <w:jc w:val="left"/>
        <w:rPr>
          <w:rFonts w:cs="Arial"/>
        </w:rPr>
      </w:pPr>
      <w:r>
        <w:rPr>
          <w:rFonts w:asciiTheme="minorHAnsi" w:hAnsiTheme="minorHAnsi"/>
        </w:rPr>
        <w:t xml:space="preserve">Nicolaides, G. </w:t>
      </w:r>
      <w:r w:rsidR="00881A8B" w:rsidRPr="004D10C7">
        <w:rPr>
          <w:rFonts w:asciiTheme="minorHAnsi" w:hAnsiTheme="minorHAnsi"/>
        </w:rPr>
        <w:t>The chemical characterization of pyrolytic oils</w:t>
      </w:r>
      <w:r w:rsidR="00881A8B" w:rsidRPr="00881A8B">
        <w:rPr>
          <w:rFonts w:asciiTheme="minorHAnsi" w:hAnsiTheme="minorHAnsi"/>
        </w:rPr>
        <w:t xml:space="preserve">. </w:t>
      </w:r>
      <w:r w:rsidR="00881A8B" w:rsidRPr="004D10C7">
        <w:rPr>
          <w:rFonts w:asciiTheme="minorHAnsi" w:hAnsiTheme="minorHAnsi"/>
          <w:i/>
        </w:rPr>
        <w:t>MASc Thesis, Dept. of Chemical Engineering</w:t>
      </w:r>
      <w:r w:rsidR="00881A8B" w:rsidRPr="00881A8B">
        <w:rPr>
          <w:rFonts w:asciiTheme="minorHAnsi" w:hAnsiTheme="minorHAnsi"/>
        </w:rPr>
        <w:t>, University of</w:t>
      </w:r>
      <w:r w:rsidR="00865588">
        <w:rPr>
          <w:rFonts w:asciiTheme="minorHAnsi" w:hAnsiTheme="minorHAnsi"/>
        </w:rPr>
        <w:t xml:space="preserve"> </w:t>
      </w:r>
      <w:r w:rsidR="00881A8B" w:rsidRPr="00881A8B">
        <w:rPr>
          <w:rFonts w:asciiTheme="minorHAnsi" w:hAnsiTheme="minorHAnsi"/>
        </w:rPr>
        <w:t>Waterloo, Waterloo, Ontario, Canada</w:t>
      </w:r>
      <w:r w:rsidR="00865588">
        <w:rPr>
          <w:rFonts w:asciiTheme="minorHAnsi" w:hAnsiTheme="minorHAnsi"/>
        </w:rPr>
        <w:t xml:space="preserve"> (</w:t>
      </w:r>
      <w:r w:rsidR="00881A8B" w:rsidRPr="00881A8B">
        <w:rPr>
          <w:rFonts w:asciiTheme="minorHAnsi" w:hAnsiTheme="minorHAnsi"/>
        </w:rPr>
        <w:t>1984)</w:t>
      </w:r>
      <w:r>
        <w:rPr>
          <w:rFonts w:asciiTheme="minorHAnsi" w:hAnsiTheme="minorHAnsi"/>
        </w:rPr>
        <w:t>.</w:t>
      </w:r>
    </w:p>
    <w:p w14:paraId="0870049E" w14:textId="50CB1290" w:rsidR="00EB298F" w:rsidRDefault="00EB298F" w:rsidP="002B1ABE">
      <w:pPr>
        <w:widowControl/>
        <w:numPr>
          <w:ilvl w:val="0"/>
          <w:numId w:val="48"/>
        </w:numPr>
        <w:jc w:val="left"/>
        <w:rPr>
          <w:rFonts w:cs="Arial"/>
        </w:rPr>
      </w:pPr>
      <w:r>
        <w:rPr>
          <w:rFonts w:cs="Arial"/>
        </w:rPr>
        <w:t>Oasmaa, A., Korhonen, J.,</w:t>
      </w:r>
      <w:r w:rsidRPr="00EB298F">
        <w:rPr>
          <w:rFonts w:cs="Arial"/>
        </w:rPr>
        <w:t xml:space="preserve"> Kuoppala, E. An approach for stability measurement of woo</w:t>
      </w:r>
      <w:r>
        <w:rPr>
          <w:rFonts w:cs="Arial"/>
        </w:rPr>
        <w:t>d-based fast pyrolysis bio-oils.</w:t>
      </w:r>
      <w:r w:rsidRPr="00EB298F">
        <w:rPr>
          <w:rFonts w:cs="Arial"/>
        </w:rPr>
        <w:t xml:space="preserve"> </w:t>
      </w:r>
      <w:r w:rsidRPr="00EB298F">
        <w:rPr>
          <w:rFonts w:cs="Arial"/>
          <w:i/>
        </w:rPr>
        <w:t>Energy Fuels</w:t>
      </w:r>
      <w:r>
        <w:rPr>
          <w:rFonts w:cs="Arial"/>
        </w:rPr>
        <w:t xml:space="preserve">, </w:t>
      </w:r>
      <w:r w:rsidRPr="00EB298F">
        <w:rPr>
          <w:rFonts w:cs="Arial"/>
          <w:b/>
        </w:rPr>
        <w:t>25</w:t>
      </w:r>
      <w:r w:rsidR="00B0506E">
        <w:rPr>
          <w:rFonts w:cs="Arial"/>
          <w:b/>
        </w:rPr>
        <w:t xml:space="preserve"> </w:t>
      </w:r>
      <w:r w:rsidR="00B0506E">
        <w:rPr>
          <w:rFonts w:cs="Arial"/>
        </w:rPr>
        <w:t>(7)</w:t>
      </w:r>
      <w:r>
        <w:rPr>
          <w:rFonts w:cs="Arial"/>
        </w:rPr>
        <w:t>, 3307-3313</w:t>
      </w:r>
      <w:r w:rsidR="00865588">
        <w:rPr>
          <w:rFonts w:cs="Arial"/>
        </w:rPr>
        <w:t xml:space="preserve"> (</w:t>
      </w:r>
      <w:r>
        <w:rPr>
          <w:rFonts w:cs="Arial"/>
        </w:rPr>
        <w:t>2011).</w:t>
      </w:r>
    </w:p>
    <w:p w14:paraId="5ABE3A59" w14:textId="23702258" w:rsidR="00EB298F" w:rsidRDefault="00EB298F" w:rsidP="002B1ABE">
      <w:pPr>
        <w:widowControl/>
        <w:numPr>
          <w:ilvl w:val="0"/>
          <w:numId w:val="48"/>
        </w:numPr>
        <w:jc w:val="left"/>
        <w:rPr>
          <w:rFonts w:cs="Arial"/>
        </w:rPr>
      </w:pPr>
      <w:r w:rsidRPr="00EB298F">
        <w:rPr>
          <w:rFonts w:cs="Arial"/>
        </w:rPr>
        <w:t xml:space="preserve">Chen, C. L. </w:t>
      </w:r>
      <w:r w:rsidRPr="00EB298F">
        <w:rPr>
          <w:rFonts w:cs="Arial"/>
          <w:i/>
        </w:rPr>
        <w:t>Methods in Lignin Chemistry</w:t>
      </w:r>
      <w:r w:rsidRPr="00EB298F">
        <w:rPr>
          <w:rFonts w:cs="Arial"/>
        </w:rPr>
        <w:t>, ed. S. Y. Lin and C. W. Dence, Springer-Verlag, Berlin, Heidelberg, New York, 446-457</w:t>
      </w:r>
      <w:r w:rsidR="00865588">
        <w:rPr>
          <w:rFonts w:cs="Arial"/>
        </w:rPr>
        <w:t xml:space="preserve"> (</w:t>
      </w:r>
      <w:r>
        <w:rPr>
          <w:rFonts w:cs="Arial"/>
        </w:rPr>
        <w:t>1992)</w:t>
      </w:r>
      <w:r w:rsidRPr="00EB298F">
        <w:rPr>
          <w:rFonts w:cs="Arial"/>
        </w:rPr>
        <w:t>.</w:t>
      </w:r>
    </w:p>
    <w:p w14:paraId="45BD46CE" w14:textId="646B2D98" w:rsidR="00EB298F" w:rsidRDefault="00EB298F" w:rsidP="00B0506E">
      <w:pPr>
        <w:widowControl/>
        <w:numPr>
          <w:ilvl w:val="0"/>
          <w:numId w:val="48"/>
        </w:numPr>
        <w:jc w:val="left"/>
        <w:rPr>
          <w:rFonts w:cs="Arial"/>
        </w:rPr>
      </w:pPr>
      <w:r>
        <w:rPr>
          <w:rFonts w:cs="Arial"/>
        </w:rPr>
        <w:t>Scholze, B., Hanser, C.,</w:t>
      </w:r>
      <w:r w:rsidRPr="00EB298F">
        <w:rPr>
          <w:rFonts w:cs="Arial"/>
        </w:rPr>
        <w:t xml:space="preserve"> Meier, D. Characterization of the water-insoluble fraction from fast pyrolysis liquids (pyrolytic lignin). Part II. GPC,</w:t>
      </w:r>
      <w:r>
        <w:rPr>
          <w:rFonts w:cs="Arial"/>
        </w:rPr>
        <w:t xml:space="preserve"> carbonyl groups, and </w:t>
      </w:r>
      <w:r w:rsidRPr="00EB298F">
        <w:rPr>
          <w:rFonts w:cs="Arial"/>
          <w:vertAlign w:val="superscript"/>
        </w:rPr>
        <w:t>13</w:t>
      </w:r>
      <w:r>
        <w:rPr>
          <w:rFonts w:cs="Arial"/>
        </w:rPr>
        <w:t xml:space="preserve">C-NMR, </w:t>
      </w:r>
      <w:r w:rsidRPr="00EB298F">
        <w:rPr>
          <w:rFonts w:cs="Arial"/>
          <w:i/>
        </w:rPr>
        <w:t>J</w:t>
      </w:r>
      <w:r w:rsidR="00AC4BC9">
        <w:rPr>
          <w:rFonts w:cs="Arial"/>
          <w:i/>
        </w:rPr>
        <w:t>.</w:t>
      </w:r>
      <w:r w:rsidRPr="00EB298F">
        <w:rPr>
          <w:rFonts w:cs="Arial"/>
          <w:i/>
        </w:rPr>
        <w:t xml:space="preserve"> Anal</w:t>
      </w:r>
      <w:r w:rsidR="00AC4BC9">
        <w:rPr>
          <w:rFonts w:cs="Arial"/>
          <w:i/>
        </w:rPr>
        <w:t>.</w:t>
      </w:r>
      <w:r w:rsidRPr="00EB298F">
        <w:rPr>
          <w:rFonts w:cs="Arial"/>
          <w:i/>
        </w:rPr>
        <w:t xml:space="preserve"> Appl</w:t>
      </w:r>
      <w:r w:rsidR="00AC4BC9">
        <w:rPr>
          <w:rFonts w:cs="Arial"/>
          <w:i/>
        </w:rPr>
        <w:t>.</w:t>
      </w:r>
      <w:r w:rsidRPr="00EB298F">
        <w:rPr>
          <w:rFonts w:cs="Arial"/>
          <w:i/>
        </w:rPr>
        <w:t xml:space="preserve"> Pyrolysis</w:t>
      </w:r>
      <w:r>
        <w:rPr>
          <w:rFonts w:cs="Arial"/>
        </w:rPr>
        <w:t xml:space="preserve">, </w:t>
      </w:r>
      <w:r w:rsidRPr="00EB298F">
        <w:rPr>
          <w:rFonts w:cs="Arial"/>
          <w:b/>
        </w:rPr>
        <w:t>58–59</w:t>
      </w:r>
      <w:r w:rsidRPr="00EB298F">
        <w:rPr>
          <w:rFonts w:cs="Arial"/>
        </w:rPr>
        <w:t>, 387–400</w:t>
      </w:r>
      <w:r w:rsidR="00B0506E">
        <w:rPr>
          <w:rFonts w:cs="Arial"/>
        </w:rPr>
        <w:t>, DOI</w:t>
      </w:r>
      <w:r w:rsidR="00B0506E" w:rsidRPr="00B0506E">
        <w:rPr>
          <w:rFonts w:cs="Arial"/>
        </w:rPr>
        <w:t>:10.1016/S0165-2370(00)00173-X</w:t>
      </w:r>
      <w:r w:rsidR="00865588">
        <w:rPr>
          <w:rFonts w:cs="Arial"/>
        </w:rPr>
        <w:t xml:space="preserve"> (</w:t>
      </w:r>
      <w:r>
        <w:rPr>
          <w:rFonts w:cs="Arial"/>
        </w:rPr>
        <w:t>2001)</w:t>
      </w:r>
      <w:r w:rsidRPr="00EB298F">
        <w:rPr>
          <w:rFonts w:cs="Arial"/>
        </w:rPr>
        <w:t>.</w:t>
      </w:r>
    </w:p>
    <w:p w14:paraId="55920AFE" w14:textId="5B5EDBF0" w:rsidR="00EB298F" w:rsidRPr="00881A8B" w:rsidRDefault="00EB298F" w:rsidP="00B0506E">
      <w:pPr>
        <w:widowControl/>
        <w:numPr>
          <w:ilvl w:val="0"/>
          <w:numId w:val="48"/>
        </w:numPr>
        <w:jc w:val="left"/>
        <w:rPr>
          <w:rFonts w:cs="Arial"/>
        </w:rPr>
      </w:pPr>
      <w:r>
        <w:rPr>
          <w:rFonts w:cs="Arial"/>
        </w:rPr>
        <w:t>Bayerbach, R.,</w:t>
      </w:r>
      <w:r w:rsidRPr="00EB298F">
        <w:rPr>
          <w:rFonts w:cs="Arial"/>
        </w:rPr>
        <w:t xml:space="preserve"> Meier, D. Characterization of the water-insoluble fraction from fast pyrolysis liquids (pyrolytic lignin). Part IV: Structure elucidation of oligomeric molecules,</w:t>
      </w:r>
      <w:r>
        <w:rPr>
          <w:rFonts w:cs="Arial"/>
        </w:rPr>
        <w:t xml:space="preserve"> </w:t>
      </w:r>
      <w:r w:rsidRPr="00EB298F">
        <w:rPr>
          <w:rFonts w:cs="Arial"/>
          <w:i/>
        </w:rPr>
        <w:t>J</w:t>
      </w:r>
      <w:r w:rsidR="00AC4BC9">
        <w:rPr>
          <w:rFonts w:cs="Arial"/>
          <w:i/>
        </w:rPr>
        <w:t>.</w:t>
      </w:r>
      <w:r w:rsidRPr="00EB298F">
        <w:rPr>
          <w:rFonts w:cs="Arial"/>
          <w:i/>
        </w:rPr>
        <w:t xml:space="preserve"> Anal</w:t>
      </w:r>
      <w:r w:rsidR="00AC4BC9">
        <w:rPr>
          <w:rFonts w:cs="Arial"/>
          <w:i/>
        </w:rPr>
        <w:t>.</w:t>
      </w:r>
      <w:r w:rsidRPr="00EB298F">
        <w:rPr>
          <w:rFonts w:cs="Arial"/>
          <w:i/>
        </w:rPr>
        <w:t xml:space="preserve"> Appl</w:t>
      </w:r>
      <w:r w:rsidR="00AC4BC9">
        <w:rPr>
          <w:rFonts w:cs="Arial"/>
          <w:i/>
        </w:rPr>
        <w:t>.</w:t>
      </w:r>
      <w:r w:rsidRPr="00EB298F">
        <w:rPr>
          <w:rFonts w:cs="Arial"/>
          <w:i/>
        </w:rPr>
        <w:t xml:space="preserve"> Pyrolysis</w:t>
      </w:r>
      <w:r>
        <w:rPr>
          <w:rFonts w:cs="Arial"/>
        </w:rPr>
        <w:t xml:space="preserve">, </w:t>
      </w:r>
      <w:r w:rsidRPr="00EB298F">
        <w:rPr>
          <w:rFonts w:cs="Arial"/>
          <w:b/>
        </w:rPr>
        <w:t>85</w:t>
      </w:r>
      <w:r w:rsidR="00B0506E">
        <w:rPr>
          <w:rFonts w:cs="Arial"/>
        </w:rPr>
        <w:t xml:space="preserve"> (1-2)</w:t>
      </w:r>
      <w:r>
        <w:rPr>
          <w:rFonts w:cs="Arial"/>
        </w:rPr>
        <w:t>, 98–107</w:t>
      </w:r>
      <w:r w:rsidR="00B0506E">
        <w:rPr>
          <w:rFonts w:cs="Arial"/>
        </w:rPr>
        <w:t>, DOI</w:t>
      </w:r>
      <w:r w:rsidR="00B0506E" w:rsidRPr="00B0506E">
        <w:rPr>
          <w:rFonts w:cs="Arial"/>
        </w:rPr>
        <w:t>:10.1016/j.jaap.2008.10.021</w:t>
      </w:r>
      <w:r w:rsidR="00865588">
        <w:rPr>
          <w:rFonts w:cs="Arial"/>
        </w:rPr>
        <w:t xml:space="preserve"> (</w:t>
      </w:r>
      <w:r>
        <w:rPr>
          <w:rFonts w:cs="Arial"/>
        </w:rPr>
        <w:t>2009).</w:t>
      </w:r>
    </w:p>
    <w:p w14:paraId="66C8305D" w14:textId="36720EEC" w:rsidR="00881A8B" w:rsidRPr="00881A8B" w:rsidRDefault="004D10C7" w:rsidP="002B1ABE">
      <w:pPr>
        <w:widowControl/>
        <w:numPr>
          <w:ilvl w:val="0"/>
          <w:numId w:val="48"/>
        </w:numPr>
        <w:jc w:val="left"/>
        <w:rPr>
          <w:rFonts w:cs="Arial"/>
        </w:rPr>
      </w:pPr>
      <w:r>
        <w:rPr>
          <w:rFonts w:asciiTheme="minorHAnsi" w:hAnsiTheme="minorHAnsi"/>
        </w:rPr>
        <w:t xml:space="preserve">Faix, O., </w:t>
      </w:r>
      <w:r w:rsidR="00881A8B" w:rsidRPr="00881A8B">
        <w:rPr>
          <w:rFonts w:asciiTheme="minorHAnsi" w:hAnsiTheme="minorHAnsi"/>
        </w:rPr>
        <w:t>Andersons</w:t>
      </w:r>
      <w:r>
        <w:rPr>
          <w:rFonts w:asciiTheme="minorHAnsi" w:hAnsiTheme="minorHAnsi"/>
        </w:rPr>
        <w:t xml:space="preserve">, B., </w:t>
      </w:r>
      <w:r w:rsidR="00881A8B" w:rsidRPr="00881A8B">
        <w:rPr>
          <w:rFonts w:asciiTheme="minorHAnsi" w:hAnsiTheme="minorHAnsi"/>
        </w:rPr>
        <w:t>Zakis,</w:t>
      </w:r>
      <w:r>
        <w:rPr>
          <w:rFonts w:asciiTheme="minorHAnsi" w:hAnsiTheme="minorHAnsi"/>
        </w:rPr>
        <w:t xml:space="preserve"> G.</w:t>
      </w:r>
      <w:r w:rsidR="00881A8B" w:rsidRPr="00881A8B">
        <w:rPr>
          <w:rFonts w:asciiTheme="minorHAnsi" w:hAnsiTheme="minorHAnsi"/>
        </w:rPr>
        <w:t xml:space="preserve"> </w:t>
      </w:r>
      <w:r w:rsidR="00881A8B" w:rsidRPr="004D10C7">
        <w:rPr>
          <w:rFonts w:asciiTheme="minorHAnsi" w:hAnsiTheme="minorHAnsi"/>
        </w:rPr>
        <w:t xml:space="preserve">Determination of Carbonyl Groups of Six Round Robin Lignins. </w:t>
      </w:r>
      <w:r w:rsidR="00881A8B" w:rsidRPr="004D10C7">
        <w:rPr>
          <w:rFonts w:asciiTheme="minorHAnsi" w:hAnsiTheme="minorHAnsi"/>
          <w:i/>
        </w:rPr>
        <w:t>Holzforschung</w:t>
      </w:r>
      <w:r>
        <w:rPr>
          <w:rFonts w:asciiTheme="minorHAnsi" w:hAnsiTheme="minorHAnsi"/>
        </w:rPr>
        <w:t xml:space="preserve">, </w:t>
      </w:r>
      <w:r w:rsidRPr="004D10C7">
        <w:rPr>
          <w:rFonts w:asciiTheme="minorHAnsi" w:hAnsiTheme="minorHAnsi"/>
          <w:b/>
        </w:rPr>
        <w:t>52</w:t>
      </w:r>
      <w:r>
        <w:rPr>
          <w:rFonts w:asciiTheme="minorHAnsi" w:hAnsiTheme="minorHAnsi"/>
        </w:rPr>
        <w:t xml:space="preserve">, </w:t>
      </w:r>
      <w:r w:rsidR="00881A8B" w:rsidRPr="004D10C7">
        <w:rPr>
          <w:rFonts w:asciiTheme="minorHAnsi" w:hAnsiTheme="minorHAnsi"/>
        </w:rPr>
        <w:t>268</w:t>
      </w:r>
      <w:r w:rsidR="00881A8B" w:rsidRPr="00881A8B">
        <w:rPr>
          <w:rFonts w:asciiTheme="minorHAnsi" w:hAnsiTheme="minorHAnsi"/>
        </w:rPr>
        <w:t>-272</w:t>
      </w:r>
      <w:r w:rsidR="00865588">
        <w:rPr>
          <w:rFonts w:asciiTheme="minorHAnsi" w:hAnsiTheme="minorHAnsi"/>
        </w:rPr>
        <w:t xml:space="preserve"> (</w:t>
      </w:r>
      <w:r w:rsidRPr="00881A8B">
        <w:rPr>
          <w:rFonts w:asciiTheme="minorHAnsi" w:hAnsiTheme="minorHAnsi"/>
        </w:rPr>
        <w:t>1998</w:t>
      </w:r>
      <w:r>
        <w:rPr>
          <w:rFonts w:asciiTheme="minorHAnsi" w:hAnsiTheme="minorHAnsi"/>
        </w:rPr>
        <w:t>)</w:t>
      </w:r>
      <w:r w:rsidRPr="00881A8B">
        <w:rPr>
          <w:rFonts w:asciiTheme="minorHAnsi" w:hAnsiTheme="minorHAnsi"/>
        </w:rPr>
        <w:t>.</w:t>
      </w:r>
    </w:p>
    <w:p w14:paraId="2D612AC5" w14:textId="612873A8" w:rsidR="00881A8B" w:rsidRPr="00881A8B" w:rsidRDefault="005F041D" w:rsidP="002B1ABE">
      <w:pPr>
        <w:widowControl/>
        <w:numPr>
          <w:ilvl w:val="0"/>
          <w:numId w:val="48"/>
        </w:numPr>
        <w:jc w:val="left"/>
        <w:rPr>
          <w:rFonts w:cs="Arial"/>
        </w:rPr>
      </w:pPr>
      <w:r>
        <w:rPr>
          <w:rFonts w:asciiTheme="minorHAnsi" w:hAnsiTheme="minorHAnsi"/>
        </w:rPr>
        <w:t xml:space="preserve">Black, S., </w:t>
      </w:r>
      <w:r w:rsidR="00881A8B" w:rsidRPr="00881A8B">
        <w:rPr>
          <w:rFonts w:asciiTheme="minorHAnsi" w:hAnsiTheme="minorHAnsi"/>
        </w:rPr>
        <w:t xml:space="preserve">Ferrell, J. </w:t>
      </w:r>
      <w:r w:rsidR="00881A8B" w:rsidRPr="005F041D">
        <w:rPr>
          <w:rFonts w:asciiTheme="minorHAnsi" w:hAnsiTheme="minorHAnsi"/>
        </w:rPr>
        <w:t>Determination of Carbonyl Groups in Pyrolysis Bio-oils Using Potentiometric Titration: Review and Comparison of Methods.</w:t>
      </w:r>
      <w:r w:rsidR="00881A8B" w:rsidRPr="00881A8B">
        <w:rPr>
          <w:rFonts w:asciiTheme="minorHAnsi" w:hAnsiTheme="minorHAnsi"/>
        </w:rPr>
        <w:t xml:space="preserve"> </w:t>
      </w:r>
      <w:r w:rsidR="00881A8B" w:rsidRPr="005F041D">
        <w:rPr>
          <w:rFonts w:asciiTheme="minorHAnsi" w:hAnsiTheme="minorHAnsi"/>
          <w:i/>
        </w:rPr>
        <w:t>Energy Fuels</w:t>
      </w:r>
      <w:r>
        <w:rPr>
          <w:rFonts w:asciiTheme="minorHAnsi" w:hAnsiTheme="minorHAnsi"/>
        </w:rPr>
        <w:t xml:space="preserve">, </w:t>
      </w:r>
      <w:r w:rsidRPr="005F041D">
        <w:rPr>
          <w:rFonts w:asciiTheme="minorHAnsi" w:hAnsiTheme="minorHAnsi"/>
          <w:b/>
        </w:rPr>
        <w:t>30</w:t>
      </w:r>
      <w:r w:rsidR="009F5C84">
        <w:rPr>
          <w:rFonts w:asciiTheme="minorHAnsi" w:hAnsiTheme="minorHAnsi"/>
          <w:b/>
        </w:rPr>
        <w:t xml:space="preserve"> </w:t>
      </w:r>
      <w:r w:rsidR="009F5C84" w:rsidRPr="009F5C84">
        <w:rPr>
          <w:rFonts w:asciiTheme="minorHAnsi" w:hAnsiTheme="minorHAnsi"/>
        </w:rPr>
        <w:t>(2)</w:t>
      </w:r>
      <w:r>
        <w:rPr>
          <w:rFonts w:asciiTheme="minorHAnsi" w:hAnsiTheme="minorHAnsi"/>
        </w:rPr>
        <w:t xml:space="preserve">, 1071-1077, </w:t>
      </w:r>
      <w:r w:rsidR="00881A8B" w:rsidRPr="00881A8B">
        <w:rPr>
          <w:rFonts w:asciiTheme="minorHAnsi" w:hAnsiTheme="minorHAnsi"/>
        </w:rPr>
        <w:t>DOI: 10.1021/acs.energyfuels.5b02511</w:t>
      </w:r>
      <w:r w:rsidR="00865588">
        <w:rPr>
          <w:rFonts w:asciiTheme="minorHAnsi" w:hAnsiTheme="minorHAnsi"/>
        </w:rPr>
        <w:t xml:space="preserve"> (</w:t>
      </w:r>
      <w:r>
        <w:rPr>
          <w:rFonts w:asciiTheme="minorHAnsi" w:hAnsiTheme="minorHAnsi"/>
        </w:rPr>
        <w:t xml:space="preserve">2016). </w:t>
      </w:r>
    </w:p>
    <w:p w14:paraId="7DFCC05E" w14:textId="6B6DAA43" w:rsidR="00881A8B" w:rsidRPr="000B2F36" w:rsidRDefault="00881A8B" w:rsidP="004A06E6">
      <w:pPr>
        <w:widowControl/>
        <w:numPr>
          <w:ilvl w:val="0"/>
          <w:numId w:val="48"/>
        </w:numPr>
        <w:jc w:val="left"/>
        <w:rPr>
          <w:rFonts w:cs="Arial"/>
        </w:rPr>
      </w:pPr>
      <w:r w:rsidRPr="00881A8B">
        <w:rPr>
          <w:rFonts w:asciiTheme="minorHAnsi" w:hAnsiTheme="minorHAnsi"/>
        </w:rPr>
        <w:t>Ferrell, J.</w:t>
      </w:r>
      <w:r w:rsidR="00D15EA2">
        <w:rPr>
          <w:rFonts w:asciiTheme="minorHAnsi" w:hAnsiTheme="minorHAnsi"/>
        </w:rPr>
        <w:t xml:space="preserve">, </w:t>
      </w:r>
      <w:r w:rsidR="00D15EA2" w:rsidRPr="00D15EA2">
        <w:rPr>
          <w:rFonts w:asciiTheme="minorHAnsi" w:hAnsiTheme="minorHAnsi"/>
          <w:i/>
        </w:rPr>
        <w:t>et al.</w:t>
      </w:r>
      <w:r w:rsidR="00D15EA2">
        <w:rPr>
          <w:rFonts w:asciiTheme="minorHAnsi" w:hAnsiTheme="minorHAnsi"/>
        </w:rPr>
        <w:t xml:space="preserve"> </w:t>
      </w:r>
      <w:r w:rsidRPr="00D15EA2">
        <w:rPr>
          <w:rFonts w:asciiTheme="minorHAnsi" w:hAnsiTheme="minorHAnsi"/>
        </w:rPr>
        <w:t>Standardization of Chemical Analytical Techniques for Pyrolysis Bio-oil: History, Challenges, and Current Status of Methods.</w:t>
      </w:r>
      <w:r w:rsidRPr="00881A8B">
        <w:rPr>
          <w:rFonts w:asciiTheme="minorHAnsi" w:hAnsiTheme="minorHAnsi"/>
        </w:rPr>
        <w:t xml:space="preserve"> </w:t>
      </w:r>
      <w:r w:rsidRPr="00FF79D3">
        <w:rPr>
          <w:rFonts w:asciiTheme="minorHAnsi" w:hAnsiTheme="minorHAnsi"/>
          <w:i/>
        </w:rPr>
        <w:t>Biof</w:t>
      </w:r>
      <w:r w:rsidR="00FF79D3" w:rsidRPr="00FF79D3">
        <w:rPr>
          <w:rFonts w:asciiTheme="minorHAnsi" w:hAnsiTheme="minorHAnsi"/>
          <w:i/>
        </w:rPr>
        <w:t>uels, Bioprod</w:t>
      </w:r>
      <w:r w:rsidR="00953544">
        <w:rPr>
          <w:rFonts w:asciiTheme="minorHAnsi" w:hAnsiTheme="minorHAnsi"/>
          <w:i/>
        </w:rPr>
        <w:t>.</w:t>
      </w:r>
      <w:r w:rsidR="00FF79D3" w:rsidRPr="00FF79D3">
        <w:rPr>
          <w:rFonts w:asciiTheme="minorHAnsi" w:hAnsiTheme="minorHAnsi"/>
          <w:i/>
        </w:rPr>
        <w:t xml:space="preserve"> Biorefin</w:t>
      </w:r>
      <w:r w:rsidR="00953544">
        <w:rPr>
          <w:rFonts w:asciiTheme="minorHAnsi" w:hAnsiTheme="minorHAnsi"/>
          <w:i/>
        </w:rPr>
        <w:t>.</w:t>
      </w:r>
      <w:r w:rsidR="00FF79D3">
        <w:rPr>
          <w:rFonts w:asciiTheme="minorHAnsi" w:hAnsiTheme="minorHAnsi"/>
        </w:rPr>
        <w:t xml:space="preserve">, </w:t>
      </w:r>
      <w:r w:rsidR="003C4CED">
        <w:rPr>
          <w:rFonts w:asciiTheme="minorHAnsi" w:hAnsiTheme="minorHAnsi"/>
          <w:b/>
        </w:rPr>
        <w:t>10</w:t>
      </w:r>
      <w:r w:rsidR="003C4CED" w:rsidRPr="003C4CED">
        <w:rPr>
          <w:rFonts w:asciiTheme="minorHAnsi" w:hAnsiTheme="minorHAnsi"/>
        </w:rPr>
        <w:t>,</w:t>
      </w:r>
      <w:r w:rsidR="003C4CED">
        <w:rPr>
          <w:rFonts w:asciiTheme="minorHAnsi" w:hAnsiTheme="minorHAnsi"/>
          <w:b/>
        </w:rPr>
        <w:t xml:space="preserve"> </w:t>
      </w:r>
      <w:r w:rsidR="003C4CED">
        <w:rPr>
          <w:rFonts w:asciiTheme="minorHAnsi" w:hAnsiTheme="minorHAnsi"/>
        </w:rPr>
        <w:t xml:space="preserve">496-507, </w:t>
      </w:r>
      <w:r w:rsidR="004A06E6" w:rsidRPr="004A06E6">
        <w:rPr>
          <w:rFonts w:asciiTheme="minorHAnsi" w:hAnsiTheme="minorHAnsi"/>
        </w:rPr>
        <w:t>DOI: 10.1002/bbb.1661</w:t>
      </w:r>
      <w:r w:rsidR="004A06E6">
        <w:rPr>
          <w:rFonts w:asciiTheme="minorHAnsi" w:hAnsiTheme="minorHAnsi"/>
        </w:rPr>
        <w:t xml:space="preserve"> </w:t>
      </w:r>
      <w:r w:rsidR="00865588">
        <w:rPr>
          <w:rFonts w:asciiTheme="minorHAnsi" w:hAnsiTheme="minorHAnsi"/>
        </w:rPr>
        <w:t>(</w:t>
      </w:r>
      <w:r w:rsidR="00FF79D3">
        <w:rPr>
          <w:rFonts w:asciiTheme="minorHAnsi" w:hAnsiTheme="minorHAnsi"/>
        </w:rPr>
        <w:t>2016).</w:t>
      </w:r>
    </w:p>
    <w:p w14:paraId="212CA7A6" w14:textId="599C2FA2" w:rsidR="009F3887" w:rsidRPr="006305D7" w:rsidRDefault="009F3887" w:rsidP="002B1ABE"/>
    <w:sectPr w:rsidR="009F3887" w:rsidRPr="006305D7" w:rsidSect="002E2C44">
      <w:headerReference w:type="defaul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845F" w14:textId="77777777" w:rsidR="001327F4" w:rsidRDefault="001327F4" w:rsidP="00621C4E">
      <w:r>
        <w:separator/>
      </w:r>
    </w:p>
  </w:endnote>
  <w:endnote w:type="continuationSeparator" w:id="0">
    <w:p w14:paraId="5BF4B539" w14:textId="77777777" w:rsidR="001327F4" w:rsidRDefault="001327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1B21" w14:textId="77777777" w:rsidR="001327F4" w:rsidRDefault="001327F4" w:rsidP="00621C4E">
      <w:r>
        <w:separator/>
      </w:r>
    </w:p>
  </w:footnote>
  <w:footnote w:type="continuationSeparator" w:id="0">
    <w:p w14:paraId="43B038FC" w14:textId="77777777" w:rsidR="001327F4" w:rsidRDefault="001327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A7330" w:rsidRPr="006F06E4" w:rsidRDefault="003A733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21434"/>
    <w:rsid w:val="00021DF3"/>
    <w:rsid w:val="00023869"/>
    <w:rsid w:val="00024598"/>
    <w:rsid w:val="00032361"/>
    <w:rsid w:val="00032769"/>
    <w:rsid w:val="000376A2"/>
    <w:rsid w:val="00037B58"/>
    <w:rsid w:val="00051B73"/>
    <w:rsid w:val="00060ABE"/>
    <w:rsid w:val="00061A50"/>
    <w:rsid w:val="000623DD"/>
    <w:rsid w:val="00064104"/>
    <w:rsid w:val="00066025"/>
    <w:rsid w:val="000701D1"/>
    <w:rsid w:val="000759F8"/>
    <w:rsid w:val="000760E3"/>
    <w:rsid w:val="00080782"/>
    <w:rsid w:val="00080A20"/>
    <w:rsid w:val="00082796"/>
    <w:rsid w:val="00087C0A"/>
    <w:rsid w:val="000934A6"/>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C7F1C"/>
    <w:rsid w:val="000D0556"/>
    <w:rsid w:val="000D31E8"/>
    <w:rsid w:val="000D76E4"/>
    <w:rsid w:val="000E19A3"/>
    <w:rsid w:val="000E3816"/>
    <w:rsid w:val="000E4F77"/>
    <w:rsid w:val="000F139D"/>
    <w:rsid w:val="000F265C"/>
    <w:rsid w:val="000F3AFA"/>
    <w:rsid w:val="000F4DAD"/>
    <w:rsid w:val="000F5712"/>
    <w:rsid w:val="000F6611"/>
    <w:rsid w:val="000F78B8"/>
    <w:rsid w:val="000F7E22"/>
    <w:rsid w:val="00112EEB"/>
    <w:rsid w:val="00123E9F"/>
    <w:rsid w:val="0012563A"/>
    <w:rsid w:val="001313A7"/>
    <w:rsid w:val="0013276F"/>
    <w:rsid w:val="001327F4"/>
    <w:rsid w:val="00136B0E"/>
    <w:rsid w:val="00152A23"/>
    <w:rsid w:val="00162CB7"/>
    <w:rsid w:val="00170AA4"/>
    <w:rsid w:val="00171E5B"/>
    <w:rsid w:val="00171F94"/>
    <w:rsid w:val="0017668A"/>
    <w:rsid w:val="001766FE"/>
    <w:rsid w:val="001771E7"/>
    <w:rsid w:val="00192006"/>
    <w:rsid w:val="00193180"/>
    <w:rsid w:val="001A4936"/>
    <w:rsid w:val="001B2E2D"/>
    <w:rsid w:val="001B5CD2"/>
    <w:rsid w:val="001C0BEE"/>
    <w:rsid w:val="001C2A98"/>
    <w:rsid w:val="001D3D7D"/>
    <w:rsid w:val="001D3FFF"/>
    <w:rsid w:val="001D625F"/>
    <w:rsid w:val="001D696C"/>
    <w:rsid w:val="001D7576"/>
    <w:rsid w:val="001E14A0"/>
    <w:rsid w:val="001E7376"/>
    <w:rsid w:val="001F225C"/>
    <w:rsid w:val="001F374F"/>
    <w:rsid w:val="001F6D84"/>
    <w:rsid w:val="00201CFA"/>
    <w:rsid w:val="0020220D"/>
    <w:rsid w:val="00202448"/>
    <w:rsid w:val="00202D15"/>
    <w:rsid w:val="0021261B"/>
    <w:rsid w:val="00214BEE"/>
    <w:rsid w:val="002205B8"/>
    <w:rsid w:val="002259E5"/>
    <w:rsid w:val="00226140"/>
    <w:rsid w:val="002274F3"/>
    <w:rsid w:val="0022771F"/>
    <w:rsid w:val="0023094C"/>
    <w:rsid w:val="00232667"/>
    <w:rsid w:val="00234BE3"/>
    <w:rsid w:val="00235A90"/>
    <w:rsid w:val="00236D7E"/>
    <w:rsid w:val="00241E48"/>
    <w:rsid w:val="0024214E"/>
    <w:rsid w:val="00242623"/>
    <w:rsid w:val="00250558"/>
    <w:rsid w:val="0025113D"/>
    <w:rsid w:val="00260652"/>
    <w:rsid w:val="00261F25"/>
    <w:rsid w:val="002648A9"/>
    <w:rsid w:val="0026553C"/>
    <w:rsid w:val="00267DD5"/>
    <w:rsid w:val="00274A0A"/>
    <w:rsid w:val="00277593"/>
    <w:rsid w:val="00280918"/>
    <w:rsid w:val="00282AF6"/>
    <w:rsid w:val="00287085"/>
    <w:rsid w:val="00290AF9"/>
    <w:rsid w:val="00293C6A"/>
    <w:rsid w:val="002967CF"/>
    <w:rsid w:val="00297788"/>
    <w:rsid w:val="002A64A6"/>
    <w:rsid w:val="002B1ABE"/>
    <w:rsid w:val="002C47D4"/>
    <w:rsid w:val="002D0F38"/>
    <w:rsid w:val="002D3CC2"/>
    <w:rsid w:val="002D77E3"/>
    <w:rsid w:val="002E2C44"/>
    <w:rsid w:val="002E6FDF"/>
    <w:rsid w:val="002F2859"/>
    <w:rsid w:val="002F6E3C"/>
    <w:rsid w:val="0030117D"/>
    <w:rsid w:val="00303C87"/>
    <w:rsid w:val="003120CB"/>
    <w:rsid w:val="00320153"/>
    <w:rsid w:val="00320367"/>
    <w:rsid w:val="00322871"/>
    <w:rsid w:val="0032296B"/>
    <w:rsid w:val="00326FB3"/>
    <w:rsid w:val="003316D4"/>
    <w:rsid w:val="00333822"/>
    <w:rsid w:val="00336715"/>
    <w:rsid w:val="00340DFD"/>
    <w:rsid w:val="00350CD7"/>
    <w:rsid w:val="00360C17"/>
    <w:rsid w:val="003621C6"/>
    <w:rsid w:val="003622B8"/>
    <w:rsid w:val="00362D13"/>
    <w:rsid w:val="00366B76"/>
    <w:rsid w:val="00366D11"/>
    <w:rsid w:val="00373051"/>
    <w:rsid w:val="00373B8F"/>
    <w:rsid w:val="003766FF"/>
    <w:rsid w:val="00376AE7"/>
    <w:rsid w:val="00376D95"/>
    <w:rsid w:val="0037750B"/>
    <w:rsid w:val="00377FBB"/>
    <w:rsid w:val="003A16FC"/>
    <w:rsid w:val="003A4AF9"/>
    <w:rsid w:val="003A4FCD"/>
    <w:rsid w:val="003A7330"/>
    <w:rsid w:val="003B0944"/>
    <w:rsid w:val="003B1593"/>
    <w:rsid w:val="003B1E43"/>
    <w:rsid w:val="003B2D8D"/>
    <w:rsid w:val="003B4381"/>
    <w:rsid w:val="003C1043"/>
    <w:rsid w:val="003C1A30"/>
    <w:rsid w:val="003C4CED"/>
    <w:rsid w:val="003C6779"/>
    <w:rsid w:val="003D2998"/>
    <w:rsid w:val="003D2F0A"/>
    <w:rsid w:val="003D3891"/>
    <w:rsid w:val="003E0F4F"/>
    <w:rsid w:val="003E18AC"/>
    <w:rsid w:val="003E210B"/>
    <w:rsid w:val="003E2A12"/>
    <w:rsid w:val="003E3384"/>
    <w:rsid w:val="003E548E"/>
    <w:rsid w:val="003F0520"/>
    <w:rsid w:val="003F0F07"/>
    <w:rsid w:val="004148E1"/>
    <w:rsid w:val="00414CFA"/>
    <w:rsid w:val="00420BE9"/>
    <w:rsid w:val="00423AD8"/>
    <w:rsid w:val="00424C85"/>
    <w:rsid w:val="004260BD"/>
    <w:rsid w:val="0043012F"/>
    <w:rsid w:val="00430F1F"/>
    <w:rsid w:val="004326EA"/>
    <w:rsid w:val="00432E12"/>
    <w:rsid w:val="0044456B"/>
    <w:rsid w:val="00447BD1"/>
    <w:rsid w:val="004507F3"/>
    <w:rsid w:val="00450AF4"/>
    <w:rsid w:val="00450B46"/>
    <w:rsid w:val="004671C7"/>
    <w:rsid w:val="00472F4D"/>
    <w:rsid w:val="004730BF"/>
    <w:rsid w:val="0047535C"/>
    <w:rsid w:val="00485870"/>
    <w:rsid w:val="00485FE8"/>
    <w:rsid w:val="00486E78"/>
    <w:rsid w:val="00492522"/>
    <w:rsid w:val="00492EB5"/>
    <w:rsid w:val="00494F77"/>
    <w:rsid w:val="00497721"/>
    <w:rsid w:val="004A0229"/>
    <w:rsid w:val="004A06E6"/>
    <w:rsid w:val="004A2781"/>
    <w:rsid w:val="004A35D2"/>
    <w:rsid w:val="004A3D5F"/>
    <w:rsid w:val="004B2F00"/>
    <w:rsid w:val="004B6E31"/>
    <w:rsid w:val="004C1D66"/>
    <w:rsid w:val="004C31D7"/>
    <w:rsid w:val="004C4AD2"/>
    <w:rsid w:val="004D10C7"/>
    <w:rsid w:val="004D1F21"/>
    <w:rsid w:val="004D59D8"/>
    <w:rsid w:val="004D5DA1"/>
    <w:rsid w:val="004E150F"/>
    <w:rsid w:val="004E23A1"/>
    <w:rsid w:val="004E3489"/>
    <w:rsid w:val="004E3AFA"/>
    <w:rsid w:val="00502A0A"/>
    <w:rsid w:val="00507C50"/>
    <w:rsid w:val="00517C3A"/>
    <w:rsid w:val="00524122"/>
    <w:rsid w:val="00527BF4"/>
    <w:rsid w:val="00530FC5"/>
    <w:rsid w:val="00534F6C"/>
    <w:rsid w:val="0053646D"/>
    <w:rsid w:val="00540AAD"/>
    <w:rsid w:val="00546458"/>
    <w:rsid w:val="00547B97"/>
    <w:rsid w:val="0055087C"/>
    <w:rsid w:val="00553413"/>
    <w:rsid w:val="0055552D"/>
    <w:rsid w:val="00564B9E"/>
    <w:rsid w:val="005754FD"/>
    <w:rsid w:val="0058219C"/>
    <w:rsid w:val="0058571A"/>
    <w:rsid w:val="0058707F"/>
    <w:rsid w:val="00592531"/>
    <w:rsid w:val="005931FE"/>
    <w:rsid w:val="005970D8"/>
    <w:rsid w:val="005A5E99"/>
    <w:rsid w:val="005B0072"/>
    <w:rsid w:val="005B0732"/>
    <w:rsid w:val="005B38A0"/>
    <w:rsid w:val="005B491C"/>
    <w:rsid w:val="005B4DBF"/>
    <w:rsid w:val="005B5DE2"/>
    <w:rsid w:val="005B674C"/>
    <w:rsid w:val="005C7561"/>
    <w:rsid w:val="005D1E57"/>
    <w:rsid w:val="005D2F57"/>
    <w:rsid w:val="005D34F6"/>
    <w:rsid w:val="005E1884"/>
    <w:rsid w:val="005E70CF"/>
    <w:rsid w:val="005F041D"/>
    <w:rsid w:val="005F0C77"/>
    <w:rsid w:val="005F373A"/>
    <w:rsid w:val="005F6B0E"/>
    <w:rsid w:val="005F760E"/>
    <w:rsid w:val="005F7B1D"/>
    <w:rsid w:val="0060222A"/>
    <w:rsid w:val="00610C21"/>
    <w:rsid w:val="00611907"/>
    <w:rsid w:val="00613116"/>
    <w:rsid w:val="006202A6"/>
    <w:rsid w:val="00621C4E"/>
    <w:rsid w:val="006305D7"/>
    <w:rsid w:val="00633A01"/>
    <w:rsid w:val="006341F7"/>
    <w:rsid w:val="00635014"/>
    <w:rsid w:val="00635490"/>
    <w:rsid w:val="00636822"/>
    <w:rsid w:val="006369CE"/>
    <w:rsid w:val="006411CA"/>
    <w:rsid w:val="006506C2"/>
    <w:rsid w:val="006619C8"/>
    <w:rsid w:val="00671710"/>
    <w:rsid w:val="00673414"/>
    <w:rsid w:val="00676079"/>
    <w:rsid w:val="00676ECD"/>
    <w:rsid w:val="00677D0A"/>
    <w:rsid w:val="0068185F"/>
    <w:rsid w:val="006A01CF"/>
    <w:rsid w:val="006B0564"/>
    <w:rsid w:val="006B074C"/>
    <w:rsid w:val="006B5D8C"/>
    <w:rsid w:val="006B5E48"/>
    <w:rsid w:val="006B72D4"/>
    <w:rsid w:val="006C11CC"/>
    <w:rsid w:val="006C1AEB"/>
    <w:rsid w:val="006C57FE"/>
    <w:rsid w:val="006C6858"/>
    <w:rsid w:val="006E4B63"/>
    <w:rsid w:val="006F06E4"/>
    <w:rsid w:val="006F17AC"/>
    <w:rsid w:val="006F4726"/>
    <w:rsid w:val="006F7B41"/>
    <w:rsid w:val="00702B5D"/>
    <w:rsid w:val="00703ED2"/>
    <w:rsid w:val="00707B8D"/>
    <w:rsid w:val="00713636"/>
    <w:rsid w:val="00714B8C"/>
    <w:rsid w:val="0071675D"/>
    <w:rsid w:val="007174A8"/>
    <w:rsid w:val="00717CF1"/>
    <w:rsid w:val="0072162C"/>
    <w:rsid w:val="00735CF5"/>
    <w:rsid w:val="0074063A"/>
    <w:rsid w:val="00743BA1"/>
    <w:rsid w:val="00745F1E"/>
    <w:rsid w:val="0075107A"/>
    <w:rsid w:val="007515FE"/>
    <w:rsid w:val="00755263"/>
    <w:rsid w:val="00756F4D"/>
    <w:rsid w:val="007601D0"/>
    <w:rsid w:val="0076109D"/>
    <w:rsid w:val="00767107"/>
    <w:rsid w:val="00772E94"/>
    <w:rsid w:val="00773BFD"/>
    <w:rsid w:val="00773ECC"/>
    <w:rsid w:val="007743B3"/>
    <w:rsid w:val="00774490"/>
    <w:rsid w:val="007819FF"/>
    <w:rsid w:val="007827B0"/>
    <w:rsid w:val="00784BC6"/>
    <w:rsid w:val="0078523D"/>
    <w:rsid w:val="007931DF"/>
    <w:rsid w:val="00794DDC"/>
    <w:rsid w:val="00795275"/>
    <w:rsid w:val="00796B33"/>
    <w:rsid w:val="007A0172"/>
    <w:rsid w:val="007A2511"/>
    <w:rsid w:val="007A260E"/>
    <w:rsid w:val="007A4D4C"/>
    <w:rsid w:val="007A5CB9"/>
    <w:rsid w:val="007A69B9"/>
    <w:rsid w:val="007B6D43"/>
    <w:rsid w:val="007B7C6E"/>
    <w:rsid w:val="007D44D7"/>
    <w:rsid w:val="007D621A"/>
    <w:rsid w:val="007D6B6C"/>
    <w:rsid w:val="007E2887"/>
    <w:rsid w:val="007E3941"/>
    <w:rsid w:val="007E5278"/>
    <w:rsid w:val="007E6D85"/>
    <w:rsid w:val="007E749C"/>
    <w:rsid w:val="007F1B5C"/>
    <w:rsid w:val="007F730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0995"/>
    <w:rsid w:val="008515E3"/>
    <w:rsid w:val="0085351C"/>
    <w:rsid w:val="008549CA"/>
    <w:rsid w:val="008556C3"/>
    <w:rsid w:val="0085687C"/>
    <w:rsid w:val="008608C6"/>
    <w:rsid w:val="00862F6E"/>
    <w:rsid w:val="00865588"/>
    <w:rsid w:val="008700B6"/>
    <w:rsid w:val="008706C5"/>
    <w:rsid w:val="00873707"/>
    <w:rsid w:val="008763E1"/>
    <w:rsid w:val="00877EC8"/>
    <w:rsid w:val="00880F36"/>
    <w:rsid w:val="00881A8B"/>
    <w:rsid w:val="00885530"/>
    <w:rsid w:val="008910D1"/>
    <w:rsid w:val="0089296C"/>
    <w:rsid w:val="00896ABD"/>
    <w:rsid w:val="008A59DE"/>
    <w:rsid w:val="008A7A9C"/>
    <w:rsid w:val="008B5218"/>
    <w:rsid w:val="008B7102"/>
    <w:rsid w:val="008C3B7D"/>
    <w:rsid w:val="008C4784"/>
    <w:rsid w:val="008D0F90"/>
    <w:rsid w:val="008D3715"/>
    <w:rsid w:val="008D5465"/>
    <w:rsid w:val="008D6B55"/>
    <w:rsid w:val="008D7EB7"/>
    <w:rsid w:val="008E3684"/>
    <w:rsid w:val="008E5196"/>
    <w:rsid w:val="008E57F5"/>
    <w:rsid w:val="008E7606"/>
    <w:rsid w:val="008F1DAA"/>
    <w:rsid w:val="008F3EBD"/>
    <w:rsid w:val="008F4689"/>
    <w:rsid w:val="008F60B2"/>
    <w:rsid w:val="008F7C41"/>
    <w:rsid w:val="009031E2"/>
    <w:rsid w:val="00907EF5"/>
    <w:rsid w:val="0091276C"/>
    <w:rsid w:val="009165AC"/>
    <w:rsid w:val="0092053F"/>
    <w:rsid w:val="0092078B"/>
    <w:rsid w:val="0092340A"/>
    <w:rsid w:val="009313D9"/>
    <w:rsid w:val="00935B7F"/>
    <w:rsid w:val="00941293"/>
    <w:rsid w:val="009426AE"/>
    <w:rsid w:val="00950C17"/>
    <w:rsid w:val="00953544"/>
    <w:rsid w:val="00954740"/>
    <w:rsid w:val="00963ABC"/>
    <w:rsid w:val="00965D21"/>
    <w:rsid w:val="00967408"/>
    <w:rsid w:val="00967764"/>
    <w:rsid w:val="00967E5E"/>
    <w:rsid w:val="00970B0E"/>
    <w:rsid w:val="00976D03"/>
    <w:rsid w:val="00977B30"/>
    <w:rsid w:val="00982F41"/>
    <w:rsid w:val="00985090"/>
    <w:rsid w:val="00987710"/>
    <w:rsid w:val="009904AB"/>
    <w:rsid w:val="00995688"/>
    <w:rsid w:val="009958A6"/>
    <w:rsid w:val="00996456"/>
    <w:rsid w:val="009A04F5"/>
    <w:rsid w:val="009A15EF"/>
    <w:rsid w:val="009A2FCD"/>
    <w:rsid w:val="009A34A4"/>
    <w:rsid w:val="009A38A5"/>
    <w:rsid w:val="009A3F80"/>
    <w:rsid w:val="009A6BA9"/>
    <w:rsid w:val="009B118B"/>
    <w:rsid w:val="009B1737"/>
    <w:rsid w:val="009B3D4B"/>
    <w:rsid w:val="009B5B99"/>
    <w:rsid w:val="009B6EFC"/>
    <w:rsid w:val="009C2DF8"/>
    <w:rsid w:val="009C68B7"/>
    <w:rsid w:val="009D0834"/>
    <w:rsid w:val="009D0A1E"/>
    <w:rsid w:val="009D52BC"/>
    <w:rsid w:val="009D7D0A"/>
    <w:rsid w:val="009E6AB2"/>
    <w:rsid w:val="009F01B1"/>
    <w:rsid w:val="009F0DBB"/>
    <w:rsid w:val="009F3887"/>
    <w:rsid w:val="009F5C84"/>
    <w:rsid w:val="009F6465"/>
    <w:rsid w:val="009F732B"/>
    <w:rsid w:val="00A01FE0"/>
    <w:rsid w:val="00A10656"/>
    <w:rsid w:val="00A12FA6"/>
    <w:rsid w:val="00A1339B"/>
    <w:rsid w:val="00A14ABA"/>
    <w:rsid w:val="00A160E5"/>
    <w:rsid w:val="00A24CB6"/>
    <w:rsid w:val="00A26CD2"/>
    <w:rsid w:val="00A27667"/>
    <w:rsid w:val="00A34A67"/>
    <w:rsid w:val="00A37462"/>
    <w:rsid w:val="00A459E1"/>
    <w:rsid w:val="00A52296"/>
    <w:rsid w:val="00A55661"/>
    <w:rsid w:val="00A61B70"/>
    <w:rsid w:val="00A61FA8"/>
    <w:rsid w:val="00A637F4"/>
    <w:rsid w:val="00A65485"/>
    <w:rsid w:val="00A66E05"/>
    <w:rsid w:val="00A70753"/>
    <w:rsid w:val="00A712D2"/>
    <w:rsid w:val="00A71DDB"/>
    <w:rsid w:val="00A75FB7"/>
    <w:rsid w:val="00A82C8A"/>
    <w:rsid w:val="00A852FF"/>
    <w:rsid w:val="00A8581D"/>
    <w:rsid w:val="00A87337"/>
    <w:rsid w:val="00A90C97"/>
    <w:rsid w:val="00A960C8"/>
    <w:rsid w:val="00AA1B4F"/>
    <w:rsid w:val="00AA22EA"/>
    <w:rsid w:val="00AA54F3"/>
    <w:rsid w:val="00AA6B43"/>
    <w:rsid w:val="00AB11A3"/>
    <w:rsid w:val="00AB367A"/>
    <w:rsid w:val="00AC01D1"/>
    <w:rsid w:val="00AC4BC9"/>
    <w:rsid w:val="00AD6A05"/>
    <w:rsid w:val="00AE272B"/>
    <w:rsid w:val="00AE3E3A"/>
    <w:rsid w:val="00AE77B4"/>
    <w:rsid w:val="00AE7C1A"/>
    <w:rsid w:val="00AF0D9C"/>
    <w:rsid w:val="00AF13AB"/>
    <w:rsid w:val="00AF1D36"/>
    <w:rsid w:val="00AF5F75"/>
    <w:rsid w:val="00AF6001"/>
    <w:rsid w:val="00B01A16"/>
    <w:rsid w:val="00B0506E"/>
    <w:rsid w:val="00B07F45"/>
    <w:rsid w:val="00B1021A"/>
    <w:rsid w:val="00B13671"/>
    <w:rsid w:val="00B15A1F"/>
    <w:rsid w:val="00B15FE9"/>
    <w:rsid w:val="00B2148A"/>
    <w:rsid w:val="00B220C2"/>
    <w:rsid w:val="00B221A7"/>
    <w:rsid w:val="00B25B32"/>
    <w:rsid w:val="00B35563"/>
    <w:rsid w:val="00B36C42"/>
    <w:rsid w:val="00B37CDD"/>
    <w:rsid w:val="00B42EA7"/>
    <w:rsid w:val="00B5213F"/>
    <w:rsid w:val="00B5337C"/>
    <w:rsid w:val="00B53FDE"/>
    <w:rsid w:val="00B56397"/>
    <w:rsid w:val="00B57BA0"/>
    <w:rsid w:val="00B6027B"/>
    <w:rsid w:val="00B6240F"/>
    <w:rsid w:val="00B67AFF"/>
    <w:rsid w:val="00B70B59"/>
    <w:rsid w:val="00B73657"/>
    <w:rsid w:val="00B7468F"/>
    <w:rsid w:val="00B76488"/>
    <w:rsid w:val="00B92BC5"/>
    <w:rsid w:val="00B92D74"/>
    <w:rsid w:val="00B95BA2"/>
    <w:rsid w:val="00BA1735"/>
    <w:rsid w:val="00BA19FA"/>
    <w:rsid w:val="00BA4288"/>
    <w:rsid w:val="00BA79A8"/>
    <w:rsid w:val="00BB48E5"/>
    <w:rsid w:val="00BB5607"/>
    <w:rsid w:val="00BB5ACA"/>
    <w:rsid w:val="00BC3823"/>
    <w:rsid w:val="00BC5841"/>
    <w:rsid w:val="00BD039B"/>
    <w:rsid w:val="00BD60B4"/>
    <w:rsid w:val="00BE40C0"/>
    <w:rsid w:val="00BE5F4A"/>
    <w:rsid w:val="00BF09B0"/>
    <w:rsid w:val="00BF1544"/>
    <w:rsid w:val="00BF1B53"/>
    <w:rsid w:val="00C06F06"/>
    <w:rsid w:val="00C176BD"/>
    <w:rsid w:val="00C20FAD"/>
    <w:rsid w:val="00C2375F"/>
    <w:rsid w:val="00C247CB"/>
    <w:rsid w:val="00C334DA"/>
    <w:rsid w:val="00C3355F"/>
    <w:rsid w:val="00C35644"/>
    <w:rsid w:val="00C3569A"/>
    <w:rsid w:val="00C416FC"/>
    <w:rsid w:val="00C43F48"/>
    <w:rsid w:val="00C448FF"/>
    <w:rsid w:val="00C45E57"/>
    <w:rsid w:val="00C52F29"/>
    <w:rsid w:val="00C54567"/>
    <w:rsid w:val="00C54E9A"/>
    <w:rsid w:val="00C56CE6"/>
    <w:rsid w:val="00C5745F"/>
    <w:rsid w:val="00C61A98"/>
    <w:rsid w:val="00C63201"/>
    <w:rsid w:val="00C64E62"/>
    <w:rsid w:val="00C651D5"/>
    <w:rsid w:val="00C65CCC"/>
    <w:rsid w:val="00C71A57"/>
    <w:rsid w:val="00C7618F"/>
    <w:rsid w:val="00C765A9"/>
    <w:rsid w:val="00C8162D"/>
    <w:rsid w:val="00C83A0B"/>
    <w:rsid w:val="00C842D0"/>
    <w:rsid w:val="00C84ED1"/>
    <w:rsid w:val="00C9038F"/>
    <w:rsid w:val="00C92AA2"/>
    <w:rsid w:val="00C92AAB"/>
    <w:rsid w:val="00C95A70"/>
    <w:rsid w:val="00CA2435"/>
    <w:rsid w:val="00CB7283"/>
    <w:rsid w:val="00CD0E2F"/>
    <w:rsid w:val="00CD2F20"/>
    <w:rsid w:val="00CD6B20"/>
    <w:rsid w:val="00CD7B7E"/>
    <w:rsid w:val="00CE1339"/>
    <w:rsid w:val="00CE501F"/>
    <w:rsid w:val="00CE61CC"/>
    <w:rsid w:val="00CE6E42"/>
    <w:rsid w:val="00CF20B7"/>
    <w:rsid w:val="00CF6692"/>
    <w:rsid w:val="00CF7441"/>
    <w:rsid w:val="00D00D16"/>
    <w:rsid w:val="00D03C6C"/>
    <w:rsid w:val="00D06288"/>
    <w:rsid w:val="00D064AF"/>
    <w:rsid w:val="00D068C7"/>
    <w:rsid w:val="00D128A4"/>
    <w:rsid w:val="00D15EA2"/>
    <w:rsid w:val="00D1784C"/>
    <w:rsid w:val="00D20954"/>
    <w:rsid w:val="00D21C39"/>
    <w:rsid w:val="00D21FC6"/>
    <w:rsid w:val="00D2243A"/>
    <w:rsid w:val="00D33393"/>
    <w:rsid w:val="00D33D36"/>
    <w:rsid w:val="00D3421F"/>
    <w:rsid w:val="00D34D94"/>
    <w:rsid w:val="00D409E2"/>
    <w:rsid w:val="00D427D7"/>
    <w:rsid w:val="00D44E62"/>
    <w:rsid w:val="00D51570"/>
    <w:rsid w:val="00D53B60"/>
    <w:rsid w:val="00D556AD"/>
    <w:rsid w:val="00D60381"/>
    <w:rsid w:val="00D616DE"/>
    <w:rsid w:val="00D62201"/>
    <w:rsid w:val="00D651D1"/>
    <w:rsid w:val="00D717BB"/>
    <w:rsid w:val="00D7226B"/>
    <w:rsid w:val="00D72707"/>
    <w:rsid w:val="00D75A9C"/>
    <w:rsid w:val="00D75D71"/>
    <w:rsid w:val="00D90871"/>
    <w:rsid w:val="00D9155F"/>
    <w:rsid w:val="00D923CF"/>
    <w:rsid w:val="00D9403F"/>
    <w:rsid w:val="00D94D63"/>
    <w:rsid w:val="00D959B4"/>
    <w:rsid w:val="00DA0EF2"/>
    <w:rsid w:val="00DA44DE"/>
    <w:rsid w:val="00DB2A40"/>
    <w:rsid w:val="00DB446D"/>
    <w:rsid w:val="00DB620A"/>
    <w:rsid w:val="00DC3832"/>
    <w:rsid w:val="00DC7A51"/>
    <w:rsid w:val="00DE5B5F"/>
    <w:rsid w:val="00E00696"/>
    <w:rsid w:val="00E01513"/>
    <w:rsid w:val="00E060C2"/>
    <w:rsid w:val="00E06324"/>
    <w:rsid w:val="00E12FB0"/>
    <w:rsid w:val="00E14814"/>
    <w:rsid w:val="00E1591B"/>
    <w:rsid w:val="00E16A50"/>
    <w:rsid w:val="00E17BFB"/>
    <w:rsid w:val="00E249D5"/>
    <w:rsid w:val="00E33C68"/>
    <w:rsid w:val="00E34EEB"/>
    <w:rsid w:val="00E35933"/>
    <w:rsid w:val="00E36283"/>
    <w:rsid w:val="00E36458"/>
    <w:rsid w:val="00E44EB9"/>
    <w:rsid w:val="00E46358"/>
    <w:rsid w:val="00E471DC"/>
    <w:rsid w:val="00E50EB4"/>
    <w:rsid w:val="00E532FC"/>
    <w:rsid w:val="00E53578"/>
    <w:rsid w:val="00E55BB0"/>
    <w:rsid w:val="00E609E5"/>
    <w:rsid w:val="00E60F27"/>
    <w:rsid w:val="00E64D93"/>
    <w:rsid w:val="00E65EDB"/>
    <w:rsid w:val="00E66927"/>
    <w:rsid w:val="00E677B8"/>
    <w:rsid w:val="00E67FA1"/>
    <w:rsid w:val="00E73D53"/>
    <w:rsid w:val="00E75111"/>
    <w:rsid w:val="00E77296"/>
    <w:rsid w:val="00E77EE6"/>
    <w:rsid w:val="00E8038A"/>
    <w:rsid w:val="00E83EC8"/>
    <w:rsid w:val="00E86635"/>
    <w:rsid w:val="00E904F1"/>
    <w:rsid w:val="00E90FFA"/>
    <w:rsid w:val="00E92BFB"/>
    <w:rsid w:val="00E93763"/>
    <w:rsid w:val="00EA427A"/>
    <w:rsid w:val="00EA723B"/>
    <w:rsid w:val="00EB298F"/>
    <w:rsid w:val="00EB6350"/>
    <w:rsid w:val="00EC2F62"/>
    <w:rsid w:val="00EC3756"/>
    <w:rsid w:val="00EC62EB"/>
    <w:rsid w:val="00EC6E9F"/>
    <w:rsid w:val="00ED44F0"/>
    <w:rsid w:val="00ED4B33"/>
    <w:rsid w:val="00ED77D7"/>
    <w:rsid w:val="00ED7DD6"/>
    <w:rsid w:val="00EE0E0E"/>
    <w:rsid w:val="00EE0F62"/>
    <w:rsid w:val="00EE15A1"/>
    <w:rsid w:val="00EE2A7C"/>
    <w:rsid w:val="00EE2C42"/>
    <w:rsid w:val="00EE341B"/>
    <w:rsid w:val="00EE4453"/>
    <w:rsid w:val="00EE5FCE"/>
    <w:rsid w:val="00EE6BBD"/>
    <w:rsid w:val="00EE6E1E"/>
    <w:rsid w:val="00EE705F"/>
    <w:rsid w:val="00EF54FD"/>
    <w:rsid w:val="00F012E4"/>
    <w:rsid w:val="00F031F9"/>
    <w:rsid w:val="00F0349E"/>
    <w:rsid w:val="00F0704D"/>
    <w:rsid w:val="00F13112"/>
    <w:rsid w:val="00F15D0D"/>
    <w:rsid w:val="00F16FE6"/>
    <w:rsid w:val="00F238BD"/>
    <w:rsid w:val="00F24992"/>
    <w:rsid w:val="00F32F2F"/>
    <w:rsid w:val="00F33F3F"/>
    <w:rsid w:val="00F35BDD"/>
    <w:rsid w:val="00F403FD"/>
    <w:rsid w:val="00F41E72"/>
    <w:rsid w:val="00F50300"/>
    <w:rsid w:val="00F56E39"/>
    <w:rsid w:val="00F623E9"/>
    <w:rsid w:val="00F62674"/>
    <w:rsid w:val="00F63951"/>
    <w:rsid w:val="00F63C86"/>
    <w:rsid w:val="00F6548C"/>
    <w:rsid w:val="00F766BE"/>
    <w:rsid w:val="00F77EB9"/>
    <w:rsid w:val="00F80181"/>
    <w:rsid w:val="00F80635"/>
    <w:rsid w:val="00F815D1"/>
    <w:rsid w:val="00F81E7E"/>
    <w:rsid w:val="00F81F0F"/>
    <w:rsid w:val="00F825F4"/>
    <w:rsid w:val="00F852E7"/>
    <w:rsid w:val="00F92AA1"/>
    <w:rsid w:val="00F932DE"/>
    <w:rsid w:val="00F963DD"/>
    <w:rsid w:val="00FA2045"/>
    <w:rsid w:val="00FB1AA9"/>
    <w:rsid w:val="00FB3044"/>
    <w:rsid w:val="00FB314A"/>
    <w:rsid w:val="00FB4B5A"/>
    <w:rsid w:val="00FB5DAA"/>
    <w:rsid w:val="00FC04B9"/>
    <w:rsid w:val="00FC161A"/>
    <w:rsid w:val="00FC1F55"/>
    <w:rsid w:val="00FC23D5"/>
    <w:rsid w:val="00FC4C1A"/>
    <w:rsid w:val="00FC6468"/>
    <w:rsid w:val="00FC6D49"/>
    <w:rsid w:val="00FD4922"/>
    <w:rsid w:val="00FD6461"/>
    <w:rsid w:val="00FE0281"/>
    <w:rsid w:val="00FE7083"/>
    <w:rsid w:val="00FF019F"/>
    <w:rsid w:val="00FF644B"/>
    <w:rsid w:val="00FF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C416FC"/>
    <w:pPr>
      <w:autoSpaceDE/>
      <w:autoSpaceDN/>
      <w:adjustRightInd/>
      <w:ind w:left="1280" w:hanging="720"/>
      <w:jc w:val="left"/>
    </w:pPr>
    <w:rPr>
      <w:rFonts w:ascii="Times New Roman" w:hAnsi="Times New Roman" w:cstheme="minorBidi"/>
      <w:color w:val="auto"/>
    </w:rPr>
  </w:style>
  <w:style w:type="character" w:customStyle="1" w:styleId="BodyTextChar">
    <w:name w:val="Body Text Char"/>
    <w:basedOn w:val="DefaultParagraphFont"/>
    <w:link w:val="BodyText"/>
    <w:uiPriority w:val="1"/>
    <w:rsid w:val="00C416FC"/>
    <w:rPr>
      <w:rFonts w:cstheme="minorBidi"/>
      <w:sz w:val="24"/>
      <w:szCs w:val="24"/>
    </w:rPr>
  </w:style>
  <w:style w:type="table" w:styleId="TableGrid">
    <w:name w:val="Table Grid"/>
    <w:basedOn w:val="TableNormal"/>
    <w:uiPriority w:val="59"/>
    <w:rsid w:val="00C416F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ELLAPReferences">
    <w:name w:val="NREL_LAP_References"/>
    <w:qFormat/>
    <w:rsid w:val="00881A8B"/>
    <w:pPr>
      <w:spacing w:after="240"/>
      <w:ind w:left="360" w:right="540"/>
    </w:pPr>
    <w:rPr>
      <w:rFonts w:eastAsiaTheme="minorEastAsia"/>
      <w:sz w:val="24"/>
      <w:szCs w:val="24"/>
    </w:rPr>
  </w:style>
  <w:style w:type="character" w:styleId="LineNumber">
    <w:name w:val="line number"/>
    <w:basedOn w:val="DefaultParagraphFont"/>
    <w:uiPriority w:val="99"/>
    <w:semiHidden/>
    <w:unhideWhenUsed/>
    <w:rsid w:val="002B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Black@nre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Ferrell@nre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20C5-313B-4A95-9A3A-7A35B20E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2903</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19415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2016-09-27T14:43:00Z</dcterms:created>
  <dcterms:modified xsi:type="dcterms:W3CDTF">2016-09-27T15:05:00Z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