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of Mouse Myoblasts for Differentiation and Imaging of Mature Myofibers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Pimentel, Mafalda 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Medicine Institute, Faculty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Lisbon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Lisboa, Portugal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mrpimentel@medicina.ulisboa.pt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Falcone, Sestina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Myology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UM76-INSERM U974-CNRS FRE 361 Sorbonne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UPMC University of Paris 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Paris,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sestinaf@gmail.com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Gomes, Edgar 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Instituto de Medicina Molecular, Molecular Medicine Institute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Faculdade de Medicina, Universidade de LisboaFaculty of Medicine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University of Lisbon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Lisboa, Portugal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Myology Research Center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UM76-INSERM U974-CNRS FRE 361 Sorbonne University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UPMC University of Paris 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Paris,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edgargomes@medicina.ulisboa.pt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Gomes, Edgar 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edgargomes@medicina.ulisboa.pt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myofiber, differentiation,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microscopy, development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cells are among the most complex eukaryotic cells. We present a protocol for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differentiation of highly mature myofibers that allows for genetic manipulation and clear imaging during all developmental stages.</w:t>
      </w:r>
    </w:p>
    <w:p>
      <w:pPr>
        <w:tabs>
          <w:tab w:val="left" w:pos="1365"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is composed of myofibers, the biggest cells in the mammalian body and one of the few syncytia. How the complex and evolutionarily-conserved structures that compose it are assembled remains under investigation. Their size and physiological features often constrain manipulation and imaging applications. The culture of immortalized cell lines is widely used, but it can only replicate the early steps of differentiation.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that enables easy genetic manipulation of myofibers originating from primary mouse myoblasts. After one week of differentiation, the myofibers display contractility, aligned sarcomeres and triads, as well as peripheral nuclei. The entire differentiation process can be followed by live imaging or immunofluorescence. This system combines the advantages of the existing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protocols. The possibility of easy and efficient transfection as well as the ease of access to all differentiation stages broadens the potential applications. Myofibers can subsequently be used not only to address relevant developmental and cell biology questions, but also to reproduce muscle disease phenotypes for clinical applications.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composes up to 40% of the human body weight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Muscle-associated disorders represent an immense health and economic burden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 this highly complex and organized tissue is formed, maintained, and regenerated constitutes an extensive and well-established research field. Depending on the specific scientific interest, the most suited approach can range from simple myotube cultures to complex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protocol is to provide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that allows for the monitoring of myogenesis through live imaging and immunofluorescence. Compared to traditional approaches, this system offers a very complete and dynamic insight into the mouse myogenic process. Cells can be followed from the myoblast stage to the mature, multinucleated myofiber displaying transversal triads and peripheral nuclei</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maturation level can be achieved using regular cell culture equipment, without the need for complex stimulatory or mechanical apparatuses. Although some successful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systems have been reported</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to our knowledge, this is the only protocol generating mature mouse myofibers with T-tubules transversally paired with sarcoplasmic reticulum (SR). Thus, this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system can be used to study the molecular mechanisms of triad formation, which are still poorly understood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further advantage of using this system is the availability of validated mouse-targeted resources, such as antibodies, drugs, and RNAi tools. The relatively simple protocol does not require laborious steps, highly-skilled manipulation, or expensive and dedicated equipment. Matured myofibers start appearing after 5 days of culture differentiation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displaying contractility coupled with calcium sparks (unpublished data). In one week, the different developmental stages of one the most complex cells in the mammalian body can be studied in combination with a variety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assays.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mouse yields sufficient myoblasts for approximately two 35-mm dishes or two live-imaging dishes, so plan mattings, dissection, and coating (step 2.6) accordingly. Since myoblasts are isolated through sequential centrifugations and pre-plating, the protocol should be done in batches of 5 to 10 animals.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involving animal subjects were approved by the Animal Ethics Committee of Molecular Medicine Institute.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Dissection of neonatal mice hind limb muscles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all solutions in advance (Materials Table) and sterilize by filtration (0.22 &amp;#181;m filter). Make sure all media are at 37 &amp;#176;C before addition to the cells, except the formulations containing basement membrane matrix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Matrigel).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Sterilize the dissection material (one each of: curved scissors, straight scissors, regular forceps, and fine-tip forceps) and the work bench by wiping them with 70% ethanol.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a 100-mm petri dish with 5 mL of Dulbecco's Phosphate Buffered Saline (DPBS) for muscle collection and keep it on ice until the mincing step.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Decapitate P6-P8 mice with straight scissors and </w:t>
      </w:r>
      <w:r>
        <w:rPr>
          <w:rFonts w:ascii="Calibri" w:hAnsi="Calibri" w:cs="Calibri" w:eastAsia="Calibri"/>
          <w:color w:val="auto"/>
          <w:spacing w:val="0"/>
          <w:position w:val="0"/>
          <w:sz w:val="24"/>
          <w:shd w:fill="FFFF00" w:val="clear"/>
        </w:rPr>
        <w:t xml:space="preserve">sterilize the skin with 70% ethanol.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Make an incision in the back skin and pull it gently towards the hind limbs until it is removed, completely exposing the hind-limb musculature.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Use the forceps to remove fat tissue without damaging the muscles.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To remove the tibialis anterior, extensor digitorum longus, and gastrocnemius, keep the limb stretched and bend the paw to expose the heel tendons. Use the curved scissors to separate muscle from bone, starting from the tendons, by gently sliding and cutting upwards. Excise the muscles and place them in iced DPBS.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Isolate the quadriceps by pinching the muscle with fine-tip forceps and cutting around it without damaging the femur or the knee joint.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After dissecting all animals, proceed to a sterile laminar flow cell culture hood, where all the following steps should be performed.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Myoblast isolation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Remove the excess of DPBS. Mince the tissue with sterilized curved scissors in order to obtain a uniform mass.</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Collect the minced tissue in a 50-mL conical centrifuge tube using 5 mL of digestion mix and incubate it with agitation at 37 &amp;#176;C for 90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Stop the digestion by adding 6 mL of dissection medium and centrifuge the suspension for 5 min at 75 x g to pellet the remaining tissue.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Carefully collect the supernatant and centrifuge it at 350 x g for 5 min; resuspend it in 5 mL of dissection medium.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Filter the cell suspension through a 40 &amp;#181;m cell strainer. Add 25 mL of dissection medium and pre-plate it in a 150-mm dish for 4 h in a cell culture incubator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allow for fibroblast adhesion.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While pre-plating, coat dishes with 500 &amp;#181;L of basement membrane matrix diluted 1:100 in cold IMDM for 1 h at room temperature (RT). Wash once with DPBS and plate the cells immediately (step 2.8) or leave with growth medium until plating.</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After pre-plating, collect the supernatant and centrifuge it at 350 x g for 10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Resuspend it in growth medium and count the cells on a hemocytometer. Adjust the volume so that between 150,000 and 250,000 cells are plated per basement membrane matrix-coated dish. Keep the cells in a cell culture incubator.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Myofiber differentiation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3 days, the cells should start to fuse and form myotubes at around 70% confluency (Figure 1B).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At this point, transfect the cells, if desired, with a siRNA or DNA of interest. If the cells are not to be transfected, change directly to differentiation medium and skip to step 3.4.</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Transfect with transfection reagents following the manufacturer’s instructions. Incubate the cells for 5 h with siRNA-lipid complexes (20 nM + 1 &amp;#181;L of reagent) or DNA-lipid complexes (1 &amp;#181;g + 1 &amp;#181;L of reagent). Optimize the siRNA and DNA concentrations if necessary.</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Wash them once with differentiation medium and then switch to new differentiation medium.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The following day, dilute the basement membrane matrix 1:2 in ice-cold differentiation medium. Remove the existing medium and add 200 &amp;#181;L of ice-cold matrix to each dish.</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Incubate for 30 min in a cell culture incubator.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Supplement the differentiation medium with agrin (100 ng/mL) and carefully add 2 mL to the cells.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Carefully change half of the medium every 2 days, always supplementing with agrin to a final concentration of 100 ng/&amp;#181;L.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Monitor cell differentiation and viability. Depending on a variety of factors (such as fetal bovine serum and chicken embryo extract origins), the cells might take between 5 to 10 differentiation days to reach full maturation (Figure 2).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Immunostaining in glass-bottom dishes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For immunostaining, at any time-point of interest, wash the cells once with DPBS and fix them with 4% PFA at RT for 10 min.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Wash them 2 times with DPBS. At this point, the cells can be stored at 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Permeabilize them with 0.5% Triton X-100 for 5 min at 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Wash them twice with PBS and block with blocking solution for 30 min at 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Incubate them with primary antibody diluted in blocking solution overnight at 4 &amp;#176;C.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Wash them 3 times with DPBS for 5 min at 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720" w:hanging="72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Incubate them with the secondary antibody and 0.2 &amp;#181;g/mL of DAPI for 1 h at 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Wash them 3 times with DPBS for 5 min at RT.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w:t>
        <w:tab/>
        <w:t xml:space="preserve">Add 200 &amp;#181;L of mounting medium and proceed to imaging.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extent of myofiber development is mostly determined by the purity and viability of the isolated myoblasts. The adhesion, proliferation, and fusion capacity can be used to empirically access those parameters (Figure 1 A-B). At proliferation day 2, myoblasts should have adhered and should display the typical fusiform shape. Proliferation is expected to happen extensively at this stage, leading to spontaneous myotube formation the following day (Figure 1B).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confluency might need slight adjustments. It should be increased if myoblasts take more than 3 days to proliferate and fuse. It should be decreased if myofibers are not allowed to grow and elongate relatively straight due to their density. Confluency typically decreases from the center to the periphery of the dish, so the best myofibers should be found towards the outer regions.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Myotubes will quickly elongate and display multiple centrally-aligned nuclei (Figure 1C). By day 5, some cells start acquiring striations and moving their nuclei to the periphery. The number of myofibers with mature characteristics will increase with time as well as with cell thickness (Figure 1D).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degree of differentiation can be further observed by immunofluorescence. Myofibers fixed at differentiation day 8 present transversal triads. This can be confirmed by imaging components of the T-tubules (DPHR) and the SR (triadin), which are expected to co-localize at the triads (Figure2).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functionality of myofibers can be addressed by live imaging. From differentiation day 3 onwards, the cells display spontaneous twitching. By transfecting a calcium sensor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GCaMP6f</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possible to observe that the contractions are coupled with calcium peaks (Figure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system, we were able to identify a novel molecular pathway that is disrupted in centronuclear myopathies and myotonic dystrophies, which can therefore be a novel target for innovative molecular therapies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 have also adapted this method to study the development of the neuromuscular junction (NMJ)</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Through the co-culture with rat spinal cord explants, we have described a role for dynein in NMJ formation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Developmental stages of the myoblast culture.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At proliferation day 2, myoblasts have adhered and started proliferating. B) At proliferation day 3, a confluency of 60-80% is reached, and myoblasts start fusing spontaneously. C) At differentiation day 3, myotubes containing centrally-located nuclei are predominant. D) From differentiation day 5 onwards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day 8), myofibers start exhibiting striations and peripheral nuclei and begin to thicken. Scale bar: 50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confocal image of a day-8 myofiber immunostain.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Immunostaining for dihydropyridine receptor (DHPR, top panel) and triadin (TRDN, middle panel). An overlay of the DHPR, TRDN, and DAPI channels shows co-localization of the triad components. B) An intensity profile of the yellow line drawn in A. C) A 3D image of volume rendering of myofibers stained for &amp;#945;-actinin (green) and DAPI (blue). Scale bar and grid width: 5 &amp;#181;m.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Live imaging of calcium levels in myofibers with spontaneous twitching.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High-speed time-lapse (20 ms frames) microscopy of a calcium spark in a twitching myofiber. Calcium was detected through the expression of GCaMP6f (Addgene plasmid #40755). B) Quantification of the fluorescence intensity over time for the calcium sensor in panel 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this protocol for the cultivation of primary myoblasts gives rise to a special niche that greatly nurtures the development of myofibers. This is partially due to other cell types that are also present in very small numbers. A balance between myoblast concentration and culture purity must be achieved. A good cell culture also depends on the quality of the products used for the medium formulation. All products derived from animal sources should be thoroughly tested. In our experience, the digestion conditions should also be monitored.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usual for primary cultures, experimental variability can be higher than in studies with isolated fibers or immortalized myoblasts. This variability can be diminished by the standardization of medium and digestion components, mice age and size, and the time points for culture manipulation and results collection. Nevertheless, the advantage of scrutinizing in real time the intricate mechanisms necessary for myofiber development greatly surpasses the variability drawback.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confers the advantages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approaches without compromising cell differentiation. Myofibers mature until triads are formed and contractions are coupled to calcium sparks. These functional outputs can be accessed in different experimental conditions. Furthermore, there can be many technical variations made to the protocol. Myoblasts can be harvested from neonatal mice with mutations of interest relating to muscle development. Cells can be lysed for biochemical analysis at different differentiation time points. Calcium indicators can be added to the culture to follow its dynamics. Optogenetic constructs can be used to enforce certain signaling pathways or to induce specific local responses. Finally, the myofibers can be co-cultured with other cells types to study their interactions.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European Research Council (ERG) and EMBO installation (ERG) and by a PhD fellowship from the Funda&amp;#231;ão para a Ciência e Tecnologia (MP).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Janssen, I., Heymsfield, S. B., Wang, Z. &amp;amp; Ross, R. Skeletal muscle mass and distribution in 468 men and women aged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yr. </w:t>
      </w:r>
      <w:r>
        <w:rPr>
          <w:rFonts w:ascii="Calibri" w:hAnsi="Calibri" w:cs="Calibri" w:eastAsia="Calibri"/>
          <w:i/>
          <w:color w:val="auto"/>
          <w:spacing w:val="0"/>
          <w:position w:val="0"/>
          <w:sz w:val="24"/>
          <w:shd w:fill="auto" w:val="clear"/>
        </w:rPr>
        <w:t xml:space="preserve">J Appl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(2000).</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Manring, H., Abreu, E., Brotto, L., Weisleder, N. &amp;amp; Brotto, M. Novel excitation-contraction coupling related genes reveal aspects of muscle weakness beyond atrophy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new hopes for treatment of musculoskeletal diseases. </w:t>
      </w:r>
      <w:r>
        <w:rPr>
          <w:rFonts w:ascii="Calibri" w:hAnsi="Calibri" w:cs="Calibri" w:eastAsia="Calibri"/>
          <w:i/>
          <w:color w:val="auto"/>
          <w:spacing w:val="0"/>
          <w:position w:val="0"/>
          <w:sz w:val="24"/>
          <w:shd w:fill="auto" w:val="clear"/>
        </w:rPr>
        <w:t xml:space="preserve">Front Physiol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37, doi:10.3389/fphys.2014.00037 (2014).</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Yaffe, D. &amp;amp; Saxel, O. Serial passaging and differentiation of myogenic cells isolated from dystrophic mouse muscle.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(5639),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727 (1977).</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Pasut, A., Jones, A. E. &amp;amp; Rudnicki, M. A. Isolation and Culture of Individual Myofibers and their Satellite Cells from Adult Skeletal Muscle.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(73), doi:10.3791/50074 (2013).</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Meng, H., Janssen, P. M.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Tissue Triage and Freezing for Models of Skeletal Muscle Disease.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(89), doi:10.3791/51586 (2014).</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Demonbreun, A. R. &amp;amp; McNally, E. M. DNA Electroporation, Isolation and Imaging of Myofibers. </w:t>
      </w:r>
      <w:r>
        <w:rPr>
          <w:rFonts w:ascii="Calibri" w:hAnsi="Calibri" w:cs="Calibri" w:eastAsia="Calibri"/>
          <w:i/>
          <w:color w:val="auto"/>
          <w:spacing w:val="0"/>
          <w:position w:val="0"/>
          <w:sz w:val="24"/>
          <w:shd w:fill="auto" w:val="clear"/>
        </w:rPr>
        <w:t xml:space="preserve">J Vis Exp</w:t>
      </w:r>
      <w:r>
        <w:rPr>
          <w:rFonts w:ascii="Calibri" w:hAnsi="Calibri" w:cs="Calibri" w:eastAsia="Calibri"/>
          <w:color w:val="auto"/>
          <w:spacing w:val="0"/>
          <w:position w:val="0"/>
          <w:sz w:val="24"/>
          <w:shd w:fill="auto" w:val="clear"/>
        </w:rPr>
        <w:t xml:space="preserve"> (106), doi:10.3791/53551 (2015).</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Falcone, S., Roman, 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N-WASP is required for Amphiphysin-2/BIN1-dependent nuclear positioning and triad organization in skeletal muscle and is involved in the pathophysiology of centronuclear myopathy. </w:t>
      </w:r>
      <w:r>
        <w:rPr>
          <w:rFonts w:ascii="Calibri" w:hAnsi="Calibri" w:cs="Calibri" w:eastAsia="Calibri"/>
          <w:i/>
          <w:color w:val="auto"/>
          <w:spacing w:val="0"/>
          <w:position w:val="0"/>
          <w:sz w:val="24"/>
          <w:shd w:fill="auto" w:val="clear"/>
        </w:rPr>
        <w:t xml:space="preserve">EMBO Mol Med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1455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1475, doi:10.15252/emmm.201404436 (2014).</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Flucher, B. E., Phillips, J. L. &amp;amp; Powell, J. A. Dihydropyridine receptor alpha subunits in normal and dysgenic muscle in vitro: expression of alpha 1 is required for proper targeting and distribution of alpha 2. </w:t>
      </w:r>
      <w:r>
        <w:rPr>
          <w:rFonts w:ascii="Calibri" w:hAnsi="Calibri" w:cs="Calibri" w:eastAsia="Calibri"/>
          <w:i/>
          <w:color w:val="auto"/>
          <w:spacing w:val="0"/>
          <w:position w:val="0"/>
          <w:sz w:val="24"/>
          <w:shd w:fill="auto" w:val="clear"/>
        </w:rPr>
        <w:t xml:space="preserve">J Cell 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(5), 1345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1356, doi:10.1083/jcb.115.5.1345 (1991).</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Cooper, S. T., Maxwell, A. L.,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C2C12 co-culture on a fibroblast substratum enables sustained survival of contractile, highly differentiated myotubes with peripheral nuclei and adult fast myosin expression. </w:t>
      </w:r>
      <w:r>
        <w:rPr>
          <w:rFonts w:ascii="Calibri" w:hAnsi="Calibri" w:cs="Calibri" w:eastAsia="Calibri"/>
          <w:i/>
          <w:color w:val="auto"/>
          <w:spacing w:val="0"/>
          <w:position w:val="0"/>
          <w:sz w:val="24"/>
          <w:shd w:fill="auto" w:val="clear"/>
        </w:rPr>
        <w:t xml:space="preserve">Cell Motil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doi:10.1002/cm.20010 (2004).</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Al-Qusairi, L. &amp;amp; Laporte, J. T-tubule biogenesis and triad formation in skeletal muscle and implication in human diseases. </w:t>
      </w:r>
      <w:r>
        <w:rPr>
          <w:rFonts w:ascii="Calibri" w:hAnsi="Calibri" w:cs="Calibri" w:eastAsia="Calibri"/>
          <w:i/>
          <w:color w:val="auto"/>
          <w:spacing w:val="0"/>
          <w:position w:val="0"/>
          <w:sz w:val="24"/>
          <w:shd w:fill="auto" w:val="clear"/>
        </w:rPr>
        <w:t xml:space="preserve">Skelet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26, doi:10.1186/2044-5040-1-26 (2011).</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Vilmont, V., Cadot, B., Ouanounou, G. &amp;amp; Gomes, E. R. A system to study mechanisms of neuromuscular junction development and maintenance.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 dev.130278, doi:10.1242/dev.130278 (2016).</w:t>
      </w:r>
    </w:p>
    <w:p>
      <w:pPr>
        <w:tabs>
          <w:tab w:val="left" w:pos="264" w:leader="none"/>
        </w:tabs>
        <w:spacing w:before="0" w:after="0" w:line="240"/>
        <w:ind w:right="0" w:left="264" w:hanging="26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Vilmont, V., Cadot, B., Vezin, E., Le Grand, F. &amp;amp; Gomes, E. R. Dynein disruption perturbs post-synaptic components and contributes to impaired MuSK clustering at the NMJ: implication in ALS.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27804, doi:10.1038/srep27804 (2016).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