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b/>
          <w:bCs/>
          <w:color w:val="453CCC"/>
        </w:rPr>
        <w:t>Editorial comments:</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Please sign the Article and Video </w:t>
      </w:r>
      <w:proofErr w:type="spellStart"/>
      <w:r>
        <w:rPr>
          <w:rFonts w:ascii="Helvetica" w:hAnsi="Helvetica" w:cs="Helvetica"/>
          <w:color w:val="453CCC"/>
        </w:rPr>
        <w:t>Licence</w:t>
      </w:r>
      <w:proofErr w:type="spellEnd"/>
      <w:r>
        <w:rPr>
          <w:rFonts w:ascii="Helvetica" w:hAnsi="Helvetica" w:cs="Helvetica"/>
          <w:color w:val="453CCC"/>
        </w:rPr>
        <w:t xml:space="preserve"> Agreement, either digitally or by hand. Please scan and upload it with your manuscript files.</w:t>
      </w:r>
    </w:p>
    <w:p w:rsidR="00D62BA0" w:rsidRPr="00D62BA0" w:rsidRDefault="00D62BA0" w:rsidP="00D62BA0">
      <w:pPr>
        <w:widowControl w:val="0"/>
        <w:autoSpaceDE w:val="0"/>
        <w:autoSpaceDN w:val="0"/>
        <w:adjustRightInd w:val="0"/>
        <w:rPr>
          <w:rFonts w:ascii="Helvetica" w:hAnsi="Helvetica" w:cs="Helvetica"/>
        </w:rPr>
      </w:pPr>
      <w:r>
        <w:rPr>
          <w:rFonts w:ascii="Helvetica" w:hAnsi="Helvetica" w:cs="Helvetica"/>
        </w:rPr>
        <w:t>Unfortunately, I am currently unable to scan and upload a signed version of the Article and Video License Agreement today as I am currently traveling. I have uploaded an electronically signed version, and will be able to upload a scanned version later in the evening tomorrow (9/1/16).</w:t>
      </w:r>
      <w:bookmarkStart w:id="0" w:name="_GoBack"/>
      <w:bookmarkEnd w:id="0"/>
      <w:r>
        <w:rPr>
          <w:rFonts w:ascii="Helvetica" w:hAnsi="Helvetica" w:cs="Helvetica"/>
        </w:rPr>
        <w:t xml:space="preserve"> </w:t>
      </w: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•Formatting:</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-2.1 - "To sterilized supernatant, add" Unless the supernatant was sterilized prior to this step (as part of the protocol), please change to "To the sterile supernatant, add”.</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Modified as indicated</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-References – Please abbreviate journal titles.</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The journal titles have been abbreviated.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•Discussion: Please include alternative methods in discussion of significance and include independent citations. Please also discuss the limitations and future applications of the method.</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Discussion of a recently published technique has been included, as well as discussion of limitations and future applications of the agar overlay technique (lines 299-313).</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b/>
          <w:bCs/>
          <w:color w:val="453CCC"/>
        </w:rPr>
        <w:t>Reviewers' comments:</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b/>
          <w:bCs/>
          <w:color w:val="453CCC"/>
        </w:rPr>
        <w:t>Reviewer #1:</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i/>
          <w:iCs/>
          <w:color w:val="453CCC"/>
        </w:rPr>
        <w:t>Manuscript Summary:</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In this manuscript Hockett and </w:t>
      </w:r>
      <w:proofErr w:type="spellStart"/>
      <w:r>
        <w:rPr>
          <w:rFonts w:ascii="Helvetica" w:hAnsi="Helvetica" w:cs="Helvetica"/>
          <w:color w:val="453CCC"/>
        </w:rPr>
        <w:t>Baltrus</w:t>
      </w:r>
      <w:proofErr w:type="spellEnd"/>
      <w:r>
        <w:rPr>
          <w:rFonts w:ascii="Helvetica" w:hAnsi="Helvetica" w:cs="Helvetica"/>
          <w:color w:val="453CCC"/>
        </w:rPr>
        <w:t xml:space="preserve"> describe a strategy for the screening of culture supernatants on the presence of antagonism-mediating compounds. This method allows </w:t>
      </w:r>
      <w:proofErr w:type="gramStart"/>
      <w:r>
        <w:rPr>
          <w:rFonts w:ascii="Helvetica" w:hAnsi="Helvetica" w:cs="Helvetica"/>
          <w:color w:val="453CCC"/>
        </w:rPr>
        <w:t>to distinguish</w:t>
      </w:r>
      <w:proofErr w:type="gramEnd"/>
      <w:r>
        <w:rPr>
          <w:rFonts w:ascii="Helvetica" w:hAnsi="Helvetica" w:cs="Helvetica"/>
          <w:color w:val="453CCC"/>
        </w:rPr>
        <w:t xml:space="preserve"> between bacteriophage, high and low molecular weight bacteriocins. The experimental set-up of the experiment is clear and potential errors that may occur during the experiment are described in sufficient detail. Interaction phenotypes that a researcher may be looking for are clearly mentioned as well, which I appreciate.</w:t>
      </w: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i/>
          <w:iCs/>
          <w:color w:val="453CCC"/>
        </w:rPr>
        <w:t>Major Concerns:</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There are no major concerns</w:t>
      </w: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i/>
          <w:iCs/>
          <w:color w:val="453CCC"/>
        </w:rPr>
        <w:t>Minor Concerns:</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I have some small textual comments:</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Sentence L56 reads difficult? Word missing?</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lastRenderedPageBreak/>
        <w:t>Sentence has been revised to read more smoothly.</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L61: Pseudomonas</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Typo has been corrected.</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- 2.1 L110: I would expect that stirring is needed to dissolve the </w:t>
      </w:r>
      <w:proofErr w:type="spellStart"/>
      <w:r>
        <w:rPr>
          <w:rFonts w:ascii="Helvetica" w:hAnsi="Helvetica" w:cs="Helvetica"/>
          <w:color w:val="453CCC"/>
        </w:rPr>
        <w:t>NaCl</w:t>
      </w:r>
      <w:proofErr w:type="spellEnd"/>
      <w:r>
        <w:rPr>
          <w:rFonts w:ascii="Helvetica" w:hAnsi="Helvetica" w:cs="Helvetica"/>
          <w:color w:val="453CCC"/>
        </w:rPr>
        <w:t xml:space="preserve"> and the PEG? Or not?</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 xml:space="preserve">A sentence was included indicating that the sample should be repeatedly inverted until both the </w:t>
      </w:r>
      <w:proofErr w:type="spellStart"/>
      <w:r>
        <w:rPr>
          <w:rFonts w:ascii="Helvetica" w:hAnsi="Helvetica" w:cs="Helvetica"/>
        </w:rPr>
        <w:t>NaCl</w:t>
      </w:r>
      <w:proofErr w:type="spellEnd"/>
      <w:r>
        <w:rPr>
          <w:rFonts w:ascii="Helvetica" w:hAnsi="Helvetica" w:cs="Helvetica"/>
        </w:rPr>
        <w:t xml:space="preserve"> and PEG are dissolved.</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 Figure 1: I would have expected strain A on the left side of the panel? This doesn't pose any </w:t>
      </w:r>
      <w:proofErr w:type="spellStart"/>
      <w:r>
        <w:rPr>
          <w:rFonts w:ascii="Helvetica" w:hAnsi="Helvetica" w:cs="Helvetica"/>
          <w:color w:val="453CCC"/>
        </w:rPr>
        <w:t>dfficulty</w:t>
      </w:r>
      <w:proofErr w:type="spellEnd"/>
      <w:r>
        <w:rPr>
          <w:rFonts w:ascii="Helvetica" w:hAnsi="Helvetica" w:cs="Helvetica"/>
          <w:color w:val="453CCC"/>
        </w:rPr>
        <w:t xml:space="preserve"> towards interpretation though…</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L229: of the producing?</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The sentence was modified to include ‘the’, which was originally omitted (line 235).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 L269: ref 4 is a bit outdated if it concerns work on Pseudomonas bacteriocins. The authors may want to replace the ref by </w:t>
      </w:r>
      <w:proofErr w:type="spellStart"/>
      <w:r>
        <w:rPr>
          <w:rFonts w:ascii="Helvetica" w:hAnsi="Helvetica" w:cs="Helvetica"/>
          <w:color w:val="453CCC"/>
        </w:rPr>
        <w:t>Ghequire</w:t>
      </w:r>
      <w:proofErr w:type="spellEnd"/>
      <w:r>
        <w:rPr>
          <w:rFonts w:ascii="Helvetica" w:hAnsi="Helvetica" w:cs="Helvetica"/>
          <w:color w:val="453CCC"/>
        </w:rPr>
        <w:t xml:space="preserve"> and De Mot. 2014. FEMS </w:t>
      </w:r>
      <w:proofErr w:type="spellStart"/>
      <w:r>
        <w:rPr>
          <w:rFonts w:ascii="Helvetica" w:hAnsi="Helvetica" w:cs="Helvetica"/>
          <w:color w:val="453CCC"/>
        </w:rPr>
        <w:t>Microbiol</w:t>
      </w:r>
      <w:proofErr w:type="spellEnd"/>
      <w:r>
        <w:rPr>
          <w:rFonts w:ascii="Helvetica" w:hAnsi="Helvetica" w:cs="Helvetica"/>
          <w:color w:val="453CCC"/>
        </w:rPr>
        <w:t xml:space="preserve"> Rev. 38:523?</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 xml:space="preserve">We agree that inclusion of the </w:t>
      </w:r>
      <w:proofErr w:type="spellStart"/>
      <w:r>
        <w:rPr>
          <w:rFonts w:ascii="Helvetica" w:hAnsi="Helvetica" w:cs="Helvetica"/>
        </w:rPr>
        <w:t>Ghequire</w:t>
      </w:r>
      <w:proofErr w:type="spellEnd"/>
      <w:r>
        <w:rPr>
          <w:rFonts w:ascii="Helvetica" w:hAnsi="Helvetica" w:cs="Helvetica"/>
        </w:rPr>
        <w:t xml:space="preserve"> and De Mot reference benefits the manuscript. We think inclusion of the Michel-Briand and </w:t>
      </w:r>
      <w:proofErr w:type="spellStart"/>
      <w:r>
        <w:rPr>
          <w:rFonts w:ascii="Helvetica" w:hAnsi="Helvetica" w:cs="Helvetica"/>
        </w:rPr>
        <w:t>Baysse</w:t>
      </w:r>
      <w:proofErr w:type="spellEnd"/>
      <w:r>
        <w:rPr>
          <w:rFonts w:ascii="Helvetica" w:hAnsi="Helvetica" w:cs="Helvetica"/>
        </w:rPr>
        <w:t xml:space="preserve"> reference, dated as it may be, is still beneficial as it includes more biochemical detail not included in the more contemporary review.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i/>
          <w:iCs/>
          <w:color w:val="453CCC"/>
        </w:rPr>
        <w:t>Additional Comments to Authors:</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N/A</w:t>
      </w: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b/>
          <w:bCs/>
          <w:color w:val="453CCC"/>
        </w:rPr>
        <w:t>Reviewer #2:</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i/>
          <w:iCs/>
          <w:color w:val="453CCC"/>
        </w:rPr>
        <w:t>Manuscript Summary:</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The authors describe the use of a soft-agar overlay to screen for inhibitory compounds. Through targeted gene deletion and PEG precipitation, one can distinguish between a phage, high molecular weight bacteriocin and low molecular weight bacteriocin. It represents a relatively inexpensive way to screen supernatants collected from a number of strains.</w:t>
      </w: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i/>
          <w:iCs/>
          <w:color w:val="453CCC"/>
        </w:rPr>
        <w:t>Major Concerns:</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N/A</w:t>
      </w: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i/>
          <w:iCs/>
          <w:color w:val="453CCC"/>
        </w:rPr>
        <w:t>Minor Concerns:</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1. In line 33, the wording of the sentence is a bit awkward "bacteriophages and bacteriocins, </w:t>
      </w:r>
      <w:proofErr w:type="spellStart"/>
      <w:r>
        <w:rPr>
          <w:rFonts w:ascii="Helvetica" w:hAnsi="Helvetica" w:cs="Helvetica"/>
          <w:color w:val="453CCC"/>
        </w:rPr>
        <w:t>proteinaceous</w:t>
      </w:r>
      <w:proofErr w:type="spellEnd"/>
      <w:r>
        <w:rPr>
          <w:rFonts w:ascii="Helvetica" w:hAnsi="Helvetica" w:cs="Helvetica"/>
          <w:color w:val="453CCC"/>
        </w:rPr>
        <w:t xml:space="preserve"> antibacterial compounds.</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 xml:space="preserve">This sentence has been slightly modified, with </w:t>
      </w:r>
      <w:r>
        <w:rPr>
          <w:rFonts w:ascii="Helvetica" w:hAnsi="Helvetica" w:cs="Helvetica"/>
          <w:i/>
          <w:iCs/>
        </w:rPr>
        <w:t>agents</w:t>
      </w:r>
      <w:r>
        <w:rPr>
          <w:rFonts w:ascii="Helvetica" w:hAnsi="Helvetica" w:cs="Helvetica"/>
        </w:rPr>
        <w:t xml:space="preserve"> replacing </w:t>
      </w:r>
      <w:r>
        <w:rPr>
          <w:rFonts w:ascii="Helvetica" w:hAnsi="Helvetica" w:cs="Helvetica"/>
          <w:i/>
          <w:iCs/>
        </w:rPr>
        <w:t>compounds</w:t>
      </w:r>
      <w:r>
        <w:rPr>
          <w:rFonts w:ascii="Helvetica" w:hAnsi="Helvetica" w:cs="Helvetica"/>
        </w:rPr>
        <w:t>.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2. The introduction describes Pseudomonas aeruginosa and E. coli as being known to produce bacteriocins but doesn't explain the reason why P. syringae was used. It would be helpful to add in a bit more information about known bacteriocins or inhibitory compounds that are secreted by P. syringae.</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 xml:space="preserve">Two sentences have included into the introduction both indicating briefly the different sorts of antimicrobial agents produced by </w:t>
      </w:r>
      <w:r>
        <w:rPr>
          <w:rFonts w:ascii="Helvetica" w:hAnsi="Helvetica" w:cs="Helvetica"/>
          <w:i/>
          <w:iCs/>
        </w:rPr>
        <w:t>P. syringae</w:t>
      </w:r>
      <w:r>
        <w:rPr>
          <w:rFonts w:ascii="Helvetica" w:hAnsi="Helvetica" w:cs="Helvetica"/>
        </w:rPr>
        <w:t>, as well as the current interest in antimicrobials from this organism (lines 67-72).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3. It would be useful to explain the reason for </w:t>
      </w:r>
      <w:proofErr w:type="spellStart"/>
      <w:r>
        <w:rPr>
          <w:rFonts w:ascii="Helvetica" w:hAnsi="Helvetica" w:cs="Helvetica"/>
          <w:color w:val="453CCC"/>
        </w:rPr>
        <w:t>mitomycin</w:t>
      </w:r>
      <w:proofErr w:type="spellEnd"/>
      <w:r>
        <w:rPr>
          <w:rFonts w:ascii="Helvetica" w:hAnsi="Helvetica" w:cs="Helvetica"/>
          <w:color w:val="453CCC"/>
        </w:rPr>
        <w:t xml:space="preserve"> C addition earlier.</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 xml:space="preserve">A note has been added regarding the role of </w:t>
      </w:r>
      <w:proofErr w:type="spellStart"/>
      <w:r>
        <w:rPr>
          <w:rFonts w:ascii="Helvetica" w:hAnsi="Helvetica" w:cs="Helvetica"/>
        </w:rPr>
        <w:t>mitomycin</w:t>
      </w:r>
      <w:proofErr w:type="spellEnd"/>
      <w:r>
        <w:rPr>
          <w:rFonts w:ascii="Helvetica" w:hAnsi="Helvetica" w:cs="Helvetica"/>
        </w:rPr>
        <w:t xml:space="preserve"> C within the protocol (lines 104-105).</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4. Can a negative control be added to the protocol? PEG can be difficult to get rid of and can kill bacterial strains.</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 xml:space="preserve">This is an excellent </w:t>
      </w:r>
      <w:proofErr w:type="gramStart"/>
      <w:r>
        <w:rPr>
          <w:rFonts w:ascii="Helvetica" w:hAnsi="Helvetica" w:cs="Helvetica"/>
        </w:rPr>
        <w:t>suggestion,</w:t>
      </w:r>
      <w:proofErr w:type="gramEnd"/>
      <w:r>
        <w:rPr>
          <w:rFonts w:ascii="Helvetica" w:hAnsi="Helvetica" w:cs="Helvetica"/>
        </w:rPr>
        <w:t xml:space="preserve"> a note on inclusion of a negative control has been included within the discussion (lines 269-272).</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5. Is there an advantage to adding chloroform to supernatants in step 1.5.1? It would be helpful if the authors included the benefits to adding chloroform to supernatants.</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A note has been included indicating that chloroform is cheaper and easier to scale-up if processing many samples at a time (lines 118-119).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6. In Figure 1, would one expect to see a larger zone of inhibition for PEG precipitated tailocin as compared to untreated supernatants? PEG treatments removes low molecular </w:t>
      </w:r>
      <w:proofErr w:type="gramStart"/>
      <w:r>
        <w:rPr>
          <w:rFonts w:ascii="Helvetica" w:hAnsi="Helvetica" w:cs="Helvetica"/>
          <w:color w:val="453CCC"/>
        </w:rPr>
        <w:t>weight which</w:t>
      </w:r>
      <w:proofErr w:type="gramEnd"/>
      <w:r>
        <w:rPr>
          <w:rFonts w:ascii="Helvetica" w:hAnsi="Helvetica" w:cs="Helvetica"/>
          <w:color w:val="453CCC"/>
        </w:rPr>
        <w:t xml:space="preserve"> would enrich for tailocins so would that increase activity? What is known about the effective concentration of tailocins and relative amounts produced by P. syringae strains?</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Tailocins (because of their size) are limited in their mobility within the agar matrix and do not diffuse away from the spot of inoculation (as noted within the representative results section). The best way to distinguish between samples with differing tailocin concentrations would be through comparing extinction points for serial dilution of each sample.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7. It would helpful if the authors included a potential result of a strain being immune to the supernatants collected from another strain. Would that mean the strain also contains the same bacteriocin locus? What are other possible </w:t>
      </w:r>
      <w:proofErr w:type="spellStart"/>
      <w:r>
        <w:rPr>
          <w:rFonts w:ascii="Helvetica" w:hAnsi="Helvetica" w:cs="Helvetica"/>
          <w:color w:val="453CCC"/>
        </w:rPr>
        <w:t>explanantions</w:t>
      </w:r>
      <w:proofErr w:type="spellEnd"/>
      <w:r>
        <w:rPr>
          <w:rFonts w:ascii="Helvetica" w:hAnsi="Helvetica" w:cs="Helvetica"/>
          <w:color w:val="453CCC"/>
        </w:rPr>
        <w:t>?</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A short note has been added at the end of the discussion regarding this comment (lines 277-281).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i/>
          <w:iCs/>
          <w:color w:val="453CCC"/>
        </w:rPr>
        <w:t>Additional Comments to Authors:</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N/A</w:t>
      </w: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b/>
          <w:bCs/>
          <w:color w:val="453CCC"/>
        </w:rPr>
        <w:t>Reviewer #3:</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i/>
          <w:iCs/>
          <w:color w:val="453CCC"/>
        </w:rPr>
        <w:t>Manuscript Summary:</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This is a very clearly written protocol, describing a simple but effective and very useful technique for identification of producer of either replicative or non-replicative antimicrobial agents. I have used the technique in my own lab for screening both phage host ranges and antimicrobial activity of macro algae frond sections for antimicrobial activity. As such I believe a visual presentation and written protocol of this technique would be exceptionally useful and widely accessed. It appears that the authors have made every attempt to fully address the original reviewers comments. I have a few points of a minor </w:t>
      </w:r>
      <w:proofErr w:type="gramStart"/>
      <w:r>
        <w:rPr>
          <w:rFonts w:ascii="Helvetica" w:hAnsi="Helvetica" w:cs="Helvetica"/>
          <w:color w:val="453CCC"/>
        </w:rPr>
        <w:t>nature which</w:t>
      </w:r>
      <w:proofErr w:type="gramEnd"/>
      <w:r>
        <w:rPr>
          <w:rFonts w:ascii="Helvetica" w:hAnsi="Helvetica" w:cs="Helvetica"/>
          <w:color w:val="453CCC"/>
        </w:rPr>
        <w:t xml:space="preserve"> the authors should address prior to final acceptance</w:t>
      </w: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i/>
          <w:iCs/>
          <w:color w:val="453CCC"/>
        </w:rPr>
        <w:t>Major Concerns:</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None</w:t>
      </w: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i/>
          <w:iCs/>
          <w:color w:val="453CCC"/>
        </w:rPr>
        <w:t>Minor Concerns:</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Line 55-56 "is an understanding antagonistic" should read "is an understanding of the antagonistic”</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This sentence has been revised in an alternative way to what the reviewer has indicated, but in a way that is grammatically correct.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Protocol 1.1 - although the authors mention the reason for using </w:t>
      </w:r>
      <w:proofErr w:type="spellStart"/>
      <w:r>
        <w:rPr>
          <w:rFonts w:ascii="Helvetica" w:hAnsi="Helvetica" w:cs="Helvetica"/>
          <w:color w:val="453CCC"/>
        </w:rPr>
        <w:t>mitomycin</w:t>
      </w:r>
      <w:proofErr w:type="spellEnd"/>
      <w:r>
        <w:rPr>
          <w:rFonts w:ascii="Helvetica" w:hAnsi="Helvetica" w:cs="Helvetica"/>
          <w:color w:val="453CCC"/>
        </w:rPr>
        <w:t xml:space="preserve"> C in lines 185-6, it might be useful to the viewer/reader to describe why </w:t>
      </w:r>
      <w:proofErr w:type="spellStart"/>
      <w:r>
        <w:rPr>
          <w:rFonts w:ascii="Helvetica" w:hAnsi="Helvetica" w:cs="Helvetica"/>
          <w:color w:val="453CCC"/>
        </w:rPr>
        <w:t>mitomycin</w:t>
      </w:r>
      <w:proofErr w:type="spellEnd"/>
      <w:r>
        <w:rPr>
          <w:rFonts w:ascii="Helvetica" w:hAnsi="Helvetica" w:cs="Helvetica"/>
          <w:color w:val="453CCC"/>
        </w:rPr>
        <w:t xml:space="preserve"> C is added to the culture at this stage, rather than (or in addition to) later on in the manuscript.</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See response to reviewer #2, comment 3 above.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Line 93-94 - perhaps add a few words on what chloroform does here - is there a worry that perhaps active agents might partition into the chloroform as in a crude solvent extract? I think this should be considered and may be worth mentioning.</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These concerns have been addressed within the note describing the difference between filter sterilization and chloroform treatment (lines 118-122).</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Line 180-1 - the manuscript should contain details of the strains used - what are the genetic manipulations?</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While we agree with the reviewer that inclusion of details regarding the genetic manipulations within manuscripts should normally be included, we believe such description would be beyond the scope of this manuscript, which focuses on the agar-overlay protocol and only uses the mutant strain for illustrative purposes.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Line 215 "We've" to "We have”</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This change has been made.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Line 227 - </w:t>
      </w:r>
      <w:proofErr w:type="gramStart"/>
      <w:r>
        <w:rPr>
          <w:rFonts w:ascii="Helvetica" w:hAnsi="Helvetica" w:cs="Helvetica"/>
          <w:color w:val="453CCC"/>
        </w:rPr>
        <w:t>is circuits</w:t>
      </w:r>
      <w:proofErr w:type="gramEnd"/>
      <w:r>
        <w:rPr>
          <w:rFonts w:ascii="Helvetica" w:hAnsi="Helvetica" w:cs="Helvetica"/>
          <w:color w:val="453CCC"/>
        </w:rPr>
        <w:t xml:space="preserve"> the appropriate term here? QS regulated pathways?</w:t>
      </w:r>
    </w:p>
    <w:p w:rsidR="00D62BA0" w:rsidRDefault="00D62BA0" w:rsidP="00D62BA0">
      <w:pPr>
        <w:widowControl w:val="0"/>
        <w:autoSpaceDE w:val="0"/>
        <w:autoSpaceDN w:val="0"/>
        <w:adjustRightInd w:val="0"/>
        <w:rPr>
          <w:rFonts w:ascii="Helvetica" w:hAnsi="Helvetica" w:cs="Helvetica"/>
        </w:rPr>
      </w:pPr>
      <w:proofErr w:type="gramStart"/>
      <w:r>
        <w:rPr>
          <w:rFonts w:ascii="Helvetica" w:hAnsi="Helvetica" w:cs="Helvetica"/>
          <w:i/>
          <w:iCs/>
        </w:rPr>
        <w:t>Circuits</w:t>
      </w:r>
      <w:r>
        <w:rPr>
          <w:rFonts w:ascii="Helvetica" w:hAnsi="Helvetica" w:cs="Helvetica"/>
        </w:rPr>
        <w:t xml:space="preserve"> has</w:t>
      </w:r>
      <w:proofErr w:type="gramEnd"/>
      <w:r>
        <w:rPr>
          <w:rFonts w:ascii="Helvetica" w:hAnsi="Helvetica" w:cs="Helvetica"/>
        </w:rPr>
        <w:t xml:space="preserve"> been modified to </w:t>
      </w:r>
      <w:r>
        <w:rPr>
          <w:rFonts w:ascii="Helvetica" w:hAnsi="Helvetica" w:cs="Helvetica"/>
          <w:i/>
          <w:iCs/>
        </w:rPr>
        <w:t>systems</w:t>
      </w:r>
      <w:r>
        <w:rPr>
          <w:rFonts w:ascii="Helvetica" w:hAnsi="Helvetica" w:cs="Helvetica"/>
        </w:rPr>
        <w:t>.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Line 233-5 - this sentence might be confusing for the reader - how will the individual know if it is properly melted, especially as you state that it may visually appear melted? I would be included to remove "(though it visually appeared to be)”</w:t>
      </w:r>
    </w:p>
    <w:p w:rsidR="00D62BA0" w:rsidRDefault="00D62BA0" w:rsidP="00D62BA0">
      <w:pPr>
        <w:widowControl w:val="0"/>
        <w:autoSpaceDE w:val="0"/>
        <w:autoSpaceDN w:val="0"/>
        <w:adjustRightInd w:val="0"/>
        <w:rPr>
          <w:rFonts w:ascii="Helvetica" w:hAnsi="Helvetica" w:cs="Helvetica"/>
        </w:rPr>
      </w:pPr>
      <w:r>
        <w:rPr>
          <w:rFonts w:ascii="Helvetica" w:hAnsi="Helvetica" w:cs="Helvetica"/>
        </w:rPr>
        <w:t>We agree that our description is seemingly contradictory, however, this coming from our experience with this protocol. We believe that that the final sentence of this paragraph indicating that trial and error will be necessary will help resolve this issue for researchers.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 xml:space="preserve">Line 246 - "between maintain the agar" should </w:t>
      </w:r>
      <w:proofErr w:type="gramStart"/>
      <w:r>
        <w:rPr>
          <w:rFonts w:ascii="Helvetica" w:hAnsi="Helvetica" w:cs="Helvetica"/>
          <w:color w:val="453CCC"/>
        </w:rPr>
        <w:t>read</w:t>
      </w:r>
      <w:proofErr w:type="gramEnd"/>
      <w:r>
        <w:rPr>
          <w:rFonts w:ascii="Helvetica" w:hAnsi="Helvetica" w:cs="Helvetica"/>
          <w:color w:val="453CCC"/>
        </w:rPr>
        <w:t xml:space="preserve"> "between maintaining the agar”</w:t>
      </w:r>
    </w:p>
    <w:p w:rsidR="00D62BA0" w:rsidRDefault="00D62BA0" w:rsidP="00D62BA0">
      <w:pPr>
        <w:widowControl w:val="0"/>
        <w:autoSpaceDE w:val="0"/>
        <w:autoSpaceDN w:val="0"/>
        <w:adjustRightInd w:val="0"/>
        <w:rPr>
          <w:rFonts w:ascii="Helvetica" w:hAnsi="Helvetica" w:cs="Helvetica"/>
        </w:rPr>
      </w:pPr>
      <w:proofErr w:type="gramStart"/>
      <w:r>
        <w:rPr>
          <w:rFonts w:ascii="Helvetica" w:hAnsi="Helvetica" w:cs="Helvetica"/>
        </w:rPr>
        <w:t>Good catch</w:t>
      </w:r>
      <w:proofErr w:type="gramEnd"/>
      <w:r>
        <w:rPr>
          <w:rFonts w:ascii="Helvetica" w:hAnsi="Helvetica" w:cs="Helvetica"/>
        </w:rPr>
        <w:t xml:space="preserve">, </w:t>
      </w:r>
      <w:proofErr w:type="gramStart"/>
      <w:r>
        <w:rPr>
          <w:rFonts w:ascii="Helvetica" w:hAnsi="Helvetica" w:cs="Helvetica"/>
        </w:rPr>
        <w:t>this mistake has been corrected</w:t>
      </w:r>
      <w:proofErr w:type="gramEnd"/>
      <w:r>
        <w:rPr>
          <w:rFonts w:ascii="Helvetica" w:hAnsi="Helvetica" w:cs="Helvetica"/>
        </w:rPr>
        <w:t>. </w:t>
      </w:r>
    </w:p>
    <w:p w:rsidR="00D62BA0" w:rsidRDefault="00D62BA0" w:rsidP="00D62BA0">
      <w:pPr>
        <w:widowControl w:val="0"/>
        <w:autoSpaceDE w:val="0"/>
        <w:autoSpaceDN w:val="0"/>
        <w:adjustRightInd w:val="0"/>
        <w:rPr>
          <w:rFonts w:ascii="Helvetica" w:hAnsi="Helvetica" w:cs="Helvetica"/>
        </w:rPr>
      </w:pPr>
    </w:p>
    <w:p w:rsidR="00D62BA0" w:rsidRDefault="00D62BA0" w:rsidP="00D62BA0">
      <w:pPr>
        <w:widowControl w:val="0"/>
        <w:autoSpaceDE w:val="0"/>
        <w:autoSpaceDN w:val="0"/>
        <w:adjustRightInd w:val="0"/>
        <w:rPr>
          <w:rFonts w:ascii="Helvetica" w:hAnsi="Helvetica" w:cs="Helvetica"/>
          <w:color w:val="453CCC"/>
        </w:rPr>
      </w:pP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i/>
          <w:iCs/>
          <w:color w:val="453CCC"/>
        </w:rPr>
        <w:t>Additional Comments to Authors:</w:t>
      </w:r>
    </w:p>
    <w:p w:rsidR="00D62BA0" w:rsidRDefault="00D62BA0" w:rsidP="00D62BA0">
      <w:pPr>
        <w:widowControl w:val="0"/>
        <w:autoSpaceDE w:val="0"/>
        <w:autoSpaceDN w:val="0"/>
        <w:adjustRightInd w:val="0"/>
        <w:rPr>
          <w:rFonts w:ascii="Helvetica" w:hAnsi="Helvetica" w:cs="Helvetica"/>
          <w:color w:val="453CCC"/>
        </w:rPr>
      </w:pPr>
      <w:r>
        <w:rPr>
          <w:rFonts w:ascii="Helvetica" w:hAnsi="Helvetica" w:cs="Helvetica"/>
          <w:color w:val="453CCC"/>
        </w:rPr>
        <w:t>N/A</w:t>
      </w:r>
    </w:p>
    <w:p w:rsidR="00D62BA0" w:rsidRDefault="00D62BA0" w:rsidP="00D62BA0">
      <w:pPr>
        <w:widowControl w:val="0"/>
        <w:autoSpaceDE w:val="0"/>
        <w:autoSpaceDN w:val="0"/>
        <w:adjustRightInd w:val="0"/>
        <w:rPr>
          <w:rFonts w:ascii="Helvetica" w:hAnsi="Helvetica" w:cs="Helvetica"/>
          <w:color w:val="453CCC"/>
        </w:rPr>
      </w:pPr>
    </w:p>
    <w:p w:rsidR="00786C10" w:rsidRDefault="00D62BA0" w:rsidP="00D62BA0">
      <w:r>
        <w:rPr>
          <w:rFonts w:ascii="Helvetica" w:hAnsi="Helvetica" w:cs="Helvetica"/>
          <w:color w:val="453CCC"/>
        </w:rPr>
        <w:t>[</w:t>
      </w:r>
      <w:r>
        <w:rPr>
          <w:rFonts w:ascii="Helvetica" w:hAnsi="Helvetica" w:cs="Helvetica"/>
          <w:b/>
          <w:bCs/>
          <w:color w:val="453CCC"/>
        </w:rPr>
        <w:t>Editorial recommendation</w:t>
      </w:r>
      <w:r>
        <w:rPr>
          <w:rFonts w:ascii="Helvetica" w:hAnsi="Helvetica" w:cs="Helvetica"/>
          <w:color w:val="453CCC"/>
        </w:rPr>
        <w:t xml:space="preserve">: Please keep </w:t>
      </w:r>
      <w:proofErr w:type="spellStart"/>
      <w:r>
        <w:rPr>
          <w:rFonts w:ascii="Helvetica" w:hAnsi="Helvetica" w:cs="Helvetica"/>
          <w:color w:val="453CCC"/>
        </w:rPr>
        <w:t>JoVE’s</w:t>
      </w:r>
      <w:proofErr w:type="spellEnd"/>
      <w:r>
        <w:rPr>
          <w:rFonts w:ascii="Helvetica" w:hAnsi="Helvetica" w:cs="Helvetica"/>
          <w:color w:val="453CCC"/>
        </w:rPr>
        <w:t xml:space="preserve"> protocol requirements in mind as you address the above comments - the protocol must contain sufficient detail in order to enable users to accurately replicate your technique. We recommend NOT removing any details from the protocol text.]</w:t>
      </w:r>
    </w:p>
    <w:sectPr w:rsidR="00786C10" w:rsidSect="0006735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A0"/>
    <w:rsid w:val="0006735A"/>
    <w:rsid w:val="004260FA"/>
    <w:rsid w:val="00786C10"/>
    <w:rsid w:val="00B94BA8"/>
    <w:rsid w:val="00D62B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60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BA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BA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1365</Words>
  <Characters>7786</Characters>
  <Application>Microsoft Macintosh Word</Application>
  <DocSecurity>0</DocSecurity>
  <Lines>64</Lines>
  <Paragraphs>18</Paragraphs>
  <ScaleCrop>false</ScaleCrop>
  <Company>University of Arizona</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Hockett</dc:creator>
  <cp:keywords/>
  <dc:description/>
  <cp:lastModifiedBy>Kevin Hockett</cp:lastModifiedBy>
  <cp:revision>1</cp:revision>
  <dcterms:created xsi:type="dcterms:W3CDTF">2016-08-30T23:33:00Z</dcterms:created>
  <dcterms:modified xsi:type="dcterms:W3CDTF">2016-08-30T23:36:00Z</dcterms:modified>
</cp:coreProperties>
</file>