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6D6" w:rsidRDefault="008B7416" w:rsidP="006B711A">
      <w:pPr>
        <w:pStyle w:val="NormalWeb"/>
        <w:spacing w:before="0" w:beforeAutospacing="0" w:after="0" w:afterAutospacing="0"/>
        <w:jc w:val="both"/>
      </w:pPr>
      <w:r>
        <w:rPr>
          <w:b/>
          <w:bCs/>
        </w:rPr>
        <w:softHyphen/>
      </w:r>
      <w:r w:rsidR="00693C0C" w:rsidRPr="004250FF">
        <w:rPr>
          <w:b/>
          <w:bCs/>
        </w:rPr>
        <w:t>TITLE:</w:t>
      </w:r>
      <w:r w:rsidR="00693C0C" w:rsidRPr="004250FF">
        <w:t xml:space="preserve"> </w:t>
      </w:r>
    </w:p>
    <w:p w:rsidR="008469F4" w:rsidRDefault="003B2B1A" w:rsidP="006B711A">
      <w:pPr>
        <w:pStyle w:val="NormalWeb"/>
        <w:spacing w:before="0" w:beforeAutospacing="0" w:after="0" w:afterAutospacing="0"/>
        <w:jc w:val="both"/>
        <w:rPr>
          <w:b/>
          <w:bCs/>
        </w:rPr>
      </w:pPr>
      <w:r w:rsidRPr="00EC4C57">
        <w:rPr>
          <w:b/>
          <w:bCs/>
        </w:rPr>
        <w:t>Assessment of child anthrop</w:t>
      </w:r>
      <w:r w:rsidR="00240B03">
        <w:rPr>
          <w:b/>
          <w:bCs/>
        </w:rPr>
        <w:t xml:space="preserve">ometry in a large epidemiologic </w:t>
      </w:r>
      <w:r w:rsidRPr="00EC4C57">
        <w:rPr>
          <w:b/>
          <w:bCs/>
        </w:rPr>
        <w:t>study</w:t>
      </w:r>
      <w:r w:rsidR="007A7CE7">
        <w:rPr>
          <w:b/>
          <w:bCs/>
        </w:rPr>
        <w:t xml:space="preserve"> </w:t>
      </w:r>
    </w:p>
    <w:p w:rsidR="008B26D6" w:rsidRDefault="008B26D6" w:rsidP="006B711A">
      <w:pPr>
        <w:widowControl w:val="0"/>
        <w:autoSpaceDE w:val="0"/>
        <w:autoSpaceDN w:val="0"/>
        <w:adjustRightInd w:val="0"/>
        <w:jc w:val="both"/>
        <w:rPr>
          <w:b/>
          <w:bCs/>
        </w:rPr>
      </w:pPr>
    </w:p>
    <w:p w:rsidR="00B55166" w:rsidRDefault="00B55166" w:rsidP="006B711A">
      <w:pPr>
        <w:widowControl w:val="0"/>
        <w:autoSpaceDE w:val="0"/>
        <w:autoSpaceDN w:val="0"/>
        <w:adjustRightInd w:val="0"/>
        <w:jc w:val="both"/>
        <w:rPr>
          <w:b/>
          <w:bCs/>
        </w:rPr>
      </w:pPr>
      <w:r w:rsidRPr="00EC4C57">
        <w:rPr>
          <w:b/>
          <w:bCs/>
        </w:rPr>
        <w:t xml:space="preserve">AUTHORS:  </w:t>
      </w:r>
    </w:p>
    <w:p w:rsidR="00B55166" w:rsidRDefault="00B55166" w:rsidP="006B711A">
      <w:pPr>
        <w:widowControl w:val="0"/>
        <w:autoSpaceDE w:val="0"/>
        <w:autoSpaceDN w:val="0"/>
        <w:adjustRightInd w:val="0"/>
        <w:jc w:val="both"/>
        <w:rPr>
          <w:bCs/>
        </w:rPr>
      </w:pPr>
      <w:r w:rsidRPr="00A738CD">
        <w:rPr>
          <w:bCs/>
        </w:rPr>
        <w:t>1.</w:t>
      </w:r>
      <w:r>
        <w:rPr>
          <w:b/>
          <w:bCs/>
        </w:rPr>
        <w:t xml:space="preserve"> </w:t>
      </w:r>
      <w:r w:rsidRPr="00EC4C57">
        <w:rPr>
          <w:bCs/>
        </w:rPr>
        <w:t>Louer</w:t>
      </w:r>
      <w:r>
        <w:rPr>
          <w:bCs/>
        </w:rPr>
        <w:t xml:space="preserve">, </w:t>
      </w:r>
      <w:r w:rsidRPr="00EC4C57">
        <w:rPr>
          <w:bCs/>
        </w:rPr>
        <w:t>Amy</w:t>
      </w:r>
      <w:r>
        <w:rPr>
          <w:bCs/>
        </w:rPr>
        <w:t xml:space="preserve"> L.</w:t>
      </w:r>
      <w:r w:rsidR="0091339D">
        <w:rPr>
          <w:bCs/>
        </w:rPr>
        <w:t>, EdM</w:t>
      </w:r>
      <w:r w:rsidRPr="00EC4C57">
        <w:rPr>
          <w:bCs/>
        </w:rPr>
        <w:t xml:space="preserve"> </w:t>
      </w:r>
    </w:p>
    <w:p w:rsidR="00B55166" w:rsidRDefault="00B55166" w:rsidP="006B711A">
      <w:pPr>
        <w:pStyle w:val="NormalWeb"/>
        <w:spacing w:before="0" w:beforeAutospacing="0" w:after="0" w:afterAutospacing="0"/>
        <w:jc w:val="both"/>
      </w:pPr>
      <w:r w:rsidRPr="00933CC2">
        <w:t>Obesity Prevention Program, Department of Population Medicine</w:t>
      </w:r>
    </w:p>
    <w:p w:rsidR="00B55166" w:rsidRDefault="00B55166" w:rsidP="006B711A">
      <w:pPr>
        <w:pStyle w:val="NormalWeb"/>
        <w:spacing w:before="0" w:beforeAutospacing="0" w:after="0" w:afterAutospacing="0"/>
        <w:jc w:val="both"/>
      </w:pPr>
      <w:r w:rsidRPr="00933CC2">
        <w:t>Harvard Medical School and Harvard Pilgrim Health Care Institute</w:t>
      </w:r>
    </w:p>
    <w:p w:rsidR="00B55166" w:rsidRDefault="00B55166" w:rsidP="006B711A">
      <w:pPr>
        <w:widowControl w:val="0"/>
        <w:autoSpaceDE w:val="0"/>
        <w:autoSpaceDN w:val="0"/>
        <w:adjustRightInd w:val="0"/>
        <w:jc w:val="both"/>
      </w:pPr>
      <w:r>
        <w:t>Boston</w:t>
      </w:r>
      <w:r w:rsidR="00E33A9C">
        <w:t>,</w:t>
      </w:r>
      <w:r>
        <w:t xml:space="preserve"> MA</w:t>
      </w:r>
      <w:r w:rsidR="00E33A9C">
        <w:t>, USA</w:t>
      </w:r>
      <w:r>
        <w:t xml:space="preserve"> 02215</w:t>
      </w:r>
    </w:p>
    <w:p w:rsidR="00B55166" w:rsidRDefault="00B55166" w:rsidP="006B711A">
      <w:pPr>
        <w:widowControl w:val="0"/>
        <w:autoSpaceDE w:val="0"/>
        <w:autoSpaceDN w:val="0"/>
        <w:adjustRightInd w:val="0"/>
        <w:jc w:val="both"/>
      </w:pPr>
      <w:r>
        <w:t>amy_louer@harvardpilgrim.org</w:t>
      </w:r>
    </w:p>
    <w:p w:rsidR="00B55166" w:rsidRDefault="00B55166" w:rsidP="006B711A">
      <w:pPr>
        <w:widowControl w:val="0"/>
        <w:autoSpaceDE w:val="0"/>
        <w:autoSpaceDN w:val="0"/>
        <w:adjustRightInd w:val="0"/>
        <w:jc w:val="both"/>
        <w:rPr>
          <w:bCs/>
        </w:rPr>
      </w:pPr>
    </w:p>
    <w:p w:rsidR="00B55166" w:rsidRDefault="00B55166" w:rsidP="006B711A">
      <w:pPr>
        <w:widowControl w:val="0"/>
        <w:autoSpaceDE w:val="0"/>
        <w:autoSpaceDN w:val="0"/>
        <w:adjustRightInd w:val="0"/>
        <w:jc w:val="both"/>
        <w:rPr>
          <w:bCs/>
        </w:rPr>
      </w:pPr>
      <w:r>
        <w:rPr>
          <w:bCs/>
        </w:rPr>
        <w:t xml:space="preserve">2. </w:t>
      </w:r>
      <w:r w:rsidRPr="00EC4C57">
        <w:rPr>
          <w:bCs/>
        </w:rPr>
        <w:t>Simon,</w:t>
      </w:r>
      <w:r>
        <w:rPr>
          <w:bCs/>
        </w:rPr>
        <w:t xml:space="preserve"> </w:t>
      </w:r>
      <w:r w:rsidRPr="00EC4C57">
        <w:rPr>
          <w:bCs/>
        </w:rPr>
        <w:t>Denise</w:t>
      </w:r>
      <w:r>
        <w:rPr>
          <w:bCs/>
        </w:rPr>
        <w:t xml:space="preserve"> N.</w:t>
      </w:r>
      <w:r w:rsidR="0091339D">
        <w:rPr>
          <w:bCs/>
        </w:rPr>
        <w:t>, MPH</w:t>
      </w:r>
      <w:r w:rsidRPr="00EC4C57">
        <w:rPr>
          <w:bCs/>
        </w:rPr>
        <w:t xml:space="preserve"> </w:t>
      </w:r>
    </w:p>
    <w:p w:rsidR="00B55166" w:rsidRDefault="00B55166" w:rsidP="006B711A">
      <w:pPr>
        <w:pStyle w:val="NormalWeb"/>
        <w:spacing w:before="0" w:beforeAutospacing="0" w:after="0" w:afterAutospacing="0"/>
        <w:jc w:val="both"/>
      </w:pPr>
      <w:r w:rsidRPr="00933CC2">
        <w:t>Obesity Prevention Program, Department of Population Medicine</w:t>
      </w:r>
    </w:p>
    <w:p w:rsidR="00B55166" w:rsidRDefault="00B55166" w:rsidP="006B711A">
      <w:pPr>
        <w:pStyle w:val="NormalWeb"/>
        <w:spacing w:before="0" w:beforeAutospacing="0" w:after="0" w:afterAutospacing="0"/>
        <w:jc w:val="both"/>
      </w:pPr>
      <w:r w:rsidRPr="00933CC2">
        <w:t>Harvard Medical School and Harvard Pilgrim Health Care Institute</w:t>
      </w:r>
    </w:p>
    <w:p w:rsidR="00B55166" w:rsidRDefault="00B55166" w:rsidP="006B711A">
      <w:pPr>
        <w:widowControl w:val="0"/>
        <w:autoSpaceDE w:val="0"/>
        <w:autoSpaceDN w:val="0"/>
        <w:adjustRightInd w:val="0"/>
        <w:jc w:val="both"/>
      </w:pPr>
      <w:r>
        <w:t>Boston</w:t>
      </w:r>
      <w:r w:rsidR="00E33A9C">
        <w:t>,</w:t>
      </w:r>
      <w:r>
        <w:t xml:space="preserve"> MA</w:t>
      </w:r>
      <w:r w:rsidR="00E33A9C">
        <w:t>, USA</w:t>
      </w:r>
      <w:r>
        <w:t xml:space="preserve"> 02215</w:t>
      </w:r>
    </w:p>
    <w:p w:rsidR="00B55166" w:rsidRDefault="00B55166" w:rsidP="006B711A">
      <w:pPr>
        <w:widowControl w:val="0"/>
        <w:autoSpaceDE w:val="0"/>
        <w:autoSpaceDN w:val="0"/>
        <w:adjustRightInd w:val="0"/>
        <w:jc w:val="both"/>
      </w:pPr>
      <w:r>
        <w:t>d</w:t>
      </w:r>
      <w:r w:rsidRPr="00A738CD">
        <w:t>enise_</w:t>
      </w:r>
      <w:r>
        <w:t>s</w:t>
      </w:r>
      <w:r w:rsidRPr="00A738CD">
        <w:t>imon@harvardpilgrim.org</w:t>
      </w:r>
    </w:p>
    <w:p w:rsidR="00B55166" w:rsidRDefault="00B55166" w:rsidP="006B711A">
      <w:pPr>
        <w:widowControl w:val="0"/>
        <w:autoSpaceDE w:val="0"/>
        <w:autoSpaceDN w:val="0"/>
        <w:adjustRightInd w:val="0"/>
        <w:jc w:val="both"/>
        <w:rPr>
          <w:bCs/>
        </w:rPr>
      </w:pPr>
    </w:p>
    <w:p w:rsidR="00B55166" w:rsidRDefault="00B55166" w:rsidP="006B711A">
      <w:pPr>
        <w:widowControl w:val="0"/>
        <w:autoSpaceDE w:val="0"/>
        <w:autoSpaceDN w:val="0"/>
        <w:adjustRightInd w:val="0"/>
        <w:jc w:val="both"/>
        <w:rPr>
          <w:bCs/>
        </w:rPr>
      </w:pPr>
      <w:r>
        <w:rPr>
          <w:bCs/>
        </w:rPr>
        <w:t xml:space="preserve">3. </w:t>
      </w:r>
      <w:r w:rsidRPr="00EC4C57">
        <w:rPr>
          <w:bCs/>
        </w:rPr>
        <w:t>Switkowski,</w:t>
      </w:r>
      <w:r>
        <w:rPr>
          <w:bCs/>
          <w:vertAlign w:val="superscript"/>
        </w:rPr>
        <w:t xml:space="preserve"> </w:t>
      </w:r>
      <w:r w:rsidRPr="00EC4C57">
        <w:rPr>
          <w:bCs/>
        </w:rPr>
        <w:t>Karen</w:t>
      </w:r>
      <w:r>
        <w:rPr>
          <w:bCs/>
        </w:rPr>
        <w:t xml:space="preserve"> M.</w:t>
      </w:r>
      <w:r w:rsidR="0091339D">
        <w:rPr>
          <w:bCs/>
        </w:rPr>
        <w:t>, MS, MPH</w:t>
      </w:r>
      <w:r w:rsidRPr="00EC4C57">
        <w:rPr>
          <w:bCs/>
        </w:rPr>
        <w:t xml:space="preserve"> </w:t>
      </w:r>
    </w:p>
    <w:p w:rsidR="00B55166" w:rsidRDefault="00B55166" w:rsidP="006B711A">
      <w:pPr>
        <w:pStyle w:val="NormalWeb"/>
        <w:spacing w:before="0" w:beforeAutospacing="0" w:after="0" w:afterAutospacing="0"/>
        <w:jc w:val="both"/>
      </w:pPr>
      <w:r w:rsidRPr="00933CC2">
        <w:t>Obesity Prevention Program, Department of Population Medicine</w:t>
      </w:r>
    </w:p>
    <w:p w:rsidR="00B55166" w:rsidRDefault="00B55166" w:rsidP="006B711A">
      <w:pPr>
        <w:pStyle w:val="NormalWeb"/>
        <w:spacing w:before="0" w:beforeAutospacing="0" w:after="0" w:afterAutospacing="0"/>
        <w:jc w:val="both"/>
      </w:pPr>
      <w:r w:rsidRPr="00933CC2">
        <w:t>Harvard Medical School and Harvard Pilgrim Health Care Institute</w:t>
      </w:r>
    </w:p>
    <w:p w:rsidR="00B55166" w:rsidRDefault="00B55166" w:rsidP="006B711A">
      <w:pPr>
        <w:widowControl w:val="0"/>
        <w:autoSpaceDE w:val="0"/>
        <w:autoSpaceDN w:val="0"/>
        <w:adjustRightInd w:val="0"/>
        <w:jc w:val="both"/>
      </w:pPr>
      <w:r>
        <w:t>Boston</w:t>
      </w:r>
      <w:r w:rsidR="00E33A9C">
        <w:t>,</w:t>
      </w:r>
      <w:r>
        <w:t xml:space="preserve"> MA</w:t>
      </w:r>
      <w:r w:rsidR="00E33A9C">
        <w:t>, USA</w:t>
      </w:r>
      <w:r>
        <w:t xml:space="preserve"> 02215</w:t>
      </w:r>
    </w:p>
    <w:p w:rsidR="00B55166" w:rsidRDefault="00B55166" w:rsidP="006B711A">
      <w:pPr>
        <w:widowControl w:val="0"/>
        <w:autoSpaceDE w:val="0"/>
        <w:autoSpaceDN w:val="0"/>
        <w:adjustRightInd w:val="0"/>
        <w:jc w:val="both"/>
      </w:pPr>
      <w:r w:rsidRPr="00A738CD">
        <w:t>karen_switkowski@harvardpilgrim.org</w:t>
      </w:r>
    </w:p>
    <w:p w:rsidR="00B55166" w:rsidRDefault="00B55166" w:rsidP="006B711A">
      <w:pPr>
        <w:widowControl w:val="0"/>
        <w:autoSpaceDE w:val="0"/>
        <w:autoSpaceDN w:val="0"/>
        <w:adjustRightInd w:val="0"/>
        <w:jc w:val="both"/>
        <w:rPr>
          <w:bCs/>
        </w:rPr>
      </w:pPr>
    </w:p>
    <w:p w:rsidR="00B55166" w:rsidRDefault="00B55166" w:rsidP="006B711A">
      <w:pPr>
        <w:widowControl w:val="0"/>
        <w:autoSpaceDE w:val="0"/>
        <w:autoSpaceDN w:val="0"/>
        <w:adjustRightInd w:val="0"/>
        <w:jc w:val="both"/>
        <w:rPr>
          <w:bCs/>
        </w:rPr>
      </w:pPr>
      <w:r>
        <w:rPr>
          <w:bCs/>
        </w:rPr>
        <w:t xml:space="preserve">4. </w:t>
      </w:r>
      <w:r w:rsidRPr="00EC4C57">
        <w:rPr>
          <w:bCs/>
        </w:rPr>
        <w:t>Rifas-Shiman,</w:t>
      </w:r>
      <w:r>
        <w:rPr>
          <w:bCs/>
        </w:rPr>
        <w:t xml:space="preserve"> </w:t>
      </w:r>
      <w:r w:rsidRPr="00EC4C57">
        <w:rPr>
          <w:bCs/>
        </w:rPr>
        <w:t xml:space="preserve">Sheryl </w:t>
      </w:r>
      <w:r>
        <w:rPr>
          <w:bCs/>
        </w:rPr>
        <w:t>L.</w:t>
      </w:r>
      <w:r w:rsidR="0091339D">
        <w:rPr>
          <w:bCs/>
        </w:rPr>
        <w:t>, MPH</w:t>
      </w:r>
      <w:r>
        <w:rPr>
          <w:bCs/>
        </w:rPr>
        <w:t xml:space="preserve"> </w:t>
      </w:r>
      <w:r w:rsidRPr="00EC4C57">
        <w:rPr>
          <w:bCs/>
        </w:rPr>
        <w:t xml:space="preserve"> </w:t>
      </w:r>
    </w:p>
    <w:p w:rsidR="00B55166" w:rsidRDefault="00B55166" w:rsidP="006B711A">
      <w:pPr>
        <w:pStyle w:val="NormalWeb"/>
        <w:spacing w:before="0" w:beforeAutospacing="0" w:after="0" w:afterAutospacing="0"/>
        <w:jc w:val="both"/>
      </w:pPr>
      <w:r w:rsidRPr="00933CC2">
        <w:t>Obesity Prevention Program, Department of Population Medicine</w:t>
      </w:r>
    </w:p>
    <w:p w:rsidR="00B55166" w:rsidRDefault="00B55166" w:rsidP="006B711A">
      <w:pPr>
        <w:pStyle w:val="NormalWeb"/>
        <w:spacing w:before="0" w:beforeAutospacing="0" w:after="0" w:afterAutospacing="0"/>
        <w:jc w:val="both"/>
      </w:pPr>
      <w:r w:rsidRPr="00933CC2">
        <w:t>Harvard Medical School and Harvard Pilgrim Health Care Institute</w:t>
      </w:r>
    </w:p>
    <w:p w:rsidR="00B55166" w:rsidRDefault="00B55166" w:rsidP="006B711A">
      <w:pPr>
        <w:widowControl w:val="0"/>
        <w:autoSpaceDE w:val="0"/>
        <w:autoSpaceDN w:val="0"/>
        <w:adjustRightInd w:val="0"/>
        <w:jc w:val="both"/>
      </w:pPr>
      <w:r>
        <w:t>Boston</w:t>
      </w:r>
      <w:r w:rsidR="00E33A9C">
        <w:t>,</w:t>
      </w:r>
      <w:r>
        <w:t xml:space="preserve"> MA</w:t>
      </w:r>
      <w:r w:rsidR="00E33A9C">
        <w:t>, USA</w:t>
      </w:r>
      <w:r>
        <w:t xml:space="preserve"> 02215</w:t>
      </w:r>
    </w:p>
    <w:p w:rsidR="00B55166" w:rsidRPr="00A738CD" w:rsidRDefault="00B55166" w:rsidP="006B711A">
      <w:pPr>
        <w:widowControl w:val="0"/>
        <w:autoSpaceDE w:val="0"/>
        <w:autoSpaceDN w:val="0"/>
        <w:adjustRightInd w:val="0"/>
        <w:jc w:val="both"/>
      </w:pPr>
      <w:r w:rsidRPr="00A738CD">
        <w:t>sheryl_rifas@harvardpilgrim.org</w:t>
      </w:r>
    </w:p>
    <w:p w:rsidR="00B55166" w:rsidRDefault="00B55166" w:rsidP="006B711A">
      <w:pPr>
        <w:widowControl w:val="0"/>
        <w:autoSpaceDE w:val="0"/>
        <w:autoSpaceDN w:val="0"/>
        <w:adjustRightInd w:val="0"/>
        <w:jc w:val="both"/>
        <w:rPr>
          <w:bCs/>
        </w:rPr>
      </w:pPr>
    </w:p>
    <w:p w:rsidR="00B55166" w:rsidRDefault="00B55166" w:rsidP="006B711A">
      <w:pPr>
        <w:widowControl w:val="0"/>
        <w:autoSpaceDE w:val="0"/>
        <w:autoSpaceDN w:val="0"/>
        <w:adjustRightInd w:val="0"/>
        <w:jc w:val="both"/>
        <w:rPr>
          <w:bCs/>
        </w:rPr>
      </w:pPr>
      <w:r>
        <w:rPr>
          <w:bCs/>
        </w:rPr>
        <w:t xml:space="preserve">5. </w:t>
      </w:r>
      <w:r w:rsidRPr="00EC4C57">
        <w:rPr>
          <w:bCs/>
        </w:rPr>
        <w:t>Gillman,</w:t>
      </w:r>
      <w:r>
        <w:rPr>
          <w:bCs/>
        </w:rPr>
        <w:t xml:space="preserve"> </w:t>
      </w:r>
      <w:r w:rsidRPr="00EC4C57">
        <w:rPr>
          <w:bCs/>
        </w:rPr>
        <w:t>Matthew W.</w:t>
      </w:r>
      <w:r w:rsidR="00D42CDA">
        <w:rPr>
          <w:bCs/>
        </w:rPr>
        <w:t xml:space="preserve">, </w:t>
      </w:r>
      <w:r w:rsidR="0091339D">
        <w:rPr>
          <w:bCs/>
        </w:rPr>
        <w:t>MD, SM</w:t>
      </w:r>
      <w:r w:rsidRPr="00EC4C57">
        <w:rPr>
          <w:bCs/>
        </w:rPr>
        <w:t xml:space="preserve"> </w:t>
      </w:r>
    </w:p>
    <w:p w:rsidR="00B55166" w:rsidRDefault="00B55166" w:rsidP="006B711A">
      <w:pPr>
        <w:pStyle w:val="NormalWeb"/>
        <w:spacing w:before="0" w:beforeAutospacing="0" w:after="0" w:afterAutospacing="0"/>
        <w:jc w:val="both"/>
      </w:pPr>
      <w:r w:rsidRPr="00933CC2">
        <w:t>Obesity Prevention Program, Department of Population Medicine</w:t>
      </w:r>
    </w:p>
    <w:p w:rsidR="00B55166" w:rsidRDefault="00B55166" w:rsidP="006B711A">
      <w:pPr>
        <w:pStyle w:val="NormalWeb"/>
        <w:spacing w:before="0" w:beforeAutospacing="0" w:after="0" w:afterAutospacing="0"/>
        <w:jc w:val="both"/>
      </w:pPr>
      <w:r w:rsidRPr="00933CC2">
        <w:t>Harvard Medical School and Harvard Pilgrim Health Care Institute</w:t>
      </w:r>
    </w:p>
    <w:p w:rsidR="00B55166" w:rsidRDefault="00B55166" w:rsidP="006B711A">
      <w:pPr>
        <w:widowControl w:val="0"/>
        <w:autoSpaceDE w:val="0"/>
        <w:autoSpaceDN w:val="0"/>
        <w:adjustRightInd w:val="0"/>
        <w:jc w:val="both"/>
      </w:pPr>
      <w:r>
        <w:t>Boston</w:t>
      </w:r>
      <w:r w:rsidR="00E33A9C">
        <w:t>,</w:t>
      </w:r>
      <w:r>
        <w:t xml:space="preserve"> MA</w:t>
      </w:r>
      <w:r w:rsidR="00E33A9C">
        <w:t>, USA</w:t>
      </w:r>
      <w:r>
        <w:t xml:space="preserve"> 02215</w:t>
      </w:r>
    </w:p>
    <w:p w:rsidR="00B55166" w:rsidRPr="00A738CD" w:rsidRDefault="00114D12" w:rsidP="006B711A">
      <w:pPr>
        <w:widowControl w:val="0"/>
        <w:autoSpaceDE w:val="0"/>
        <w:autoSpaceDN w:val="0"/>
        <w:adjustRightInd w:val="0"/>
        <w:jc w:val="both"/>
      </w:pPr>
      <w:r>
        <w:t xml:space="preserve"> matthewwgillman@gmail.com</w:t>
      </w:r>
    </w:p>
    <w:p w:rsidR="00B55166" w:rsidRDefault="00B55166" w:rsidP="006B711A">
      <w:pPr>
        <w:widowControl w:val="0"/>
        <w:autoSpaceDE w:val="0"/>
        <w:autoSpaceDN w:val="0"/>
        <w:adjustRightInd w:val="0"/>
        <w:jc w:val="both"/>
        <w:rPr>
          <w:bCs/>
        </w:rPr>
      </w:pPr>
    </w:p>
    <w:p w:rsidR="00B55166" w:rsidRDefault="00B55166" w:rsidP="006B711A">
      <w:pPr>
        <w:widowControl w:val="0"/>
        <w:autoSpaceDE w:val="0"/>
        <w:autoSpaceDN w:val="0"/>
        <w:adjustRightInd w:val="0"/>
        <w:jc w:val="both"/>
      </w:pPr>
      <w:r w:rsidRPr="00A738CD">
        <w:rPr>
          <w:bCs/>
        </w:rPr>
        <w:t>6.</w:t>
      </w:r>
      <w:r w:rsidRPr="00A738CD">
        <w:rPr>
          <w:b/>
          <w:bCs/>
        </w:rPr>
        <w:t xml:space="preserve"> </w:t>
      </w:r>
      <w:r w:rsidRPr="00933CC2">
        <w:t>Oken</w:t>
      </w:r>
      <w:r w:rsidR="00654762">
        <w:t>, Emily</w:t>
      </w:r>
      <w:r w:rsidR="00D42CDA">
        <w:t>,</w:t>
      </w:r>
      <w:r w:rsidRPr="00933CC2">
        <w:t xml:space="preserve"> MD, MPH</w:t>
      </w:r>
    </w:p>
    <w:p w:rsidR="00B55166" w:rsidRDefault="00B55166" w:rsidP="006B711A">
      <w:pPr>
        <w:pStyle w:val="NormalWeb"/>
        <w:spacing w:before="0" w:beforeAutospacing="0" w:after="0" w:afterAutospacing="0"/>
        <w:jc w:val="both"/>
      </w:pPr>
      <w:r w:rsidRPr="00933CC2">
        <w:t>Obesity Prevention Program, Department of Population Medicine</w:t>
      </w:r>
    </w:p>
    <w:p w:rsidR="00B55166" w:rsidRDefault="00B55166" w:rsidP="006B711A">
      <w:pPr>
        <w:pStyle w:val="NormalWeb"/>
        <w:spacing w:before="0" w:beforeAutospacing="0" w:after="0" w:afterAutospacing="0"/>
        <w:jc w:val="both"/>
      </w:pPr>
      <w:r w:rsidRPr="00933CC2">
        <w:t>Harvard Medical School and Harvard Pilgrim Health Care Institute</w:t>
      </w:r>
    </w:p>
    <w:p w:rsidR="00B55166" w:rsidRDefault="00B55166" w:rsidP="006B711A">
      <w:pPr>
        <w:pStyle w:val="NormalWeb"/>
        <w:spacing w:before="0" w:beforeAutospacing="0" w:after="0" w:afterAutospacing="0"/>
        <w:jc w:val="both"/>
      </w:pPr>
      <w:r>
        <w:t>Boston</w:t>
      </w:r>
      <w:r w:rsidR="00E33A9C">
        <w:t>,</w:t>
      </w:r>
      <w:r>
        <w:t xml:space="preserve"> MA</w:t>
      </w:r>
      <w:r w:rsidR="00E33A9C">
        <w:t>, USA</w:t>
      </w:r>
      <w:r>
        <w:t xml:space="preserve"> 02215</w:t>
      </w:r>
    </w:p>
    <w:p w:rsidR="00B55166" w:rsidRPr="00A738CD" w:rsidRDefault="00700DE7" w:rsidP="006B711A">
      <w:pPr>
        <w:pStyle w:val="NormalWeb"/>
        <w:spacing w:before="0" w:beforeAutospacing="0" w:after="0" w:afterAutospacing="0"/>
        <w:jc w:val="both"/>
      </w:pPr>
      <w:hyperlink r:id="rId9" w:history="1">
        <w:r w:rsidR="00B55166" w:rsidRPr="00A738CD">
          <w:rPr>
            <w:rStyle w:val="Hyperlink"/>
            <w:color w:val="auto"/>
            <w:u w:val="none"/>
          </w:rPr>
          <w:t>emily_oken@harvardpilgrim.org</w:t>
        </w:r>
      </w:hyperlink>
    </w:p>
    <w:p w:rsidR="00B55166" w:rsidRDefault="00B55166" w:rsidP="006B711A">
      <w:pPr>
        <w:widowControl w:val="0"/>
        <w:autoSpaceDE w:val="0"/>
        <w:autoSpaceDN w:val="0"/>
        <w:adjustRightInd w:val="0"/>
        <w:jc w:val="both"/>
        <w:rPr>
          <w:b/>
          <w:bCs/>
        </w:rPr>
      </w:pPr>
    </w:p>
    <w:p w:rsidR="009F5F98" w:rsidRDefault="00B55166" w:rsidP="006B711A">
      <w:pPr>
        <w:widowControl w:val="0"/>
        <w:autoSpaceDE w:val="0"/>
        <w:autoSpaceDN w:val="0"/>
        <w:adjustRightInd w:val="0"/>
        <w:jc w:val="both"/>
      </w:pPr>
      <w:r w:rsidRPr="00A738CD">
        <w:rPr>
          <w:b/>
          <w:bCs/>
        </w:rPr>
        <w:t>CORRESPONDING AUTHOR:</w:t>
      </w:r>
      <w:r w:rsidRPr="00EC4C57">
        <w:t xml:space="preserve"> </w:t>
      </w:r>
    </w:p>
    <w:p w:rsidR="00B55166" w:rsidRDefault="00B55166" w:rsidP="006B711A">
      <w:pPr>
        <w:widowControl w:val="0"/>
        <w:autoSpaceDE w:val="0"/>
        <w:autoSpaceDN w:val="0"/>
        <w:adjustRightInd w:val="0"/>
        <w:jc w:val="both"/>
      </w:pPr>
      <w:r w:rsidRPr="00933CC2">
        <w:t>Emily Oken MD, MPH</w:t>
      </w:r>
    </w:p>
    <w:p w:rsidR="00B55166" w:rsidRDefault="00B55166" w:rsidP="006B711A">
      <w:pPr>
        <w:pStyle w:val="NormalWeb"/>
        <w:spacing w:before="0" w:beforeAutospacing="0" w:after="0" w:afterAutospacing="0"/>
        <w:jc w:val="both"/>
      </w:pPr>
      <w:r w:rsidRPr="00933CC2">
        <w:t>Obesity Prevention Program, Department of Population Medicine</w:t>
      </w:r>
    </w:p>
    <w:p w:rsidR="00B55166" w:rsidRDefault="00B55166" w:rsidP="006B711A">
      <w:pPr>
        <w:pStyle w:val="NormalWeb"/>
        <w:spacing w:before="0" w:beforeAutospacing="0" w:after="0" w:afterAutospacing="0"/>
        <w:jc w:val="both"/>
      </w:pPr>
      <w:r w:rsidRPr="00933CC2">
        <w:t>Harvard Medical School and Harvard Pilgrim Health Care Institute</w:t>
      </w:r>
    </w:p>
    <w:p w:rsidR="00B55166" w:rsidRDefault="00B55166" w:rsidP="006B711A">
      <w:pPr>
        <w:pStyle w:val="NormalWeb"/>
        <w:spacing w:before="0" w:beforeAutospacing="0" w:after="0" w:afterAutospacing="0"/>
        <w:jc w:val="both"/>
      </w:pPr>
      <w:r>
        <w:t>401 Park Drive, Suite 401 East</w:t>
      </w:r>
      <w:r w:rsidR="00E33A9C">
        <w:t xml:space="preserve">, </w:t>
      </w:r>
      <w:r>
        <w:t>Boston</w:t>
      </w:r>
      <w:r w:rsidR="00E33A9C">
        <w:t>,</w:t>
      </w:r>
      <w:r>
        <w:t xml:space="preserve"> MA</w:t>
      </w:r>
      <w:r w:rsidR="00E33A9C">
        <w:t>, USA</w:t>
      </w:r>
      <w:r>
        <w:t xml:space="preserve"> 02215</w:t>
      </w:r>
    </w:p>
    <w:p w:rsidR="009F5F98" w:rsidRDefault="00700DE7" w:rsidP="006B711A">
      <w:pPr>
        <w:pStyle w:val="NormalWeb"/>
        <w:spacing w:before="0" w:beforeAutospacing="0" w:after="0" w:afterAutospacing="0"/>
        <w:jc w:val="both"/>
      </w:pPr>
      <w:hyperlink r:id="rId10" w:history="1">
        <w:r w:rsidR="00B55166" w:rsidRPr="00A738CD">
          <w:rPr>
            <w:rStyle w:val="Hyperlink"/>
            <w:color w:val="auto"/>
            <w:u w:val="none"/>
          </w:rPr>
          <w:t>emily_oken@harvardpilgrim.org</w:t>
        </w:r>
      </w:hyperlink>
      <w:r w:rsidR="00B55166" w:rsidRPr="00933CC2">
        <w:tab/>
      </w:r>
    </w:p>
    <w:p w:rsidR="00B55166" w:rsidRDefault="00B55166" w:rsidP="006B711A">
      <w:pPr>
        <w:pStyle w:val="NormalWeb"/>
        <w:spacing w:before="0" w:beforeAutospacing="0" w:after="0" w:afterAutospacing="0"/>
        <w:jc w:val="both"/>
      </w:pPr>
      <w:r w:rsidRPr="00933CC2">
        <w:lastRenderedPageBreak/>
        <w:t>617-</w:t>
      </w:r>
      <w:r>
        <w:t>867</w:t>
      </w:r>
      <w:r w:rsidRPr="00933CC2">
        <w:t>-</w:t>
      </w:r>
      <w:r>
        <w:t>4</w:t>
      </w:r>
      <w:r w:rsidRPr="00933CC2">
        <w:t>879</w:t>
      </w:r>
    </w:p>
    <w:p w:rsidR="00822C32" w:rsidRDefault="00822C32" w:rsidP="006B711A">
      <w:pPr>
        <w:pStyle w:val="NormalWeb"/>
        <w:spacing w:before="0" w:beforeAutospacing="0" w:after="0" w:afterAutospacing="0"/>
        <w:jc w:val="both"/>
        <w:rPr>
          <w:b/>
          <w:bCs/>
        </w:rPr>
      </w:pPr>
    </w:p>
    <w:p w:rsidR="009F5F98" w:rsidRDefault="00693C0C" w:rsidP="006B711A">
      <w:pPr>
        <w:pStyle w:val="NormalWeb"/>
        <w:spacing w:before="0" w:beforeAutospacing="0" w:after="0" w:afterAutospacing="0"/>
        <w:jc w:val="both"/>
      </w:pPr>
      <w:r w:rsidRPr="004250FF">
        <w:rPr>
          <w:b/>
          <w:bCs/>
        </w:rPr>
        <w:t>KEYWORDS:</w:t>
      </w:r>
      <w:r w:rsidRPr="004250FF">
        <w:t xml:space="preserve"> </w:t>
      </w:r>
    </w:p>
    <w:p w:rsidR="00E548B6" w:rsidRDefault="00693C0C" w:rsidP="006B711A">
      <w:pPr>
        <w:pStyle w:val="NormalWeb"/>
        <w:spacing w:before="0" w:beforeAutospacing="0" w:after="0" w:afterAutospacing="0"/>
        <w:jc w:val="both"/>
      </w:pPr>
      <w:r w:rsidRPr="004250FF">
        <w:t xml:space="preserve">Anthropometry, Body Composition, </w:t>
      </w:r>
      <w:r w:rsidR="00C9637C" w:rsidRPr="004250FF">
        <w:t xml:space="preserve">Adiposity, </w:t>
      </w:r>
      <w:r w:rsidRPr="004250FF">
        <w:t>Body Mass Index (BMI), Measurement Reliability, Technical Error of Measurement (TEM)</w:t>
      </w:r>
      <w:r w:rsidR="00E33A9C">
        <w:t>, Medicine</w:t>
      </w:r>
      <w:r w:rsidRPr="004250FF">
        <w:t xml:space="preserve"> </w:t>
      </w:r>
    </w:p>
    <w:p w:rsidR="008B26D6" w:rsidRDefault="008B26D6" w:rsidP="006B711A">
      <w:pPr>
        <w:jc w:val="both"/>
        <w:rPr>
          <w:b/>
          <w:bCs/>
        </w:rPr>
      </w:pPr>
    </w:p>
    <w:p w:rsidR="008469F4" w:rsidRPr="00225B9F" w:rsidRDefault="00693C0C" w:rsidP="006B711A">
      <w:pPr>
        <w:jc w:val="both"/>
        <w:rPr>
          <w:b/>
          <w:bCs/>
        </w:rPr>
      </w:pPr>
      <w:r w:rsidRPr="004250FF">
        <w:rPr>
          <w:b/>
          <w:bCs/>
        </w:rPr>
        <w:t>SHORT ABSTRACT:</w:t>
      </w:r>
      <w:r w:rsidRPr="004250FF">
        <w:t xml:space="preserve"> </w:t>
      </w:r>
    </w:p>
    <w:p w:rsidR="008469F4" w:rsidRDefault="00B11D0E" w:rsidP="006B711A">
      <w:pPr>
        <w:widowControl w:val="0"/>
        <w:autoSpaceDE w:val="0"/>
        <w:autoSpaceDN w:val="0"/>
        <w:adjustRightInd w:val="0"/>
        <w:jc w:val="both"/>
      </w:pPr>
      <w:r>
        <w:t xml:space="preserve">In epidemiologic studies of children, well-trained research staff can accurately and precisely assess </w:t>
      </w:r>
      <w:r w:rsidR="00B578BF">
        <w:t xml:space="preserve">weight, height, </w:t>
      </w:r>
      <w:r>
        <w:t xml:space="preserve">sitting height, skinfold thicknesses, and </w:t>
      </w:r>
      <w:r w:rsidR="00EA52F7">
        <w:t xml:space="preserve">body </w:t>
      </w:r>
      <w:r>
        <w:t xml:space="preserve">circumferences.  </w:t>
      </w:r>
    </w:p>
    <w:p w:rsidR="008B26D6" w:rsidRDefault="008B26D6" w:rsidP="006B711A">
      <w:pPr>
        <w:widowControl w:val="0"/>
        <w:autoSpaceDE w:val="0"/>
        <w:autoSpaceDN w:val="0"/>
        <w:adjustRightInd w:val="0"/>
        <w:jc w:val="both"/>
        <w:rPr>
          <w:b/>
          <w:bCs/>
        </w:rPr>
      </w:pPr>
    </w:p>
    <w:p w:rsidR="008469F4" w:rsidRDefault="00693C0C" w:rsidP="006B711A">
      <w:pPr>
        <w:widowControl w:val="0"/>
        <w:autoSpaceDE w:val="0"/>
        <w:autoSpaceDN w:val="0"/>
        <w:adjustRightInd w:val="0"/>
        <w:jc w:val="both"/>
        <w:rPr>
          <w:i/>
          <w:color w:val="808080"/>
        </w:rPr>
      </w:pPr>
      <w:r w:rsidRPr="004250FF">
        <w:rPr>
          <w:b/>
          <w:bCs/>
        </w:rPr>
        <w:t>LONG ABSTRACT:</w:t>
      </w:r>
      <w:r w:rsidRPr="004250FF">
        <w:t xml:space="preserve"> </w:t>
      </w:r>
    </w:p>
    <w:p w:rsidR="00AF0B29" w:rsidRDefault="00B1693A" w:rsidP="006B711A">
      <w:pPr>
        <w:autoSpaceDE w:val="0"/>
        <w:autoSpaceDN w:val="0"/>
        <w:adjustRightInd w:val="0"/>
        <w:jc w:val="both"/>
        <w:rPr>
          <w:color w:val="000000" w:themeColor="text1"/>
        </w:rPr>
      </w:pPr>
      <w:r>
        <w:rPr>
          <w:color w:val="000000" w:themeColor="text1"/>
        </w:rPr>
        <w:t>A</w:t>
      </w:r>
      <w:r w:rsidRPr="00AB4B93">
        <w:rPr>
          <w:color w:val="000000" w:themeColor="text1"/>
        </w:rPr>
        <w:t xml:space="preserve"> </w:t>
      </w:r>
      <w:r w:rsidR="00B578BF">
        <w:rPr>
          <w:color w:val="000000" w:themeColor="text1"/>
        </w:rPr>
        <w:t xml:space="preserve">high proportion of children </w:t>
      </w:r>
      <w:r>
        <w:rPr>
          <w:color w:val="000000" w:themeColor="text1"/>
        </w:rPr>
        <w:t xml:space="preserve">have </w:t>
      </w:r>
      <w:r w:rsidR="00086027" w:rsidRPr="00AB4B93">
        <w:rPr>
          <w:color w:val="000000" w:themeColor="text1"/>
        </w:rPr>
        <w:t>o</w:t>
      </w:r>
      <w:r w:rsidR="00A71975" w:rsidRPr="00AB4B93">
        <w:rPr>
          <w:color w:val="000000" w:themeColor="text1"/>
        </w:rPr>
        <w:t>verweight</w:t>
      </w:r>
      <w:r w:rsidR="00086027" w:rsidRPr="00AB4B93">
        <w:rPr>
          <w:color w:val="000000" w:themeColor="text1"/>
        </w:rPr>
        <w:t xml:space="preserve"> and obes</w:t>
      </w:r>
      <w:r w:rsidR="00B578BF">
        <w:rPr>
          <w:color w:val="000000" w:themeColor="text1"/>
        </w:rPr>
        <w:t>ity</w:t>
      </w:r>
      <w:r w:rsidR="00086027" w:rsidRPr="00AB4B93">
        <w:rPr>
          <w:color w:val="000000" w:themeColor="text1"/>
        </w:rPr>
        <w:t xml:space="preserve"> in the United States and </w:t>
      </w:r>
      <w:r w:rsidR="00E00130">
        <w:rPr>
          <w:color w:val="000000" w:themeColor="text1"/>
        </w:rPr>
        <w:t xml:space="preserve">other </w:t>
      </w:r>
      <w:r w:rsidR="00086027" w:rsidRPr="00AB4B93">
        <w:rPr>
          <w:color w:val="000000" w:themeColor="text1"/>
        </w:rPr>
        <w:t>countries</w:t>
      </w:r>
      <w:r w:rsidR="002063EF" w:rsidRPr="00AB4B93">
        <w:rPr>
          <w:color w:val="000000" w:themeColor="text1"/>
        </w:rPr>
        <w:t>.</w:t>
      </w:r>
      <w:r w:rsidR="00F37EA2" w:rsidRPr="00AB4B93">
        <w:rPr>
          <w:color w:val="000000" w:themeColor="text1"/>
        </w:rPr>
        <w:t xml:space="preserve"> </w:t>
      </w:r>
      <w:r>
        <w:rPr>
          <w:color w:val="000000" w:themeColor="text1"/>
        </w:rPr>
        <w:t>A</w:t>
      </w:r>
      <w:r w:rsidR="00F37EA2" w:rsidRPr="00AB4B93">
        <w:rPr>
          <w:color w:val="000000" w:themeColor="text1"/>
        </w:rPr>
        <w:t>ccurate assessment of anthropometry is essential</w:t>
      </w:r>
      <w:r>
        <w:rPr>
          <w:color w:val="000000" w:themeColor="text1"/>
        </w:rPr>
        <w:t xml:space="preserve"> t</w:t>
      </w:r>
      <w:r w:rsidRPr="00B1693A">
        <w:rPr>
          <w:color w:val="000000" w:themeColor="text1"/>
        </w:rPr>
        <w:t xml:space="preserve">o </w:t>
      </w:r>
      <w:r>
        <w:rPr>
          <w:color w:val="000000" w:themeColor="text1"/>
        </w:rPr>
        <w:t>understand health effects of</w:t>
      </w:r>
      <w:r w:rsidRPr="00B1693A">
        <w:rPr>
          <w:color w:val="000000" w:themeColor="text1"/>
        </w:rPr>
        <w:t xml:space="preserve"> child growth and adiposity</w:t>
      </w:r>
      <w:r w:rsidR="00F37EA2" w:rsidRPr="00AB4B93">
        <w:rPr>
          <w:color w:val="000000" w:themeColor="text1"/>
        </w:rPr>
        <w:t>. G</w:t>
      </w:r>
      <w:r w:rsidR="00284711" w:rsidRPr="00AB4B93">
        <w:rPr>
          <w:color w:val="000000" w:themeColor="text1"/>
        </w:rPr>
        <w:t xml:space="preserve">old standard methods </w:t>
      </w:r>
      <w:r w:rsidR="00792FE3" w:rsidRPr="00AB4B93">
        <w:rPr>
          <w:color w:val="000000" w:themeColor="text1"/>
        </w:rPr>
        <w:t xml:space="preserve">of </w:t>
      </w:r>
      <w:r w:rsidR="00B578BF">
        <w:rPr>
          <w:color w:val="000000" w:themeColor="text1"/>
        </w:rPr>
        <w:t>measuring adiposity,</w:t>
      </w:r>
      <w:r w:rsidR="004E4142">
        <w:rPr>
          <w:color w:val="000000" w:themeColor="text1"/>
        </w:rPr>
        <w:t xml:space="preserve"> such as </w:t>
      </w:r>
      <w:r w:rsidR="003F1D8F">
        <w:t>dual x-ray absorptiometry</w:t>
      </w:r>
      <w:r w:rsidR="003F1D8F">
        <w:rPr>
          <w:color w:val="000000" w:themeColor="text1"/>
        </w:rPr>
        <w:t xml:space="preserve"> (</w:t>
      </w:r>
      <w:r w:rsidR="004E4142">
        <w:rPr>
          <w:color w:val="000000" w:themeColor="text1"/>
        </w:rPr>
        <w:t>DXA</w:t>
      </w:r>
      <w:r w:rsidR="003F1D8F">
        <w:rPr>
          <w:color w:val="000000" w:themeColor="text1"/>
        </w:rPr>
        <w:t>)</w:t>
      </w:r>
      <w:r w:rsidR="008B2F3D">
        <w:rPr>
          <w:color w:val="000000" w:themeColor="text1"/>
        </w:rPr>
        <w:t>,</w:t>
      </w:r>
      <w:r w:rsidR="00F37EA2" w:rsidRPr="00AB4B93">
        <w:rPr>
          <w:color w:val="000000" w:themeColor="text1"/>
        </w:rPr>
        <w:t xml:space="preserve"> </w:t>
      </w:r>
      <w:r w:rsidR="00284711" w:rsidRPr="00AB4B93">
        <w:rPr>
          <w:color w:val="000000" w:themeColor="text1"/>
        </w:rPr>
        <w:t>may not be feasible in large field studies</w:t>
      </w:r>
      <w:r w:rsidR="00B578BF">
        <w:rPr>
          <w:color w:val="000000" w:themeColor="text1"/>
        </w:rPr>
        <w:t>. Research staff</w:t>
      </w:r>
      <w:r w:rsidR="00AB4B93" w:rsidRPr="00AB4B93">
        <w:rPr>
          <w:color w:val="000000" w:themeColor="text1"/>
        </w:rPr>
        <w:t xml:space="preserve"> </w:t>
      </w:r>
      <w:r w:rsidR="00B578BF">
        <w:rPr>
          <w:color w:val="000000" w:themeColor="text1"/>
        </w:rPr>
        <w:t>can</w:t>
      </w:r>
      <w:r>
        <w:rPr>
          <w:color w:val="000000" w:themeColor="text1"/>
        </w:rPr>
        <w:t xml:space="preserve">, </w:t>
      </w:r>
      <w:r w:rsidRPr="00AB4B93">
        <w:rPr>
          <w:color w:val="000000" w:themeColor="text1"/>
        </w:rPr>
        <w:t>however</w:t>
      </w:r>
      <w:r>
        <w:rPr>
          <w:color w:val="000000" w:themeColor="text1"/>
        </w:rPr>
        <w:t>,</w:t>
      </w:r>
      <w:r w:rsidR="00B578BF">
        <w:rPr>
          <w:color w:val="000000" w:themeColor="text1"/>
        </w:rPr>
        <w:t xml:space="preserve"> complete</w:t>
      </w:r>
      <w:r w:rsidR="00461A3C" w:rsidRPr="00AB4B93">
        <w:rPr>
          <w:color w:val="000000" w:themeColor="text1"/>
        </w:rPr>
        <w:t xml:space="preserve"> anthropometric measurements</w:t>
      </w:r>
      <w:r w:rsidR="008B2F3D">
        <w:rPr>
          <w:color w:val="000000" w:themeColor="text1"/>
        </w:rPr>
        <w:t>,</w:t>
      </w:r>
      <w:r w:rsidR="00461A3C" w:rsidRPr="00AB4B93">
        <w:rPr>
          <w:color w:val="000000" w:themeColor="text1"/>
        </w:rPr>
        <w:t xml:space="preserve"> such as </w:t>
      </w:r>
      <w:r w:rsidR="002063EF" w:rsidRPr="00AB4B93">
        <w:rPr>
          <w:color w:val="000000" w:themeColor="text1"/>
        </w:rPr>
        <w:t>body</w:t>
      </w:r>
      <w:r w:rsidR="00461A3C" w:rsidRPr="00AB4B93">
        <w:rPr>
          <w:color w:val="000000" w:themeColor="text1"/>
        </w:rPr>
        <w:t xml:space="preserve"> circumference</w:t>
      </w:r>
      <w:r w:rsidR="002063EF" w:rsidRPr="00AB4B93">
        <w:rPr>
          <w:color w:val="000000" w:themeColor="text1"/>
        </w:rPr>
        <w:t>s</w:t>
      </w:r>
      <w:r w:rsidR="00461A3C" w:rsidRPr="00AB4B93">
        <w:rPr>
          <w:color w:val="000000" w:themeColor="text1"/>
        </w:rPr>
        <w:t xml:space="preserve"> and skinfold measurements</w:t>
      </w:r>
      <w:r w:rsidR="008B2F3D">
        <w:rPr>
          <w:color w:val="000000" w:themeColor="text1"/>
        </w:rPr>
        <w:t>,</w:t>
      </w:r>
      <w:r w:rsidR="00461A3C" w:rsidRPr="00AB4B93">
        <w:rPr>
          <w:color w:val="000000" w:themeColor="text1"/>
        </w:rPr>
        <w:t xml:space="preserve"> </w:t>
      </w:r>
      <w:r w:rsidR="00792FE3" w:rsidRPr="00AB4B93">
        <w:rPr>
          <w:color w:val="000000" w:themeColor="text1"/>
        </w:rPr>
        <w:t xml:space="preserve">using </w:t>
      </w:r>
      <w:r>
        <w:rPr>
          <w:color w:val="000000" w:themeColor="text1"/>
        </w:rPr>
        <w:t xml:space="preserve">inexpensive </w:t>
      </w:r>
      <w:r w:rsidR="00792FE3" w:rsidRPr="00AB4B93">
        <w:rPr>
          <w:color w:val="000000" w:themeColor="text1"/>
        </w:rPr>
        <w:t>portable equipment</w:t>
      </w:r>
      <w:r w:rsidR="00086027" w:rsidRPr="00AB4B93">
        <w:rPr>
          <w:color w:val="000000" w:themeColor="text1"/>
        </w:rPr>
        <w:t xml:space="preserve">. </w:t>
      </w:r>
      <w:r>
        <w:rPr>
          <w:color w:val="000000" w:themeColor="text1"/>
        </w:rPr>
        <w:t xml:space="preserve">In this protocol </w:t>
      </w:r>
      <w:r w:rsidR="00510626">
        <w:rPr>
          <w:color w:val="000000" w:themeColor="text1"/>
        </w:rPr>
        <w:t xml:space="preserve">we </w:t>
      </w:r>
      <w:r w:rsidR="00B2654C" w:rsidRPr="00AB4B93">
        <w:rPr>
          <w:color w:val="000000" w:themeColor="text1"/>
        </w:rPr>
        <w:t>detail</w:t>
      </w:r>
      <w:r w:rsidR="00510626">
        <w:rPr>
          <w:color w:val="000000" w:themeColor="text1"/>
        </w:rPr>
        <w:t xml:space="preserve"> </w:t>
      </w:r>
      <w:r w:rsidR="00AB4B93" w:rsidRPr="00AB4B93">
        <w:rPr>
          <w:color w:val="000000" w:themeColor="text1"/>
        </w:rPr>
        <w:t xml:space="preserve">how to obtain </w:t>
      </w:r>
      <w:r w:rsidR="00B2654C" w:rsidRPr="00AB4B93">
        <w:rPr>
          <w:color w:val="000000" w:themeColor="text1"/>
        </w:rPr>
        <w:t>manual anthropometric measurement</w:t>
      </w:r>
      <w:r w:rsidR="00E30F9E">
        <w:rPr>
          <w:color w:val="000000" w:themeColor="text1"/>
        </w:rPr>
        <w:t>s</w:t>
      </w:r>
      <w:r>
        <w:rPr>
          <w:color w:val="000000" w:themeColor="text1"/>
        </w:rPr>
        <w:t xml:space="preserve"> </w:t>
      </w:r>
      <w:r w:rsidR="006F657C">
        <w:rPr>
          <w:color w:val="000000" w:themeColor="text1"/>
        </w:rPr>
        <w:t xml:space="preserve">from </w:t>
      </w:r>
      <w:r>
        <w:rPr>
          <w:color w:val="000000" w:themeColor="text1"/>
        </w:rPr>
        <w:t>children, including</w:t>
      </w:r>
      <w:r w:rsidR="00D42CDA">
        <w:rPr>
          <w:color w:val="000000" w:themeColor="text1"/>
        </w:rPr>
        <w:t xml:space="preserve"> </w:t>
      </w:r>
      <w:r w:rsidR="008B2F3D">
        <w:rPr>
          <w:color w:val="000000" w:themeColor="text1"/>
        </w:rPr>
        <w:t>standing</w:t>
      </w:r>
      <w:r w:rsidR="00C51E8E">
        <w:rPr>
          <w:color w:val="000000" w:themeColor="text1"/>
        </w:rPr>
        <w:t xml:space="preserve"> and sitting height, weight, waist circumference, hip circumference, </w:t>
      </w:r>
      <w:r w:rsidR="005A5EDB">
        <w:rPr>
          <w:color w:val="000000" w:themeColor="text1"/>
        </w:rPr>
        <w:t xml:space="preserve">mid-upper arm circumference, </w:t>
      </w:r>
      <w:r w:rsidR="00C51E8E">
        <w:rPr>
          <w:color w:val="000000" w:themeColor="text1"/>
        </w:rPr>
        <w:t>triceps skinfold</w:t>
      </w:r>
      <w:r w:rsidR="00D667E2">
        <w:rPr>
          <w:color w:val="000000" w:themeColor="text1"/>
        </w:rPr>
        <w:t xml:space="preserve"> thickness</w:t>
      </w:r>
      <w:r w:rsidR="00C51E8E">
        <w:rPr>
          <w:color w:val="000000" w:themeColor="text1"/>
        </w:rPr>
        <w:t xml:space="preserve">, </w:t>
      </w:r>
      <w:r w:rsidR="005A5EDB">
        <w:rPr>
          <w:color w:val="000000" w:themeColor="text1"/>
        </w:rPr>
        <w:t xml:space="preserve">and </w:t>
      </w:r>
      <w:r w:rsidR="00C51E8E">
        <w:rPr>
          <w:color w:val="000000" w:themeColor="text1"/>
        </w:rPr>
        <w:t>subscapular skinfold</w:t>
      </w:r>
      <w:r w:rsidR="00D667E2">
        <w:rPr>
          <w:color w:val="000000" w:themeColor="text1"/>
        </w:rPr>
        <w:t xml:space="preserve"> thickness</w:t>
      </w:r>
      <w:r>
        <w:rPr>
          <w:color w:val="000000" w:themeColor="text1"/>
        </w:rPr>
        <w:t xml:space="preserve">, and </w:t>
      </w:r>
      <w:r w:rsidR="00145E65">
        <w:rPr>
          <w:color w:val="000000" w:themeColor="text1"/>
        </w:rPr>
        <w:t xml:space="preserve">procedures </w:t>
      </w:r>
      <w:r>
        <w:rPr>
          <w:color w:val="000000" w:themeColor="text1"/>
        </w:rPr>
        <w:t xml:space="preserve">to assess the quality of </w:t>
      </w:r>
      <w:r w:rsidR="006B228D">
        <w:rPr>
          <w:color w:val="000000" w:themeColor="text1"/>
        </w:rPr>
        <w:t xml:space="preserve">these </w:t>
      </w:r>
      <w:r>
        <w:rPr>
          <w:color w:val="000000" w:themeColor="text1"/>
        </w:rPr>
        <w:t>measurements</w:t>
      </w:r>
      <w:r w:rsidR="00B578BF">
        <w:rPr>
          <w:color w:val="000000" w:themeColor="text1"/>
        </w:rPr>
        <w:t>.</w:t>
      </w:r>
      <w:r w:rsidR="00FA009F" w:rsidRPr="00AB4B93">
        <w:rPr>
          <w:color w:val="000000" w:themeColor="text1"/>
        </w:rPr>
        <w:t xml:space="preserve"> </w:t>
      </w:r>
      <w:r w:rsidR="00B578BF">
        <w:rPr>
          <w:color w:val="000000" w:themeColor="text1"/>
        </w:rPr>
        <w:t>To demonstrate</w:t>
      </w:r>
      <w:r w:rsidR="00D9789F">
        <w:rPr>
          <w:color w:val="000000" w:themeColor="text1"/>
        </w:rPr>
        <w:t xml:space="preserve"> accuracy</w:t>
      </w:r>
      <w:r w:rsidR="00E30F9E">
        <w:rPr>
          <w:color w:val="000000" w:themeColor="text1"/>
        </w:rPr>
        <w:t xml:space="preserve"> of </w:t>
      </w:r>
      <w:r w:rsidR="00B578BF">
        <w:rPr>
          <w:color w:val="000000" w:themeColor="text1"/>
        </w:rPr>
        <w:t>these measurements, among</w:t>
      </w:r>
      <w:r w:rsidR="00201170" w:rsidRPr="00201170">
        <w:rPr>
          <w:rFonts w:eastAsiaTheme="minorHAnsi"/>
        </w:rPr>
        <w:t xml:space="preserve"> 1</w:t>
      </w:r>
      <w:r w:rsidR="00D31924">
        <w:rPr>
          <w:rFonts w:eastAsiaTheme="minorHAnsi"/>
        </w:rPr>
        <w:t>,</w:t>
      </w:r>
      <w:r w:rsidR="00201170" w:rsidRPr="00201170">
        <w:rPr>
          <w:rFonts w:eastAsiaTheme="minorHAnsi"/>
        </w:rPr>
        <w:t xml:space="preserve">110 </w:t>
      </w:r>
      <w:r w:rsidR="00DD356B">
        <w:rPr>
          <w:rFonts w:eastAsiaTheme="minorHAnsi"/>
        </w:rPr>
        <w:t xml:space="preserve">school-aged </w:t>
      </w:r>
      <w:r w:rsidR="00201170" w:rsidRPr="00201170">
        <w:rPr>
          <w:rFonts w:eastAsiaTheme="minorHAnsi"/>
        </w:rPr>
        <w:t>children in the pre-birth cohort Project Viva</w:t>
      </w:r>
      <w:r w:rsidR="00B578BF">
        <w:rPr>
          <w:rFonts w:eastAsiaTheme="minorHAnsi"/>
        </w:rPr>
        <w:t xml:space="preserve"> we </w:t>
      </w:r>
      <w:r>
        <w:rPr>
          <w:rFonts w:eastAsiaTheme="minorHAnsi"/>
        </w:rPr>
        <w:t>calculated</w:t>
      </w:r>
      <w:r w:rsidR="00B578BF">
        <w:rPr>
          <w:rFonts w:eastAsiaTheme="minorHAnsi"/>
        </w:rPr>
        <w:t xml:space="preserve"> </w:t>
      </w:r>
      <w:r w:rsidR="00201170" w:rsidRPr="00201170">
        <w:rPr>
          <w:rFonts w:eastAsiaTheme="minorHAnsi"/>
        </w:rPr>
        <w:t>Spearman</w:t>
      </w:r>
      <w:r w:rsidR="00201170">
        <w:rPr>
          <w:rFonts w:eastAsiaTheme="minorHAnsi"/>
        </w:rPr>
        <w:t xml:space="preserve"> </w:t>
      </w:r>
      <w:r w:rsidR="00201170" w:rsidRPr="00201170">
        <w:rPr>
          <w:rFonts w:eastAsiaTheme="minorHAnsi"/>
        </w:rPr>
        <w:t xml:space="preserve">correlation coefficients </w:t>
      </w:r>
      <w:r>
        <w:rPr>
          <w:color w:val="000000" w:themeColor="text1"/>
        </w:rPr>
        <w:t>comparing</w:t>
      </w:r>
      <w:r w:rsidR="00D9789F">
        <w:rPr>
          <w:color w:val="000000" w:themeColor="text1"/>
        </w:rPr>
        <w:t xml:space="preserve"> </w:t>
      </w:r>
      <w:r w:rsidR="00F93F1D" w:rsidRPr="00AB4B93">
        <w:rPr>
          <w:color w:val="000000" w:themeColor="text1"/>
        </w:rPr>
        <w:t>manual anthropometric measurements</w:t>
      </w:r>
      <w:r w:rsidR="00F93F1D">
        <w:rPr>
          <w:color w:val="000000" w:themeColor="text1"/>
        </w:rPr>
        <w:t xml:space="preserve"> with </w:t>
      </w:r>
      <w:r w:rsidR="00B578BF">
        <w:rPr>
          <w:color w:val="000000" w:themeColor="text1"/>
        </w:rPr>
        <w:t xml:space="preserve">a </w:t>
      </w:r>
      <w:r w:rsidR="00792FE3" w:rsidRPr="00AB4B93">
        <w:rPr>
          <w:color w:val="000000" w:themeColor="text1"/>
        </w:rPr>
        <w:t>gold standard measure of body fat</w:t>
      </w:r>
      <w:r w:rsidR="00B578BF">
        <w:rPr>
          <w:color w:val="000000" w:themeColor="text1"/>
        </w:rPr>
        <w:t xml:space="preserve">, </w:t>
      </w:r>
      <w:r w:rsidR="00792FE3" w:rsidRPr="00AB4B93">
        <w:rPr>
          <w:color w:val="000000" w:themeColor="text1"/>
        </w:rPr>
        <w:t>DXA</w:t>
      </w:r>
      <w:r w:rsidR="000E72DD">
        <w:rPr>
          <w:color w:val="000000" w:themeColor="text1"/>
        </w:rPr>
        <w:t xml:space="preserve"> fat mass</w:t>
      </w:r>
      <w:r w:rsidR="0033190A">
        <w:rPr>
          <w:color w:val="000000" w:themeColor="text1"/>
          <w:vertAlign w:val="superscript"/>
        </w:rPr>
        <w:t>1</w:t>
      </w:r>
      <w:r w:rsidR="00B578BF">
        <w:rPr>
          <w:color w:val="000000" w:themeColor="text1"/>
        </w:rPr>
        <w:t>.</w:t>
      </w:r>
      <w:r w:rsidR="00792FE3" w:rsidRPr="00AB4B93">
        <w:rPr>
          <w:color w:val="000000" w:themeColor="text1"/>
        </w:rPr>
        <w:t xml:space="preserve"> </w:t>
      </w:r>
      <w:r w:rsidR="00D9789F">
        <w:rPr>
          <w:color w:val="000000" w:themeColor="text1"/>
        </w:rPr>
        <w:t>T</w:t>
      </w:r>
      <w:r w:rsidR="00B578BF">
        <w:rPr>
          <w:color w:val="000000" w:themeColor="text1"/>
        </w:rPr>
        <w:t xml:space="preserve">o address reliability, we evaluate </w:t>
      </w:r>
      <w:r w:rsidR="00D9789F">
        <w:rPr>
          <w:color w:val="000000" w:themeColor="text1"/>
        </w:rPr>
        <w:t>intra-rater technical error of measurement at a quality control session conducted on adult female volunteers.</w:t>
      </w:r>
      <w:r w:rsidR="00792FE3" w:rsidRPr="00AB4B93">
        <w:rPr>
          <w:color w:val="000000" w:themeColor="text1"/>
        </w:rPr>
        <w:t xml:space="preserve"> </w:t>
      </w:r>
      <w:r w:rsidR="00F37EA2" w:rsidRPr="00AB4B93">
        <w:rPr>
          <w:color w:val="000000" w:themeColor="text1"/>
        </w:rPr>
        <w:t xml:space="preserve">  </w:t>
      </w:r>
      <w:r w:rsidR="00B2654C" w:rsidRPr="00AB4B93">
        <w:rPr>
          <w:color w:val="000000" w:themeColor="text1"/>
        </w:rPr>
        <w:t xml:space="preserve"> </w:t>
      </w:r>
      <w:r w:rsidR="00284711" w:rsidRPr="00AB4B93">
        <w:rPr>
          <w:color w:val="000000" w:themeColor="text1"/>
        </w:rPr>
        <w:t xml:space="preserve"> </w:t>
      </w:r>
    </w:p>
    <w:p w:rsidR="008B26D6" w:rsidRDefault="008B26D6" w:rsidP="006B711A">
      <w:pPr>
        <w:autoSpaceDE w:val="0"/>
        <w:autoSpaceDN w:val="0"/>
        <w:adjustRightInd w:val="0"/>
        <w:jc w:val="both"/>
        <w:rPr>
          <w:b/>
        </w:rPr>
      </w:pPr>
    </w:p>
    <w:p w:rsidR="008469F4" w:rsidRDefault="00693C0C" w:rsidP="006B711A">
      <w:pPr>
        <w:autoSpaceDE w:val="0"/>
        <w:autoSpaceDN w:val="0"/>
        <w:adjustRightInd w:val="0"/>
        <w:jc w:val="both"/>
        <w:rPr>
          <w:i/>
        </w:rPr>
      </w:pPr>
      <w:r w:rsidRPr="00572246">
        <w:rPr>
          <w:b/>
        </w:rPr>
        <w:t>INTRODUCTION</w:t>
      </w:r>
      <w:r w:rsidRPr="00572246">
        <w:rPr>
          <w:b/>
          <w:bCs/>
        </w:rPr>
        <w:t>:</w:t>
      </w:r>
      <w:r w:rsidR="00933CC2" w:rsidRPr="00933CC2">
        <w:rPr>
          <w:i/>
        </w:rPr>
        <w:t xml:space="preserve"> </w:t>
      </w:r>
    </w:p>
    <w:p w:rsidR="00717F17" w:rsidRPr="00572246" w:rsidRDefault="00933CC2" w:rsidP="006B711A">
      <w:pPr>
        <w:jc w:val="both"/>
      </w:pPr>
      <w:r w:rsidRPr="00933CC2">
        <w:t xml:space="preserve">Overweight and obesity remain at epidemic levels, with approximately one-third of US children and two-thirds of adults </w:t>
      </w:r>
      <w:r w:rsidR="00B578BF">
        <w:t xml:space="preserve">having </w:t>
      </w:r>
      <w:r w:rsidRPr="00933CC2">
        <w:t>overweight or obes</w:t>
      </w:r>
      <w:r w:rsidR="00B578BF">
        <w:t>ity</w:t>
      </w:r>
      <w:r w:rsidR="00E00130">
        <w:t>,</w:t>
      </w:r>
      <w:r w:rsidRPr="00933CC2">
        <w:t xml:space="preserve"> according to 2011-2012 estimates</w:t>
      </w:r>
      <w:r w:rsidR="00CF732E">
        <w:rPr>
          <w:vertAlign w:val="superscript"/>
        </w:rPr>
        <w:t>2</w:t>
      </w:r>
      <w:r w:rsidRPr="00933CC2">
        <w:t xml:space="preserve">. Overweight, obesity, and excess body fat </w:t>
      </w:r>
      <w:r w:rsidR="00062859">
        <w:t>confer</w:t>
      </w:r>
      <w:r w:rsidRPr="00933CC2">
        <w:t xml:space="preserve"> greater risk of adverse cardiometabolic outcomes</w:t>
      </w:r>
      <w:r w:rsidR="00E548B6">
        <w:t>,</w:t>
      </w:r>
      <w:r w:rsidRPr="00933CC2">
        <w:t xml:space="preserve"> including </w:t>
      </w:r>
      <w:r w:rsidR="00E00130">
        <w:t>T</w:t>
      </w:r>
      <w:r w:rsidR="00E00130" w:rsidRPr="00933CC2">
        <w:t xml:space="preserve">ype </w:t>
      </w:r>
      <w:r w:rsidRPr="00933CC2">
        <w:t xml:space="preserve">2 diabetes and cardiovascular diseases, as well as other </w:t>
      </w:r>
      <w:r w:rsidR="00B578BF">
        <w:t>adverse</w:t>
      </w:r>
      <w:r w:rsidR="00B578BF" w:rsidRPr="00933CC2">
        <w:t xml:space="preserve"> </w:t>
      </w:r>
      <w:r w:rsidRPr="00933CC2">
        <w:t>physical and psychological health outcomes</w:t>
      </w:r>
      <w:r w:rsidR="00E548B6">
        <w:t>,</w:t>
      </w:r>
      <w:r w:rsidRPr="00933CC2">
        <w:t xml:space="preserve"> including </w:t>
      </w:r>
      <w:r w:rsidR="00C06998">
        <w:t>asthma</w:t>
      </w:r>
      <w:r w:rsidRPr="00933CC2">
        <w:t xml:space="preserve"> and depression</w:t>
      </w:r>
      <w:r w:rsidR="003B3CBA">
        <w:rPr>
          <w:vertAlign w:val="superscript"/>
        </w:rPr>
        <w:t>3</w:t>
      </w:r>
      <w:r w:rsidR="00F16704">
        <w:rPr>
          <w:vertAlign w:val="superscript"/>
        </w:rPr>
        <w:t>-</w:t>
      </w:r>
      <w:r w:rsidR="001D3E34">
        <w:rPr>
          <w:vertAlign w:val="superscript"/>
        </w:rPr>
        <w:t>6</w:t>
      </w:r>
      <w:r w:rsidR="004E0E16">
        <w:t>.</w:t>
      </w:r>
    </w:p>
    <w:p w:rsidR="008B26D6" w:rsidRDefault="008B26D6" w:rsidP="006B711A">
      <w:pPr>
        <w:jc w:val="both"/>
      </w:pPr>
    </w:p>
    <w:p w:rsidR="004273E2" w:rsidRPr="00572246" w:rsidRDefault="00933CC2" w:rsidP="006B711A">
      <w:pPr>
        <w:jc w:val="both"/>
      </w:pPr>
      <w:r w:rsidRPr="00933CC2">
        <w:t xml:space="preserve">Most studies that examine associations between obesity </w:t>
      </w:r>
      <w:r w:rsidR="004E0E16">
        <w:t xml:space="preserve">and later-life health outcomes </w:t>
      </w:r>
      <w:r w:rsidR="00B1693A">
        <w:t>assume</w:t>
      </w:r>
      <w:r w:rsidRPr="00933CC2">
        <w:t xml:space="preserve"> </w:t>
      </w:r>
      <w:r w:rsidR="00561B82">
        <w:t>accurate</w:t>
      </w:r>
      <w:r w:rsidRPr="00933CC2">
        <w:t xml:space="preserve"> measurements</w:t>
      </w:r>
      <w:r w:rsidR="00BD299B">
        <w:t xml:space="preserve"> of weight and length/height</w:t>
      </w:r>
      <w:r w:rsidRPr="00933CC2">
        <w:t>. Categories of weight status</w:t>
      </w:r>
      <w:r w:rsidR="00D8340A">
        <w:t xml:space="preserve"> in adults</w:t>
      </w:r>
      <w:r w:rsidR="00886EE5">
        <w:t xml:space="preserve"> and children</w:t>
      </w:r>
      <w:r w:rsidR="00BD299B">
        <w:t xml:space="preserve"> include</w:t>
      </w:r>
      <w:r w:rsidRPr="00933CC2">
        <w:t xml:space="preserve"> underweight (body mass index (BMI) &lt;18</w:t>
      </w:r>
      <w:r w:rsidR="00D8340A">
        <w:t>.0</w:t>
      </w:r>
      <w:r w:rsidRPr="00933CC2">
        <w:t xml:space="preserve"> kg/m</w:t>
      </w:r>
      <w:r w:rsidRPr="00933CC2">
        <w:rPr>
          <w:vertAlign w:val="superscript"/>
        </w:rPr>
        <w:t>2</w:t>
      </w:r>
      <w:r w:rsidR="00886EE5">
        <w:rPr>
          <w:vertAlign w:val="superscript"/>
        </w:rPr>
        <w:t xml:space="preserve"> </w:t>
      </w:r>
      <w:r w:rsidR="00886EE5">
        <w:t xml:space="preserve">for adults and </w:t>
      </w:r>
      <w:r w:rsidR="0048479A">
        <w:t>&lt;</w:t>
      </w:r>
      <w:r w:rsidR="00886EE5">
        <w:t>5</w:t>
      </w:r>
      <w:r w:rsidR="00092074" w:rsidRPr="00092074">
        <w:rPr>
          <w:vertAlign w:val="superscript"/>
        </w:rPr>
        <w:t>th</w:t>
      </w:r>
      <w:r w:rsidR="00BD299B">
        <w:t xml:space="preserve"> age-sex-specific percentile </w:t>
      </w:r>
      <w:r w:rsidR="00886EE5">
        <w:t>for children</w:t>
      </w:r>
      <w:r w:rsidRPr="00933CC2">
        <w:t>), normal weight (BMI 18</w:t>
      </w:r>
      <w:r w:rsidR="00D8340A">
        <w:t>.0</w:t>
      </w:r>
      <w:r w:rsidR="00BA1B89">
        <w:t xml:space="preserve"> to &lt;</w:t>
      </w:r>
      <w:r w:rsidR="00D8340A">
        <w:t>25.0</w:t>
      </w:r>
      <w:r w:rsidRPr="00933CC2">
        <w:t xml:space="preserve"> kg/m</w:t>
      </w:r>
      <w:r w:rsidRPr="00933CC2">
        <w:rPr>
          <w:vertAlign w:val="superscript"/>
        </w:rPr>
        <w:t>2</w:t>
      </w:r>
      <w:r w:rsidR="00886EE5">
        <w:t xml:space="preserve"> for adults and 5</w:t>
      </w:r>
      <w:r w:rsidR="00092074" w:rsidRPr="00092074">
        <w:rPr>
          <w:vertAlign w:val="superscript"/>
        </w:rPr>
        <w:t>th</w:t>
      </w:r>
      <w:r w:rsidR="00BD299B">
        <w:t xml:space="preserve"> </w:t>
      </w:r>
      <w:r w:rsidR="00BA1B89">
        <w:t>to &lt;85</w:t>
      </w:r>
      <w:r w:rsidR="00092074" w:rsidRPr="00092074">
        <w:rPr>
          <w:vertAlign w:val="superscript"/>
        </w:rPr>
        <w:t>th</w:t>
      </w:r>
      <w:r w:rsidR="00BA1B89">
        <w:t xml:space="preserve"> </w:t>
      </w:r>
      <w:r w:rsidR="00BD299B">
        <w:t xml:space="preserve">percentile </w:t>
      </w:r>
      <w:r w:rsidR="0048479A">
        <w:t>for</w:t>
      </w:r>
      <w:r w:rsidR="00886EE5">
        <w:t xml:space="preserve"> children</w:t>
      </w:r>
      <w:r w:rsidRPr="00933CC2">
        <w:t>), overweight (BMI 25</w:t>
      </w:r>
      <w:r w:rsidR="00D8340A">
        <w:t>.0</w:t>
      </w:r>
      <w:r w:rsidR="00BA1B89">
        <w:t xml:space="preserve"> to &lt;</w:t>
      </w:r>
      <w:r w:rsidR="00D8340A">
        <w:t>30.0</w:t>
      </w:r>
      <w:r w:rsidRPr="00933CC2">
        <w:t xml:space="preserve"> kg/m</w:t>
      </w:r>
      <w:r w:rsidRPr="00933CC2">
        <w:rPr>
          <w:vertAlign w:val="superscript"/>
        </w:rPr>
        <w:t>2</w:t>
      </w:r>
      <w:r w:rsidR="00886EE5">
        <w:t xml:space="preserve"> for adults and</w:t>
      </w:r>
      <w:r w:rsidR="0048479A">
        <w:t xml:space="preserve"> 85</w:t>
      </w:r>
      <w:r w:rsidR="00092074" w:rsidRPr="00092074">
        <w:rPr>
          <w:vertAlign w:val="superscript"/>
        </w:rPr>
        <w:t>th</w:t>
      </w:r>
      <w:r w:rsidR="00BD299B">
        <w:t xml:space="preserve"> to </w:t>
      </w:r>
      <w:r w:rsidR="00BA1B89">
        <w:t>&lt;95</w:t>
      </w:r>
      <w:r w:rsidR="00092074" w:rsidRPr="00092074">
        <w:rPr>
          <w:vertAlign w:val="superscript"/>
        </w:rPr>
        <w:t>th</w:t>
      </w:r>
      <w:r w:rsidR="00BD299B">
        <w:t xml:space="preserve"> percentile</w:t>
      </w:r>
      <w:r w:rsidR="0048479A">
        <w:t xml:space="preserve"> for children</w:t>
      </w:r>
      <w:r w:rsidRPr="00933CC2">
        <w:t xml:space="preserve">), and obesity (BMI </w:t>
      </w:r>
      <w:r w:rsidR="008F07CC">
        <w:t>≥</w:t>
      </w:r>
      <w:r w:rsidRPr="00933CC2">
        <w:t>30 kg/m</w:t>
      </w:r>
      <w:r w:rsidRPr="00933CC2">
        <w:rPr>
          <w:vertAlign w:val="superscript"/>
        </w:rPr>
        <w:t>2</w:t>
      </w:r>
      <w:r w:rsidR="0048479A">
        <w:rPr>
          <w:vertAlign w:val="superscript"/>
        </w:rPr>
        <w:t xml:space="preserve"> </w:t>
      </w:r>
      <w:r w:rsidR="0048479A">
        <w:t xml:space="preserve">for adults and </w:t>
      </w:r>
      <w:r w:rsidR="008F07CC">
        <w:t>≥</w:t>
      </w:r>
      <w:r w:rsidR="0048479A">
        <w:t>95</w:t>
      </w:r>
      <w:r w:rsidR="00092074" w:rsidRPr="00092074">
        <w:rPr>
          <w:vertAlign w:val="superscript"/>
        </w:rPr>
        <w:t>th</w:t>
      </w:r>
      <w:r w:rsidR="00BD299B">
        <w:t xml:space="preserve"> percentile</w:t>
      </w:r>
      <w:r w:rsidR="00BA1B89">
        <w:t xml:space="preserve"> for </w:t>
      </w:r>
      <w:r w:rsidR="0048479A">
        <w:t>children</w:t>
      </w:r>
      <w:r w:rsidRPr="00933CC2">
        <w:t>)</w:t>
      </w:r>
      <w:r w:rsidR="00BD299B">
        <w:t xml:space="preserve">. </w:t>
      </w:r>
      <w:r w:rsidR="007B6CC3">
        <w:t xml:space="preserve">Even minor measurement errors can influence these </w:t>
      </w:r>
      <w:r w:rsidRPr="00933CC2">
        <w:t>categorizations</w:t>
      </w:r>
      <w:r w:rsidR="009A04EA">
        <w:t>,</w:t>
      </w:r>
      <w:r w:rsidRPr="00933CC2">
        <w:t xml:space="preserve"> especially in children for whom errors that appear small on an absolute scale can represent a large error relative to the child’s size</w:t>
      </w:r>
      <w:r w:rsidR="001D3E34">
        <w:rPr>
          <w:vertAlign w:val="superscript"/>
        </w:rPr>
        <w:t>7</w:t>
      </w:r>
      <w:r w:rsidRPr="00933CC2">
        <w:t xml:space="preserve">. </w:t>
      </w:r>
      <w:r w:rsidR="00047211" w:rsidRPr="00572246">
        <w:t xml:space="preserve">For example, </w:t>
      </w:r>
      <w:r w:rsidR="003B2B1A" w:rsidRPr="00572246">
        <w:t xml:space="preserve">in </w:t>
      </w:r>
      <w:r w:rsidR="004273E2" w:rsidRPr="00572246">
        <w:t>a prior study</w:t>
      </w:r>
      <w:r w:rsidR="003B2B1A" w:rsidRPr="00572246">
        <w:t xml:space="preserve"> </w:t>
      </w:r>
      <w:r w:rsidR="002E7027">
        <w:t>of children under 2 years of age, compar</w:t>
      </w:r>
      <w:r w:rsidR="006D7DE8">
        <w:t>isons of</w:t>
      </w:r>
      <w:r w:rsidR="002E7027">
        <w:t xml:space="preserve"> length measured by the conventional clinical </w:t>
      </w:r>
      <w:r w:rsidR="002E7027" w:rsidRPr="00572246">
        <w:t>paper</w:t>
      </w:r>
      <w:r w:rsidR="002E7027">
        <w:t>-</w:t>
      </w:r>
      <w:r w:rsidR="002E7027" w:rsidRPr="00572246">
        <w:t>and</w:t>
      </w:r>
      <w:r w:rsidR="002E7027">
        <w:t>-</w:t>
      </w:r>
      <w:r w:rsidR="004273E2" w:rsidRPr="00572246">
        <w:t xml:space="preserve">pencil method </w:t>
      </w:r>
      <w:r w:rsidR="002E4F17">
        <w:t>with the recumbent length-board method</w:t>
      </w:r>
      <w:r w:rsidR="006D7DE8">
        <w:t xml:space="preserve"> indicated that p</w:t>
      </w:r>
      <w:r w:rsidR="002E7027">
        <w:t>aper-and-pencil method systematically overestimated length</w:t>
      </w:r>
      <w:r w:rsidR="00E16F76">
        <w:t xml:space="preserve"> </w:t>
      </w:r>
      <w:r w:rsidR="004273E2" w:rsidRPr="00572246">
        <w:t>by an average of 1</w:t>
      </w:r>
      <w:r w:rsidR="002E4F17">
        <w:t>.3 (1.5)</w:t>
      </w:r>
      <w:r w:rsidR="004273E2" w:rsidRPr="00572246">
        <w:t xml:space="preserve"> cm</w:t>
      </w:r>
      <w:r w:rsidR="002E4F17">
        <w:t xml:space="preserve"> </w:t>
      </w:r>
      <w:r w:rsidR="004273E2" w:rsidRPr="00572246">
        <w:t>– a</w:t>
      </w:r>
      <w:r w:rsidR="00BD299B">
        <w:t>n</w:t>
      </w:r>
      <w:r w:rsidR="00B578BF">
        <w:t xml:space="preserve"> </w:t>
      </w:r>
      <w:r w:rsidR="004273E2" w:rsidRPr="00572246">
        <w:t>error that result</w:t>
      </w:r>
      <w:r w:rsidR="00B578BF">
        <w:t>s</w:t>
      </w:r>
      <w:r w:rsidR="004273E2" w:rsidRPr="00572246">
        <w:t xml:space="preserve"> in substantial misclassification</w:t>
      </w:r>
      <w:r w:rsidR="001D3E34">
        <w:rPr>
          <w:vertAlign w:val="superscript"/>
        </w:rPr>
        <w:t>7</w:t>
      </w:r>
      <w:r w:rsidR="005B45C9">
        <w:t>.</w:t>
      </w:r>
      <w:r w:rsidR="00462982">
        <w:t xml:space="preserve"> </w:t>
      </w:r>
      <w:r w:rsidR="00047211" w:rsidRPr="00572246">
        <w:t xml:space="preserve"> </w:t>
      </w:r>
      <w:r w:rsidRPr="00933CC2">
        <w:t xml:space="preserve"> </w:t>
      </w:r>
    </w:p>
    <w:p w:rsidR="008B26D6" w:rsidRDefault="008B26D6" w:rsidP="008B26D6">
      <w:pPr>
        <w:jc w:val="both"/>
      </w:pPr>
    </w:p>
    <w:p w:rsidR="00A27195" w:rsidRPr="00572246" w:rsidRDefault="00BD299B" w:rsidP="008B26D6">
      <w:pPr>
        <w:jc w:val="both"/>
      </w:pPr>
      <w:r>
        <w:lastRenderedPageBreak/>
        <w:t xml:space="preserve">Using </w:t>
      </w:r>
      <w:r w:rsidR="00971B79" w:rsidRPr="00572246">
        <w:t xml:space="preserve">BMI </w:t>
      </w:r>
      <w:r>
        <w:t xml:space="preserve">to estimate adiposity </w:t>
      </w:r>
      <w:r w:rsidR="00971B79" w:rsidRPr="00572246">
        <w:t>offers many advantages for research, including the lo</w:t>
      </w:r>
      <w:r w:rsidR="001F62CB">
        <w:t xml:space="preserve">w equipment </w:t>
      </w:r>
      <w:r w:rsidR="00971B79" w:rsidRPr="00572246">
        <w:t>cost and</w:t>
      </w:r>
      <w:r w:rsidR="001F62CB">
        <w:t xml:space="preserve"> minimal</w:t>
      </w:r>
      <w:r w:rsidR="00971B79" w:rsidRPr="00572246">
        <w:t xml:space="preserve"> burden of height and weight measurement, as well as the opportunity to leverage self-report and clinical measures. However, </w:t>
      </w:r>
      <w:r w:rsidR="00066CBA" w:rsidRPr="00066CBA">
        <w:t xml:space="preserve">even with </w:t>
      </w:r>
      <w:r w:rsidR="004273E2" w:rsidRPr="00572246">
        <w:t>a</w:t>
      </w:r>
      <w:r w:rsidR="00EC0495" w:rsidRPr="00572246">
        <w:t>ccurate</w:t>
      </w:r>
      <w:r w:rsidR="00DE155A" w:rsidRPr="00572246">
        <w:t xml:space="preserve"> </w:t>
      </w:r>
      <w:r w:rsidR="00EC0495" w:rsidRPr="00572246">
        <w:t>measurement</w:t>
      </w:r>
      <w:r w:rsidR="004273E2" w:rsidRPr="00572246">
        <w:t xml:space="preserve"> of height and weight</w:t>
      </w:r>
      <w:r w:rsidR="00212928" w:rsidRPr="00572246">
        <w:t xml:space="preserve">, </w:t>
      </w:r>
      <w:r w:rsidR="004273E2" w:rsidRPr="00572246">
        <w:t xml:space="preserve">variation in </w:t>
      </w:r>
      <w:r w:rsidR="00212928" w:rsidRPr="00572246">
        <w:t>BMI</w:t>
      </w:r>
      <w:r w:rsidR="004273E2" w:rsidRPr="00572246">
        <w:t xml:space="preserve"> does not necessarily reflect variation in adiposity, since BMI incorporates both lean and fat mass</w:t>
      </w:r>
      <w:r w:rsidR="00CF732E">
        <w:rPr>
          <w:vertAlign w:val="superscript"/>
        </w:rPr>
        <w:t>1</w:t>
      </w:r>
      <w:r w:rsidR="004273E2" w:rsidRPr="00572246">
        <w:t xml:space="preserve">. Thus, methods that </w:t>
      </w:r>
      <w:r w:rsidR="00561B82">
        <w:t>directly</w:t>
      </w:r>
      <w:r w:rsidR="004273E2" w:rsidRPr="00572246">
        <w:t xml:space="preserve"> measure</w:t>
      </w:r>
      <w:r w:rsidR="00F57D4E" w:rsidRPr="00572246">
        <w:t xml:space="preserve"> adiposity</w:t>
      </w:r>
      <w:r w:rsidR="00DE155A" w:rsidRPr="00572246">
        <w:t xml:space="preserve"> </w:t>
      </w:r>
      <w:r w:rsidR="00EC0495" w:rsidRPr="00572246">
        <w:t>are</w:t>
      </w:r>
      <w:r w:rsidR="00DE155A" w:rsidRPr="00572246">
        <w:t xml:space="preserve"> </w:t>
      </w:r>
      <w:r w:rsidR="00971B79" w:rsidRPr="00572246">
        <w:t xml:space="preserve">also </w:t>
      </w:r>
      <w:r w:rsidR="00F57D4E" w:rsidRPr="00572246">
        <w:t>important</w:t>
      </w:r>
      <w:r w:rsidR="00DE155A" w:rsidRPr="00572246">
        <w:t xml:space="preserve"> for </w:t>
      </w:r>
      <w:r w:rsidR="00F57D4E" w:rsidRPr="00572246">
        <w:t>understanding</w:t>
      </w:r>
      <w:r w:rsidR="00DE155A" w:rsidRPr="00572246">
        <w:t xml:space="preserve"> </w:t>
      </w:r>
      <w:r w:rsidR="00EC0495" w:rsidRPr="00572246">
        <w:t>relationships</w:t>
      </w:r>
      <w:r w:rsidR="00DE155A" w:rsidRPr="00572246">
        <w:t xml:space="preserve"> </w:t>
      </w:r>
      <w:r w:rsidR="00F57D4E" w:rsidRPr="00572246">
        <w:t>with</w:t>
      </w:r>
      <w:r w:rsidR="00052171" w:rsidRPr="00572246">
        <w:t xml:space="preserve"> health outcomes</w:t>
      </w:r>
      <w:r w:rsidR="00A27195" w:rsidRPr="00572246">
        <w:t xml:space="preserve">. </w:t>
      </w:r>
    </w:p>
    <w:p w:rsidR="008B26D6" w:rsidRDefault="008B26D6" w:rsidP="008B26D6">
      <w:pPr>
        <w:jc w:val="both"/>
      </w:pPr>
    </w:p>
    <w:p w:rsidR="008B26D6" w:rsidRDefault="00A27195" w:rsidP="008B26D6">
      <w:pPr>
        <w:jc w:val="both"/>
      </w:pPr>
      <w:r w:rsidRPr="00572246">
        <w:t>G</w:t>
      </w:r>
      <w:r w:rsidR="00DE155A" w:rsidRPr="00572246">
        <w:t xml:space="preserve">old standard </w:t>
      </w:r>
      <w:r w:rsidR="007A7CE7" w:rsidRPr="00572246">
        <w:t xml:space="preserve">methods </w:t>
      </w:r>
      <w:r w:rsidR="00DE155A" w:rsidRPr="00572246">
        <w:t xml:space="preserve">of </w:t>
      </w:r>
      <w:r w:rsidR="007A7CE7" w:rsidRPr="00572246">
        <w:t xml:space="preserve">adiposity and body composition </w:t>
      </w:r>
      <w:r w:rsidR="00DE155A" w:rsidRPr="00572246">
        <w:t>measurement</w:t>
      </w:r>
      <w:r w:rsidR="005E6B8E" w:rsidRPr="00572246">
        <w:t xml:space="preserve"> </w:t>
      </w:r>
      <w:r w:rsidR="007A7CE7" w:rsidRPr="00572246">
        <w:t>generally rely on</w:t>
      </w:r>
      <w:r w:rsidRPr="00572246">
        <w:t xml:space="preserve"> technological </w:t>
      </w:r>
      <w:r w:rsidR="007A7CE7" w:rsidRPr="00572246">
        <w:t xml:space="preserve">methods, including </w:t>
      </w:r>
      <w:r w:rsidR="00DE155A" w:rsidRPr="00572246">
        <w:t xml:space="preserve">air displacement plethysmography (ADP), hydrostatic weighing, magnetic resonance imaging (MRI), </w:t>
      </w:r>
      <w:r w:rsidR="00BD299B">
        <w:t xml:space="preserve">and </w:t>
      </w:r>
      <w:r w:rsidR="00DE155A" w:rsidRPr="00572246">
        <w:t xml:space="preserve">computed tomography (CT), </w:t>
      </w:r>
      <w:r w:rsidR="00BD299B">
        <w:t xml:space="preserve">as well as </w:t>
      </w:r>
      <w:r w:rsidR="00145E65" w:rsidRPr="00145E65">
        <w:t>dual x-ray absorptiometry (DXA)</w:t>
      </w:r>
      <w:r w:rsidR="009E7FFA">
        <w:rPr>
          <w:vertAlign w:val="superscript"/>
        </w:rPr>
        <w:t>8</w:t>
      </w:r>
      <w:r w:rsidR="009956D0">
        <w:rPr>
          <w:vertAlign w:val="superscript"/>
        </w:rPr>
        <w:t>,9</w:t>
      </w:r>
      <w:r w:rsidR="001D3E34">
        <w:rPr>
          <w:vertAlign w:val="superscript"/>
        </w:rPr>
        <w:t>,10</w:t>
      </w:r>
      <w:r w:rsidR="00DE155A" w:rsidRPr="00572246">
        <w:t xml:space="preserve">. While </w:t>
      </w:r>
      <w:r w:rsidR="00F84660" w:rsidRPr="00572246">
        <w:t>the</w:t>
      </w:r>
      <w:r w:rsidR="007A7CE7" w:rsidRPr="00572246">
        <w:t>se</w:t>
      </w:r>
      <w:r w:rsidR="00F84660" w:rsidRPr="00572246">
        <w:t xml:space="preserve"> methods </w:t>
      </w:r>
      <w:r w:rsidR="00DE155A" w:rsidRPr="00572246">
        <w:t xml:space="preserve">provide some of the most accurate measures of body composition, </w:t>
      </w:r>
      <w:r w:rsidR="00F84660" w:rsidRPr="00572246">
        <w:t xml:space="preserve">many of </w:t>
      </w:r>
      <w:r w:rsidR="007500DE">
        <w:t>the</w:t>
      </w:r>
      <w:r w:rsidR="00BD299B">
        <w:t>m</w:t>
      </w:r>
      <w:r w:rsidR="007117B9" w:rsidRPr="00572246">
        <w:t xml:space="preserve"> </w:t>
      </w:r>
      <w:r w:rsidR="00B752EC">
        <w:t xml:space="preserve">are not </w:t>
      </w:r>
      <w:r w:rsidR="00E01377">
        <w:t>practical</w:t>
      </w:r>
      <w:r w:rsidR="00DE155A" w:rsidRPr="00572246">
        <w:t xml:space="preserve"> in </w:t>
      </w:r>
      <w:r w:rsidR="00F84660" w:rsidRPr="00572246">
        <w:t xml:space="preserve">pediatric </w:t>
      </w:r>
      <w:r w:rsidR="00DE155A" w:rsidRPr="00572246">
        <w:t>research studies</w:t>
      </w:r>
      <w:r w:rsidR="007117B9" w:rsidRPr="00572246">
        <w:t xml:space="preserve">, especially </w:t>
      </w:r>
      <w:r w:rsidR="00572246" w:rsidRPr="00572246">
        <w:t>those that are</w:t>
      </w:r>
      <w:r w:rsidR="007117B9" w:rsidRPr="00572246">
        <w:t xml:space="preserve"> field-based</w:t>
      </w:r>
      <w:r w:rsidR="00DE155A" w:rsidRPr="00572246">
        <w:t xml:space="preserve">. </w:t>
      </w:r>
      <w:r w:rsidR="007A7CE7" w:rsidRPr="00572246">
        <w:t xml:space="preserve"> For example, hydrostatic weighing </w:t>
      </w:r>
      <w:r w:rsidR="00DE155A" w:rsidRPr="00572246">
        <w:t>requires that individuals be completely submerged in water</w:t>
      </w:r>
      <w:r w:rsidR="00BD299B">
        <w:t xml:space="preserve">. </w:t>
      </w:r>
      <w:r w:rsidR="00510626">
        <w:t xml:space="preserve"> </w:t>
      </w:r>
      <w:r w:rsidR="007A7CE7" w:rsidRPr="00572246">
        <w:t>ADP equipment</w:t>
      </w:r>
      <w:r w:rsidR="00BD299B">
        <w:t xml:space="preserve"> </w:t>
      </w:r>
      <w:r w:rsidR="007A7CE7" w:rsidRPr="00572246">
        <w:t xml:space="preserve">has, until quite recently, been available </w:t>
      </w:r>
      <w:r w:rsidR="00BD299B" w:rsidRPr="00572246">
        <w:t xml:space="preserve">only </w:t>
      </w:r>
      <w:r w:rsidR="007A7CE7" w:rsidRPr="00572246">
        <w:t xml:space="preserve">to measure infants up to 8 kg or </w:t>
      </w:r>
      <w:r w:rsidR="00BD299B">
        <w:t xml:space="preserve">children and </w:t>
      </w:r>
      <w:r w:rsidR="007A7CE7" w:rsidRPr="00572246">
        <w:t xml:space="preserve">adults </w:t>
      </w:r>
      <w:r w:rsidR="00BD299B">
        <w:t>over the age of 6 years</w:t>
      </w:r>
      <w:r w:rsidR="007A7CE7" w:rsidRPr="00572246">
        <w:t xml:space="preserve">, but not </w:t>
      </w:r>
      <w:r w:rsidR="00BD299B">
        <w:t>toddlers or preschool-age children</w:t>
      </w:r>
      <w:r w:rsidR="00DE155A" w:rsidRPr="00572246">
        <w:t xml:space="preserve">. CT scans </w:t>
      </w:r>
      <w:r w:rsidR="00BD299B">
        <w:t xml:space="preserve">emit a large amount of </w:t>
      </w:r>
      <w:r w:rsidR="000B571F" w:rsidRPr="00572246">
        <w:t xml:space="preserve">radiation </w:t>
      </w:r>
      <w:r w:rsidR="00BD299B">
        <w:t xml:space="preserve">compared with the other techniques, </w:t>
      </w:r>
      <w:r w:rsidR="000B571F" w:rsidRPr="00572246">
        <w:t xml:space="preserve">and the long acquisition time for MRI makes it </w:t>
      </w:r>
      <w:r w:rsidR="00E56471">
        <w:t>impractical</w:t>
      </w:r>
      <w:r w:rsidR="00E56471" w:rsidRPr="00572246">
        <w:t xml:space="preserve"> </w:t>
      </w:r>
      <w:r w:rsidR="00BD299B">
        <w:t>for many studies</w:t>
      </w:r>
      <w:r w:rsidR="001D3E34">
        <w:rPr>
          <w:vertAlign w:val="superscript"/>
        </w:rPr>
        <w:t>8</w:t>
      </w:r>
      <w:r w:rsidR="00DE155A" w:rsidRPr="00572246">
        <w:t xml:space="preserve">. DXA </w:t>
      </w:r>
      <w:r w:rsidR="00BD299B">
        <w:t>emits about 1/</w:t>
      </w:r>
      <w:r w:rsidR="00587ECE">
        <w:t>5</w:t>
      </w:r>
      <w:r w:rsidR="00BD299B">
        <w:t>00</w:t>
      </w:r>
      <w:r w:rsidR="006F661B" w:rsidRPr="006F661B">
        <w:rPr>
          <w:vertAlign w:val="superscript"/>
        </w:rPr>
        <w:t>th</w:t>
      </w:r>
      <w:r w:rsidR="00BD299B">
        <w:t xml:space="preserve"> the radiation </w:t>
      </w:r>
      <w:r w:rsidR="000B571F" w:rsidRPr="00572246">
        <w:t>dose</w:t>
      </w:r>
      <w:r w:rsidR="007B6CC3">
        <w:t xml:space="preserve"> </w:t>
      </w:r>
      <w:r w:rsidR="00BD299B">
        <w:t xml:space="preserve">of a </w:t>
      </w:r>
      <w:r w:rsidR="002019E3">
        <w:t xml:space="preserve">CT scan, </w:t>
      </w:r>
      <w:r w:rsidR="000B571F" w:rsidRPr="00572246">
        <w:t xml:space="preserve">approximately </w:t>
      </w:r>
      <w:r w:rsidR="002019E3">
        <w:t xml:space="preserve">the </w:t>
      </w:r>
      <w:r w:rsidR="000B571F" w:rsidRPr="00572246">
        <w:t xml:space="preserve">equivalent </w:t>
      </w:r>
      <w:r w:rsidR="00006AF8">
        <w:t>of one day of natural background</w:t>
      </w:r>
      <w:r w:rsidR="000B571F" w:rsidRPr="00572246">
        <w:t xml:space="preserve"> radiation</w:t>
      </w:r>
      <w:r w:rsidR="00006AF8">
        <w:rPr>
          <w:vertAlign w:val="superscript"/>
        </w:rPr>
        <w:t>1</w:t>
      </w:r>
      <w:r w:rsidR="001D3E34">
        <w:rPr>
          <w:vertAlign w:val="superscript"/>
        </w:rPr>
        <w:t>1</w:t>
      </w:r>
      <w:r w:rsidR="00DE155A" w:rsidRPr="00572246">
        <w:t xml:space="preserve">, making it </w:t>
      </w:r>
      <w:r w:rsidR="007500DE">
        <w:t xml:space="preserve">an </w:t>
      </w:r>
      <w:r w:rsidR="00DE155A" w:rsidRPr="00572246">
        <w:t xml:space="preserve">attractive option for research studies involving children. </w:t>
      </w:r>
      <w:r w:rsidR="000B571F" w:rsidRPr="00572246">
        <w:t xml:space="preserve"> All of these methods</w:t>
      </w:r>
      <w:r w:rsidR="00BD299B">
        <w:t>, however,</w:t>
      </w:r>
      <w:r w:rsidR="000B571F" w:rsidRPr="00572246">
        <w:t xml:space="preserve"> are e</w:t>
      </w:r>
      <w:r w:rsidR="006A5E44">
        <w:t>xpensive to purchase and none are</w:t>
      </w:r>
      <w:r w:rsidR="000B571F" w:rsidRPr="00572246">
        <w:t xml:space="preserve"> portable, making them infeasible</w:t>
      </w:r>
      <w:r w:rsidRPr="00572246">
        <w:t xml:space="preserve"> for</w:t>
      </w:r>
      <w:r w:rsidR="00DE155A" w:rsidRPr="00572246">
        <w:t xml:space="preserve"> field-based studies</w:t>
      </w:r>
      <w:r w:rsidR="00572246" w:rsidRPr="00572246">
        <w:t xml:space="preserve"> with limited funding</w:t>
      </w:r>
      <w:r w:rsidR="00DE155A" w:rsidRPr="00572246">
        <w:t xml:space="preserve">. </w:t>
      </w:r>
      <w:r w:rsidR="00572246">
        <w:t>Bioelectrical impedance analysis (BIA)</w:t>
      </w:r>
      <w:r w:rsidR="001579D7">
        <w:t xml:space="preserve">, which </w:t>
      </w:r>
      <w:r w:rsidR="001579D7" w:rsidRPr="001579D7">
        <w:t xml:space="preserve">measures the </w:t>
      </w:r>
      <w:r w:rsidR="001579D7">
        <w:t>impedance</w:t>
      </w:r>
      <w:r w:rsidR="001579D7" w:rsidRPr="001579D7">
        <w:t xml:space="preserve"> of </w:t>
      </w:r>
      <w:r w:rsidR="001579D7">
        <w:t>a minute</w:t>
      </w:r>
      <w:r w:rsidR="001579D7" w:rsidRPr="001579D7">
        <w:t xml:space="preserve"> electrical signal sent through the body </w:t>
      </w:r>
      <w:r w:rsidR="001579D7">
        <w:t xml:space="preserve">to estimate body composition, can be less expensive and more portable, but </w:t>
      </w:r>
      <w:r w:rsidR="00BD299B">
        <w:t xml:space="preserve">assumptions </w:t>
      </w:r>
      <w:r w:rsidR="001579D7">
        <w:t xml:space="preserve">underlying </w:t>
      </w:r>
      <w:r w:rsidR="00BD299B">
        <w:t>the calculation of body fat are n</w:t>
      </w:r>
      <w:r w:rsidR="001579D7">
        <w:t xml:space="preserve">ot </w:t>
      </w:r>
      <w:r w:rsidR="00E56471">
        <w:t>applicable to</w:t>
      </w:r>
      <w:r w:rsidR="001579D7">
        <w:t xml:space="preserve"> small children</w:t>
      </w:r>
      <w:r w:rsidR="001D3E34">
        <w:rPr>
          <w:vertAlign w:val="superscript"/>
        </w:rPr>
        <w:t>10</w:t>
      </w:r>
      <w:r w:rsidR="001579D7">
        <w:t xml:space="preserve">. </w:t>
      </w:r>
    </w:p>
    <w:p w:rsidR="008B26D6" w:rsidRDefault="008B26D6" w:rsidP="008B26D6">
      <w:pPr>
        <w:jc w:val="both"/>
      </w:pPr>
    </w:p>
    <w:p w:rsidR="000B571F" w:rsidRPr="00572246" w:rsidRDefault="00DE155A" w:rsidP="008B26D6">
      <w:pPr>
        <w:jc w:val="both"/>
      </w:pPr>
      <w:r w:rsidRPr="00572246">
        <w:t xml:space="preserve">In contrast to these </w:t>
      </w:r>
      <w:r w:rsidR="000B571F" w:rsidRPr="00572246">
        <w:t>technology-based</w:t>
      </w:r>
      <w:r w:rsidRPr="00572246">
        <w:t xml:space="preserve"> measures, manual anthropometric measures can be performed by a trained observer</w:t>
      </w:r>
      <w:r w:rsidR="000B571F" w:rsidRPr="00572246">
        <w:t xml:space="preserve"> in </w:t>
      </w:r>
      <w:r w:rsidR="00BD299B">
        <w:t>most field</w:t>
      </w:r>
      <w:r w:rsidR="000B571F" w:rsidRPr="00572246">
        <w:t xml:space="preserve"> setting</w:t>
      </w:r>
      <w:r w:rsidR="00BD299B">
        <w:t>s</w:t>
      </w:r>
      <w:r w:rsidR="000B571F" w:rsidRPr="00572246">
        <w:t xml:space="preserve"> and at </w:t>
      </w:r>
      <w:r w:rsidR="00EF25B4">
        <w:t xml:space="preserve">a </w:t>
      </w:r>
      <w:r w:rsidR="000B571F" w:rsidRPr="00572246">
        <w:t xml:space="preserve">substantially lower </w:t>
      </w:r>
      <w:r w:rsidR="00BD299B">
        <w:t xml:space="preserve">equipment </w:t>
      </w:r>
      <w:r w:rsidR="000B571F" w:rsidRPr="00572246">
        <w:t>cost</w:t>
      </w:r>
      <w:r w:rsidRPr="00572246">
        <w:t>. Manual anthropometry in</w:t>
      </w:r>
      <w:r w:rsidR="00233685" w:rsidRPr="00572246">
        <w:t>cludes measurements</w:t>
      </w:r>
      <w:r w:rsidR="00E56471">
        <w:t xml:space="preserve"> of</w:t>
      </w:r>
      <w:r w:rsidRPr="00572246">
        <w:t xml:space="preserve"> height, weight, circumferences, and skinfold thicknesses</w:t>
      </w:r>
      <w:r w:rsidR="001D3E34">
        <w:rPr>
          <w:vertAlign w:val="superscript"/>
        </w:rPr>
        <w:t>8</w:t>
      </w:r>
      <w:r w:rsidRPr="00572246">
        <w:t xml:space="preserve">. </w:t>
      </w:r>
      <w:r w:rsidR="00E56471">
        <w:t>Other advantages of m</w:t>
      </w:r>
      <w:r w:rsidR="005C3B61" w:rsidRPr="00572246">
        <w:t>anual anthropometry</w:t>
      </w:r>
      <w:r w:rsidR="00E56471">
        <w:t xml:space="preserve"> are that it</w:t>
      </w:r>
      <w:r w:rsidR="005C3B61" w:rsidRPr="00572246">
        <w:t xml:space="preserve"> involves no </w:t>
      </w:r>
      <w:r w:rsidRPr="00572246">
        <w:t xml:space="preserve">unnecessary radiation exposure, and </w:t>
      </w:r>
      <w:r w:rsidR="00BD299B">
        <w:t xml:space="preserve">skilled staff can obtain them </w:t>
      </w:r>
      <w:r w:rsidRPr="00572246">
        <w:t>efficiently</w:t>
      </w:r>
      <w:r w:rsidR="00F01BA2">
        <w:t>.</w:t>
      </w:r>
      <w:r w:rsidRPr="00572246">
        <w:t xml:space="preserve"> </w:t>
      </w:r>
      <w:r w:rsidR="00145E65">
        <w:t>However, a</w:t>
      </w:r>
      <w:r w:rsidR="008431F4" w:rsidRPr="00572246">
        <w:t xml:space="preserve"> common </w:t>
      </w:r>
      <w:r w:rsidR="000B571F" w:rsidRPr="00572246">
        <w:t>concern about</w:t>
      </w:r>
      <w:r w:rsidR="008431F4" w:rsidRPr="00572246">
        <w:t xml:space="preserve"> manual anthropometric measurements is</w:t>
      </w:r>
      <w:r w:rsidR="00E56471">
        <w:t xml:space="preserve"> that they may</w:t>
      </w:r>
      <w:r w:rsidR="008431F4" w:rsidRPr="00572246">
        <w:t xml:space="preserve"> </w:t>
      </w:r>
      <w:r w:rsidR="00E56471">
        <w:t xml:space="preserve">be both inaccurate and </w:t>
      </w:r>
      <w:r w:rsidR="008431F4" w:rsidRPr="00572246">
        <w:t>imprecis</w:t>
      </w:r>
      <w:r w:rsidR="00E56471">
        <w:t>e</w:t>
      </w:r>
      <w:r w:rsidR="00BF49AC">
        <w:rPr>
          <w:vertAlign w:val="superscript"/>
        </w:rPr>
        <w:t>1</w:t>
      </w:r>
      <w:r w:rsidR="001D3E34">
        <w:rPr>
          <w:vertAlign w:val="superscript"/>
        </w:rPr>
        <w:t>2</w:t>
      </w:r>
      <w:r w:rsidR="008431F4" w:rsidRPr="00572246">
        <w:t xml:space="preserve">.  </w:t>
      </w:r>
    </w:p>
    <w:p w:rsidR="008B26D6" w:rsidRDefault="008B26D6" w:rsidP="008B26D6">
      <w:pPr>
        <w:jc w:val="both"/>
      </w:pPr>
    </w:p>
    <w:p w:rsidR="00DE155A" w:rsidRPr="00572246" w:rsidRDefault="00BD299B" w:rsidP="008B26D6">
      <w:pPr>
        <w:jc w:val="both"/>
      </w:pPr>
      <w:r>
        <w:t>O</w:t>
      </w:r>
      <w:r w:rsidR="00527312" w:rsidRPr="00572246">
        <w:t>btaining accurate and precise measurements</w:t>
      </w:r>
      <w:r w:rsidR="00490DF6">
        <w:t xml:space="preserve"> </w:t>
      </w:r>
      <w:r w:rsidR="00E56471">
        <w:t>is possible with</w:t>
      </w:r>
      <w:r w:rsidR="00527312" w:rsidRPr="00572246">
        <w:t xml:space="preserve"> standardized procedures, </w:t>
      </w:r>
      <w:r w:rsidR="00DE155A" w:rsidRPr="00572246">
        <w:t>adequate training</w:t>
      </w:r>
      <w:r w:rsidR="00527312" w:rsidRPr="00572246">
        <w:t>,</w:t>
      </w:r>
      <w:r w:rsidR="00DE155A" w:rsidRPr="00572246">
        <w:t xml:space="preserve"> and sufficient attention to quality control</w:t>
      </w:r>
      <w:r w:rsidR="00AF429F">
        <w:t xml:space="preserve"> (QC)</w:t>
      </w:r>
      <w:r w:rsidR="00DE155A" w:rsidRPr="00572246">
        <w:t xml:space="preserve"> procedures</w:t>
      </w:r>
      <w:r w:rsidR="00527312" w:rsidRPr="00572246">
        <w:t>.</w:t>
      </w:r>
      <w:r w:rsidR="00233685" w:rsidRPr="00572246">
        <w:t xml:space="preserve"> </w:t>
      </w:r>
      <w:r w:rsidR="006B228D">
        <w:t>The Project Viva team has</w:t>
      </w:r>
      <w:r w:rsidR="00DE155A" w:rsidRPr="00572246">
        <w:t xml:space="preserve"> developed a manual anthropometry training protocol that can yield high</w:t>
      </w:r>
      <w:r w:rsidR="00E56471">
        <w:t>-</w:t>
      </w:r>
      <w:r w:rsidR="00DE155A" w:rsidRPr="00572246">
        <w:t xml:space="preserve"> quality</w:t>
      </w:r>
      <w:r w:rsidR="00E56471">
        <w:t>,</w:t>
      </w:r>
      <w:r w:rsidR="00DE155A" w:rsidRPr="00572246">
        <w:t xml:space="preserve"> reproducible measures of stature</w:t>
      </w:r>
      <w:r w:rsidR="00062859">
        <w:t>, circumferences, and skinfold</w:t>
      </w:r>
      <w:r w:rsidR="005B45C9">
        <w:t xml:space="preserve"> thickness</w:t>
      </w:r>
      <w:r w:rsidR="00DE155A" w:rsidRPr="00572246">
        <w:t xml:space="preserve">. </w:t>
      </w:r>
      <w:r w:rsidR="00572246" w:rsidRPr="00572246">
        <w:t>Over more than a decade, we have applied</w:t>
      </w:r>
      <w:r w:rsidR="00DE155A" w:rsidRPr="00572246">
        <w:t xml:space="preserve"> </w:t>
      </w:r>
      <w:r w:rsidR="00572246" w:rsidRPr="00572246">
        <w:t xml:space="preserve">this </w:t>
      </w:r>
      <w:r w:rsidR="00DE155A" w:rsidRPr="00572246">
        <w:t xml:space="preserve">training and </w:t>
      </w:r>
      <w:r w:rsidR="00AF429F">
        <w:t>QC</w:t>
      </w:r>
      <w:r w:rsidR="00DE155A" w:rsidRPr="00572246">
        <w:t xml:space="preserve"> protocol </w:t>
      </w:r>
      <w:r w:rsidR="006A5E44">
        <w:t>to</w:t>
      </w:r>
      <w:r w:rsidR="00DE155A" w:rsidRPr="00572246">
        <w:t xml:space="preserve"> </w:t>
      </w:r>
      <w:r w:rsidR="00233685" w:rsidRPr="00572246">
        <w:t xml:space="preserve">mothers and </w:t>
      </w:r>
      <w:r w:rsidR="00DE155A" w:rsidRPr="00572246">
        <w:t>children in Project Viva</w:t>
      </w:r>
      <w:r w:rsidR="00572246" w:rsidRPr="00572246">
        <w:t xml:space="preserve">, </w:t>
      </w:r>
      <w:r w:rsidR="00DE155A" w:rsidRPr="00572246">
        <w:t xml:space="preserve">a longitudinal, </w:t>
      </w:r>
      <w:r w:rsidR="00233685" w:rsidRPr="00572246">
        <w:t xml:space="preserve">pre-birth </w:t>
      </w:r>
      <w:r w:rsidR="00DE155A" w:rsidRPr="00572246">
        <w:t>cohort study</w:t>
      </w:r>
      <w:r w:rsidR="00BF49AC">
        <w:rPr>
          <w:vertAlign w:val="superscript"/>
        </w:rPr>
        <w:t>1</w:t>
      </w:r>
      <w:r w:rsidR="001D3E34">
        <w:rPr>
          <w:vertAlign w:val="superscript"/>
        </w:rPr>
        <w:t>3</w:t>
      </w:r>
      <w:r w:rsidR="009E68C2">
        <w:t xml:space="preserve">. </w:t>
      </w:r>
      <w:r w:rsidR="00F303BC">
        <w:t xml:space="preserve"> </w:t>
      </w:r>
      <w:r w:rsidR="009E68C2">
        <w:t xml:space="preserve">Project Viva </w:t>
      </w:r>
      <w:r w:rsidR="00BE2DA7">
        <w:t xml:space="preserve">staff collected </w:t>
      </w:r>
      <w:r w:rsidR="009E68C2">
        <w:t xml:space="preserve">anthropometric measures </w:t>
      </w:r>
      <w:r w:rsidR="00F01BA2">
        <w:t>on child during visits at birth (0 - 3 days), and w</w:t>
      </w:r>
      <w:r w:rsidR="009E3473">
        <w:t xml:space="preserve">ith both the mother and </w:t>
      </w:r>
      <w:r w:rsidR="00BE2DA7">
        <w:t xml:space="preserve">child </w:t>
      </w:r>
      <w:r w:rsidR="00F303BC">
        <w:t>at the following time points:</w:t>
      </w:r>
      <w:r w:rsidR="00BE2DA7">
        <w:t xml:space="preserve"> </w:t>
      </w:r>
      <w:r w:rsidR="00894DC0">
        <w:t>infancy (4.9 - 10.6 months)</w:t>
      </w:r>
      <w:r w:rsidR="009E68C2">
        <w:t>, early childhood (</w:t>
      </w:r>
      <w:r w:rsidR="00894DC0">
        <w:t>2.8 - 6.3 years</w:t>
      </w:r>
      <w:r w:rsidR="009E68C2">
        <w:t>), mid-childhood (</w:t>
      </w:r>
      <w:r w:rsidR="00894DC0">
        <w:t>6.6 - 10.9 years</w:t>
      </w:r>
      <w:r w:rsidR="009E68C2">
        <w:t>), and early teen (</w:t>
      </w:r>
      <w:r w:rsidR="00894DC0">
        <w:t>11.5 - 16.5 years</w:t>
      </w:r>
      <w:r w:rsidR="009E68C2">
        <w:t>)</w:t>
      </w:r>
      <w:r w:rsidR="0033190A" w:rsidRPr="0033190A">
        <w:rPr>
          <w:vertAlign w:val="superscript"/>
        </w:rPr>
        <w:t xml:space="preserve"> </w:t>
      </w:r>
      <w:r w:rsidR="0033190A">
        <w:rPr>
          <w:vertAlign w:val="superscript"/>
        </w:rPr>
        <w:t>1</w:t>
      </w:r>
      <w:r w:rsidR="001D3E34">
        <w:rPr>
          <w:vertAlign w:val="superscript"/>
        </w:rPr>
        <w:t>3</w:t>
      </w:r>
      <w:r w:rsidR="009E3473">
        <w:t>.</w:t>
      </w:r>
      <w:r w:rsidR="00D16483">
        <w:t xml:space="preserve"> </w:t>
      </w:r>
    </w:p>
    <w:p w:rsidR="008B26D6" w:rsidRDefault="008B26D6" w:rsidP="006B711A">
      <w:pPr>
        <w:jc w:val="both"/>
      </w:pPr>
    </w:p>
    <w:p w:rsidR="00DE155A" w:rsidRDefault="00BF49AC" w:rsidP="006B711A">
      <w:pPr>
        <w:jc w:val="both"/>
      </w:pPr>
      <w:r>
        <w:t>This</w:t>
      </w:r>
      <w:r w:rsidR="00DE155A" w:rsidRPr="00572246">
        <w:t xml:space="preserve"> paper</w:t>
      </w:r>
      <w:r>
        <w:t xml:space="preserve"> </w:t>
      </w:r>
      <w:r w:rsidR="00747BD9" w:rsidRPr="00572246">
        <w:t>de</w:t>
      </w:r>
      <w:r w:rsidR="00BD299B">
        <w:t>scribes</w:t>
      </w:r>
      <w:r w:rsidR="00747BD9" w:rsidRPr="00572246">
        <w:t xml:space="preserve"> </w:t>
      </w:r>
      <w:r w:rsidR="00DE155A" w:rsidRPr="00572246">
        <w:t>the protocol</w:t>
      </w:r>
      <w:r w:rsidR="00572246">
        <w:t xml:space="preserve"> </w:t>
      </w:r>
      <w:r w:rsidR="00BD299B">
        <w:t xml:space="preserve">we </w:t>
      </w:r>
      <w:r w:rsidR="00572246">
        <w:t>developed and refined</w:t>
      </w:r>
      <w:r w:rsidR="00DE155A" w:rsidRPr="00572246">
        <w:t xml:space="preserve"> for measur</w:t>
      </w:r>
      <w:r w:rsidR="00572246">
        <w:t>ement of</w:t>
      </w:r>
      <w:r w:rsidR="00DE155A" w:rsidRPr="00572246">
        <w:t xml:space="preserve"> height, weight, skinfold thicknesses (tricep</w:t>
      </w:r>
      <w:r w:rsidR="00572246">
        <w:t>s</w:t>
      </w:r>
      <w:r w:rsidR="00DE155A" w:rsidRPr="00572246">
        <w:t xml:space="preserve"> and subscapular skinfolds), and body circumferences (waist</w:t>
      </w:r>
      <w:r w:rsidR="0005728E" w:rsidRPr="00572246">
        <w:t>,</w:t>
      </w:r>
      <w:r w:rsidR="00DE155A" w:rsidRPr="00572246">
        <w:t xml:space="preserve"> hip</w:t>
      </w:r>
      <w:r w:rsidR="0005728E" w:rsidRPr="00572246">
        <w:t>, and mid-upper arm</w:t>
      </w:r>
      <w:r w:rsidR="00DE155A" w:rsidRPr="00572246">
        <w:t xml:space="preserve"> circumferences</w:t>
      </w:r>
      <w:r w:rsidR="004A3FE5">
        <w:t xml:space="preserve"> [MUAC]</w:t>
      </w:r>
      <w:r w:rsidR="00DE155A" w:rsidRPr="00572246">
        <w:t xml:space="preserve">) </w:t>
      </w:r>
      <w:r w:rsidR="00572246">
        <w:t>in</w:t>
      </w:r>
      <w:r w:rsidR="00572246" w:rsidRPr="00572246">
        <w:t xml:space="preserve"> </w:t>
      </w:r>
      <w:r w:rsidR="00DE155A" w:rsidRPr="00572246">
        <w:t>Project Viva</w:t>
      </w:r>
      <w:r w:rsidR="00747BD9" w:rsidRPr="00572246">
        <w:t>.</w:t>
      </w:r>
      <w:r w:rsidR="00DE155A" w:rsidRPr="00572246">
        <w:t xml:space="preserve"> </w:t>
      </w:r>
      <w:r w:rsidR="00572246">
        <w:t xml:space="preserve">We also describe how we have </w:t>
      </w:r>
      <w:r w:rsidR="00572246">
        <w:lastRenderedPageBreak/>
        <w:t>assessed</w:t>
      </w:r>
      <w:r w:rsidR="009E3473">
        <w:t xml:space="preserve"> both</w:t>
      </w:r>
      <w:r w:rsidR="00572246">
        <w:t xml:space="preserve"> </w:t>
      </w:r>
      <w:r w:rsidR="00DE155A" w:rsidRPr="00572246">
        <w:t>manual anthropometric</w:t>
      </w:r>
      <w:r w:rsidR="00572246">
        <w:t xml:space="preserve"> measurement</w:t>
      </w:r>
      <w:r w:rsidR="00DE155A" w:rsidRPr="00572246">
        <w:t xml:space="preserve"> </w:t>
      </w:r>
      <w:r w:rsidR="003259A2">
        <w:t xml:space="preserve">precision by means of </w:t>
      </w:r>
      <w:r w:rsidR="00DE155A" w:rsidRPr="00572246">
        <w:t>technical error of measurement (TEM)</w:t>
      </w:r>
      <w:r w:rsidR="003259A2">
        <w:t xml:space="preserve"> calculations</w:t>
      </w:r>
      <w:r w:rsidR="00DE155A" w:rsidRPr="00572246">
        <w:t xml:space="preserve"> and </w:t>
      </w:r>
      <w:r w:rsidR="003259A2">
        <w:t>accuracy</w:t>
      </w:r>
      <w:r w:rsidR="00DE155A" w:rsidRPr="00572246">
        <w:t xml:space="preserve"> </w:t>
      </w:r>
      <w:r w:rsidR="003259A2">
        <w:t xml:space="preserve">in </w:t>
      </w:r>
      <w:r w:rsidR="00DE155A" w:rsidRPr="00572246">
        <w:t xml:space="preserve">comparison to gold standard </w:t>
      </w:r>
      <w:r w:rsidR="00BD299B">
        <w:t xml:space="preserve">DXA </w:t>
      </w:r>
      <w:r w:rsidR="00DE155A" w:rsidRPr="00572246">
        <w:t>measurements</w:t>
      </w:r>
      <w:r w:rsidR="00BD299B">
        <w:t>.</w:t>
      </w:r>
      <w:r w:rsidR="00DE155A" w:rsidRPr="00572246">
        <w:t xml:space="preserve"> </w:t>
      </w:r>
    </w:p>
    <w:p w:rsidR="009C1F08" w:rsidRDefault="009C1F08" w:rsidP="006B711A">
      <w:pPr>
        <w:jc w:val="both"/>
      </w:pPr>
    </w:p>
    <w:p w:rsidR="00442A4D" w:rsidRDefault="00442A4D" w:rsidP="006B711A">
      <w:pPr>
        <w:tabs>
          <w:tab w:val="left" w:pos="1530"/>
        </w:tabs>
        <w:jc w:val="both"/>
      </w:pPr>
      <w:r w:rsidRPr="004250FF">
        <w:rPr>
          <w:b/>
        </w:rPr>
        <w:t>PROTOCOL:</w:t>
      </w:r>
      <w:r w:rsidRPr="004250FF">
        <w:t xml:space="preserve"> </w:t>
      </w:r>
    </w:p>
    <w:p w:rsidR="006548CB" w:rsidRPr="00C57131" w:rsidRDefault="00C57131" w:rsidP="006B711A">
      <w:pPr>
        <w:tabs>
          <w:tab w:val="left" w:pos="1530"/>
        </w:tabs>
        <w:jc w:val="both"/>
      </w:pPr>
      <w:r w:rsidRPr="00C57131">
        <w:t xml:space="preserve">All the procedures are approved by the </w:t>
      </w:r>
      <w:r w:rsidR="00114D12" w:rsidRPr="00C57131">
        <w:t xml:space="preserve">Harvard Pilgrim Health Care </w:t>
      </w:r>
      <w:r w:rsidR="00F36AB2" w:rsidRPr="00F36AB2">
        <w:t>Institutional Review Board</w:t>
      </w:r>
      <w:r w:rsidRPr="00C57131">
        <w:t>.</w:t>
      </w:r>
      <w:r w:rsidR="00114D12" w:rsidRPr="00C57131">
        <w:t xml:space="preserve"> </w:t>
      </w:r>
    </w:p>
    <w:p w:rsidR="004A3FE5" w:rsidRDefault="004A3FE5" w:rsidP="006B711A">
      <w:pPr>
        <w:tabs>
          <w:tab w:val="left" w:pos="1530"/>
        </w:tabs>
        <w:jc w:val="both"/>
      </w:pPr>
    </w:p>
    <w:p w:rsidR="00442A4D" w:rsidRDefault="00442A4D" w:rsidP="006B711A">
      <w:pPr>
        <w:tabs>
          <w:tab w:val="left" w:pos="1530"/>
        </w:tabs>
        <w:jc w:val="both"/>
      </w:pPr>
      <w:r>
        <w:t xml:space="preserve">1)  </w:t>
      </w:r>
      <w:r w:rsidRPr="00A71975">
        <w:rPr>
          <w:b/>
        </w:rPr>
        <w:t>Training Procedures</w:t>
      </w:r>
    </w:p>
    <w:p w:rsidR="002870C2" w:rsidRDefault="00442A4D" w:rsidP="006B711A">
      <w:pPr>
        <w:tabs>
          <w:tab w:val="left" w:pos="1530"/>
        </w:tabs>
        <w:jc w:val="both"/>
      </w:pPr>
      <w:r>
        <w:t xml:space="preserve">1.1) </w:t>
      </w:r>
      <w:r w:rsidR="001E40CD">
        <w:t>Have the t</w:t>
      </w:r>
      <w:r>
        <w:t>rainees (research assistants) complete a multi-day, multiple hour training program to learn proper positioning, watch training videos, and receive in-person training from</w:t>
      </w:r>
      <w:r w:rsidRPr="001579D7">
        <w:t xml:space="preserve"> an experienced auxologist</w:t>
      </w:r>
      <w:r>
        <w:t xml:space="preserve">. </w:t>
      </w:r>
    </w:p>
    <w:p w:rsidR="008B26D6" w:rsidRDefault="008B26D6" w:rsidP="006B711A">
      <w:pPr>
        <w:tabs>
          <w:tab w:val="left" w:pos="1530"/>
        </w:tabs>
        <w:jc w:val="both"/>
      </w:pPr>
    </w:p>
    <w:p w:rsidR="002870C2" w:rsidRDefault="002870C2" w:rsidP="006B711A">
      <w:pPr>
        <w:tabs>
          <w:tab w:val="left" w:pos="1530"/>
        </w:tabs>
        <w:jc w:val="both"/>
      </w:pPr>
      <w:r>
        <w:t xml:space="preserve">1.1.1) </w:t>
      </w:r>
      <w:r w:rsidR="001E40CD">
        <w:t>Instruct the t</w:t>
      </w:r>
      <w:r w:rsidR="00442A4D">
        <w:t xml:space="preserve">rainees </w:t>
      </w:r>
      <w:r w:rsidR="001E40CD">
        <w:t xml:space="preserve">to </w:t>
      </w:r>
      <w:r w:rsidR="00442A4D">
        <w:t xml:space="preserve">practice performing measurements on each other, </w:t>
      </w:r>
      <w:r w:rsidR="001E40CD">
        <w:t>while an</w:t>
      </w:r>
      <w:r w:rsidR="00442A4D">
        <w:t xml:space="preserve"> auxologist or resident anthropometry expert evaluates each trainee’s technique and makes appropriate adjustments. </w:t>
      </w:r>
    </w:p>
    <w:p w:rsidR="008B26D6" w:rsidRDefault="008B26D6" w:rsidP="006B711A">
      <w:pPr>
        <w:tabs>
          <w:tab w:val="left" w:pos="1530"/>
        </w:tabs>
        <w:jc w:val="both"/>
      </w:pPr>
    </w:p>
    <w:p w:rsidR="00442A4D" w:rsidRDefault="002870C2" w:rsidP="006B711A">
      <w:pPr>
        <w:tabs>
          <w:tab w:val="left" w:pos="1530"/>
        </w:tabs>
        <w:jc w:val="both"/>
      </w:pPr>
      <w:r>
        <w:t xml:space="preserve">1.1.2) </w:t>
      </w:r>
      <w:r w:rsidR="001E40CD">
        <w:t xml:space="preserve"> Organize </w:t>
      </w:r>
      <w:r w:rsidR="00442A4D">
        <w:t>a workshop with external volunteers, optimally of a variety of ages and body types</w:t>
      </w:r>
      <w:r w:rsidR="001E40CD">
        <w:t>, ideally -</w:t>
      </w:r>
      <w:r w:rsidR="00240B0F">
        <w:t xml:space="preserve"> a</w:t>
      </w:r>
      <w:r w:rsidR="00442A4D">
        <w:t xml:space="preserve"> representative sample of the study population. </w:t>
      </w:r>
      <w:r w:rsidR="001E40CD">
        <w:t>Have the trainees measure each volunteer a minimum of two times per measurement.</w:t>
      </w:r>
    </w:p>
    <w:p w:rsidR="008B26D6" w:rsidRDefault="008B26D6" w:rsidP="006B711A">
      <w:pPr>
        <w:tabs>
          <w:tab w:val="left" w:pos="1530"/>
        </w:tabs>
        <w:jc w:val="both"/>
      </w:pPr>
    </w:p>
    <w:p w:rsidR="00442A4D" w:rsidRDefault="00442A4D" w:rsidP="006B711A">
      <w:pPr>
        <w:tabs>
          <w:tab w:val="left" w:pos="1530"/>
        </w:tabs>
        <w:jc w:val="both"/>
      </w:pPr>
      <w:r>
        <w:t xml:space="preserve">1.2) After completing the training program, </w:t>
      </w:r>
      <w:r w:rsidR="001E40CD">
        <w:t xml:space="preserve">have the </w:t>
      </w:r>
      <w:r>
        <w:t xml:space="preserve">trainees spend approximately an additional 40-50 hours practicing manual anthropometry techniques on one another and volunteers. During this time, </w:t>
      </w:r>
      <w:r w:rsidR="001E40CD">
        <w:t xml:space="preserve">observe the trainees, monitoring adherence to protocol and proper technique. </w:t>
      </w:r>
      <w:r w:rsidR="00465DF0">
        <w:t>Give e</w:t>
      </w:r>
      <w:r>
        <w:t xml:space="preserve">ach trainee the necessary amount of training based on innate skill level and previous experience. </w:t>
      </w:r>
    </w:p>
    <w:p w:rsidR="008B26D6" w:rsidRDefault="008B26D6" w:rsidP="006B711A">
      <w:pPr>
        <w:tabs>
          <w:tab w:val="left" w:pos="1530"/>
        </w:tabs>
        <w:jc w:val="both"/>
      </w:pPr>
    </w:p>
    <w:p w:rsidR="00442A4D" w:rsidRPr="00BF656E" w:rsidRDefault="00442A4D" w:rsidP="006B711A">
      <w:pPr>
        <w:tabs>
          <w:tab w:val="left" w:pos="1530"/>
        </w:tabs>
        <w:jc w:val="both"/>
        <w:rPr>
          <w:b/>
        </w:rPr>
      </w:pPr>
      <w:r>
        <w:t xml:space="preserve">2) </w:t>
      </w:r>
      <w:r w:rsidRPr="00A71975">
        <w:rPr>
          <w:b/>
        </w:rPr>
        <w:t>Preparation of subjects</w:t>
      </w:r>
    </w:p>
    <w:p w:rsidR="00442A4D" w:rsidRPr="00A14B1D" w:rsidRDefault="00442A4D" w:rsidP="006B711A">
      <w:pPr>
        <w:tabs>
          <w:tab w:val="left" w:pos="1530"/>
        </w:tabs>
        <w:jc w:val="both"/>
      </w:pPr>
      <w:r>
        <w:t>2.1</w:t>
      </w:r>
      <w:r w:rsidRPr="00A14B1D">
        <w:t xml:space="preserve">) </w:t>
      </w:r>
      <w:r w:rsidR="00465DF0">
        <w:rPr>
          <w:highlight w:val="yellow"/>
        </w:rPr>
        <w:t>Instruct</w:t>
      </w:r>
      <w:r w:rsidRPr="00B55166">
        <w:rPr>
          <w:highlight w:val="yellow"/>
        </w:rPr>
        <w:t xml:space="preserve"> participants </w:t>
      </w:r>
      <w:r w:rsidR="00465DF0">
        <w:rPr>
          <w:highlight w:val="yellow"/>
        </w:rPr>
        <w:t>to</w:t>
      </w:r>
      <w:r w:rsidRPr="00B55166">
        <w:rPr>
          <w:highlight w:val="yellow"/>
        </w:rPr>
        <w:t xml:space="preserve"> wear light clothing that allows easy access to the extremities and torso while maintaining modesty, optimally a standard outfit provided by the research staff.</w:t>
      </w:r>
      <w:r w:rsidR="00465DF0">
        <w:t xml:space="preserve"> </w:t>
      </w:r>
    </w:p>
    <w:p w:rsidR="008B26D6" w:rsidRDefault="008B26D6" w:rsidP="006B711A">
      <w:pPr>
        <w:tabs>
          <w:tab w:val="left" w:pos="1530"/>
        </w:tabs>
        <w:jc w:val="both"/>
      </w:pPr>
    </w:p>
    <w:p w:rsidR="00442A4D" w:rsidRPr="00A14B1D" w:rsidRDefault="00442A4D" w:rsidP="006B711A">
      <w:pPr>
        <w:tabs>
          <w:tab w:val="left" w:pos="1530"/>
        </w:tabs>
        <w:jc w:val="both"/>
        <w:rPr>
          <w:b/>
        </w:rPr>
      </w:pPr>
      <w:r w:rsidRPr="00A14B1D">
        <w:t xml:space="preserve">3)  </w:t>
      </w:r>
      <w:r w:rsidRPr="00A14B1D">
        <w:rPr>
          <w:b/>
        </w:rPr>
        <w:t>Height</w:t>
      </w:r>
    </w:p>
    <w:p w:rsidR="00442A4D" w:rsidRPr="00A14B1D" w:rsidRDefault="008C5463" w:rsidP="006B711A">
      <w:pPr>
        <w:tabs>
          <w:tab w:val="left" w:pos="1530"/>
        </w:tabs>
        <w:jc w:val="both"/>
      </w:pPr>
      <w:r w:rsidRPr="00C57131">
        <w:t>3.1) Measure height using a well-constructed stadiometer, which can be wall-mounted or portable.  Either way, take measurements while ensuring that the stadiometer is set up against a wall on a hard, flat surface.</w:t>
      </w:r>
      <w:r w:rsidR="00442A4D" w:rsidRPr="00A14B1D">
        <w:t xml:space="preserve"> </w:t>
      </w:r>
    </w:p>
    <w:p w:rsidR="008B26D6" w:rsidRDefault="008B26D6" w:rsidP="006B711A">
      <w:pPr>
        <w:tabs>
          <w:tab w:val="left" w:pos="1530"/>
        </w:tabs>
        <w:jc w:val="both"/>
      </w:pPr>
    </w:p>
    <w:p w:rsidR="00442A4D" w:rsidRPr="00A14B1D" w:rsidRDefault="00465DF0" w:rsidP="006B711A">
      <w:pPr>
        <w:tabs>
          <w:tab w:val="left" w:pos="1530"/>
        </w:tabs>
        <w:jc w:val="both"/>
      </w:pPr>
      <w:r>
        <w:t>NOTE:</w:t>
      </w:r>
      <w:r w:rsidR="00442A4D" w:rsidRPr="00A14B1D">
        <w:t xml:space="preserve"> </w:t>
      </w:r>
      <w:r>
        <w:t>A</w:t>
      </w:r>
      <w:r w:rsidR="00442A4D" w:rsidRPr="00A14B1D">
        <w:t>mong children under the age of 2 years, measure recumbent length instead of standing height. Recumbent length measurements require different procedures</w:t>
      </w:r>
      <w:r w:rsidR="00145E65" w:rsidRPr="00A14B1D">
        <w:rPr>
          <w:vertAlign w:val="superscript"/>
        </w:rPr>
        <w:t>8</w:t>
      </w:r>
      <w:r w:rsidR="00060290" w:rsidRPr="009F5F98">
        <w:t>,</w:t>
      </w:r>
      <w:r w:rsidR="00442A4D" w:rsidRPr="00A14B1D">
        <w:t xml:space="preserve"> not detailed </w:t>
      </w:r>
      <w:r>
        <w:t>in this protocol</w:t>
      </w:r>
      <w:r w:rsidR="00442A4D" w:rsidRPr="00A14B1D">
        <w:t xml:space="preserve">.   </w:t>
      </w:r>
    </w:p>
    <w:p w:rsidR="008B26D6" w:rsidRDefault="008B26D6" w:rsidP="006B711A">
      <w:pPr>
        <w:tabs>
          <w:tab w:val="left" w:pos="1530"/>
        </w:tabs>
        <w:jc w:val="both"/>
      </w:pPr>
    </w:p>
    <w:p w:rsidR="00442A4D" w:rsidRPr="00A14B1D" w:rsidRDefault="00442A4D" w:rsidP="006B711A">
      <w:pPr>
        <w:tabs>
          <w:tab w:val="left" w:pos="1530"/>
        </w:tabs>
        <w:jc w:val="both"/>
      </w:pPr>
      <w:r w:rsidRPr="00A14B1D">
        <w:t xml:space="preserve">3.2) </w:t>
      </w:r>
      <w:r w:rsidRPr="00B55166">
        <w:rPr>
          <w:highlight w:val="yellow"/>
        </w:rPr>
        <w:t>Ask the participant, before stepping on the stadiometer, to remove any items that could impede measurements</w:t>
      </w:r>
      <w:r w:rsidR="00B16F8F">
        <w:t>. F</w:t>
      </w:r>
      <w:r w:rsidR="00822C32">
        <w:t xml:space="preserve">or example, </w:t>
      </w:r>
      <w:r w:rsidRPr="00A14B1D">
        <w:t>shoes, thick socks, hats, and hair accessories (</w:t>
      </w:r>
      <w:r w:rsidRPr="00A14B1D">
        <w:rPr>
          <w:i/>
        </w:rPr>
        <w:t>e.g.</w:t>
      </w:r>
      <w:r w:rsidRPr="00A14B1D">
        <w:t xml:space="preserve"> hats, headbands, hair bands on the crown of head). </w:t>
      </w:r>
    </w:p>
    <w:p w:rsidR="008B26D6" w:rsidRDefault="008B26D6" w:rsidP="006B711A">
      <w:pPr>
        <w:tabs>
          <w:tab w:val="left" w:pos="1530"/>
        </w:tabs>
        <w:jc w:val="both"/>
      </w:pPr>
    </w:p>
    <w:p w:rsidR="00442A4D" w:rsidRPr="00A14B1D" w:rsidRDefault="00442A4D" w:rsidP="006B711A">
      <w:pPr>
        <w:tabs>
          <w:tab w:val="left" w:pos="1530"/>
        </w:tabs>
        <w:jc w:val="both"/>
      </w:pPr>
      <w:r w:rsidRPr="00A14B1D">
        <w:t xml:space="preserve">3.3) </w:t>
      </w:r>
      <w:r w:rsidRPr="00B55166">
        <w:rPr>
          <w:highlight w:val="yellow"/>
        </w:rPr>
        <w:t xml:space="preserve">Guide the participant back onto the board until </w:t>
      </w:r>
      <w:r w:rsidR="00822C32">
        <w:rPr>
          <w:highlight w:val="yellow"/>
        </w:rPr>
        <w:t>the participant’s</w:t>
      </w:r>
      <w:r w:rsidRPr="00B55166">
        <w:rPr>
          <w:highlight w:val="yellow"/>
        </w:rPr>
        <w:t xml:space="preserve"> buttocks, shoulder blades, or back of head make contact with the board.</w:t>
      </w:r>
      <w:r w:rsidRPr="00A14B1D">
        <w:t xml:space="preserve"> </w:t>
      </w:r>
    </w:p>
    <w:p w:rsidR="008B26D6" w:rsidRDefault="008B26D6" w:rsidP="006B711A">
      <w:pPr>
        <w:tabs>
          <w:tab w:val="left" w:pos="1530"/>
        </w:tabs>
        <w:jc w:val="both"/>
      </w:pPr>
    </w:p>
    <w:p w:rsidR="00442A4D" w:rsidRPr="00A14B1D" w:rsidRDefault="00442A4D" w:rsidP="006B711A">
      <w:pPr>
        <w:tabs>
          <w:tab w:val="left" w:pos="1530"/>
        </w:tabs>
        <w:jc w:val="both"/>
      </w:pPr>
      <w:r w:rsidRPr="00A14B1D">
        <w:lastRenderedPageBreak/>
        <w:t xml:space="preserve"> 3.4) While facing the participant, instruct </w:t>
      </w:r>
      <w:r w:rsidR="00822C32" w:rsidRPr="00A14B1D">
        <w:t xml:space="preserve">the participant </w:t>
      </w:r>
      <w:r w:rsidRPr="00A14B1D">
        <w:t xml:space="preserve">to stand on the board with feet spread approximately 2 feet apart. </w:t>
      </w:r>
      <w:r w:rsidR="006769E1">
        <w:t>Ask</w:t>
      </w:r>
      <w:r w:rsidR="00465DF0">
        <w:t xml:space="preserve"> t</w:t>
      </w:r>
      <w:r w:rsidRPr="00A14B1D">
        <w:t xml:space="preserve">he participant </w:t>
      </w:r>
      <w:r w:rsidR="00465DF0">
        <w:t>to</w:t>
      </w:r>
      <w:r w:rsidRPr="00A14B1D">
        <w:t xml:space="preserve"> slowly inch his/her legs back together until the legs, mid-thighs, knees, or feet make contact. </w:t>
      </w:r>
    </w:p>
    <w:p w:rsidR="008B26D6" w:rsidRDefault="008B26D6" w:rsidP="006B711A">
      <w:pPr>
        <w:tabs>
          <w:tab w:val="left" w:pos="1530"/>
        </w:tabs>
        <w:jc w:val="both"/>
      </w:pPr>
    </w:p>
    <w:p w:rsidR="00442A4D" w:rsidRPr="00A14B1D" w:rsidRDefault="00442A4D" w:rsidP="006B711A">
      <w:pPr>
        <w:tabs>
          <w:tab w:val="left" w:pos="1530"/>
        </w:tabs>
        <w:jc w:val="both"/>
      </w:pPr>
      <w:r w:rsidRPr="00822C32">
        <w:rPr>
          <w:highlight w:val="yellow"/>
        </w:rPr>
        <w:t xml:space="preserve">3.5) Instruct the participant to stand as straight as possible, without slouching or leaning. </w:t>
      </w:r>
      <w:r w:rsidR="00060290" w:rsidRPr="00822C32">
        <w:rPr>
          <w:highlight w:val="yellow"/>
        </w:rPr>
        <w:t>Ensure that</w:t>
      </w:r>
      <w:r w:rsidR="00465DF0" w:rsidRPr="00822C32">
        <w:rPr>
          <w:highlight w:val="yellow"/>
        </w:rPr>
        <w:t xml:space="preserve"> f</w:t>
      </w:r>
      <w:r w:rsidRPr="00822C32">
        <w:rPr>
          <w:highlight w:val="yellow"/>
        </w:rPr>
        <w:t xml:space="preserve">eet </w:t>
      </w:r>
      <w:r w:rsidR="00465DF0" w:rsidRPr="00822C32">
        <w:rPr>
          <w:highlight w:val="yellow"/>
        </w:rPr>
        <w:t>are</w:t>
      </w:r>
      <w:r w:rsidRPr="00822C32">
        <w:rPr>
          <w:highlight w:val="yellow"/>
        </w:rPr>
        <w:t xml:space="preserve"> flat on the </w:t>
      </w:r>
      <w:r w:rsidRPr="00B55166">
        <w:rPr>
          <w:highlight w:val="yellow"/>
        </w:rPr>
        <w:t>bottom of the height board or floor, and arms hang down by the participant’s sides</w:t>
      </w:r>
      <w:r w:rsidR="00465DF0">
        <w:rPr>
          <w:highlight w:val="yellow"/>
        </w:rPr>
        <w:t>.</w:t>
      </w:r>
      <w:r w:rsidRPr="00B55166">
        <w:rPr>
          <w:highlight w:val="yellow"/>
        </w:rPr>
        <w:t xml:space="preserve"> </w:t>
      </w:r>
      <w:r w:rsidR="00465DF0">
        <w:rPr>
          <w:highlight w:val="yellow"/>
        </w:rPr>
        <w:t>Confirm</w:t>
      </w:r>
      <w:r w:rsidRPr="00B55166">
        <w:rPr>
          <w:highlight w:val="yellow"/>
        </w:rPr>
        <w:t xml:space="preserve"> that weight is evenly distributed between the left and right sides of the body.</w:t>
      </w:r>
      <w:r w:rsidRPr="00A14B1D">
        <w:t xml:space="preserve"> </w:t>
      </w:r>
    </w:p>
    <w:p w:rsidR="008B26D6" w:rsidRDefault="008B26D6" w:rsidP="006B711A">
      <w:pPr>
        <w:tabs>
          <w:tab w:val="left" w:pos="1530"/>
        </w:tabs>
        <w:jc w:val="both"/>
      </w:pPr>
    </w:p>
    <w:p w:rsidR="00442A4D" w:rsidRDefault="00442A4D" w:rsidP="006B711A">
      <w:pPr>
        <w:tabs>
          <w:tab w:val="left" w:pos="1530"/>
        </w:tabs>
        <w:jc w:val="both"/>
      </w:pPr>
      <w:r w:rsidRPr="00A14B1D">
        <w:t xml:space="preserve">3.6) </w:t>
      </w:r>
      <w:r w:rsidRPr="00B55166">
        <w:rPr>
          <w:highlight w:val="yellow"/>
        </w:rPr>
        <w:t>V</w:t>
      </w:r>
      <w:r w:rsidR="00B16F8F">
        <w:rPr>
          <w:highlight w:val="yellow"/>
        </w:rPr>
        <w:t>isually v</w:t>
      </w:r>
      <w:r w:rsidRPr="00B55166">
        <w:rPr>
          <w:highlight w:val="yellow"/>
        </w:rPr>
        <w:t>erify that the mid-</w:t>
      </w:r>
      <w:r w:rsidRPr="00B16F8F">
        <w:rPr>
          <w:highlight w:val="yellow"/>
        </w:rPr>
        <w:t xml:space="preserve">axillary line is perpendicular to the floor. </w:t>
      </w:r>
      <w:r w:rsidR="00465DF0" w:rsidRPr="00B16F8F">
        <w:rPr>
          <w:highlight w:val="yellow"/>
        </w:rPr>
        <w:t>Instruct t</w:t>
      </w:r>
      <w:r w:rsidRPr="00B16F8F">
        <w:rPr>
          <w:highlight w:val="yellow"/>
        </w:rPr>
        <w:t>he participant to move his/her feet away from the back of the stadiometer to achieve this position.</w:t>
      </w:r>
      <w:r w:rsidRPr="00A14B1D">
        <w:t xml:space="preserve"> </w:t>
      </w:r>
    </w:p>
    <w:p w:rsidR="008B26D6" w:rsidRDefault="008B26D6" w:rsidP="006B711A">
      <w:pPr>
        <w:tabs>
          <w:tab w:val="left" w:pos="1530"/>
        </w:tabs>
        <w:jc w:val="both"/>
      </w:pPr>
    </w:p>
    <w:p w:rsidR="006769E1" w:rsidRPr="00A14B1D" w:rsidRDefault="006769E1" w:rsidP="006B711A">
      <w:pPr>
        <w:tabs>
          <w:tab w:val="left" w:pos="1530"/>
        </w:tabs>
        <w:jc w:val="both"/>
      </w:pPr>
      <w:r w:rsidRPr="00B16F8F">
        <w:t>NOTE: The mid-axillary line is an imaginary line in the coronal plane midway between the anterior axillary line and the posterior axillary line, extending from the center of the axilla down through the most superior part of the iliac crest (Figure 1).</w:t>
      </w:r>
      <w:r w:rsidR="0074402B" w:rsidRPr="00B16F8F">
        <w:t xml:space="preserve"> ([Place Figure 1 here])</w:t>
      </w:r>
    </w:p>
    <w:p w:rsidR="008B26D6" w:rsidRDefault="008B26D6" w:rsidP="006B711A">
      <w:pPr>
        <w:tabs>
          <w:tab w:val="left" w:pos="1530"/>
        </w:tabs>
        <w:jc w:val="both"/>
      </w:pPr>
    </w:p>
    <w:p w:rsidR="00442A4D" w:rsidRPr="00A14B1D" w:rsidRDefault="00442A4D" w:rsidP="006B711A">
      <w:pPr>
        <w:tabs>
          <w:tab w:val="left" w:pos="1530"/>
        </w:tabs>
        <w:jc w:val="both"/>
      </w:pPr>
      <w:r w:rsidRPr="00A14B1D">
        <w:t xml:space="preserve">3.7) Ask the participant to stand up straight. </w:t>
      </w:r>
      <w:r w:rsidR="00993625">
        <w:t xml:space="preserve">Ensure that one or more of the following body parts makes contact with back of the stadiometer: </w:t>
      </w:r>
      <w:r w:rsidRPr="00A14B1D">
        <w:t>feet, head, shoulders, or buttocks</w:t>
      </w:r>
      <w:r w:rsidR="00993625">
        <w:t>.</w:t>
      </w:r>
      <w:r w:rsidRPr="00A14B1D">
        <w:t xml:space="preserve"> </w:t>
      </w:r>
    </w:p>
    <w:p w:rsidR="008B26D6" w:rsidRDefault="008B26D6" w:rsidP="006B711A">
      <w:pPr>
        <w:tabs>
          <w:tab w:val="left" w:pos="1530"/>
        </w:tabs>
        <w:jc w:val="both"/>
      </w:pPr>
    </w:p>
    <w:p w:rsidR="00C81A3F" w:rsidRPr="00A14B1D" w:rsidRDefault="00442A4D" w:rsidP="006B711A">
      <w:pPr>
        <w:tabs>
          <w:tab w:val="left" w:pos="1530"/>
        </w:tabs>
        <w:jc w:val="both"/>
      </w:pPr>
      <w:r w:rsidRPr="00A14B1D">
        <w:t xml:space="preserve">3.8) </w:t>
      </w:r>
      <w:r w:rsidRPr="00B55166">
        <w:rPr>
          <w:bCs/>
          <w:highlight w:val="yellow"/>
        </w:rPr>
        <w:t>Place the participant’s head into the Frankfort Plane (Figure 2)</w:t>
      </w:r>
      <w:r w:rsidRPr="00B55166">
        <w:rPr>
          <w:highlight w:val="yellow"/>
        </w:rPr>
        <w:t>.</w:t>
      </w:r>
      <w:r w:rsidRPr="00A14B1D">
        <w:t xml:space="preserve"> </w:t>
      </w:r>
      <w:r w:rsidR="0074402B">
        <w:t>(</w:t>
      </w:r>
      <w:r w:rsidR="00D7536D">
        <w:t>[</w:t>
      </w:r>
      <w:r w:rsidR="0074402B">
        <w:t>Place Figure 2 here])</w:t>
      </w:r>
    </w:p>
    <w:p w:rsidR="008B26D6" w:rsidRDefault="008B26D6" w:rsidP="006B711A">
      <w:pPr>
        <w:tabs>
          <w:tab w:val="left" w:pos="1530"/>
        </w:tabs>
        <w:jc w:val="both"/>
      </w:pPr>
    </w:p>
    <w:p w:rsidR="00442A4D" w:rsidRPr="00B55166" w:rsidRDefault="00C81A3F" w:rsidP="006B711A">
      <w:pPr>
        <w:tabs>
          <w:tab w:val="left" w:pos="1530"/>
        </w:tabs>
        <w:jc w:val="both"/>
        <w:rPr>
          <w:highlight w:val="yellow"/>
        </w:rPr>
      </w:pPr>
      <w:r w:rsidRPr="00A14B1D">
        <w:t xml:space="preserve">3.8.1) </w:t>
      </w:r>
      <w:r w:rsidR="00060290" w:rsidRPr="009F5F98">
        <w:rPr>
          <w:highlight w:val="yellow"/>
        </w:rPr>
        <w:t>Determine t</w:t>
      </w:r>
      <w:r w:rsidR="00442A4D" w:rsidRPr="00B55166">
        <w:rPr>
          <w:highlight w:val="yellow"/>
        </w:rPr>
        <w:t xml:space="preserve">he Frankfort Plane by </w:t>
      </w:r>
      <w:r w:rsidR="00465DF0">
        <w:rPr>
          <w:highlight w:val="yellow"/>
        </w:rPr>
        <w:t xml:space="preserve">doing </w:t>
      </w:r>
      <w:r w:rsidR="00442A4D" w:rsidRPr="00B55166">
        <w:rPr>
          <w:highlight w:val="yellow"/>
        </w:rPr>
        <w:t xml:space="preserve">the following: Looking at the side of the participant’s head, draw an imaginary line from the lowest margin of the eye orbit to the highest margin at the opening of the ear canal. Position the head so that the imaginary line is parallel to the floor and perpendicular to the stadiometer. </w:t>
      </w:r>
    </w:p>
    <w:p w:rsidR="008B26D6" w:rsidRDefault="008B26D6" w:rsidP="006B711A">
      <w:pPr>
        <w:tabs>
          <w:tab w:val="left" w:pos="1530"/>
        </w:tabs>
        <w:jc w:val="both"/>
      </w:pPr>
    </w:p>
    <w:p w:rsidR="00442A4D" w:rsidRPr="00A14B1D" w:rsidRDefault="00442A4D" w:rsidP="006B711A">
      <w:pPr>
        <w:tabs>
          <w:tab w:val="left" w:pos="1530"/>
        </w:tabs>
        <w:jc w:val="both"/>
      </w:pPr>
      <w:r w:rsidRPr="00B55166">
        <w:t xml:space="preserve">3.9) </w:t>
      </w:r>
      <w:r w:rsidRPr="00B55166">
        <w:rPr>
          <w:highlight w:val="yellow"/>
        </w:rPr>
        <w:t>Remind the participant to stand straight and tall, and position the headpiece firmly on top of his/her head with sufficient pressure to compress the hair and make contact with the skull. With the headpiece at eye level, take the measurement to the nearest tenth of a centimeter.</w:t>
      </w:r>
      <w:r w:rsidRPr="00A14B1D">
        <w:t xml:space="preserve"> </w:t>
      </w:r>
    </w:p>
    <w:p w:rsidR="008B26D6" w:rsidRDefault="008B26D6" w:rsidP="006B711A">
      <w:pPr>
        <w:tabs>
          <w:tab w:val="left" w:pos="1530"/>
        </w:tabs>
        <w:jc w:val="both"/>
      </w:pPr>
    </w:p>
    <w:p w:rsidR="00442A4D" w:rsidRPr="00A14B1D" w:rsidRDefault="00442A4D" w:rsidP="006B711A">
      <w:pPr>
        <w:tabs>
          <w:tab w:val="left" w:pos="1530"/>
        </w:tabs>
        <w:jc w:val="both"/>
        <w:rPr>
          <w:b/>
        </w:rPr>
      </w:pPr>
      <w:r w:rsidRPr="00A14B1D">
        <w:t xml:space="preserve">4) </w:t>
      </w:r>
      <w:r w:rsidRPr="00A14B1D">
        <w:rPr>
          <w:b/>
        </w:rPr>
        <w:t>Sitting Height</w:t>
      </w:r>
    </w:p>
    <w:p w:rsidR="00442A4D" w:rsidRPr="00A14B1D" w:rsidRDefault="00442A4D" w:rsidP="006B711A">
      <w:pPr>
        <w:tabs>
          <w:tab w:val="left" w:pos="1530"/>
        </w:tabs>
        <w:jc w:val="both"/>
      </w:pPr>
      <w:r w:rsidRPr="00A14B1D">
        <w:t xml:space="preserve">4.1) </w:t>
      </w:r>
      <w:r w:rsidRPr="00B55166">
        <w:rPr>
          <w:highlight w:val="yellow"/>
        </w:rPr>
        <w:t>Place the stadiometer on top of a sturdy stool</w:t>
      </w:r>
      <w:r w:rsidR="00465DF0">
        <w:rPr>
          <w:highlight w:val="yellow"/>
        </w:rPr>
        <w:t xml:space="preserve"> </w:t>
      </w:r>
      <w:r w:rsidRPr="00B55166">
        <w:rPr>
          <w:highlight w:val="yellow"/>
        </w:rPr>
        <w:t>tall enough to allow the participant’s legs to form a 90</w:t>
      </w:r>
      <w:r w:rsidRPr="00B55166">
        <w:rPr>
          <w:highlight w:val="yellow"/>
          <w:vertAlign w:val="superscript"/>
        </w:rPr>
        <w:t>◦</w:t>
      </w:r>
      <w:r w:rsidRPr="00B55166">
        <w:rPr>
          <w:highlight w:val="yellow"/>
        </w:rPr>
        <w:t xml:space="preserve"> angle with the ground.</w:t>
      </w:r>
      <w:r w:rsidRPr="00A14B1D">
        <w:t xml:space="preserve"> Alternatively, if the stadiometer is wall-mounted, place a stool of known height in front of the stadiometer.</w:t>
      </w:r>
    </w:p>
    <w:p w:rsidR="008B26D6" w:rsidRDefault="008B26D6" w:rsidP="006B711A">
      <w:pPr>
        <w:tabs>
          <w:tab w:val="left" w:pos="1530"/>
        </w:tabs>
        <w:jc w:val="both"/>
      </w:pPr>
    </w:p>
    <w:p w:rsidR="00442A4D" w:rsidRPr="00A14B1D" w:rsidRDefault="00442A4D" w:rsidP="006B711A">
      <w:pPr>
        <w:tabs>
          <w:tab w:val="left" w:pos="1530"/>
        </w:tabs>
        <w:jc w:val="both"/>
      </w:pPr>
      <w:r w:rsidRPr="00A14B1D">
        <w:t xml:space="preserve">4.2) Ask the participant to sit on the stadiometer or on top of the stool so that the buttocks are touching the back of the board. </w:t>
      </w:r>
    </w:p>
    <w:p w:rsidR="008B26D6" w:rsidRDefault="008B26D6" w:rsidP="006B711A">
      <w:pPr>
        <w:tabs>
          <w:tab w:val="left" w:pos="1530"/>
        </w:tabs>
        <w:jc w:val="both"/>
      </w:pPr>
    </w:p>
    <w:p w:rsidR="00442A4D" w:rsidRPr="00A14B1D" w:rsidRDefault="00442A4D" w:rsidP="006B711A">
      <w:pPr>
        <w:tabs>
          <w:tab w:val="left" w:pos="1530"/>
        </w:tabs>
        <w:jc w:val="both"/>
      </w:pPr>
      <w:r w:rsidRPr="00A14B1D">
        <w:t xml:space="preserve">4.3) </w:t>
      </w:r>
      <w:r w:rsidR="00060290" w:rsidRPr="009F5F98">
        <w:rPr>
          <w:highlight w:val="yellow"/>
        </w:rPr>
        <w:t>Have</w:t>
      </w:r>
      <w:r w:rsidR="00FE2C24">
        <w:t xml:space="preserve"> </w:t>
      </w:r>
      <w:r w:rsidR="00FE2C24">
        <w:rPr>
          <w:highlight w:val="yellow"/>
        </w:rPr>
        <w:t>t</w:t>
      </w:r>
      <w:r w:rsidRPr="00B55166">
        <w:rPr>
          <w:highlight w:val="yellow"/>
        </w:rPr>
        <w:t xml:space="preserve">he participant sit as erect as possible, with buttocks, shoulders and/or head touching the back of the board. </w:t>
      </w:r>
      <w:r w:rsidR="00FE2C24">
        <w:rPr>
          <w:highlight w:val="yellow"/>
        </w:rPr>
        <w:t>Ensure that t</w:t>
      </w:r>
      <w:r w:rsidRPr="00B55166">
        <w:rPr>
          <w:highlight w:val="yellow"/>
        </w:rPr>
        <w:t xml:space="preserve">he mid-axillary line (as described in 3.6) </w:t>
      </w:r>
      <w:r w:rsidR="00FE2C24">
        <w:rPr>
          <w:highlight w:val="yellow"/>
        </w:rPr>
        <w:t>is</w:t>
      </w:r>
      <w:r w:rsidRPr="00B55166">
        <w:rPr>
          <w:highlight w:val="yellow"/>
        </w:rPr>
        <w:t xml:space="preserve"> perpendicular to the stool and parallel to the stadiometer.</w:t>
      </w:r>
      <w:r w:rsidRPr="00A14B1D">
        <w:t xml:space="preserve">  </w:t>
      </w:r>
    </w:p>
    <w:p w:rsidR="008B26D6" w:rsidRDefault="008B26D6" w:rsidP="006B711A">
      <w:pPr>
        <w:tabs>
          <w:tab w:val="left" w:pos="1530"/>
        </w:tabs>
        <w:jc w:val="both"/>
      </w:pPr>
    </w:p>
    <w:p w:rsidR="00442A4D" w:rsidRPr="00A14B1D" w:rsidRDefault="00442A4D" w:rsidP="006B711A">
      <w:pPr>
        <w:tabs>
          <w:tab w:val="left" w:pos="1530"/>
        </w:tabs>
        <w:jc w:val="both"/>
      </w:pPr>
      <w:r w:rsidRPr="00A14B1D">
        <w:t xml:space="preserve">4.4) </w:t>
      </w:r>
      <w:r w:rsidR="00FE2C24">
        <w:t>Guide t</w:t>
      </w:r>
      <w:r w:rsidRPr="00A14B1D">
        <w:t xml:space="preserve">he participant’s knees </w:t>
      </w:r>
      <w:r w:rsidR="00FE2C24">
        <w:t>directly in front of his/her body</w:t>
      </w:r>
      <w:r w:rsidRPr="00A14B1D">
        <w:t>, and place</w:t>
      </w:r>
      <w:r w:rsidR="00FE2C24">
        <w:t xml:space="preserve"> his/her hands</w:t>
      </w:r>
      <w:r w:rsidRPr="00A14B1D">
        <w:t xml:space="preserve"> on the thighs.</w:t>
      </w:r>
    </w:p>
    <w:p w:rsidR="008B26D6" w:rsidRDefault="008B26D6" w:rsidP="006B711A">
      <w:pPr>
        <w:tabs>
          <w:tab w:val="left" w:pos="1530"/>
        </w:tabs>
        <w:jc w:val="both"/>
      </w:pPr>
    </w:p>
    <w:p w:rsidR="00442A4D" w:rsidRPr="00A14B1D" w:rsidRDefault="00442A4D" w:rsidP="006B711A">
      <w:pPr>
        <w:tabs>
          <w:tab w:val="left" w:pos="1530"/>
        </w:tabs>
        <w:jc w:val="both"/>
      </w:pPr>
      <w:r w:rsidRPr="00A14B1D">
        <w:t xml:space="preserve">4.5) </w:t>
      </w:r>
      <w:r w:rsidRPr="00B55166">
        <w:rPr>
          <w:bCs/>
          <w:highlight w:val="yellow"/>
        </w:rPr>
        <w:t>Place the participant’s head into the Frankfort Plane.</w:t>
      </w:r>
      <w:r w:rsidRPr="00A14B1D">
        <w:rPr>
          <w:bCs/>
        </w:rPr>
        <w:t xml:space="preserve"> </w:t>
      </w:r>
      <w:r w:rsidRPr="00A14B1D">
        <w:t xml:space="preserve">Refer to 3.8. </w:t>
      </w:r>
    </w:p>
    <w:p w:rsidR="008B26D6" w:rsidRDefault="008B26D6" w:rsidP="006B711A">
      <w:pPr>
        <w:tabs>
          <w:tab w:val="left" w:pos="1530"/>
        </w:tabs>
        <w:jc w:val="both"/>
      </w:pPr>
    </w:p>
    <w:p w:rsidR="00442A4D" w:rsidRPr="00A14B1D" w:rsidRDefault="00442A4D" w:rsidP="006B711A">
      <w:pPr>
        <w:tabs>
          <w:tab w:val="left" w:pos="1530"/>
        </w:tabs>
        <w:jc w:val="both"/>
      </w:pPr>
      <w:r w:rsidRPr="00A14B1D">
        <w:t>4.6) Position the headpiece firmly on top of the participant’s head with sufficient pressure to compress the hair and make contact with the skull.</w:t>
      </w:r>
    </w:p>
    <w:p w:rsidR="008B26D6" w:rsidRDefault="008B26D6" w:rsidP="006B711A">
      <w:pPr>
        <w:tabs>
          <w:tab w:val="left" w:pos="1530"/>
        </w:tabs>
        <w:jc w:val="both"/>
      </w:pPr>
    </w:p>
    <w:p w:rsidR="00442A4D" w:rsidRPr="00A14B1D" w:rsidRDefault="00442A4D" w:rsidP="006B711A">
      <w:pPr>
        <w:tabs>
          <w:tab w:val="left" w:pos="1530"/>
        </w:tabs>
        <w:jc w:val="both"/>
      </w:pPr>
      <w:r w:rsidRPr="00A14B1D">
        <w:t xml:space="preserve">4.7) </w:t>
      </w:r>
      <w:r w:rsidRPr="00B55166">
        <w:rPr>
          <w:highlight w:val="yellow"/>
        </w:rPr>
        <w:t>While directly facing the measuring index with the headpiece at eye level, take measurement to the nearest tenth of a centimeter.</w:t>
      </w:r>
      <w:r w:rsidRPr="00A14B1D">
        <w:t xml:space="preserve"> </w:t>
      </w:r>
    </w:p>
    <w:p w:rsidR="008B26D6" w:rsidRDefault="008B26D6" w:rsidP="006B711A">
      <w:pPr>
        <w:tabs>
          <w:tab w:val="left" w:pos="1530"/>
        </w:tabs>
        <w:jc w:val="both"/>
      </w:pPr>
    </w:p>
    <w:p w:rsidR="00442A4D" w:rsidRPr="00A14B1D" w:rsidRDefault="00442A4D" w:rsidP="006B711A">
      <w:pPr>
        <w:tabs>
          <w:tab w:val="left" w:pos="1530"/>
        </w:tabs>
        <w:jc w:val="both"/>
        <w:rPr>
          <w:b/>
        </w:rPr>
      </w:pPr>
      <w:r w:rsidRPr="00A14B1D">
        <w:t xml:space="preserve">5) </w:t>
      </w:r>
      <w:r w:rsidRPr="00A14B1D">
        <w:rPr>
          <w:b/>
        </w:rPr>
        <w:t xml:space="preserve">Weight </w:t>
      </w:r>
    </w:p>
    <w:p w:rsidR="00442A4D" w:rsidRPr="00A14B1D" w:rsidRDefault="00442A4D" w:rsidP="006B711A">
      <w:pPr>
        <w:tabs>
          <w:tab w:val="left" w:pos="1530"/>
        </w:tabs>
        <w:jc w:val="both"/>
      </w:pPr>
      <w:r w:rsidRPr="00A14B1D">
        <w:t xml:space="preserve">5.1) Instruct the participant to wear either light clothing or the standard clothing provided at the onset of the anthropometric measurements, </w:t>
      </w:r>
      <w:r w:rsidR="00FE2C24" w:rsidRPr="00A14B1D">
        <w:t>to empty his/her bladder,</w:t>
      </w:r>
      <w:r w:rsidR="00FE2C24">
        <w:t xml:space="preserve"> </w:t>
      </w:r>
      <w:r w:rsidRPr="00A14B1D">
        <w:t xml:space="preserve">and to remove his/her shoes before attempting the weight measurement. </w:t>
      </w:r>
    </w:p>
    <w:p w:rsidR="008B26D6" w:rsidRDefault="008B26D6" w:rsidP="006B711A">
      <w:pPr>
        <w:tabs>
          <w:tab w:val="left" w:pos="1530"/>
        </w:tabs>
        <w:jc w:val="both"/>
      </w:pPr>
    </w:p>
    <w:p w:rsidR="00442A4D" w:rsidRPr="00A14B1D" w:rsidRDefault="00442A4D" w:rsidP="006B711A">
      <w:pPr>
        <w:tabs>
          <w:tab w:val="left" w:pos="1530"/>
        </w:tabs>
        <w:jc w:val="both"/>
      </w:pPr>
      <w:r w:rsidRPr="00A14B1D">
        <w:t xml:space="preserve">5.2) Ask the participant, to stand on the scale. Record the measurement to the nearest tenth of a kilogram. </w:t>
      </w:r>
    </w:p>
    <w:p w:rsidR="008B26D6" w:rsidRDefault="008B26D6" w:rsidP="006B711A">
      <w:pPr>
        <w:tabs>
          <w:tab w:val="left" w:pos="1530"/>
        </w:tabs>
        <w:jc w:val="both"/>
      </w:pPr>
    </w:p>
    <w:p w:rsidR="00442A4D" w:rsidRPr="00A14B1D" w:rsidRDefault="00442A4D" w:rsidP="006B711A">
      <w:pPr>
        <w:tabs>
          <w:tab w:val="left" w:pos="1530"/>
        </w:tabs>
        <w:jc w:val="both"/>
      </w:pPr>
      <w:r w:rsidRPr="00A14B1D">
        <w:t xml:space="preserve">6) </w:t>
      </w:r>
      <w:r w:rsidRPr="00A14B1D">
        <w:rPr>
          <w:b/>
        </w:rPr>
        <w:t>Waist</w:t>
      </w:r>
      <w:r w:rsidRPr="00A14B1D">
        <w:t xml:space="preserve"> </w:t>
      </w:r>
      <w:r w:rsidRPr="00A14B1D">
        <w:rPr>
          <w:b/>
        </w:rPr>
        <w:t>Circumference</w:t>
      </w:r>
    </w:p>
    <w:p w:rsidR="00442A4D" w:rsidRPr="00A14B1D" w:rsidRDefault="00442A4D" w:rsidP="006B711A">
      <w:pPr>
        <w:tabs>
          <w:tab w:val="left" w:pos="1530"/>
        </w:tabs>
        <w:jc w:val="both"/>
      </w:pPr>
      <w:r w:rsidRPr="00A14B1D">
        <w:t xml:space="preserve">6.1) Instruct the participant to stand erect, still, and lateral to a chair, ideally in front of a mirror. </w:t>
      </w:r>
      <w:r w:rsidR="00FE2C24">
        <w:t>Sit</w:t>
      </w:r>
      <w:r w:rsidRPr="00A14B1D">
        <w:t xml:space="preserve"> facing the mirror, with the participant’s right or left hip bone at eye level. </w:t>
      </w:r>
      <w:r w:rsidR="00FE2C24">
        <w:t xml:space="preserve">Instruct the </w:t>
      </w:r>
      <w:r w:rsidRPr="00A14B1D">
        <w:t xml:space="preserve">participant </w:t>
      </w:r>
      <w:r w:rsidR="00FE2C24">
        <w:t>to</w:t>
      </w:r>
      <w:r w:rsidRPr="00A14B1D">
        <w:t xml:space="preserve"> cross </w:t>
      </w:r>
      <w:r w:rsidR="00FE2C24">
        <w:t xml:space="preserve">his/her </w:t>
      </w:r>
      <w:r w:rsidRPr="00A14B1D">
        <w:t xml:space="preserve">arms in front </w:t>
      </w:r>
      <w:r w:rsidR="00FE2C24">
        <w:t>while</w:t>
      </w:r>
      <w:r w:rsidRPr="00A14B1D">
        <w:t xml:space="preserve"> hold</w:t>
      </w:r>
      <w:r w:rsidR="00FE2C24">
        <w:t>ing</w:t>
      </w:r>
      <w:r w:rsidRPr="00A14B1D">
        <w:t xml:space="preserve"> up his/her shirt.</w:t>
      </w:r>
    </w:p>
    <w:p w:rsidR="008B26D6" w:rsidRDefault="008B26D6" w:rsidP="006B711A">
      <w:pPr>
        <w:tabs>
          <w:tab w:val="left" w:pos="1530"/>
        </w:tabs>
        <w:jc w:val="both"/>
      </w:pPr>
    </w:p>
    <w:p w:rsidR="00442A4D" w:rsidRPr="00A14B1D" w:rsidRDefault="00442A4D" w:rsidP="006B711A">
      <w:pPr>
        <w:tabs>
          <w:tab w:val="left" w:pos="1530"/>
        </w:tabs>
        <w:jc w:val="both"/>
      </w:pPr>
      <w:r w:rsidRPr="00A14B1D">
        <w:t xml:space="preserve">6.2) </w:t>
      </w:r>
      <w:r w:rsidRPr="00B55166">
        <w:rPr>
          <w:highlight w:val="yellow"/>
        </w:rPr>
        <w:t>Sitting to the side of the participant, locate the anterior part of the hip bone</w:t>
      </w:r>
      <w:r w:rsidRPr="00A14B1D">
        <w:t xml:space="preserve">, which is usually the portion of the hip bone that is most easily identified through dense adipose tissue. </w:t>
      </w:r>
      <w:r w:rsidRPr="00B55166">
        <w:rPr>
          <w:highlight w:val="yellow"/>
        </w:rPr>
        <w:t>Palpate upward along the hip bone to locate the iliac crest, the superior ridge of the hip bone. Continue to palpate the iliac crest until reaching the intersection between the uppermost point of the iliac crest and the mid-axillary line (refer to section 3.6 to locate mid-axillary line). Identify site with a self-adhesive sticker.</w:t>
      </w:r>
      <w:r w:rsidRPr="00A14B1D">
        <w:t xml:space="preserve"> </w:t>
      </w:r>
    </w:p>
    <w:p w:rsidR="008B26D6" w:rsidRDefault="008B26D6" w:rsidP="006B711A">
      <w:pPr>
        <w:tabs>
          <w:tab w:val="left" w:pos="1530"/>
        </w:tabs>
        <w:jc w:val="both"/>
      </w:pPr>
    </w:p>
    <w:p w:rsidR="00442A4D" w:rsidRPr="00A14B1D" w:rsidRDefault="00442A4D" w:rsidP="006B711A">
      <w:pPr>
        <w:tabs>
          <w:tab w:val="left" w:pos="1530"/>
        </w:tabs>
        <w:jc w:val="both"/>
      </w:pPr>
      <w:r w:rsidRPr="00A14B1D">
        <w:t xml:space="preserve">6.3) </w:t>
      </w:r>
      <w:r w:rsidRPr="00B55166">
        <w:rPr>
          <w:highlight w:val="yellow"/>
        </w:rPr>
        <w:t xml:space="preserve">Repeat </w:t>
      </w:r>
      <w:r w:rsidR="007127A4" w:rsidRPr="00B55166">
        <w:rPr>
          <w:highlight w:val="yellow"/>
        </w:rPr>
        <w:t xml:space="preserve">6.2 </w:t>
      </w:r>
      <w:r w:rsidRPr="00B55166">
        <w:rPr>
          <w:highlight w:val="yellow"/>
        </w:rPr>
        <w:t>on the other side of the participant’s body.</w:t>
      </w:r>
    </w:p>
    <w:p w:rsidR="008B26D6" w:rsidRDefault="008B26D6" w:rsidP="006B711A">
      <w:pPr>
        <w:tabs>
          <w:tab w:val="left" w:pos="1530"/>
        </w:tabs>
        <w:jc w:val="both"/>
      </w:pPr>
    </w:p>
    <w:p w:rsidR="00442A4D" w:rsidRPr="00A14B1D" w:rsidRDefault="00442A4D" w:rsidP="006B711A">
      <w:pPr>
        <w:tabs>
          <w:tab w:val="left" w:pos="1530"/>
        </w:tabs>
        <w:jc w:val="both"/>
      </w:pPr>
      <w:r w:rsidRPr="00B16F8F">
        <w:rPr>
          <w:highlight w:val="yellow"/>
        </w:rPr>
        <w:t xml:space="preserve">6.4) </w:t>
      </w:r>
      <w:r w:rsidR="00060290" w:rsidRPr="00B16F8F">
        <w:rPr>
          <w:highlight w:val="yellow"/>
        </w:rPr>
        <w:t>While the participant stands perpendicular to the mirror,</w:t>
      </w:r>
      <w:r w:rsidRPr="00B16F8F">
        <w:rPr>
          <w:highlight w:val="yellow"/>
        </w:rPr>
        <w:t xml:space="preserve"> gently </w:t>
      </w:r>
      <w:r w:rsidRPr="00B55166">
        <w:rPr>
          <w:highlight w:val="yellow"/>
        </w:rPr>
        <w:t>place the measuring tape around the waist on top of the two stickers. Using the mirror as a guide, adjust the tape so that it is on a level, horizontal plane across the front, back, and both sides.</w:t>
      </w:r>
      <w:r w:rsidRPr="00A14B1D">
        <w:t xml:space="preserve"> </w:t>
      </w:r>
    </w:p>
    <w:p w:rsidR="008B26D6" w:rsidRDefault="008B26D6" w:rsidP="006B711A">
      <w:pPr>
        <w:tabs>
          <w:tab w:val="left" w:pos="1530"/>
        </w:tabs>
        <w:jc w:val="both"/>
      </w:pPr>
    </w:p>
    <w:p w:rsidR="00442A4D" w:rsidRPr="00A14B1D" w:rsidRDefault="00442A4D" w:rsidP="006B711A">
      <w:pPr>
        <w:tabs>
          <w:tab w:val="left" w:pos="1530"/>
        </w:tabs>
        <w:jc w:val="both"/>
      </w:pPr>
      <w:r w:rsidRPr="00A14B1D">
        <w:t xml:space="preserve">6.5) </w:t>
      </w:r>
      <w:r w:rsidRPr="00B55166">
        <w:rPr>
          <w:highlight w:val="yellow"/>
        </w:rPr>
        <w:t>Tighten the tape, without pulling the skin.</w:t>
      </w:r>
      <w:r w:rsidRPr="00A14B1D">
        <w:t xml:space="preserve"> </w:t>
      </w:r>
      <w:r w:rsidRPr="00B16F8F">
        <w:rPr>
          <w:highlight w:val="yellow"/>
        </w:rPr>
        <w:t xml:space="preserve">As this is a fine balance, start with the </w:t>
      </w:r>
      <w:r w:rsidRPr="00B55166">
        <w:rPr>
          <w:highlight w:val="yellow"/>
        </w:rPr>
        <w:t>tape measure pinching the skin slightly. Then slowly loosen the tape measure to form a smooth line along the skin, so that the skin is no longer constricted.</w:t>
      </w:r>
      <w:r w:rsidRPr="00A14B1D">
        <w:t xml:space="preserve"> Place the tape measure firmly on skin without cinching the participant’s waist, so that there are neither gaps in the tape measure nor pinched skin. </w:t>
      </w:r>
    </w:p>
    <w:p w:rsidR="008B26D6" w:rsidRDefault="008B26D6" w:rsidP="006B711A">
      <w:pPr>
        <w:tabs>
          <w:tab w:val="left" w:pos="1530"/>
        </w:tabs>
        <w:jc w:val="both"/>
      </w:pPr>
    </w:p>
    <w:p w:rsidR="00442A4D" w:rsidRPr="00A14B1D" w:rsidRDefault="00442A4D" w:rsidP="006B711A">
      <w:pPr>
        <w:tabs>
          <w:tab w:val="left" w:pos="1530"/>
        </w:tabs>
        <w:jc w:val="both"/>
      </w:pPr>
      <w:r w:rsidRPr="00A14B1D">
        <w:t xml:space="preserve"> 6.6) </w:t>
      </w:r>
      <w:r w:rsidRPr="00B55166">
        <w:rPr>
          <w:highlight w:val="yellow"/>
        </w:rPr>
        <w:t>At the end of the participant’s natural exhalation, read the tape to the nearest tenth of a centimeter.</w:t>
      </w:r>
      <w:r w:rsidRPr="00A14B1D">
        <w:t xml:space="preserve"> </w:t>
      </w:r>
    </w:p>
    <w:p w:rsidR="008B26D6" w:rsidRDefault="008B26D6" w:rsidP="006B711A">
      <w:pPr>
        <w:tabs>
          <w:tab w:val="left" w:pos="1530"/>
        </w:tabs>
        <w:jc w:val="both"/>
      </w:pPr>
    </w:p>
    <w:p w:rsidR="00442A4D" w:rsidRPr="00A14B1D" w:rsidRDefault="00465DF0" w:rsidP="006B711A">
      <w:pPr>
        <w:tabs>
          <w:tab w:val="left" w:pos="1530"/>
        </w:tabs>
        <w:jc w:val="both"/>
      </w:pPr>
      <w:r>
        <w:t>NOTE:</w:t>
      </w:r>
      <w:r w:rsidR="00C227F5" w:rsidRPr="00A14B1D">
        <w:t xml:space="preserve"> </w:t>
      </w:r>
      <w:r>
        <w:t>T</w:t>
      </w:r>
      <w:r w:rsidR="00442A4D" w:rsidRPr="00A14B1D">
        <w:t xml:space="preserve">his measurement is most effectively performed in the presence of mirrors or two research assistants. One researcher, alone, cannot observe proper placement of the tape measure on all sides of the body. The mirrors and/or additional staff member </w:t>
      </w:r>
      <w:r w:rsidR="00741133" w:rsidRPr="00A14B1D">
        <w:t>compensate for</w:t>
      </w:r>
      <w:r w:rsidR="00442A4D" w:rsidRPr="00A14B1D">
        <w:t xml:space="preserve"> obstructed areas, informing proper tape measure placement. </w:t>
      </w:r>
    </w:p>
    <w:p w:rsidR="008B26D6" w:rsidRDefault="008B26D6" w:rsidP="006B711A">
      <w:pPr>
        <w:tabs>
          <w:tab w:val="left" w:pos="1530"/>
        </w:tabs>
        <w:jc w:val="both"/>
      </w:pPr>
    </w:p>
    <w:p w:rsidR="00442A4D" w:rsidRPr="00A14B1D" w:rsidRDefault="00442A4D" w:rsidP="006B711A">
      <w:pPr>
        <w:tabs>
          <w:tab w:val="left" w:pos="1530"/>
        </w:tabs>
        <w:jc w:val="both"/>
        <w:rPr>
          <w:b/>
        </w:rPr>
      </w:pPr>
      <w:r w:rsidRPr="00A14B1D">
        <w:t xml:space="preserve">7) </w:t>
      </w:r>
      <w:r w:rsidRPr="00A14B1D">
        <w:rPr>
          <w:b/>
        </w:rPr>
        <w:t>Hip Circumference</w:t>
      </w:r>
    </w:p>
    <w:p w:rsidR="00442A4D" w:rsidRPr="00A14B1D" w:rsidRDefault="00442A4D" w:rsidP="006B711A">
      <w:pPr>
        <w:tabs>
          <w:tab w:val="left" w:pos="1530"/>
        </w:tabs>
        <w:jc w:val="both"/>
      </w:pPr>
      <w:r w:rsidRPr="00A14B1D">
        <w:t xml:space="preserve">7.1) Instruct the participant to stand erect next to a chair, perpendicular to the mirror. </w:t>
      </w:r>
      <w:r w:rsidR="00FE2C24">
        <w:t>Ask t</w:t>
      </w:r>
      <w:r w:rsidRPr="00A14B1D">
        <w:t xml:space="preserve">he participant </w:t>
      </w:r>
      <w:r w:rsidR="00FE2C24">
        <w:t>to</w:t>
      </w:r>
      <w:r w:rsidRPr="00A14B1D">
        <w:t xml:space="preserve"> fold his/her arms in front of the body with feet pressed together.</w:t>
      </w:r>
    </w:p>
    <w:p w:rsidR="008B26D6" w:rsidRDefault="008B26D6" w:rsidP="006B711A">
      <w:pPr>
        <w:tabs>
          <w:tab w:val="left" w:pos="1530"/>
        </w:tabs>
        <w:jc w:val="both"/>
      </w:pPr>
    </w:p>
    <w:p w:rsidR="00442A4D" w:rsidRPr="00B55166" w:rsidRDefault="00442A4D" w:rsidP="006B711A">
      <w:pPr>
        <w:tabs>
          <w:tab w:val="left" w:pos="1530"/>
        </w:tabs>
        <w:jc w:val="both"/>
        <w:rPr>
          <w:highlight w:val="yellow"/>
        </w:rPr>
      </w:pPr>
      <w:r w:rsidRPr="00A14B1D">
        <w:t xml:space="preserve">7.2) </w:t>
      </w:r>
      <w:r w:rsidR="008C5463" w:rsidRPr="00FD13A9">
        <w:rPr>
          <w:highlight w:val="yellow"/>
        </w:rPr>
        <w:t>Sit to the side of the participant and face the mirror, so that eyes are level with the participant’s hips.</w:t>
      </w:r>
    </w:p>
    <w:p w:rsidR="008B26D6" w:rsidRDefault="008B26D6" w:rsidP="006B711A">
      <w:pPr>
        <w:tabs>
          <w:tab w:val="left" w:pos="1530"/>
        </w:tabs>
        <w:jc w:val="both"/>
      </w:pPr>
    </w:p>
    <w:p w:rsidR="00442A4D" w:rsidRPr="00A14B1D" w:rsidRDefault="00442A4D" w:rsidP="006B711A">
      <w:pPr>
        <w:tabs>
          <w:tab w:val="left" w:pos="1530"/>
        </w:tabs>
        <w:jc w:val="both"/>
      </w:pPr>
      <w:r w:rsidRPr="00B55166">
        <w:t xml:space="preserve">7.3) </w:t>
      </w:r>
      <w:r w:rsidRPr="00B55166">
        <w:rPr>
          <w:highlight w:val="yellow"/>
        </w:rPr>
        <w:t>Place the measuring tape around the hips</w:t>
      </w:r>
      <w:r w:rsidR="00B37FCF">
        <w:rPr>
          <w:highlight w:val="yellow"/>
        </w:rPr>
        <w:t xml:space="preserve"> over lightweight, tight-fighting clothing.</w:t>
      </w:r>
      <w:r w:rsidRPr="00B55166">
        <w:rPr>
          <w:highlight w:val="yellow"/>
        </w:rPr>
        <w:t xml:space="preserve"> </w:t>
      </w:r>
      <w:r w:rsidR="00B37FCF">
        <w:rPr>
          <w:highlight w:val="yellow"/>
        </w:rPr>
        <w:t>A</w:t>
      </w:r>
      <w:r w:rsidRPr="00B55166">
        <w:rPr>
          <w:highlight w:val="yellow"/>
        </w:rPr>
        <w:t xml:space="preserve">nchor </w:t>
      </w:r>
      <w:r w:rsidR="00B37FCF">
        <w:rPr>
          <w:highlight w:val="yellow"/>
        </w:rPr>
        <w:t>the tape measure</w:t>
      </w:r>
      <w:r w:rsidR="00B37FCF" w:rsidRPr="00B55166">
        <w:rPr>
          <w:highlight w:val="yellow"/>
        </w:rPr>
        <w:t xml:space="preserve"> </w:t>
      </w:r>
      <w:r w:rsidRPr="00B55166">
        <w:rPr>
          <w:highlight w:val="yellow"/>
        </w:rPr>
        <w:t>at the maximum protuberance of the buttocks</w:t>
      </w:r>
      <w:r w:rsidRPr="00B16F8F">
        <w:rPr>
          <w:highlight w:val="yellow"/>
        </w:rPr>
        <w:t xml:space="preserve">. Adjust the tape so that it is on a horizontal plane around the body. </w:t>
      </w:r>
      <w:r w:rsidR="008C5463" w:rsidRPr="00C57131">
        <w:t>Hold the tape measure firmly. Similarly to the waist measurement, tighten the tape measure so that skin is pinched. Release the tape measure slowly until there is a smooth line around the tape measure.</w:t>
      </w:r>
      <w:r w:rsidRPr="00A14B1D">
        <w:t xml:space="preserve"> </w:t>
      </w:r>
    </w:p>
    <w:p w:rsidR="008B26D6" w:rsidRDefault="008B26D6" w:rsidP="006B711A">
      <w:pPr>
        <w:tabs>
          <w:tab w:val="left" w:pos="1530"/>
        </w:tabs>
        <w:jc w:val="both"/>
      </w:pPr>
    </w:p>
    <w:p w:rsidR="00442A4D" w:rsidRPr="00A14B1D" w:rsidRDefault="00442A4D" w:rsidP="006B711A">
      <w:pPr>
        <w:tabs>
          <w:tab w:val="left" w:pos="1530"/>
        </w:tabs>
        <w:jc w:val="both"/>
      </w:pPr>
      <w:r w:rsidRPr="00A14B1D">
        <w:t xml:space="preserve">7.4) </w:t>
      </w:r>
      <w:r w:rsidRPr="00B55166">
        <w:rPr>
          <w:highlight w:val="yellow"/>
        </w:rPr>
        <w:t>Holding the tape measure firmly and flatly, read the measurement to the nearest tenth of a centimeter.</w:t>
      </w:r>
      <w:r w:rsidRPr="00A14B1D">
        <w:t xml:space="preserve">  </w:t>
      </w:r>
    </w:p>
    <w:p w:rsidR="008B26D6" w:rsidRDefault="008B26D6" w:rsidP="006B711A">
      <w:pPr>
        <w:tabs>
          <w:tab w:val="left" w:pos="1530"/>
        </w:tabs>
        <w:jc w:val="both"/>
      </w:pPr>
    </w:p>
    <w:p w:rsidR="00442A4D" w:rsidRPr="00A14B1D" w:rsidRDefault="00442A4D" w:rsidP="006B711A">
      <w:pPr>
        <w:tabs>
          <w:tab w:val="left" w:pos="1530"/>
        </w:tabs>
        <w:jc w:val="both"/>
        <w:rPr>
          <w:b/>
        </w:rPr>
      </w:pPr>
      <w:r w:rsidRPr="00A14B1D">
        <w:t xml:space="preserve">8) </w:t>
      </w:r>
      <w:r w:rsidRPr="00A14B1D">
        <w:rPr>
          <w:b/>
        </w:rPr>
        <w:t>Mid-Upper Arm Circumference (MUAC)</w:t>
      </w:r>
    </w:p>
    <w:p w:rsidR="00442A4D" w:rsidRPr="00B55166" w:rsidRDefault="00442A4D" w:rsidP="006B711A">
      <w:pPr>
        <w:tabs>
          <w:tab w:val="left" w:pos="1530"/>
        </w:tabs>
        <w:jc w:val="both"/>
        <w:rPr>
          <w:highlight w:val="yellow"/>
        </w:rPr>
      </w:pPr>
      <w:r w:rsidRPr="00A14B1D">
        <w:t xml:space="preserve">8.1) </w:t>
      </w:r>
      <w:r w:rsidRPr="00B55166">
        <w:rPr>
          <w:highlight w:val="yellow"/>
        </w:rPr>
        <w:t xml:space="preserve">Instruct the participant to lift his/her shirtsleeve to shoulder height, </w:t>
      </w:r>
      <w:r w:rsidR="00FE2C24">
        <w:rPr>
          <w:highlight w:val="yellow"/>
        </w:rPr>
        <w:t>to ensure that</w:t>
      </w:r>
      <w:r w:rsidRPr="00B55166">
        <w:rPr>
          <w:highlight w:val="yellow"/>
        </w:rPr>
        <w:t xml:space="preserve"> measurement </w:t>
      </w:r>
      <w:r w:rsidR="00FE2C24">
        <w:rPr>
          <w:highlight w:val="yellow"/>
        </w:rPr>
        <w:t>is</w:t>
      </w:r>
      <w:r w:rsidRPr="00B55166">
        <w:rPr>
          <w:highlight w:val="yellow"/>
        </w:rPr>
        <w:t xml:space="preserve"> conducted directly on skin. While the participant is standing, position his/her </w:t>
      </w:r>
      <w:r w:rsidRPr="00B55166">
        <w:rPr>
          <w:bCs/>
          <w:highlight w:val="yellow"/>
        </w:rPr>
        <w:t>right</w:t>
      </w:r>
      <w:r w:rsidRPr="00B55166">
        <w:rPr>
          <w:b/>
          <w:bCs/>
          <w:highlight w:val="yellow"/>
        </w:rPr>
        <w:t xml:space="preserve"> </w:t>
      </w:r>
      <w:r w:rsidRPr="00B55166">
        <w:rPr>
          <w:highlight w:val="yellow"/>
        </w:rPr>
        <w:t>arm so that it is flexed at a 90</w:t>
      </w:r>
      <w:r w:rsidRPr="00B55166">
        <w:rPr>
          <w:highlight w:val="yellow"/>
          <w:vertAlign w:val="superscript"/>
        </w:rPr>
        <w:t>◦</w:t>
      </w:r>
      <w:r w:rsidRPr="00B55166">
        <w:rPr>
          <w:highlight w:val="yellow"/>
        </w:rPr>
        <w:t xml:space="preserve"> angle at the elbow with the palm facing up and fingertips pointing straight ahead.</w:t>
      </w:r>
    </w:p>
    <w:p w:rsidR="008B26D6" w:rsidRDefault="008B26D6" w:rsidP="006B711A">
      <w:pPr>
        <w:tabs>
          <w:tab w:val="left" w:pos="1530"/>
        </w:tabs>
        <w:jc w:val="both"/>
      </w:pPr>
    </w:p>
    <w:p w:rsidR="00442A4D" w:rsidRPr="00A14B1D" w:rsidRDefault="00442A4D" w:rsidP="006B711A">
      <w:pPr>
        <w:tabs>
          <w:tab w:val="left" w:pos="1530"/>
        </w:tabs>
        <w:jc w:val="both"/>
      </w:pPr>
      <w:r w:rsidRPr="00B55166">
        <w:t xml:space="preserve">8.2) </w:t>
      </w:r>
      <w:r w:rsidRPr="00B55166">
        <w:rPr>
          <w:highlight w:val="yellow"/>
        </w:rPr>
        <w:t xml:space="preserve">Stand behind the participant. Locate the posterior lateral shoulder bone that connects the participant’s shoulder blade and clavicle bone (Figure 3). </w:t>
      </w:r>
      <w:r w:rsidRPr="00B16F8F">
        <w:t>This bony structure, known as the acromion process, will serve as initial point zero on the tape measure.</w:t>
      </w:r>
      <w:r w:rsidRPr="00B16F8F" w:rsidDel="00E61A3B">
        <w:t xml:space="preserve"> </w:t>
      </w:r>
      <w:r w:rsidR="0074402B" w:rsidRPr="00B16F8F">
        <w:t>([Place Figure 3 here])</w:t>
      </w:r>
    </w:p>
    <w:p w:rsidR="008B26D6" w:rsidRDefault="008B26D6" w:rsidP="006B711A">
      <w:pPr>
        <w:tabs>
          <w:tab w:val="left" w:pos="1530"/>
        </w:tabs>
        <w:jc w:val="both"/>
      </w:pPr>
    </w:p>
    <w:p w:rsidR="00442A4D" w:rsidRPr="00B55166" w:rsidRDefault="00442A4D" w:rsidP="006B711A">
      <w:pPr>
        <w:tabs>
          <w:tab w:val="left" w:pos="1530"/>
        </w:tabs>
        <w:jc w:val="both"/>
        <w:rPr>
          <w:highlight w:val="yellow"/>
        </w:rPr>
      </w:pPr>
      <w:r w:rsidRPr="00A14B1D">
        <w:t xml:space="preserve">8.3) </w:t>
      </w:r>
      <w:r w:rsidRPr="00B55166">
        <w:rPr>
          <w:highlight w:val="yellow"/>
        </w:rPr>
        <w:t xml:space="preserve">Extend the tape down the midline of the back of the arm, past the bony tip of the elbow, known as the olecranon. </w:t>
      </w:r>
      <w:r w:rsidR="00B16F8F">
        <w:rPr>
          <w:highlight w:val="yellow"/>
        </w:rPr>
        <w:t>Using a tape m</w:t>
      </w:r>
      <w:r w:rsidRPr="00B55166">
        <w:rPr>
          <w:highlight w:val="yellow"/>
        </w:rPr>
        <w:t xml:space="preserve">easure the distance between the acromion process and the olecranon to the nearest tenth of a centimeter and place a self-adhesive sticker halfway between the olecranon and the acromion process over the posterior center of the humorous. </w:t>
      </w:r>
    </w:p>
    <w:p w:rsidR="008B26D6" w:rsidRDefault="008B26D6" w:rsidP="006B711A">
      <w:pPr>
        <w:tabs>
          <w:tab w:val="left" w:pos="1530"/>
        </w:tabs>
        <w:jc w:val="both"/>
      </w:pPr>
    </w:p>
    <w:p w:rsidR="00442A4D" w:rsidRPr="00B55166" w:rsidRDefault="00442A4D" w:rsidP="006B711A">
      <w:pPr>
        <w:tabs>
          <w:tab w:val="left" w:pos="1530"/>
        </w:tabs>
        <w:jc w:val="both"/>
        <w:rPr>
          <w:highlight w:val="yellow"/>
        </w:rPr>
      </w:pPr>
      <w:r w:rsidRPr="00B55166">
        <w:t xml:space="preserve">8.4) </w:t>
      </w:r>
      <w:r w:rsidRPr="00B55166">
        <w:rPr>
          <w:highlight w:val="yellow"/>
        </w:rPr>
        <w:t xml:space="preserve">Hold the participant’s arm slightly away from body, to ensure that muscles are relaxed. </w:t>
      </w:r>
    </w:p>
    <w:p w:rsidR="008B26D6" w:rsidRDefault="008B26D6" w:rsidP="006B711A">
      <w:pPr>
        <w:tabs>
          <w:tab w:val="left" w:pos="1530"/>
        </w:tabs>
        <w:jc w:val="both"/>
      </w:pPr>
    </w:p>
    <w:p w:rsidR="00442A4D" w:rsidRPr="00A14B1D" w:rsidRDefault="00442A4D" w:rsidP="006B711A">
      <w:pPr>
        <w:tabs>
          <w:tab w:val="left" w:pos="1530"/>
        </w:tabs>
        <w:jc w:val="both"/>
      </w:pPr>
      <w:r w:rsidRPr="00B55166">
        <w:t xml:space="preserve">8.5) </w:t>
      </w:r>
      <w:r w:rsidRPr="00B55166">
        <w:rPr>
          <w:highlight w:val="yellow"/>
        </w:rPr>
        <w:t>Standing to the right and slightly behind the participant, wrap the MUAC Tape (small, flip tape) around the upper arm so that it covers the self-adhesive sticker</w:t>
      </w:r>
      <w:r w:rsidRPr="004D61A3">
        <w:rPr>
          <w:highlight w:val="yellow"/>
        </w:rPr>
        <w:t>.</w:t>
      </w:r>
      <w:r w:rsidR="00060290" w:rsidRPr="009F5F98">
        <w:rPr>
          <w:highlight w:val="yellow"/>
        </w:rPr>
        <w:t xml:space="preserve"> Ensure that the tape measure is perpendicular to the arm length.</w:t>
      </w:r>
      <w:r w:rsidRPr="00A14B1D">
        <w:t xml:space="preserve">  </w:t>
      </w:r>
    </w:p>
    <w:p w:rsidR="008B26D6" w:rsidRDefault="008B26D6" w:rsidP="006B711A">
      <w:pPr>
        <w:tabs>
          <w:tab w:val="left" w:pos="1530"/>
        </w:tabs>
        <w:jc w:val="both"/>
      </w:pPr>
    </w:p>
    <w:p w:rsidR="00442A4D" w:rsidRPr="00A14B1D" w:rsidRDefault="00442A4D" w:rsidP="006B711A">
      <w:pPr>
        <w:tabs>
          <w:tab w:val="left" w:pos="1530"/>
        </w:tabs>
        <w:jc w:val="both"/>
        <w:rPr>
          <w:b/>
          <w:bCs/>
        </w:rPr>
      </w:pPr>
      <w:r w:rsidRPr="00A14B1D">
        <w:t xml:space="preserve">8.6) </w:t>
      </w:r>
      <w:r w:rsidR="00060290" w:rsidRPr="009F5F98">
        <w:rPr>
          <w:highlight w:val="yellow"/>
        </w:rPr>
        <w:t>Pull the tape so that there are no gaps in tape or areas of skin constriction.</w:t>
      </w:r>
      <w:r w:rsidRPr="00A14B1D">
        <w:t xml:space="preserve"> As with the hip and arm circumferences, this is a fine balance. Use greater tension and slowly release </w:t>
      </w:r>
      <w:r w:rsidR="00426E8C">
        <w:t xml:space="preserve">the </w:t>
      </w:r>
      <w:r w:rsidRPr="00A14B1D">
        <w:t xml:space="preserve">tape until there are no further areas of pinched skin. </w:t>
      </w:r>
    </w:p>
    <w:p w:rsidR="008B26D6" w:rsidRDefault="008B26D6" w:rsidP="006B711A">
      <w:pPr>
        <w:tabs>
          <w:tab w:val="left" w:pos="1530"/>
        </w:tabs>
        <w:jc w:val="both"/>
      </w:pPr>
    </w:p>
    <w:p w:rsidR="00442A4D" w:rsidRPr="00A14B1D" w:rsidRDefault="00442A4D" w:rsidP="006B711A">
      <w:pPr>
        <w:tabs>
          <w:tab w:val="left" w:pos="1530"/>
        </w:tabs>
        <w:jc w:val="both"/>
      </w:pPr>
      <w:r w:rsidRPr="00B16F8F">
        <w:t xml:space="preserve">8.7) </w:t>
      </w:r>
      <w:r w:rsidR="00060290" w:rsidRPr="00B16F8F">
        <w:t>Read the measurement and record to the nearest tenth of a centimeter.</w:t>
      </w:r>
      <w:r w:rsidRPr="00A14B1D">
        <w:t xml:space="preserve"> </w:t>
      </w:r>
    </w:p>
    <w:p w:rsidR="008B26D6" w:rsidRDefault="008B26D6" w:rsidP="006B711A">
      <w:pPr>
        <w:tabs>
          <w:tab w:val="left" w:pos="1530"/>
        </w:tabs>
        <w:jc w:val="both"/>
      </w:pPr>
    </w:p>
    <w:p w:rsidR="00442A4D" w:rsidRPr="00A14B1D" w:rsidRDefault="00442A4D" w:rsidP="006B711A">
      <w:pPr>
        <w:tabs>
          <w:tab w:val="left" w:pos="1530"/>
        </w:tabs>
        <w:jc w:val="both"/>
        <w:rPr>
          <w:b/>
        </w:rPr>
      </w:pPr>
      <w:r w:rsidRPr="00A14B1D">
        <w:t xml:space="preserve">9) </w:t>
      </w:r>
      <w:r w:rsidRPr="00A14B1D">
        <w:rPr>
          <w:b/>
        </w:rPr>
        <w:t>Triceps Skin Fold Thickness</w:t>
      </w:r>
    </w:p>
    <w:p w:rsidR="00442A4D" w:rsidRPr="00A14B1D" w:rsidRDefault="00442A4D" w:rsidP="006B711A">
      <w:pPr>
        <w:tabs>
          <w:tab w:val="left" w:pos="1530"/>
        </w:tabs>
        <w:jc w:val="both"/>
      </w:pPr>
      <w:r w:rsidRPr="00A14B1D">
        <w:lastRenderedPageBreak/>
        <w:t xml:space="preserve">9.1) </w:t>
      </w:r>
      <w:r w:rsidRPr="00B55166">
        <w:rPr>
          <w:highlight w:val="yellow"/>
        </w:rPr>
        <w:t>Use the sticker placement at the posterior midpoint of the participant’s arm (as determined by steps 8.1-8.3).</w:t>
      </w:r>
      <w:r w:rsidR="00C5380C">
        <w:t xml:space="preserve"> </w:t>
      </w:r>
      <w:r w:rsidR="00426E8C">
        <w:t>Instruct t</w:t>
      </w:r>
      <w:r w:rsidRPr="00A14B1D">
        <w:t xml:space="preserve">he participant </w:t>
      </w:r>
      <w:r w:rsidR="00426E8C">
        <w:t>to</w:t>
      </w:r>
      <w:r w:rsidR="00426E8C" w:rsidRPr="00A14B1D">
        <w:t xml:space="preserve"> </w:t>
      </w:r>
      <w:r w:rsidRPr="00A14B1D">
        <w:t>stand upright, with shoulders relaxed and arms hanging loosely.</w:t>
      </w:r>
    </w:p>
    <w:p w:rsidR="008B26D6" w:rsidRDefault="008B26D6" w:rsidP="006B711A">
      <w:pPr>
        <w:tabs>
          <w:tab w:val="left" w:pos="1530"/>
        </w:tabs>
        <w:jc w:val="both"/>
      </w:pPr>
    </w:p>
    <w:p w:rsidR="00C5380C" w:rsidRDefault="00C5380C" w:rsidP="006B711A">
      <w:pPr>
        <w:tabs>
          <w:tab w:val="left" w:pos="1530"/>
        </w:tabs>
        <w:jc w:val="both"/>
      </w:pPr>
      <w:r>
        <w:t>9.</w:t>
      </w:r>
      <w:r w:rsidRPr="00C5380C">
        <w:rPr>
          <w:highlight w:val="yellow"/>
        </w:rPr>
        <w:t>2</w:t>
      </w:r>
      <w:r w:rsidR="00442A4D" w:rsidRPr="00C5380C">
        <w:rPr>
          <w:highlight w:val="yellow"/>
        </w:rPr>
        <w:t>) Standing behind the participant, identify a location approximately 2 centimeters above the sticker at the upper arm midpoint.</w:t>
      </w:r>
      <w:r w:rsidRPr="00C5380C">
        <w:rPr>
          <w:highlight w:val="yellow"/>
        </w:rPr>
        <w:t xml:space="preserve"> </w:t>
      </w:r>
      <w:r w:rsidR="00442A4D" w:rsidRPr="00C5380C">
        <w:rPr>
          <w:highlight w:val="yellow"/>
        </w:rPr>
        <w:t xml:space="preserve">Grasp a sizable fold </w:t>
      </w:r>
      <w:r w:rsidR="00442A4D" w:rsidRPr="00B55166">
        <w:rPr>
          <w:highlight w:val="yellow"/>
        </w:rPr>
        <w:t xml:space="preserve">of skin between the thumb and index finger about 1-2 centimeters into the skin. </w:t>
      </w:r>
      <w:r w:rsidR="00426E8C">
        <w:rPr>
          <w:highlight w:val="yellow"/>
        </w:rPr>
        <w:t xml:space="preserve">Roll the </w:t>
      </w:r>
      <w:r w:rsidR="00442A4D" w:rsidRPr="00B55166">
        <w:rPr>
          <w:highlight w:val="yellow"/>
        </w:rPr>
        <w:t xml:space="preserve">skin </w:t>
      </w:r>
      <w:r w:rsidR="00426E8C">
        <w:rPr>
          <w:highlight w:val="yellow"/>
        </w:rPr>
        <w:t xml:space="preserve">between fingers. </w:t>
      </w:r>
    </w:p>
    <w:p w:rsidR="00C5380C" w:rsidRDefault="00C5380C" w:rsidP="006B711A">
      <w:pPr>
        <w:tabs>
          <w:tab w:val="left" w:pos="1530"/>
        </w:tabs>
        <w:jc w:val="both"/>
      </w:pPr>
      <w:r>
        <w:t xml:space="preserve">NOTE: </w:t>
      </w:r>
      <w:r w:rsidR="00426E8C" w:rsidRPr="00B16F8F">
        <w:t xml:space="preserve">If the skinfold </w:t>
      </w:r>
      <w:r w:rsidR="00442A4D" w:rsidRPr="00B16F8F">
        <w:t>roll</w:t>
      </w:r>
      <w:r w:rsidR="00426E8C" w:rsidRPr="00B16F8F">
        <w:t>s</w:t>
      </w:r>
      <w:r w:rsidR="00442A4D" w:rsidRPr="00B16F8F">
        <w:t xml:space="preserve"> easily between </w:t>
      </w:r>
      <w:r w:rsidR="00426E8C" w:rsidRPr="00B16F8F">
        <w:t xml:space="preserve">the </w:t>
      </w:r>
      <w:r w:rsidR="00442A4D" w:rsidRPr="00B16F8F">
        <w:t>fingers</w:t>
      </w:r>
      <w:r w:rsidR="00426E8C" w:rsidRPr="00B16F8F">
        <w:t>,</w:t>
      </w:r>
      <w:r w:rsidR="00442A4D" w:rsidRPr="00B16F8F">
        <w:t xml:space="preserve"> it </w:t>
      </w:r>
      <w:r w:rsidR="00426E8C" w:rsidRPr="00B16F8F">
        <w:t xml:space="preserve">likely </w:t>
      </w:r>
      <w:r w:rsidR="00442A4D" w:rsidRPr="00B16F8F">
        <w:t>contains only skin and subcutaneous fat</w:t>
      </w:r>
      <w:r w:rsidR="00426E8C" w:rsidRPr="00B16F8F">
        <w:t>.</w:t>
      </w:r>
      <w:r w:rsidR="00442A4D" w:rsidRPr="00B16F8F">
        <w:t xml:space="preserve"> </w:t>
      </w:r>
      <w:r w:rsidR="00426E8C" w:rsidRPr="00B16F8F">
        <w:t>I</w:t>
      </w:r>
      <w:r w:rsidR="00442A4D" w:rsidRPr="00B16F8F">
        <w:t>f the skinfold does not roll easily or the grasp is</w:t>
      </w:r>
      <w:r w:rsidR="00442A4D" w:rsidRPr="00B16F8F">
        <w:rPr>
          <w:rStyle w:val="CommentReference"/>
        </w:rPr>
        <w:t xml:space="preserve"> </w:t>
      </w:r>
      <w:r w:rsidR="00442A4D" w:rsidRPr="00B16F8F">
        <w:t xml:space="preserve">particularly painful for the participant, it may contain muscle. </w:t>
      </w:r>
    </w:p>
    <w:p w:rsidR="00C5380C" w:rsidRDefault="00C5380C" w:rsidP="006B711A">
      <w:pPr>
        <w:tabs>
          <w:tab w:val="left" w:pos="1530"/>
        </w:tabs>
        <w:jc w:val="both"/>
      </w:pPr>
    </w:p>
    <w:p w:rsidR="00442A4D" w:rsidRPr="00C5380C" w:rsidRDefault="00C5380C" w:rsidP="006B711A">
      <w:pPr>
        <w:tabs>
          <w:tab w:val="left" w:pos="1530"/>
        </w:tabs>
        <w:jc w:val="both"/>
      </w:pPr>
      <w:r>
        <w:rPr>
          <w:highlight w:val="yellow"/>
        </w:rPr>
        <w:t xml:space="preserve">9.3) </w:t>
      </w:r>
      <w:r w:rsidR="00442A4D" w:rsidRPr="00B55166">
        <w:rPr>
          <w:highlight w:val="yellow"/>
        </w:rPr>
        <w:t>Shake the skin and/or roll fingers slowly to adjust the fold so that it contains only skin and subcutaneous fat, not muscle.</w:t>
      </w:r>
      <w:r w:rsidR="00442A4D" w:rsidRPr="00A14B1D">
        <w:t xml:space="preserve"> </w:t>
      </w:r>
      <w:r w:rsidR="00426E8C">
        <w:t xml:space="preserve">Measure </w:t>
      </w:r>
      <w:r w:rsidR="00442A4D" w:rsidRPr="00A14B1D">
        <w:t>all subcutaneous fat above the muscle.</w:t>
      </w:r>
    </w:p>
    <w:p w:rsidR="008B26D6" w:rsidRDefault="008B26D6" w:rsidP="006B711A">
      <w:pPr>
        <w:tabs>
          <w:tab w:val="left" w:pos="1530"/>
        </w:tabs>
        <w:jc w:val="both"/>
        <w:rPr>
          <w:bCs/>
        </w:rPr>
      </w:pPr>
    </w:p>
    <w:p w:rsidR="00442A4D" w:rsidRPr="00A14B1D" w:rsidRDefault="00C5380C" w:rsidP="006B711A">
      <w:pPr>
        <w:tabs>
          <w:tab w:val="left" w:pos="1530"/>
        </w:tabs>
        <w:jc w:val="both"/>
      </w:pPr>
      <w:r>
        <w:rPr>
          <w:bCs/>
        </w:rPr>
        <w:t>9.4</w:t>
      </w:r>
      <w:r w:rsidR="00442A4D" w:rsidRPr="00A14B1D">
        <w:rPr>
          <w:bCs/>
        </w:rPr>
        <w:t xml:space="preserve">) </w:t>
      </w:r>
      <w:r w:rsidR="00442A4D" w:rsidRPr="00A14B1D">
        <w:t>Hold the skinfold parallel to the arm. Place the skinfold caliper jaw perpendicular to the length of the fold and on either side of the marked midpoint.</w:t>
      </w:r>
    </w:p>
    <w:p w:rsidR="008B26D6" w:rsidRDefault="008B26D6" w:rsidP="006B711A">
      <w:pPr>
        <w:tabs>
          <w:tab w:val="left" w:pos="1530"/>
        </w:tabs>
        <w:jc w:val="both"/>
      </w:pPr>
    </w:p>
    <w:p w:rsidR="00442A4D" w:rsidRPr="00A14B1D" w:rsidRDefault="00C5380C" w:rsidP="006B711A">
      <w:pPr>
        <w:tabs>
          <w:tab w:val="left" w:pos="1530"/>
        </w:tabs>
        <w:jc w:val="both"/>
      </w:pPr>
      <w:r>
        <w:t>9.5</w:t>
      </w:r>
      <w:r w:rsidR="00442A4D" w:rsidRPr="00A14B1D">
        <w:t xml:space="preserve">) </w:t>
      </w:r>
      <w:r w:rsidR="00442A4D" w:rsidRPr="00B55166">
        <w:rPr>
          <w:highlight w:val="yellow"/>
        </w:rPr>
        <w:t xml:space="preserve">While holding the skinfold, completely release grip on the caliper lever. </w:t>
      </w:r>
      <w:r w:rsidR="00442A4D" w:rsidRPr="00B16F8F">
        <w:t xml:space="preserve">The caliper dial will continue to decrease as the skin is compressed by the caliper jaws. </w:t>
      </w:r>
      <w:r w:rsidR="00426E8C">
        <w:rPr>
          <w:highlight w:val="yellow"/>
        </w:rPr>
        <w:t>Hold the skin between the caliper jaws for 4 full seconds, after which time t</w:t>
      </w:r>
      <w:r w:rsidR="00442A4D" w:rsidRPr="00B55166">
        <w:rPr>
          <w:highlight w:val="yellow"/>
        </w:rPr>
        <w:t xml:space="preserve">he skin should be </w:t>
      </w:r>
      <w:r w:rsidR="00426E8C">
        <w:rPr>
          <w:highlight w:val="yellow"/>
        </w:rPr>
        <w:t>fully</w:t>
      </w:r>
      <w:r w:rsidR="00442A4D" w:rsidRPr="00B55166">
        <w:rPr>
          <w:highlight w:val="yellow"/>
        </w:rPr>
        <w:t xml:space="preserve"> compressed. After 4 seconds, record the measurement to the nearest two tenths of a centimeter.</w:t>
      </w:r>
      <w:r w:rsidR="00442A4D" w:rsidRPr="00A14B1D">
        <w:t xml:space="preserve"> </w:t>
      </w:r>
    </w:p>
    <w:p w:rsidR="008B26D6" w:rsidRDefault="008B26D6" w:rsidP="006B711A">
      <w:pPr>
        <w:tabs>
          <w:tab w:val="left" w:pos="1530"/>
        </w:tabs>
        <w:jc w:val="both"/>
      </w:pPr>
    </w:p>
    <w:p w:rsidR="00442A4D" w:rsidRPr="00A14B1D" w:rsidRDefault="00993625" w:rsidP="006B711A">
      <w:pPr>
        <w:tabs>
          <w:tab w:val="left" w:pos="1530"/>
        </w:tabs>
        <w:jc w:val="both"/>
      </w:pPr>
      <w:r>
        <w:t>NOTE:</w:t>
      </w:r>
      <w:r w:rsidR="00442A4D" w:rsidRPr="00A14B1D">
        <w:t xml:space="preserve"> If </w:t>
      </w:r>
      <w:r w:rsidR="008B0939" w:rsidRPr="00A14B1D">
        <w:t xml:space="preserve">it is the correct </w:t>
      </w:r>
      <w:r w:rsidR="00442A4D" w:rsidRPr="00A14B1D">
        <w:t xml:space="preserve">amount of skin and subcutaneous tissue, the </w:t>
      </w:r>
      <w:r w:rsidR="008B0939" w:rsidRPr="00A14B1D">
        <w:t xml:space="preserve">measurement (as read on the </w:t>
      </w:r>
      <w:r w:rsidR="00442A4D" w:rsidRPr="00A14B1D">
        <w:t>caliper dial</w:t>
      </w:r>
      <w:r w:rsidR="008B0939" w:rsidRPr="00A14B1D">
        <w:t>)</w:t>
      </w:r>
      <w:r w:rsidR="00442A4D" w:rsidRPr="00A14B1D">
        <w:t xml:space="preserve"> </w:t>
      </w:r>
      <w:r w:rsidR="00426E8C">
        <w:t>will decrease less rapidly or will not decrease at all</w:t>
      </w:r>
      <w:r w:rsidR="00442A4D" w:rsidRPr="00A14B1D">
        <w:t xml:space="preserve"> after 4 seconds.</w:t>
      </w:r>
      <w:r w:rsidR="007127A4" w:rsidRPr="00A14B1D">
        <w:t xml:space="preserve"> </w:t>
      </w:r>
      <w:r w:rsidR="00442A4D" w:rsidRPr="00A14B1D">
        <w:t xml:space="preserve">If the measurement value on the caliper dial continues to decrease rapidly, </w:t>
      </w:r>
      <w:r w:rsidR="008B0939" w:rsidRPr="00A14B1D">
        <w:t>the skinfold did not contain</w:t>
      </w:r>
      <w:r w:rsidR="00442A4D" w:rsidRPr="00A14B1D">
        <w:t xml:space="preserve"> enough subcutaneous fat. </w:t>
      </w:r>
      <w:r w:rsidR="009224AD">
        <w:t>Should this be</w:t>
      </w:r>
      <w:r w:rsidR="00442A4D" w:rsidRPr="00A14B1D">
        <w:t xml:space="preserve"> the case, wait two minutes for the compressed skin to return to normal. Retry the measurement by grasping a thicker fold.  </w:t>
      </w:r>
    </w:p>
    <w:p w:rsidR="008B26D6" w:rsidRDefault="008B26D6" w:rsidP="006B711A">
      <w:pPr>
        <w:tabs>
          <w:tab w:val="left" w:pos="1530"/>
        </w:tabs>
        <w:jc w:val="both"/>
      </w:pPr>
    </w:p>
    <w:p w:rsidR="00442A4D" w:rsidRPr="00A14B1D" w:rsidRDefault="00442A4D" w:rsidP="006B711A">
      <w:pPr>
        <w:tabs>
          <w:tab w:val="left" w:pos="1530"/>
        </w:tabs>
        <w:jc w:val="both"/>
        <w:rPr>
          <w:b/>
        </w:rPr>
      </w:pPr>
      <w:r w:rsidRPr="00A14B1D">
        <w:t xml:space="preserve">10) </w:t>
      </w:r>
      <w:r w:rsidRPr="00A14B1D">
        <w:rPr>
          <w:b/>
        </w:rPr>
        <w:t>Subscapular Skinfold Thickness</w:t>
      </w:r>
    </w:p>
    <w:p w:rsidR="00442A4D" w:rsidRPr="00A14B1D" w:rsidRDefault="00442A4D" w:rsidP="006B711A">
      <w:pPr>
        <w:tabs>
          <w:tab w:val="left" w:pos="1530"/>
        </w:tabs>
        <w:jc w:val="both"/>
      </w:pPr>
      <w:r w:rsidRPr="00A14B1D">
        <w:t xml:space="preserve">10.1) Instruct the participant to stand upright, with shoulders relaxed and arms hanging loosely.  </w:t>
      </w:r>
    </w:p>
    <w:p w:rsidR="008B26D6" w:rsidRDefault="008B26D6" w:rsidP="006B711A">
      <w:pPr>
        <w:tabs>
          <w:tab w:val="left" w:pos="1530"/>
        </w:tabs>
        <w:jc w:val="both"/>
      </w:pPr>
    </w:p>
    <w:p w:rsidR="00442A4D" w:rsidRPr="00B55166" w:rsidRDefault="00442A4D" w:rsidP="006B711A">
      <w:pPr>
        <w:tabs>
          <w:tab w:val="left" w:pos="1530"/>
        </w:tabs>
        <w:jc w:val="both"/>
        <w:rPr>
          <w:highlight w:val="yellow"/>
        </w:rPr>
      </w:pPr>
      <w:r w:rsidRPr="00A14B1D">
        <w:t xml:space="preserve">10.2) </w:t>
      </w:r>
      <w:r w:rsidRPr="00B55166">
        <w:rPr>
          <w:highlight w:val="yellow"/>
        </w:rPr>
        <w:t>Standing behind the participant, palpate the lowermost tip of the scapula.</w:t>
      </w:r>
      <w:r w:rsidR="00C5380C">
        <w:rPr>
          <w:highlight w:val="yellow"/>
        </w:rPr>
        <w:t xml:space="preserve"> </w:t>
      </w:r>
      <w:r w:rsidRPr="00B55166">
        <w:rPr>
          <w:highlight w:val="yellow"/>
        </w:rPr>
        <w:t>Locate the measurement site, two centimeters below the lower tip of the scapula, and place the calipers there.</w:t>
      </w:r>
    </w:p>
    <w:p w:rsidR="008B26D6" w:rsidRDefault="008B26D6" w:rsidP="006B711A">
      <w:pPr>
        <w:tabs>
          <w:tab w:val="left" w:pos="1530"/>
        </w:tabs>
        <w:jc w:val="both"/>
      </w:pPr>
    </w:p>
    <w:p w:rsidR="00442A4D" w:rsidRPr="00A14B1D" w:rsidRDefault="00C5380C" w:rsidP="006B711A">
      <w:pPr>
        <w:tabs>
          <w:tab w:val="left" w:pos="1530"/>
        </w:tabs>
        <w:jc w:val="both"/>
      </w:pPr>
      <w:r>
        <w:t>10.3</w:t>
      </w:r>
      <w:r w:rsidR="00442A4D" w:rsidRPr="00B55166">
        <w:t xml:space="preserve">) </w:t>
      </w:r>
      <w:r w:rsidR="00442A4D" w:rsidRPr="00B55166">
        <w:rPr>
          <w:highlight w:val="yellow"/>
        </w:rPr>
        <w:t xml:space="preserve">Grasp a sizable fold of skin between the thumb and index finger on a diagonal approximately 2 centimeters above and to the left of the measurement site. </w:t>
      </w:r>
      <w:r w:rsidR="00442A4D" w:rsidRPr="00B16F8F">
        <w:t>The skin should roll easily between fingers if it contains only skin and subcutaneous fat. Adjust</w:t>
      </w:r>
      <w:r w:rsidR="00442A4D" w:rsidRPr="00A14B1D">
        <w:t xml:space="preserve"> the skinfold, so that the measurement contains only skin and subcutaneous fat.   </w:t>
      </w:r>
    </w:p>
    <w:p w:rsidR="008B26D6" w:rsidRDefault="008B26D6" w:rsidP="006B711A">
      <w:pPr>
        <w:tabs>
          <w:tab w:val="left" w:pos="1530"/>
        </w:tabs>
        <w:jc w:val="both"/>
      </w:pPr>
    </w:p>
    <w:p w:rsidR="00442A4D" w:rsidRPr="00C5380C" w:rsidRDefault="00C5380C" w:rsidP="006B711A">
      <w:pPr>
        <w:tabs>
          <w:tab w:val="left" w:pos="1530"/>
        </w:tabs>
        <w:jc w:val="both"/>
        <w:rPr>
          <w:highlight w:val="yellow"/>
        </w:rPr>
      </w:pPr>
      <w:r>
        <w:t>10.4</w:t>
      </w:r>
      <w:r w:rsidR="00442A4D" w:rsidRPr="00A14B1D">
        <w:t xml:space="preserve">) </w:t>
      </w:r>
      <w:r w:rsidR="00442A4D" w:rsidRPr="00B55166">
        <w:rPr>
          <w:highlight w:val="yellow"/>
        </w:rPr>
        <w:t xml:space="preserve">Place the caliper jaws perpendicular to the measurement site, so that the measurement is taken parallel to the medial, inferior bone of the scapula. </w:t>
      </w:r>
      <w:r>
        <w:rPr>
          <w:highlight w:val="yellow"/>
        </w:rPr>
        <w:t xml:space="preserve"> </w:t>
      </w:r>
      <w:r w:rsidR="00442A4D" w:rsidRPr="00B55166">
        <w:rPr>
          <w:highlight w:val="yellow"/>
        </w:rPr>
        <w:t>While holding the skinfold, completely release grip on the caliper lever. Record measurement to the nearest 0.2 tenth of a centimeter after 4 seconds.</w:t>
      </w:r>
    </w:p>
    <w:p w:rsidR="008B26D6" w:rsidRDefault="008B26D6" w:rsidP="006B711A">
      <w:pPr>
        <w:tabs>
          <w:tab w:val="left" w:pos="1530"/>
        </w:tabs>
        <w:jc w:val="both"/>
      </w:pPr>
    </w:p>
    <w:p w:rsidR="00442A4D" w:rsidRPr="00A14B1D" w:rsidRDefault="00C5380C" w:rsidP="006B711A">
      <w:pPr>
        <w:tabs>
          <w:tab w:val="left" w:pos="1530"/>
        </w:tabs>
        <w:jc w:val="both"/>
      </w:pPr>
      <w:r>
        <w:lastRenderedPageBreak/>
        <w:t>10.5</w:t>
      </w:r>
      <w:r w:rsidR="00442A4D" w:rsidRPr="00A14B1D">
        <w:t xml:space="preserve">) </w:t>
      </w:r>
      <w:r w:rsidR="00426E8C">
        <w:t xml:space="preserve">Ensure that the caliper dial remains consistent or decreases only minimally after 4 seconds. </w:t>
      </w:r>
      <w:r w:rsidR="00442A4D" w:rsidRPr="00A14B1D">
        <w:t>A rapidly decreasing measure on the caliper dial indicates that not enough subcutaneous fat has been obtained. If this is the case, wait two minutes for the compressed skin to return to normal. Retry the measurement by gra</w:t>
      </w:r>
      <w:r w:rsidR="008B0939" w:rsidRPr="00A14B1D">
        <w:t>sping</w:t>
      </w:r>
      <w:r w:rsidR="00442A4D" w:rsidRPr="00A14B1D">
        <w:t xml:space="preserve"> a thicker fold.  </w:t>
      </w:r>
    </w:p>
    <w:p w:rsidR="008B26D6" w:rsidRDefault="008B26D6" w:rsidP="006B711A">
      <w:pPr>
        <w:tabs>
          <w:tab w:val="left" w:pos="1530"/>
        </w:tabs>
        <w:jc w:val="both"/>
      </w:pPr>
    </w:p>
    <w:p w:rsidR="00442A4D" w:rsidRPr="00A14B1D" w:rsidRDefault="00442A4D" w:rsidP="006B711A">
      <w:pPr>
        <w:tabs>
          <w:tab w:val="left" w:pos="1530"/>
        </w:tabs>
        <w:jc w:val="both"/>
        <w:rPr>
          <w:b/>
        </w:rPr>
      </w:pPr>
      <w:r w:rsidRPr="00A14B1D">
        <w:t xml:space="preserve">11) </w:t>
      </w:r>
      <w:r w:rsidRPr="00A14B1D">
        <w:rPr>
          <w:b/>
        </w:rPr>
        <w:t>Quality Control (QC) Procedures</w:t>
      </w:r>
    </w:p>
    <w:p w:rsidR="00442A4D" w:rsidRPr="00A14B1D" w:rsidRDefault="00442A4D" w:rsidP="006B711A">
      <w:pPr>
        <w:tabs>
          <w:tab w:val="left" w:pos="1530"/>
        </w:tabs>
        <w:jc w:val="both"/>
      </w:pPr>
      <w:r w:rsidRPr="00A14B1D">
        <w:t xml:space="preserve">11.1) </w:t>
      </w:r>
      <w:r w:rsidR="00426E8C">
        <w:t>Require a</w:t>
      </w:r>
      <w:r w:rsidRPr="00A14B1D">
        <w:t>ll staff members, including experienced and new research staff members,</w:t>
      </w:r>
      <w:r w:rsidR="00426E8C">
        <w:t xml:space="preserve"> to</w:t>
      </w:r>
      <w:r w:rsidRPr="00A14B1D">
        <w:t xml:space="preserve"> measure volunteers during the QC sessions. </w:t>
      </w:r>
      <w:r w:rsidR="00426E8C">
        <w:t>Obtain an</w:t>
      </w:r>
      <w:r w:rsidR="00426E8C" w:rsidRPr="00A14B1D">
        <w:t xml:space="preserve"> </w:t>
      </w:r>
      <w:r w:rsidRPr="00A14B1D">
        <w:t xml:space="preserve">equal number of volunteers and staff members </w:t>
      </w:r>
      <w:r w:rsidR="00426E8C">
        <w:t xml:space="preserve">to </w:t>
      </w:r>
      <w:r w:rsidRPr="00A14B1D">
        <w:t>maximize efficiency. If the study staff consists of 1-3 people, request at least four volunteers</w:t>
      </w:r>
      <w:r w:rsidR="00646183">
        <w:t xml:space="preserve"> to ensure that reliability is </w:t>
      </w:r>
      <w:r w:rsidR="00426E8C">
        <w:t>properly assess</w:t>
      </w:r>
      <w:r w:rsidR="00646183">
        <w:t>ed.</w:t>
      </w:r>
      <w:r w:rsidR="00426E8C">
        <w:t xml:space="preserve"> </w:t>
      </w:r>
      <w:r w:rsidRPr="00A14B1D">
        <w:t xml:space="preserve"> </w:t>
      </w:r>
    </w:p>
    <w:p w:rsidR="008B26D6" w:rsidRDefault="008B26D6" w:rsidP="006B711A">
      <w:pPr>
        <w:tabs>
          <w:tab w:val="left" w:pos="1530"/>
        </w:tabs>
        <w:jc w:val="both"/>
      </w:pPr>
    </w:p>
    <w:p w:rsidR="00442A4D" w:rsidRPr="00A14B1D" w:rsidRDefault="00442A4D" w:rsidP="006B711A">
      <w:pPr>
        <w:tabs>
          <w:tab w:val="left" w:pos="1530"/>
        </w:tabs>
        <w:jc w:val="both"/>
      </w:pPr>
      <w:r w:rsidRPr="00A14B1D">
        <w:t xml:space="preserve">11.2) Designate one individual to be the gold standard </w:t>
      </w:r>
      <w:r w:rsidR="00115D68">
        <w:t>rat</w:t>
      </w:r>
      <w:r w:rsidRPr="00A14B1D">
        <w:t>er for the QC session</w:t>
      </w:r>
      <w:r w:rsidR="00646183">
        <w:t>, either a quality rater from the research staff or an outside expert.</w:t>
      </w:r>
      <w:r w:rsidRPr="00A14B1D">
        <w:t xml:space="preserve"> </w:t>
      </w:r>
      <w:r w:rsidR="00646183">
        <w:t>E</w:t>
      </w:r>
      <w:r w:rsidR="006769E1">
        <w:t>nsure that he/she</w:t>
      </w:r>
      <w:r w:rsidRPr="00A14B1D">
        <w:t xml:space="preserve"> </w:t>
      </w:r>
      <w:r w:rsidR="006769E1">
        <w:t>has</w:t>
      </w:r>
      <w:r w:rsidRPr="00A14B1D">
        <w:t xml:space="preserve"> a proven record of reliability (both intra-rater reliability and reliability when compared to either a skilled auxologist or a gold standard, such as DXA). </w:t>
      </w:r>
    </w:p>
    <w:p w:rsidR="008B26D6" w:rsidRDefault="008B26D6" w:rsidP="006B711A">
      <w:pPr>
        <w:tabs>
          <w:tab w:val="left" w:pos="1530"/>
        </w:tabs>
        <w:jc w:val="both"/>
      </w:pPr>
    </w:p>
    <w:p w:rsidR="00442A4D" w:rsidRPr="00A14B1D" w:rsidRDefault="00442A4D" w:rsidP="006B711A">
      <w:pPr>
        <w:tabs>
          <w:tab w:val="left" w:pos="1530"/>
        </w:tabs>
        <w:jc w:val="both"/>
      </w:pPr>
      <w:r w:rsidRPr="00A14B1D">
        <w:t xml:space="preserve">11.3) </w:t>
      </w:r>
      <w:r w:rsidR="006769E1">
        <w:t>Have a</w:t>
      </w:r>
      <w:r w:rsidRPr="00A14B1D">
        <w:t xml:space="preserve">ll study staff members conduct each manual anthropometric measure two </w:t>
      </w:r>
      <w:r w:rsidR="00646183">
        <w:t xml:space="preserve">or more </w:t>
      </w:r>
      <w:r w:rsidRPr="00A14B1D">
        <w:t xml:space="preserve">times on each volunteer. </w:t>
      </w:r>
    </w:p>
    <w:p w:rsidR="008B26D6" w:rsidRDefault="008B26D6" w:rsidP="006B711A">
      <w:pPr>
        <w:widowControl w:val="0"/>
        <w:tabs>
          <w:tab w:val="left" w:pos="1530"/>
        </w:tabs>
        <w:autoSpaceDE w:val="0"/>
        <w:autoSpaceDN w:val="0"/>
        <w:adjustRightInd w:val="0"/>
        <w:jc w:val="both"/>
      </w:pPr>
    </w:p>
    <w:p w:rsidR="00646183" w:rsidRDefault="00442A4D" w:rsidP="006B711A">
      <w:pPr>
        <w:widowControl w:val="0"/>
        <w:tabs>
          <w:tab w:val="left" w:pos="1530"/>
        </w:tabs>
        <w:autoSpaceDE w:val="0"/>
        <w:autoSpaceDN w:val="0"/>
        <w:adjustRightInd w:val="0"/>
        <w:jc w:val="both"/>
      </w:pPr>
      <w:r w:rsidRPr="00A14B1D">
        <w:t>11.4) Calculate intra-rater and inter-rater reliability after the QC session, using technical error of measurement (TEM</w:t>
      </w:r>
      <w:r w:rsidR="00646183" w:rsidRPr="00A14B1D">
        <w:t>)</w:t>
      </w:r>
      <w:r w:rsidR="00646183">
        <w:t xml:space="preserve">. </w:t>
      </w:r>
    </w:p>
    <w:p w:rsidR="008B26D6" w:rsidRDefault="008B26D6" w:rsidP="006B711A">
      <w:pPr>
        <w:widowControl w:val="0"/>
        <w:tabs>
          <w:tab w:val="left" w:pos="1530"/>
        </w:tabs>
        <w:autoSpaceDE w:val="0"/>
        <w:autoSpaceDN w:val="0"/>
        <w:adjustRightInd w:val="0"/>
        <w:jc w:val="both"/>
      </w:pPr>
    </w:p>
    <w:p w:rsidR="00442A4D" w:rsidRPr="00A14B1D" w:rsidRDefault="00646183" w:rsidP="006B711A">
      <w:pPr>
        <w:widowControl w:val="0"/>
        <w:tabs>
          <w:tab w:val="left" w:pos="1530"/>
        </w:tabs>
        <w:autoSpaceDE w:val="0"/>
        <w:autoSpaceDN w:val="0"/>
        <w:adjustRightInd w:val="0"/>
        <w:jc w:val="both"/>
      </w:pPr>
      <w:r>
        <w:t>NOTE: TEM is</w:t>
      </w:r>
      <w:r w:rsidRPr="00A14B1D">
        <w:t xml:space="preserve"> </w:t>
      </w:r>
      <w:r w:rsidR="00442A4D" w:rsidRPr="00A14B1D">
        <w:t>used to assess the difference between two measurements that is attributable to measurement error</w:t>
      </w:r>
      <w:r w:rsidR="00442A4D" w:rsidRPr="00A14B1D">
        <w:rPr>
          <w:vertAlign w:val="superscript"/>
        </w:rPr>
        <w:t>1</w:t>
      </w:r>
      <w:r w:rsidR="001D3E34" w:rsidRPr="00A14B1D">
        <w:rPr>
          <w:vertAlign w:val="superscript"/>
        </w:rPr>
        <w:t>2</w:t>
      </w:r>
      <w:r w:rsidR="00442A4D" w:rsidRPr="00A14B1D">
        <w:t xml:space="preserve">. TEM is </w:t>
      </w:r>
      <w:r>
        <w:t xml:space="preserve">the </w:t>
      </w:r>
      <w:r w:rsidR="00442A4D" w:rsidRPr="00A14B1D">
        <w:t>square root of measurement error variance:  TEM=</w:t>
      </w:r>
      <m:oMath>
        <m:rad>
          <m:radPr>
            <m:degHide m:val="1"/>
            <m:ctrlPr>
              <w:rPr>
                <w:rFonts w:ascii="Cambria Math" w:hAnsi="Cambria Math"/>
                <w:i/>
              </w:rPr>
            </m:ctrlPr>
          </m:radPr>
          <m:deg/>
          <m:e>
            <m:r>
              <m:rPr>
                <m:sty m:val="p"/>
              </m:rPr>
              <w:rPr>
                <w:rFonts w:ascii="Cambria Math"/>
              </w:rPr>
              <m:t>Σ</m:t>
            </m:r>
            <m:sSup>
              <m:sSupPr>
                <m:ctrlPr>
                  <w:rPr>
                    <w:rFonts w:ascii="Cambria Math" w:hAnsi="Cambria Math"/>
                    <w:i/>
                  </w:rPr>
                </m:ctrlPr>
              </m:sSupPr>
              <m:e>
                <m:r>
                  <w:rPr>
                    <w:rFonts w:ascii="Cambria Math" w:hAnsi="Cambria Math"/>
                  </w:rPr>
                  <m:t>d</m:t>
                </m:r>
              </m:e>
              <m:sup>
                <m:r>
                  <w:rPr>
                    <w:rFonts w:ascii="Cambria Math"/>
                  </w:rPr>
                  <m:t>2</m:t>
                </m:r>
              </m:sup>
            </m:sSup>
            <m:r>
              <w:rPr>
                <w:rFonts w:ascii="Cambria Math"/>
              </w:rPr>
              <m:t>/2</m:t>
            </m:r>
            <m:r>
              <w:rPr>
                <w:rFonts w:ascii="Cambria Math" w:hAnsi="Cambria Math"/>
              </w:rPr>
              <m:t>N</m:t>
            </m:r>
          </m:e>
        </m:rad>
      </m:oMath>
      <w:r w:rsidR="00442A4D" w:rsidRPr="00A14B1D">
        <w:t>, where d</w:t>
      </w:r>
      <w:r w:rsidR="00442A4D" w:rsidRPr="00A14B1D">
        <w:rPr>
          <w:vertAlign w:val="superscript"/>
        </w:rPr>
        <w:t xml:space="preserve">2 </w:t>
      </w:r>
      <w:r w:rsidR="00442A4D" w:rsidRPr="00A14B1D">
        <w:t>is ei</w:t>
      </w:r>
      <w:bookmarkStart w:id="0" w:name="_GoBack"/>
      <w:bookmarkEnd w:id="0"/>
      <w:r w:rsidR="00442A4D" w:rsidRPr="00A14B1D">
        <w:t>ther the difference between repeated measurements by each research assistant (intra-rater reliability) or the difference between the sum of the anthropometry expert’s replicates minus the sum of a research assistant’s replicates (inter-rater reliability)</w:t>
      </w:r>
      <w:r w:rsidR="00442A4D" w:rsidRPr="00A14B1D">
        <w:rPr>
          <w:vertAlign w:val="superscript"/>
        </w:rPr>
        <w:t>1</w:t>
      </w:r>
      <w:r w:rsidR="001D3E34" w:rsidRPr="00A14B1D">
        <w:rPr>
          <w:vertAlign w:val="superscript"/>
        </w:rPr>
        <w:t>2</w:t>
      </w:r>
      <w:r w:rsidR="00442A4D" w:rsidRPr="00A14B1D">
        <w:t>.</w:t>
      </w:r>
    </w:p>
    <w:p w:rsidR="008B26D6" w:rsidRDefault="008B26D6" w:rsidP="006B711A">
      <w:pPr>
        <w:tabs>
          <w:tab w:val="left" w:pos="1530"/>
        </w:tabs>
        <w:jc w:val="both"/>
      </w:pPr>
    </w:p>
    <w:p w:rsidR="00442A4D" w:rsidRDefault="00442A4D" w:rsidP="006B711A">
      <w:pPr>
        <w:tabs>
          <w:tab w:val="left" w:pos="1530"/>
        </w:tabs>
        <w:jc w:val="both"/>
      </w:pPr>
      <w:r w:rsidRPr="00A14B1D">
        <w:t>11.</w:t>
      </w:r>
      <w:r w:rsidR="008070CC">
        <w:t>5</w:t>
      </w:r>
      <w:r w:rsidRPr="00A14B1D">
        <w:t>) Identify staff members whose inter- or intra-rater TEM values fall outside of the predetermined TEM range of acceptability</w:t>
      </w:r>
      <w:r w:rsidRPr="00A14B1D">
        <w:rPr>
          <w:rFonts w:eastAsiaTheme="minorHAnsi"/>
          <w:vertAlign w:val="superscript"/>
        </w:rPr>
        <w:t>1</w:t>
      </w:r>
      <w:r w:rsidR="001D3E34" w:rsidRPr="00A14B1D">
        <w:rPr>
          <w:rFonts w:eastAsiaTheme="minorHAnsi"/>
          <w:vertAlign w:val="superscript"/>
        </w:rPr>
        <w:t>4</w:t>
      </w:r>
      <w:r w:rsidRPr="00A14B1D">
        <w:rPr>
          <w:rFonts w:eastAsiaTheme="minorHAnsi"/>
        </w:rPr>
        <w:t>.</w:t>
      </w:r>
      <w:r w:rsidRPr="00A14B1D">
        <w:t xml:space="preserve"> </w:t>
      </w:r>
      <w:r w:rsidR="006769E1">
        <w:t>Provide more training for s</w:t>
      </w:r>
      <w:r w:rsidRPr="00A14B1D">
        <w:t>taff members whose anthropometric measures fall outside of the acceptable range</w:t>
      </w:r>
      <w:r w:rsidR="006769E1">
        <w:t>, prior to allowing</w:t>
      </w:r>
      <w:r w:rsidRPr="00A14B1D">
        <w:t xml:space="preserve"> </w:t>
      </w:r>
      <w:r w:rsidR="006769E1">
        <w:t xml:space="preserve">field data collection from study </w:t>
      </w:r>
      <w:r w:rsidRPr="00A14B1D">
        <w:t>participants.</w:t>
      </w:r>
      <w:r>
        <w:t xml:space="preserve"> </w:t>
      </w:r>
    </w:p>
    <w:p w:rsidR="00417AB0" w:rsidRPr="00417AB0" w:rsidRDefault="00417AB0" w:rsidP="006B711A">
      <w:pPr>
        <w:jc w:val="both"/>
      </w:pPr>
    </w:p>
    <w:p w:rsidR="008469F4" w:rsidRDefault="00693C0C" w:rsidP="006B711A">
      <w:pPr>
        <w:jc w:val="both"/>
        <w:rPr>
          <w:b/>
          <w:bCs/>
        </w:rPr>
      </w:pPr>
      <w:r w:rsidRPr="004250FF">
        <w:rPr>
          <w:b/>
        </w:rPr>
        <w:t>REPRESENTATIVE RESULTS</w:t>
      </w:r>
      <w:r w:rsidRPr="004250FF">
        <w:rPr>
          <w:b/>
          <w:bCs/>
        </w:rPr>
        <w:t xml:space="preserve">: </w:t>
      </w:r>
      <w:r w:rsidR="00BA5717">
        <w:rPr>
          <w:b/>
          <w:bCs/>
        </w:rPr>
        <w:t xml:space="preserve"> </w:t>
      </w:r>
    </w:p>
    <w:p w:rsidR="006F661B" w:rsidRDefault="00442C5F" w:rsidP="008B26D6">
      <w:pPr>
        <w:widowControl w:val="0"/>
        <w:autoSpaceDE w:val="0"/>
        <w:autoSpaceDN w:val="0"/>
        <w:adjustRightInd w:val="0"/>
        <w:jc w:val="both"/>
      </w:pPr>
      <w:r>
        <w:t>This analysis</w:t>
      </w:r>
      <w:r w:rsidR="00D62815">
        <w:t xml:space="preserve"> </w:t>
      </w:r>
      <w:r>
        <w:t xml:space="preserve">addresses precision </w:t>
      </w:r>
      <w:r w:rsidR="009E3473">
        <w:t>of the manual anthropometric measurements using data generated from</w:t>
      </w:r>
      <w:r>
        <w:t xml:space="preserve"> quality control </w:t>
      </w:r>
      <w:r w:rsidR="00701CA0">
        <w:t xml:space="preserve">(QC) </w:t>
      </w:r>
      <w:r>
        <w:t>procedures</w:t>
      </w:r>
      <w:r w:rsidR="009E3473">
        <w:t>,</w:t>
      </w:r>
      <w:r>
        <w:t xml:space="preserve"> and </w:t>
      </w:r>
      <w:r w:rsidR="009E3473">
        <w:t xml:space="preserve">evaluates </w:t>
      </w:r>
      <w:r w:rsidR="00EA52F7">
        <w:t xml:space="preserve">intra-rater </w:t>
      </w:r>
      <w:r>
        <w:t>measurement error by Technical Error of Measurement (TEM)</w:t>
      </w:r>
      <w:r w:rsidR="0093523D" w:rsidRPr="0093523D">
        <w:rPr>
          <w:vertAlign w:val="superscript"/>
        </w:rPr>
        <w:t xml:space="preserve"> </w:t>
      </w:r>
      <w:r w:rsidR="0093523D">
        <w:rPr>
          <w:vertAlign w:val="superscript"/>
        </w:rPr>
        <w:t>1</w:t>
      </w:r>
      <w:r w:rsidR="001D3E34">
        <w:rPr>
          <w:vertAlign w:val="superscript"/>
        </w:rPr>
        <w:t>2</w:t>
      </w:r>
      <w:r w:rsidR="005B45C9" w:rsidRPr="005B45C9">
        <w:t>.</w:t>
      </w:r>
      <w:r>
        <w:t xml:space="preserve"> </w:t>
      </w:r>
      <w:r w:rsidR="00654762">
        <w:t>TEM ranges of acceptability are based on calculations of repeated intra-rater anthropometric measures, where 95% of measurement discrepancy is due to factors other than rater imprecision</w:t>
      </w:r>
      <w:r w:rsidR="00654762">
        <w:rPr>
          <w:vertAlign w:val="superscript"/>
        </w:rPr>
        <w:t>12, 14</w:t>
      </w:r>
      <w:r w:rsidR="00654762">
        <w:t xml:space="preserve">. </w:t>
      </w:r>
      <w:r w:rsidR="00D62815">
        <w:t>A higher TEM indicat</w:t>
      </w:r>
      <w:r w:rsidR="0093523D">
        <w:t>es</w:t>
      </w:r>
      <w:r w:rsidR="00D62815">
        <w:t xml:space="preserve"> greater variability among measurements.</w:t>
      </w:r>
      <w:r w:rsidR="00A9206F">
        <w:t xml:space="preserve"> </w:t>
      </w:r>
      <w:r w:rsidR="00654762">
        <w:t>Acceptable measurements</w:t>
      </w:r>
      <w:r w:rsidR="00646183">
        <w:t>, as</w:t>
      </w:r>
      <w:r w:rsidR="00654762">
        <w:t xml:space="preserve"> analyzed in relation to TEM ranges of acceptability,</w:t>
      </w:r>
      <w:r w:rsidR="00646183">
        <w:t xml:space="preserve"> fall below or within TEM ranges of acceptability. Large </w:t>
      </w:r>
      <w:r w:rsidR="00654762">
        <w:t>TEM values</w:t>
      </w:r>
      <w:r w:rsidR="00646183">
        <w:t xml:space="preserve">, </w:t>
      </w:r>
      <w:r w:rsidR="00654762">
        <w:t xml:space="preserve">that </w:t>
      </w:r>
      <w:r w:rsidR="00646183">
        <w:t>is TEM values</w:t>
      </w:r>
      <w:r w:rsidR="00654762">
        <w:t xml:space="preserve"> above the range</w:t>
      </w:r>
      <w:r w:rsidR="00646183">
        <w:t>,</w:t>
      </w:r>
      <w:r w:rsidR="00654762">
        <w:t xml:space="preserve"> indicate unreliability</w:t>
      </w:r>
      <w:r w:rsidR="00646183">
        <w:t xml:space="preserve"> and indicate n</w:t>
      </w:r>
      <w:r w:rsidR="00654762">
        <w:t>eed for additional training</w:t>
      </w:r>
      <w:r w:rsidR="00960628">
        <w:t xml:space="preserve">. </w:t>
      </w:r>
      <w:r w:rsidR="00D62815">
        <w:t xml:space="preserve"> </w:t>
      </w:r>
      <w:r w:rsidR="00646183">
        <w:t xml:space="preserve">In this analysis, </w:t>
      </w:r>
      <w:r w:rsidR="00145E65">
        <w:t xml:space="preserve">we present </w:t>
      </w:r>
      <w:r w:rsidR="00646183">
        <w:t xml:space="preserve">TEM values both in </w:t>
      </w:r>
      <w:r w:rsidR="000C10E4">
        <w:t>native units</w:t>
      </w:r>
      <w:r w:rsidR="00646183">
        <w:t xml:space="preserve"> and in percent TEM</w:t>
      </w:r>
      <w:r w:rsidR="000C10E4">
        <w:t xml:space="preserve">, </w:t>
      </w:r>
      <w:r w:rsidR="00646183">
        <w:t>calculated by (</w:t>
      </w:r>
      <w:r w:rsidR="00646183" w:rsidRPr="003160ED">
        <w:t>average TEM/mean of the measure)*100</w:t>
      </w:r>
      <w:r w:rsidR="00646183">
        <w:t xml:space="preserve">, </w:t>
      </w:r>
      <w:r w:rsidR="000C10E4">
        <w:t>to compare across multiple anthropometric measures with different units</w:t>
      </w:r>
      <w:r w:rsidR="00170D32">
        <w:t>.</w:t>
      </w:r>
      <w:r w:rsidR="009E3473">
        <w:t xml:space="preserve"> </w:t>
      </w:r>
    </w:p>
    <w:p w:rsidR="008B26D6" w:rsidRDefault="008B26D6" w:rsidP="008B26D6">
      <w:pPr>
        <w:widowControl w:val="0"/>
        <w:autoSpaceDE w:val="0"/>
        <w:autoSpaceDN w:val="0"/>
        <w:adjustRightInd w:val="0"/>
        <w:jc w:val="both"/>
      </w:pPr>
    </w:p>
    <w:p w:rsidR="001B06E4" w:rsidRDefault="00442C5F" w:rsidP="008B26D6">
      <w:pPr>
        <w:widowControl w:val="0"/>
        <w:autoSpaceDE w:val="0"/>
        <w:autoSpaceDN w:val="0"/>
        <w:adjustRightInd w:val="0"/>
        <w:jc w:val="both"/>
      </w:pPr>
      <w:r>
        <w:lastRenderedPageBreak/>
        <w:t xml:space="preserve">Table 1 shows intra-rater TEM values from a </w:t>
      </w:r>
      <w:r w:rsidR="00701CA0">
        <w:t>QC</w:t>
      </w:r>
      <w:r>
        <w:t xml:space="preserve"> session </w:t>
      </w:r>
      <w:r w:rsidR="00B83C4C">
        <w:t xml:space="preserve">the Project Viva research team </w:t>
      </w:r>
      <w:r>
        <w:t xml:space="preserve">conducted on </w:t>
      </w:r>
      <w:r w:rsidR="00701CA0">
        <w:t xml:space="preserve">five </w:t>
      </w:r>
      <w:r w:rsidR="00A40379">
        <w:t xml:space="preserve">healthy </w:t>
      </w:r>
      <w:r>
        <w:t>adult</w:t>
      </w:r>
      <w:r w:rsidR="00A40379">
        <w:t xml:space="preserve"> female</w:t>
      </w:r>
      <w:r>
        <w:t xml:space="preserve"> volunteers</w:t>
      </w:r>
      <w:r w:rsidR="00A40379">
        <w:t xml:space="preserve">. </w:t>
      </w:r>
      <w:r>
        <w:t xml:space="preserve">Six </w:t>
      </w:r>
      <w:r w:rsidR="00AE4168">
        <w:t>r</w:t>
      </w:r>
      <w:r>
        <w:t xml:space="preserve">esearch </w:t>
      </w:r>
      <w:r w:rsidR="00AE4168">
        <w:t>a</w:t>
      </w:r>
      <w:r>
        <w:t xml:space="preserve">ssistants measured the volunteers </w:t>
      </w:r>
      <w:r w:rsidR="00EA52F7">
        <w:t>repeatedly for a</w:t>
      </w:r>
      <w:r>
        <w:t xml:space="preserve"> maximum of </w:t>
      </w:r>
      <w:r w:rsidR="00783F6F">
        <w:t>60</w:t>
      </w:r>
      <w:r>
        <w:t xml:space="preserve"> </w:t>
      </w:r>
      <w:r w:rsidR="00AB4DED">
        <w:t>times per anthropometric component</w:t>
      </w:r>
      <w:r>
        <w:t xml:space="preserve">. </w:t>
      </w:r>
      <w:r w:rsidR="005D2C09" w:rsidRPr="005D2C09">
        <w:t>E</w:t>
      </w:r>
      <w:r w:rsidR="003605B1">
        <w:t xml:space="preserve">ach woman </w:t>
      </w:r>
      <w:r w:rsidR="006E4F2B">
        <w:t xml:space="preserve">provided </w:t>
      </w:r>
      <w:r w:rsidR="00783F6F">
        <w:t xml:space="preserve">55 </w:t>
      </w:r>
      <w:r w:rsidR="003605B1">
        <w:t xml:space="preserve">measures, on average.  </w:t>
      </w:r>
      <w:r w:rsidR="00D62815" w:rsidRPr="004250FF">
        <w:t xml:space="preserve">TEM </w:t>
      </w:r>
      <w:r w:rsidR="00D62815">
        <w:t>values f</w:t>
      </w:r>
      <w:r w:rsidR="00B83C4C">
        <w:t>e</w:t>
      </w:r>
      <w:r w:rsidR="00D62815">
        <w:t>ll within the range</w:t>
      </w:r>
      <w:r w:rsidR="00D62815" w:rsidRPr="004250FF">
        <w:t xml:space="preserve"> of acceptability for each measure</w:t>
      </w:r>
      <w:r w:rsidR="009E3473">
        <w:t>, indicating low variability between measurements</w:t>
      </w:r>
      <w:r w:rsidR="00646183">
        <w:t xml:space="preserve"> and thus accurate technique</w:t>
      </w:r>
      <w:r>
        <w:rPr>
          <w:vertAlign w:val="superscript"/>
        </w:rPr>
        <w:t>1</w:t>
      </w:r>
      <w:r w:rsidR="001D3E34">
        <w:rPr>
          <w:vertAlign w:val="superscript"/>
        </w:rPr>
        <w:t>2</w:t>
      </w:r>
      <w:r>
        <w:rPr>
          <w:vertAlign w:val="superscript"/>
        </w:rPr>
        <w:t>,1</w:t>
      </w:r>
      <w:r w:rsidR="001D3E34">
        <w:rPr>
          <w:vertAlign w:val="superscript"/>
        </w:rPr>
        <w:t>4</w:t>
      </w:r>
      <w:r w:rsidR="00D62815" w:rsidRPr="004250FF">
        <w:t xml:space="preserve">. </w:t>
      </w:r>
      <w:r w:rsidR="0007597A">
        <w:t xml:space="preserve"> </w:t>
      </w:r>
      <w:r w:rsidR="00291105">
        <w:t xml:space="preserve">Research </w:t>
      </w:r>
      <w:r w:rsidR="00741133">
        <w:t>a</w:t>
      </w:r>
      <w:r w:rsidR="00291105">
        <w:t>ssistants most precisely measured height (% TEM = 0.2)</w:t>
      </w:r>
      <w:r w:rsidR="00653FAC">
        <w:t xml:space="preserve"> </w:t>
      </w:r>
      <w:r w:rsidR="00291105">
        <w:t xml:space="preserve">followed by hip circumference (% TEM = 0.7). </w:t>
      </w:r>
      <w:r w:rsidR="00E006F5">
        <w:t xml:space="preserve">Research </w:t>
      </w:r>
      <w:r w:rsidR="00741133">
        <w:t>a</w:t>
      </w:r>
      <w:r w:rsidR="00E006F5">
        <w:t xml:space="preserve">ssistants were least precise </w:t>
      </w:r>
      <w:r w:rsidR="00EA52F7">
        <w:t xml:space="preserve">at </w:t>
      </w:r>
      <w:r w:rsidR="00E006F5">
        <w:t xml:space="preserve">measuring subscapular skinfold thickness (% TEM = 7.4) and triceps skinfold thickness (% TEM = 6.9).  </w:t>
      </w:r>
      <w:r w:rsidR="00654762">
        <w:t>Two members of the research staff achieved TEM values for waist circumference that were above the range of acceptability (TEM = 2.1; TEM = 3.0), signaling need for further training.</w:t>
      </w:r>
      <w:r w:rsidR="001B06E4">
        <w:t xml:space="preserve"> </w:t>
      </w:r>
    </w:p>
    <w:p w:rsidR="008B26D6" w:rsidRDefault="008B26D6" w:rsidP="008B26D6">
      <w:pPr>
        <w:widowControl w:val="0"/>
        <w:autoSpaceDE w:val="0"/>
        <w:autoSpaceDN w:val="0"/>
        <w:adjustRightInd w:val="0"/>
        <w:jc w:val="both"/>
      </w:pPr>
    </w:p>
    <w:p w:rsidR="001B06E4" w:rsidRDefault="00236776" w:rsidP="008B26D6">
      <w:pPr>
        <w:widowControl w:val="0"/>
        <w:autoSpaceDE w:val="0"/>
        <w:autoSpaceDN w:val="0"/>
        <w:adjustRightInd w:val="0"/>
        <w:jc w:val="both"/>
      </w:pPr>
      <w:r>
        <w:t xml:space="preserve">Data used to calculate TEM values are presented in Figure 4 and Figure 5. </w:t>
      </w:r>
      <w:r w:rsidR="006909C9">
        <w:t xml:space="preserve">Figure 4 shows all height measurements obtained at </w:t>
      </w:r>
      <w:r>
        <w:t>the</w:t>
      </w:r>
      <w:r w:rsidR="006909C9">
        <w:t xml:space="preserve"> QC session</w:t>
      </w:r>
      <w:r>
        <w:t xml:space="preserve"> described above. </w:t>
      </w:r>
      <w:r w:rsidR="006A582C">
        <w:t xml:space="preserve">Each volunteer </w:t>
      </w:r>
      <w:r w:rsidR="006E4F2B">
        <w:t xml:space="preserve">provided </w:t>
      </w:r>
      <w:r w:rsidR="006A582C">
        <w:t xml:space="preserve">an average of 11 height measurements. Height measurements ranged from 151.4 cm to 166.4 </w:t>
      </w:r>
      <w:r>
        <w:t xml:space="preserve">cm amongst the five volunteers. </w:t>
      </w:r>
      <w:r w:rsidR="00F7785E">
        <w:t>Individual volunteer v</w:t>
      </w:r>
      <w:r>
        <w:t xml:space="preserve">ariation ranged from 1.3 cm (for </w:t>
      </w:r>
      <w:r w:rsidR="00F7785E">
        <w:t>the volunteer</w:t>
      </w:r>
      <w:r>
        <w:t xml:space="preserve"> represented in red) to 4.1 cm (for </w:t>
      </w:r>
      <w:r w:rsidR="00F7785E">
        <w:t>the v</w:t>
      </w:r>
      <w:r>
        <w:t>olunteer represented in orange)</w:t>
      </w:r>
      <w:r w:rsidR="00F7785E">
        <w:t xml:space="preserve"> across all six raters</w:t>
      </w:r>
      <w:r>
        <w:t xml:space="preserve">. </w:t>
      </w:r>
      <w:r w:rsidR="00F7785E">
        <w:t>Most height measurements were within 1.0 cm of each other. The research assistant represented by circles was least accurate in measuring height, with several outlying measurements</w:t>
      </w:r>
      <w:r w:rsidR="00DA4AE6">
        <w:t>.</w:t>
      </w:r>
      <w:r w:rsidR="00F7785E">
        <w:t xml:space="preserve"> </w:t>
      </w:r>
      <w:r w:rsidR="00DA4AE6">
        <w:t>This signals n</w:t>
      </w:r>
      <w:r w:rsidR="00F7785E">
        <w:t xml:space="preserve">eed for more training. </w:t>
      </w:r>
      <w:r w:rsidR="001B06E4">
        <w:t xml:space="preserve">Figure 5 shows all subscapular skinfold thickness measurements </w:t>
      </w:r>
      <w:r>
        <w:t xml:space="preserve">obtained at the QC session. </w:t>
      </w:r>
      <w:r w:rsidR="001B06E4">
        <w:t>Skinfold thickness measurements ranged from 8.6 cm to 33.8 cm</w:t>
      </w:r>
      <w:r w:rsidR="004C5B82">
        <w:t xml:space="preserve"> </w:t>
      </w:r>
      <w:r w:rsidR="006909C9">
        <w:t>amongst the five</w:t>
      </w:r>
      <w:r w:rsidR="004C5B82">
        <w:t xml:space="preserve"> volunteers</w:t>
      </w:r>
      <w:r w:rsidR="00AC2DA6">
        <w:t xml:space="preserve">. </w:t>
      </w:r>
      <w:r w:rsidR="00DA4AE6">
        <w:t xml:space="preserve">Volunteer </w:t>
      </w:r>
      <w:r w:rsidR="006909C9">
        <w:t xml:space="preserve">variation </w:t>
      </w:r>
      <w:r w:rsidR="00AC2DA6">
        <w:t xml:space="preserve">ranged </w:t>
      </w:r>
      <w:r w:rsidR="006909C9">
        <w:t>from</w:t>
      </w:r>
      <w:r w:rsidR="00AC2DA6">
        <w:t xml:space="preserve"> 1.6 cm (</w:t>
      </w:r>
      <w:r w:rsidR="006909C9">
        <w:t xml:space="preserve">for </w:t>
      </w:r>
      <w:r w:rsidR="00DA4AE6">
        <w:t>the v</w:t>
      </w:r>
      <w:r w:rsidR="00AC2DA6">
        <w:t>olunteer represented in blue) to 9.6 cm (</w:t>
      </w:r>
      <w:r w:rsidR="006909C9">
        <w:t xml:space="preserve">for </w:t>
      </w:r>
      <w:r w:rsidR="00DA4AE6">
        <w:t>the v</w:t>
      </w:r>
      <w:r w:rsidR="00AC2DA6">
        <w:t>olunteer represented in green).</w:t>
      </w:r>
      <w:r w:rsidR="00757CB6">
        <w:t xml:space="preserve"> Research staff members experienced greater inter-rater reliability for subscapular skinfold thickness measurements than for height measurements.</w:t>
      </w:r>
      <w:r w:rsidR="00DA4AE6">
        <w:t xml:space="preserve"> </w:t>
      </w:r>
      <w:r w:rsidR="00AC2DA6">
        <w:t xml:space="preserve"> </w:t>
      </w:r>
    </w:p>
    <w:p w:rsidR="008B26D6" w:rsidRDefault="008B26D6" w:rsidP="008B26D6">
      <w:pPr>
        <w:widowControl w:val="0"/>
        <w:autoSpaceDE w:val="0"/>
        <w:autoSpaceDN w:val="0"/>
        <w:adjustRightInd w:val="0"/>
        <w:jc w:val="both"/>
      </w:pPr>
    </w:p>
    <w:p w:rsidR="00442C5F" w:rsidRDefault="00442C5F" w:rsidP="008B26D6">
      <w:pPr>
        <w:widowControl w:val="0"/>
        <w:autoSpaceDE w:val="0"/>
        <w:autoSpaceDN w:val="0"/>
        <w:adjustRightInd w:val="0"/>
        <w:jc w:val="both"/>
      </w:pPr>
      <w:r>
        <w:t xml:space="preserve">Table 2 is </w:t>
      </w:r>
      <w:r w:rsidR="00D02E0B">
        <w:t xml:space="preserve">adapted </w:t>
      </w:r>
      <w:r>
        <w:t xml:space="preserve">from </w:t>
      </w:r>
      <w:r w:rsidR="00291105">
        <w:t xml:space="preserve">a previous analysis by </w:t>
      </w:r>
      <w:r>
        <w:t>Boeke et al.</w:t>
      </w:r>
      <w:r w:rsidR="00CF732E">
        <w:rPr>
          <w:vertAlign w:val="superscript"/>
        </w:rPr>
        <w:t>1</w:t>
      </w:r>
      <w:r w:rsidR="00B83C4C" w:rsidRPr="00B83C4C">
        <w:t xml:space="preserve"> </w:t>
      </w:r>
      <w:r w:rsidR="00B83C4C">
        <w:t>on 1,110 Project Viva participants</w:t>
      </w:r>
      <w:r w:rsidR="006E4F2B">
        <w:t xml:space="preserve"> measured</w:t>
      </w:r>
      <w:r w:rsidR="00B83C4C">
        <w:t xml:space="preserve"> during mid-childhood (age 6.5-10.9 years).</w:t>
      </w:r>
      <w:r>
        <w:t xml:space="preserve"> This table </w:t>
      </w:r>
      <w:r w:rsidR="00D9789F">
        <w:t>addresses accuracy</w:t>
      </w:r>
      <w:r w:rsidR="00291105">
        <w:t xml:space="preserve"> of</w:t>
      </w:r>
      <w:r w:rsidR="00D9789F">
        <w:t xml:space="preserve"> </w:t>
      </w:r>
      <w:r w:rsidR="00291105">
        <w:t>manual anthropometric measures of body fat</w:t>
      </w:r>
      <w:r w:rsidR="00B83C4C">
        <w:t>, expressed as</w:t>
      </w:r>
      <w:r w:rsidR="00D9789F">
        <w:t xml:space="preserve"> </w:t>
      </w:r>
      <w:r>
        <w:t>Spearman correlations</w:t>
      </w:r>
      <w:r w:rsidR="00291105">
        <w:t xml:space="preserve"> with </w:t>
      </w:r>
      <w:r w:rsidR="00D9789F">
        <w:t>gold standard DXA measures</w:t>
      </w:r>
      <w:r w:rsidR="00291105">
        <w:t>.</w:t>
      </w:r>
      <w:r w:rsidR="009D2DE5">
        <w:t xml:space="preserve"> </w:t>
      </w:r>
      <w:r>
        <w:t xml:space="preserve">DXA fat </w:t>
      </w:r>
      <w:r w:rsidR="00B83C4C">
        <w:t>was highly</w:t>
      </w:r>
      <w:r>
        <w:t xml:space="preserve"> correlated with </w:t>
      </w:r>
      <w:r w:rsidR="00532A7C">
        <w:t>all</w:t>
      </w:r>
      <w:r>
        <w:t xml:space="preserve"> manual anthropometric measures including weight (r</w:t>
      </w:r>
      <w:r>
        <w:rPr>
          <w:vertAlign w:val="subscript"/>
        </w:rPr>
        <w:t>s</w:t>
      </w:r>
      <w:r>
        <w:t>=0.80), waist circumference (</w:t>
      </w:r>
      <w:r w:rsidR="00F313DC">
        <w:t>r</w:t>
      </w:r>
      <w:r w:rsidR="00F313DC">
        <w:rPr>
          <w:vertAlign w:val="subscript"/>
        </w:rPr>
        <w:t>s</w:t>
      </w:r>
      <w:r w:rsidR="00F313DC">
        <w:t>=</w:t>
      </w:r>
      <w:r>
        <w:t xml:space="preserve">0.81), and sum of </w:t>
      </w:r>
      <w:r w:rsidR="00B83C4C">
        <w:t xml:space="preserve">triceps + subscapular </w:t>
      </w:r>
      <w:r>
        <w:t>skinfold thickness (r</w:t>
      </w:r>
      <w:r>
        <w:rPr>
          <w:vertAlign w:val="subscript"/>
        </w:rPr>
        <w:t>s</w:t>
      </w:r>
      <w:r>
        <w:t>=0.90)</w:t>
      </w:r>
      <w:r w:rsidR="00F30AF7">
        <w:t xml:space="preserve"> but was less strongly correlated with height (</w:t>
      </w:r>
      <w:r w:rsidR="00F30AF7" w:rsidRPr="00F30AF7">
        <w:t>r</w:t>
      </w:r>
      <w:r w:rsidR="00F30AF7" w:rsidRPr="00F30AF7">
        <w:rPr>
          <w:vertAlign w:val="subscript"/>
        </w:rPr>
        <w:t>s</w:t>
      </w:r>
      <w:r w:rsidR="00F30AF7">
        <w:t>=0.47).</w:t>
      </w:r>
    </w:p>
    <w:p w:rsidR="008B26D6" w:rsidRDefault="008B26D6" w:rsidP="006B711A">
      <w:pPr>
        <w:autoSpaceDE w:val="0"/>
        <w:autoSpaceDN w:val="0"/>
        <w:adjustRightInd w:val="0"/>
        <w:jc w:val="both"/>
        <w:rPr>
          <w:b/>
        </w:rPr>
      </w:pPr>
    </w:p>
    <w:p w:rsidR="00E45DA5" w:rsidRPr="00E61A3B" w:rsidRDefault="008B26D6" w:rsidP="006B711A">
      <w:pPr>
        <w:autoSpaceDE w:val="0"/>
        <w:autoSpaceDN w:val="0"/>
        <w:adjustRightInd w:val="0"/>
        <w:jc w:val="both"/>
        <w:rPr>
          <w:b/>
        </w:rPr>
      </w:pPr>
      <w:r w:rsidRPr="00E61A3B">
        <w:rPr>
          <w:b/>
        </w:rPr>
        <w:t>FIGURE LEGENDS:</w:t>
      </w:r>
      <w:r w:rsidRPr="00E61A3B">
        <w:rPr>
          <w:bCs/>
          <w:i/>
        </w:rPr>
        <w:t xml:space="preserve"> </w:t>
      </w:r>
    </w:p>
    <w:p w:rsidR="00E45DA5" w:rsidRDefault="00E45DA5" w:rsidP="006B711A">
      <w:pPr>
        <w:autoSpaceDE w:val="0"/>
        <w:autoSpaceDN w:val="0"/>
        <w:adjustRightInd w:val="0"/>
        <w:jc w:val="both"/>
      </w:pPr>
      <w:r w:rsidRPr="00E61A3B">
        <w:rPr>
          <w:b/>
        </w:rPr>
        <w:t xml:space="preserve">Figure 1: </w:t>
      </w:r>
      <w:r w:rsidR="00060290" w:rsidRPr="009F5F98">
        <w:rPr>
          <w:b/>
        </w:rPr>
        <w:t>Location of the mid-axillary line.</w:t>
      </w:r>
      <w:r>
        <w:rPr>
          <w:b/>
        </w:rPr>
        <w:t xml:space="preserve"> </w:t>
      </w:r>
      <w:r w:rsidR="00DE4DE2">
        <w:t>A coronal line halfway between the anterior and posterior axillary lines</w:t>
      </w:r>
      <w:r w:rsidR="00F87A48" w:rsidRPr="009F5F98">
        <w:rPr>
          <w:b/>
          <w:vertAlign w:val="superscript"/>
        </w:rPr>
        <w:t>15</w:t>
      </w:r>
      <w:r w:rsidR="00DE4DE2">
        <w:t xml:space="preserve">. </w:t>
      </w:r>
    </w:p>
    <w:p w:rsidR="008B26D6" w:rsidRPr="009F5F98" w:rsidRDefault="008B26D6" w:rsidP="006B711A">
      <w:pPr>
        <w:autoSpaceDE w:val="0"/>
        <w:autoSpaceDN w:val="0"/>
        <w:adjustRightInd w:val="0"/>
        <w:jc w:val="both"/>
      </w:pPr>
    </w:p>
    <w:p w:rsidR="00E45DA5" w:rsidRDefault="00E45DA5" w:rsidP="006B711A">
      <w:pPr>
        <w:autoSpaceDE w:val="0"/>
        <w:autoSpaceDN w:val="0"/>
        <w:adjustRightInd w:val="0"/>
        <w:jc w:val="both"/>
      </w:pPr>
      <w:r w:rsidRPr="00135408">
        <w:rPr>
          <w:b/>
        </w:rPr>
        <w:t>Figure 2</w:t>
      </w:r>
      <w:r>
        <w:t xml:space="preserve">: </w:t>
      </w:r>
      <w:r w:rsidR="00060290" w:rsidRPr="009F5F98">
        <w:rPr>
          <w:b/>
        </w:rPr>
        <w:t>The Frankfort plane.</w:t>
      </w:r>
      <w:r w:rsidR="00193BF3">
        <w:t xml:space="preserve"> </w:t>
      </w:r>
      <w:r w:rsidR="00DE4DE2">
        <w:t>A</w:t>
      </w:r>
      <w:r w:rsidR="00193BF3">
        <w:t xml:space="preserve"> </w:t>
      </w:r>
      <w:r w:rsidR="00E832DF">
        <w:t xml:space="preserve">horizontal </w:t>
      </w:r>
      <w:r w:rsidR="00193BF3">
        <w:t xml:space="preserve">plane </w:t>
      </w:r>
      <w:r w:rsidR="00E832DF">
        <w:t xml:space="preserve">that </w:t>
      </w:r>
      <w:r w:rsidR="00193BF3">
        <w:t>passes through the inferior margin of the orbit a</w:t>
      </w:r>
      <w:r w:rsidR="00E832DF">
        <w:t>nd the tragion</w:t>
      </w:r>
      <w:r w:rsidR="00754D10">
        <w:t xml:space="preserve"> (notch above the tragus of the ear)</w:t>
      </w:r>
      <w:r w:rsidR="00F87A48" w:rsidRPr="00F87A48">
        <w:rPr>
          <w:b/>
          <w:vertAlign w:val="superscript"/>
        </w:rPr>
        <w:t xml:space="preserve"> </w:t>
      </w:r>
      <w:r w:rsidR="00F87A48" w:rsidRPr="009F5F98">
        <w:rPr>
          <w:b/>
          <w:vertAlign w:val="superscript"/>
        </w:rPr>
        <w:t>16</w:t>
      </w:r>
      <w:r w:rsidR="00E832DF">
        <w:t>.</w:t>
      </w:r>
      <w:r w:rsidR="00193BF3">
        <w:t xml:space="preserve"> </w:t>
      </w:r>
    </w:p>
    <w:p w:rsidR="008B26D6" w:rsidRPr="009F5F98" w:rsidRDefault="008B26D6" w:rsidP="006B711A">
      <w:pPr>
        <w:autoSpaceDE w:val="0"/>
        <w:autoSpaceDN w:val="0"/>
        <w:adjustRightInd w:val="0"/>
        <w:jc w:val="both"/>
      </w:pPr>
    </w:p>
    <w:p w:rsidR="00FA65DD" w:rsidRDefault="00E45DA5" w:rsidP="006B711A">
      <w:pPr>
        <w:tabs>
          <w:tab w:val="left" w:pos="1815"/>
        </w:tabs>
        <w:autoSpaceDE w:val="0"/>
        <w:autoSpaceDN w:val="0"/>
        <w:adjustRightInd w:val="0"/>
        <w:jc w:val="both"/>
      </w:pPr>
      <w:r w:rsidRPr="00655522">
        <w:rPr>
          <w:b/>
        </w:rPr>
        <w:t xml:space="preserve">Figure </w:t>
      </w:r>
      <w:r>
        <w:rPr>
          <w:b/>
        </w:rPr>
        <w:t>3</w:t>
      </w:r>
      <w:r>
        <w:t xml:space="preserve">: </w:t>
      </w:r>
      <w:r w:rsidR="00060290" w:rsidRPr="009F5F98">
        <w:rPr>
          <w:b/>
        </w:rPr>
        <w:t>Anatomy of the shoulder.</w:t>
      </w:r>
      <w:r w:rsidR="00646183">
        <w:t xml:space="preserve"> Shoulder anatomy includes </w:t>
      </w:r>
      <w:r>
        <w:t>the acromion process</w:t>
      </w:r>
      <w:r w:rsidR="00646183">
        <w:t>,</w:t>
      </w:r>
      <w:r w:rsidR="00DE4DE2">
        <w:t xml:space="preserve"> identified in red</w:t>
      </w:r>
      <w:r w:rsidR="00F87A48" w:rsidRPr="009F5F98">
        <w:rPr>
          <w:b/>
          <w:vertAlign w:val="superscript"/>
        </w:rPr>
        <w:t>17</w:t>
      </w:r>
      <w:r w:rsidR="00DE4DE2">
        <w:t>.</w:t>
      </w:r>
    </w:p>
    <w:p w:rsidR="008B26D6" w:rsidRDefault="008B26D6" w:rsidP="006B711A">
      <w:pPr>
        <w:tabs>
          <w:tab w:val="left" w:pos="1815"/>
        </w:tabs>
        <w:autoSpaceDE w:val="0"/>
        <w:autoSpaceDN w:val="0"/>
        <w:adjustRightInd w:val="0"/>
        <w:jc w:val="both"/>
      </w:pPr>
    </w:p>
    <w:p w:rsidR="00E45DA5" w:rsidRDefault="00060290" w:rsidP="006B711A">
      <w:pPr>
        <w:tabs>
          <w:tab w:val="left" w:pos="1815"/>
        </w:tabs>
        <w:autoSpaceDE w:val="0"/>
        <w:autoSpaceDN w:val="0"/>
        <w:adjustRightInd w:val="0"/>
        <w:jc w:val="both"/>
      </w:pPr>
      <w:r w:rsidRPr="009F5F98">
        <w:rPr>
          <w:b/>
        </w:rPr>
        <w:t>Figure 4: Scatterplot of height measurements.</w:t>
      </w:r>
      <w:r w:rsidR="00FA65DD">
        <w:t xml:space="preserve"> Height measurements (cm) taken by six research assistants during QC session on </w:t>
      </w:r>
      <w:r w:rsidR="00D7536D">
        <w:t>five</w:t>
      </w:r>
      <w:r w:rsidR="00FA65DD">
        <w:t xml:space="preserve"> adult female volunteers. Each volunteer is represented by a different color. Each research assistant is represented by a different shape. </w:t>
      </w:r>
      <w:r w:rsidR="00653FAC">
        <w:t xml:space="preserve"> </w:t>
      </w:r>
    </w:p>
    <w:p w:rsidR="008B26D6" w:rsidRPr="009F5F98" w:rsidRDefault="008B26D6" w:rsidP="006B711A">
      <w:pPr>
        <w:tabs>
          <w:tab w:val="left" w:pos="1815"/>
        </w:tabs>
        <w:autoSpaceDE w:val="0"/>
        <w:autoSpaceDN w:val="0"/>
        <w:adjustRightInd w:val="0"/>
        <w:jc w:val="both"/>
      </w:pPr>
    </w:p>
    <w:p w:rsidR="00AD47E3" w:rsidRDefault="00FA65DD" w:rsidP="006B711A">
      <w:pPr>
        <w:pStyle w:val="NormalWeb"/>
        <w:spacing w:before="0" w:beforeAutospacing="0" w:after="0" w:afterAutospacing="0"/>
        <w:jc w:val="both"/>
      </w:pPr>
      <w:r w:rsidRPr="00CB48CA">
        <w:rPr>
          <w:b/>
        </w:rPr>
        <w:lastRenderedPageBreak/>
        <w:t xml:space="preserve">Figure </w:t>
      </w:r>
      <w:r w:rsidR="00D7536D">
        <w:rPr>
          <w:b/>
        </w:rPr>
        <w:t>5</w:t>
      </w:r>
      <w:r w:rsidRPr="00CB48CA">
        <w:rPr>
          <w:b/>
        </w:rPr>
        <w:t xml:space="preserve">: Scatterplot of </w:t>
      </w:r>
      <w:r>
        <w:rPr>
          <w:b/>
        </w:rPr>
        <w:t>subscapular skinfold</w:t>
      </w:r>
      <w:r w:rsidRPr="00CB48CA">
        <w:rPr>
          <w:b/>
        </w:rPr>
        <w:t xml:space="preserve"> </w:t>
      </w:r>
      <w:r w:rsidR="001B06E4">
        <w:rPr>
          <w:b/>
        </w:rPr>
        <w:t xml:space="preserve">thickness </w:t>
      </w:r>
      <w:r w:rsidRPr="00CB48CA">
        <w:rPr>
          <w:b/>
        </w:rPr>
        <w:t>measurements.</w:t>
      </w:r>
      <w:r>
        <w:t xml:space="preserve"> Subscapular skinfold </w:t>
      </w:r>
      <w:r w:rsidR="001B06E4">
        <w:t xml:space="preserve">thickness </w:t>
      </w:r>
      <w:r>
        <w:t>measurements (</w:t>
      </w:r>
      <w:r w:rsidR="00653FAC">
        <w:t>cm)</w:t>
      </w:r>
      <w:r>
        <w:t xml:space="preserve"> taken by six research assistants during QC session on </w:t>
      </w:r>
      <w:r w:rsidR="00D7536D">
        <w:t>five</w:t>
      </w:r>
      <w:r>
        <w:t xml:space="preserve"> adult female volunteers. Each volunteer is represented by a different color. Each research assistant is represented by a different shape.</w:t>
      </w:r>
    </w:p>
    <w:p w:rsidR="005E4D06" w:rsidRDefault="005E4D06" w:rsidP="006B711A">
      <w:pPr>
        <w:pStyle w:val="NormalWeb"/>
        <w:spacing w:before="0" w:beforeAutospacing="0" w:after="0" w:afterAutospacing="0"/>
        <w:jc w:val="both"/>
      </w:pPr>
    </w:p>
    <w:p w:rsidR="005E4D06" w:rsidRDefault="005E4D06" w:rsidP="005E4D06">
      <w:pPr>
        <w:autoSpaceDE w:val="0"/>
        <w:autoSpaceDN w:val="0"/>
        <w:adjustRightInd w:val="0"/>
        <w:jc w:val="both"/>
        <w:rPr>
          <w:b/>
        </w:rPr>
      </w:pPr>
      <w:r>
        <w:rPr>
          <w:b/>
        </w:rPr>
        <w:t>Table Legends:</w:t>
      </w:r>
    </w:p>
    <w:p w:rsidR="005E4D06" w:rsidRDefault="005E4D06" w:rsidP="005E4D06">
      <w:pPr>
        <w:autoSpaceDE w:val="0"/>
        <w:autoSpaceDN w:val="0"/>
        <w:adjustRightInd w:val="0"/>
        <w:jc w:val="both"/>
      </w:pPr>
      <w:r w:rsidRPr="003160ED">
        <w:rPr>
          <w:b/>
        </w:rPr>
        <w:t xml:space="preserve">Table </w:t>
      </w:r>
      <w:r>
        <w:rPr>
          <w:b/>
        </w:rPr>
        <w:t>1</w:t>
      </w:r>
      <w:r w:rsidRPr="003160ED">
        <w:rPr>
          <w:b/>
        </w:rPr>
        <w:t>:</w:t>
      </w:r>
      <w:r w:rsidRPr="003160ED">
        <w:t xml:space="preserve"> </w:t>
      </w:r>
      <w:r w:rsidRPr="003160ED">
        <w:rPr>
          <w:b/>
        </w:rPr>
        <w:t xml:space="preserve">Intra-rater reliability (within measurer).  </w:t>
      </w:r>
      <w:r w:rsidRPr="003160ED">
        <w:t>Technical error of measurement</w:t>
      </w:r>
      <w:r>
        <w:t xml:space="preserve"> (TEM)</w:t>
      </w:r>
      <w:r w:rsidRPr="003160ED">
        <w:t xml:space="preserve"> for each of the anthropometric measures,</w:t>
      </w:r>
      <w:r>
        <w:t xml:space="preserve"> within each individual measurer.  Data from six Project Viva research assistants performing repeated measures on five adult women.  </w:t>
      </w:r>
    </w:p>
    <w:p w:rsidR="005E4D06" w:rsidRDefault="005E4D06" w:rsidP="005E4D06">
      <w:pPr>
        <w:autoSpaceDE w:val="0"/>
        <w:autoSpaceDN w:val="0"/>
        <w:adjustRightInd w:val="0"/>
        <w:jc w:val="both"/>
      </w:pPr>
    </w:p>
    <w:p w:rsidR="005E4D06" w:rsidRPr="003160ED" w:rsidRDefault="005E4D06" w:rsidP="005E4D06">
      <w:pPr>
        <w:autoSpaceDE w:val="0"/>
        <w:autoSpaceDN w:val="0"/>
        <w:adjustRightInd w:val="0"/>
        <w:jc w:val="both"/>
      </w:pPr>
      <w:r>
        <w:t xml:space="preserve">TEM </w:t>
      </w:r>
      <w:r w:rsidRPr="009812E8">
        <w:t>calculated as</w:t>
      </w:r>
      <m:oMath>
        <m:r>
          <w:rPr>
            <w:rFonts w:ascii="Cambria Math" w:hAnsi="Cambria Math"/>
          </w:rPr>
          <m:t xml:space="preserve"> </m:t>
        </m:r>
        <m:rad>
          <m:radPr>
            <m:degHide m:val="1"/>
            <m:ctrlPr>
              <w:rPr>
                <w:rFonts w:ascii="Cambria Math" w:hAnsi="Cambria Math"/>
                <w:i/>
              </w:rPr>
            </m:ctrlPr>
          </m:radPr>
          <m:deg/>
          <m:e>
            <m:r>
              <m:rPr>
                <m:sty m:val="p"/>
              </m:rPr>
              <w:rPr>
                <w:rFonts w:ascii="Cambria Math" w:hAnsi="Cambria Math"/>
              </w:rPr>
              <m:t>Σ</m:t>
            </m:r>
            <m:sSup>
              <m:sSupPr>
                <m:ctrlPr>
                  <w:rPr>
                    <w:rFonts w:ascii="Cambria Math" w:hAnsi="Cambria Math"/>
                    <w:i/>
                  </w:rPr>
                </m:ctrlPr>
              </m:sSupPr>
              <m:e>
                <m:r>
                  <w:rPr>
                    <w:rFonts w:ascii="Cambria Math" w:hAnsi="Cambria Math"/>
                  </w:rPr>
                  <m:t>d</m:t>
                </m:r>
              </m:e>
              <m:sup>
                <m:r>
                  <w:rPr>
                    <w:rFonts w:ascii="Cambria Math" w:hAnsi="Cambria Math"/>
                  </w:rPr>
                  <m:t>2</m:t>
                </m:r>
              </m:sup>
            </m:sSup>
            <m:r>
              <w:rPr>
                <w:rFonts w:ascii="Cambria Math" w:hAnsi="Cambria Math"/>
              </w:rPr>
              <m:t>/2N</m:t>
            </m:r>
          </m:e>
        </m:rad>
      </m:oMath>
      <w:r w:rsidRPr="009812E8">
        <w:t>, where d</w:t>
      </w:r>
      <w:r w:rsidRPr="009812E8">
        <w:rPr>
          <w:vertAlign w:val="superscript"/>
        </w:rPr>
        <w:t xml:space="preserve">2 </w:t>
      </w:r>
      <w:r w:rsidRPr="009812E8">
        <w:t>is the difference between repeated measurements by each research staff member (intra-rater reliability)</w:t>
      </w:r>
      <w:r w:rsidRPr="007A0374">
        <w:rPr>
          <w:vertAlign w:val="superscript"/>
        </w:rPr>
        <w:t>12</w:t>
      </w:r>
      <w:r w:rsidRPr="009812E8">
        <w:t xml:space="preserve">. A higher TEM indicates greater variability </w:t>
      </w:r>
      <w:r>
        <w:t>within the repeat measurements collected by each individual</w:t>
      </w:r>
      <w:r w:rsidRPr="009812E8">
        <w:t>.</w:t>
      </w:r>
    </w:p>
    <w:p w:rsidR="005E4D06" w:rsidRPr="004250FF" w:rsidRDefault="005E4D06" w:rsidP="005E4D06">
      <w:pPr>
        <w:autoSpaceDE w:val="0"/>
        <w:autoSpaceDN w:val="0"/>
        <w:adjustRightInd w:val="0"/>
        <w:jc w:val="both"/>
      </w:pPr>
      <w:r w:rsidRPr="003160ED">
        <w:t xml:space="preserve"> %TEM calculated as (average TEM/mean of the measure)*100</w:t>
      </w:r>
    </w:p>
    <w:p w:rsidR="005E4D06" w:rsidRDefault="005E4D06" w:rsidP="005E4D06">
      <w:pPr>
        <w:autoSpaceDE w:val="0"/>
        <w:autoSpaceDN w:val="0"/>
        <w:adjustRightInd w:val="0"/>
        <w:jc w:val="both"/>
        <w:rPr>
          <w:b/>
        </w:rPr>
      </w:pPr>
    </w:p>
    <w:p w:rsidR="005E4D06" w:rsidRDefault="005E4D06" w:rsidP="005E4D06">
      <w:pPr>
        <w:autoSpaceDE w:val="0"/>
        <w:autoSpaceDN w:val="0"/>
        <w:adjustRightInd w:val="0"/>
        <w:jc w:val="both"/>
        <w:rPr>
          <w:bCs/>
        </w:rPr>
      </w:pPr>
      <w:r w:rsidRPr="00E61A3B">
        <w:rPr>
          <w:b/>
        </w:rPr>
        <w:t xml:space="preserve">Table </w:t>
      </w:r>
      <w:r>
        <w:rPr>
          <w:b/>
        </w:rPr>
        <w:t>2</w:t>
      </w:r>
      <w:r w:rsidRPr="00E61A3B">
        <w:rPr>
          <w:b/>
        </w:rPr>
        <w:t>:</w:t>
      </w:r>
      <w:r w:rsidRPr="00E61A3B">
        <w:t xml:space="preserve"> </w:t>
      </w:r>
      <w:r>
        <w:rPr>
          <w:bCs/>
        </w:rPr>
        <w:t>C</w:t>
      </w:r>
      <w:r w:rsidRPr="00135408">
        <w:rPr>
          <w:bCs/>
        </w:rPr>
        <w:t xml:space="preserve">orrelations </w:t>
      </w:r>
      <w:r>
        <w:rPr>
          <w:bCs/>
        </w:rPr>
        <w:t>between each of several anthropometric measures and with DXA body fat among 1110 Project Viva children</w:t>
      </w:r>
      <w:r w:rsidRPr="00135408">
        <w:rPr>
          <w:bCs/>
        </w:rPr>
        <w:t xml:space="preserve"> at 6.5-10.9 years</w:t>
      </w:r>
      <w:r>
        <w:rPr>
          <w:bCs/>
        </w:rPr>
        <w:t>.  Adapted from Boeke et al</w:t>
      </w:r>
      <w:r>
        <w:rPr>
          <w:bCs/>
          <w:vertAlign w:val="superscript"/>
        </w:rPr>
        <w:t>1</w:t>
      </w:r>
      <w:r>
        <w:rPr>
          <w:bCs/>
        </w:rPr>
        <w:t xml:space="preserve">.  </w:t>
      </w:r>
    </w:p>
    <w:p w:rsidR="005E4D06" w:rsidRDefault="005E4D06" w:rsidP="005E4D06">
      <w:pPr>
        <w:jc w:val="both"/>
      </w:pPr>
    </w:p>
    <w:p w:rsidR="005E4D06" w:rsidRDefault="005E4D06" w:rsidP="005E4D06">
      <w:pPr>
        <w:jc w:val="both"/>
      </w:pPr>
      <w:r>
        <w:t>BMI = body mass index; SS = subscapular skinfold; TR = triceps skinfold; DXA = dual x-ray absorptiometry</w:t>
      </w:r>
    </w:p>
    <w:p w:rsidR="008B26D6" w:rsidRDefault="008B26D6" w:rsidP="006B711A">
      <w:pPr>
        <w:pStyle w:val="NormalWeb"/>
        <w:spacing w:before="0" w:beforeAutospacing="0" w:after="0" w:afterAutospacing="0"/>
        <w:jc w:val="both"/>
      </w:pPr>
    </w:p>
    <w:p w:rsidR="00AD47E3" w:rsidRDefault="00693C0C" w:rsidP="006B711A">
      <w:pPr>
        <w:jc w:val="both"/>
        <w:rPr>
          <w:i/>
          <w:iCs/>
        </w:rPr>
      </w:pPr>
      <w:r w:rsidRPr="004250FF">
        <w:rPr>
          <w:b/>
        </w:rPr>
        <w:t>DISCUSSION</w:t>
      </w:r>
      <w:r w:rsidRPr="004250FF">
        <w:rPr>
          <w:b/>
          <w:bCs/>
        </w:rPr>
        <w:t xml:space="preserve">: </w:t>
      </w:r>
    </w:p>
    <w:p w:rsidR="008C7227" w:rsidRDefault="00F50FE0" w:rsidP="008B26D6">
      <w:pPr>
        <w:jc w:val="both"/>
      </w:pPr>
      <w:r>
        <w:t xml:space="preserve">Accurate </w:t>
      </w:r>
      <w:r w:rsidR="00946ED3">
        <w:t>body composition measures</w:t>
      </w:r>
      <w:r>
        <w:t xml:space="preserve"> are </w:t>
      </w:r>
      <w:r w:rsidR="00B83C4C">
        <w:t xml:space="preserve">critical </w:t>
      </w:r>
      <w:r>
        <w:t xml:space="preserve">for properly assessing </w:t>
      </w:r>
      <w:r w:rsidR="00B83C4C">
        <w:t xml:space="preserve">childhood growth in </w:t>
      </w:r>
      <w:r>
        <w:t>research studies.</w:t>
      </w:r>
      <w:r w:rsidR="00A65A51">
        <w:t xml:space="preserve"> </w:t>
      </w:r>
      <w:r w:rsidR="00B83C4C">
        <w:t>Researchers widely accept DXA</w:t>
      </w:r>
      <w:r w:rsidR="00675380">
        <w:t xml:space="preserve"> </w:t>
      </w:r>
      <w:r w:rsidR="00D6161F">
        <w:t xml:space="preserve">as </w:t>
      </w:r>
      <w:r w:rsidR="00B83C4C">
        <w:t xml:space="preserve">a </w:t>
      </w:r>
      <w:r w:rsidR="00D6161F">
        <w:t>gold standard method</w:t>
      </w:r>
      <w:r w:rsidR="00B83C4C">
        <w:t xml:space="preserve">, </w:t>
      </w:r>
      <w:r w:rsidR="003605B1">
        <w:t>and</w:t>
      </w:r>
      <w:r w:rsidR="00B83C4C">
        <w:t xml:space="preserve"> many criticize</w:t>
      </w:r>
      <w:r w:rsidR="0007597A">
        <w:t xml:space="preserve"> </w:t>
      </w:r>
      <w:r w:rsidR="00A65A51">
        <w:t>manual anthropometric measures</w:t>
      </w:r>
      <w:r w:rsidR="00675380">
        <w:t xml:space="preserve"> </w:t>
      </w:r>
      <w:r w:rsidR="00D6161F">
        <w:t xml:space="preserve">as </w:t>
      </w:r>
      <w:r w:rsidR="00A65A51">
        <w:t xml:space="preserve">being imprecise and inaccurate. </w:t>
      </w:r>
      <w:r w:rsidR="00291105">
        <w:t xml:space="preserve">However, </w:t>
      </w:r>
      <w:r w:rsidR="00E45DA5">
        <w:t xml:space="preserve">this </w:t>
      </w:r>
      <w:r w:rsidR="00D6161F">
        <w:t>a</w:t>
      </w:r>
      <w:r>
        <w:t>nalys</w:t>
      </w:r>
      <w:r w:rsidR="006C11FB">
        <w:t xml:space="preserve">is of </w:t>
      </w:r>
      <w:r w:rsidR="00675380">
        <w:t xml:space="preserve">anthropometric techniques to estimate </w:t>
      </w:r>
      <w:r w:rsidR="006C11FB">
        <w:t>body fat</w:t>
      </w:r>
      <w:r>
        <w:t xml:space="preserve"> suggest</w:t>
      </w:r>
      <w:r w:rsidR="006C11FB">
        <w:t>s</w:t>
      </w:r>
      <w:r>
        <w:t xml:space="preserve"> that </w:t>
      </w:r>
      <w:r w:rsidR="00B83C4C">
        <w:t xml:space="preserve">well-trained research assistants </w:t>
      </w:r>
      <w:r w:rsidR="00FF694B">
        <w:t xml:space="preserve">who follow a standardized protocol </w:t>
      </w:r>
      <w:r w:rsidR="00B83C4C">
        <w:t xml:space="preserve">can conduct </w:t>
      </w:r>
      <w:r>
        <w:t xml:space="preserve">manual anthropometric measures </w:t>
      </w:r>
      <w:r w:rsidR="00D6161F">
        <w:t xml:space="preserve">with </w:t>
      </w:r>
      <w:r w:rsidR="00B67314">
        <w:t xml:space="preserve">excellent </w:t>
      </w:r>
      <w:r w:rsidR="00D6161F">
        <w:t>accuracy</w:t>
      </w:r>
      <w:r>
        <w:t xml:space="preserve">, yielding </w:t>
      </w:r>
      <w:r w:rsidR="00675380">
        <w:t>adiposity</w:t>
      </w:r>
      <w:r>
        <w:t xml:space="preserve"> </w:t>
      </w:r>
      <w:r w:rsidR="00DA002C">
        <w:t>e</w:t>
      </w:r>
      <w:r w:rsidR="00B83C4C">
        <w:t xml:space="preserve">stimates that are highly correlated with </w:t>
      </w:r>
      <w:r w:rsidR="003F3167">
        <w:t>DXA</w:t>
      </w:r>
      <w:r w:rsidR="0033190A">
        <w:rPr>
          <w:vertAlign w:val="superscript"/>
        </w:rPr>
        <w:t>1</w:t>
      </w:r>
      <w:r w:rsidR="00675380">
        <w:t>.</w:t>
      </w:r>
      <w:r w:rsidR="00FF694B">
        <w:t xml:space="preserve"> In addition to individual measures, combinations of </w:t>
      </w:r>
      <w:r w:rsidR="003B00DF">
        <w:t>manual anthropometric measures, such as the sum of skinfold thickness and weight to height ratio</w:t>
      </w:r>
      <w:r w:rsidR="006F57D6">
        <w:t>,</w:t>
      </w:r>
      <w:r w:rsidR="003B00DF">
        <w:t xml:space="preserve"> are highly correlated </w:t>
      </w:r>
      <w:r w:rsidR="003605B1">
        <w:t xml:space="preserve">with </w:t>
      </w:r>
      <w:r w:rsidR="003B00DF">
        <w:t xml:space="preserve">measures of DXA body fat. </w:t>
      </w:r>
      <w:r w:rsidR="00F30AF7" w:rsidRPr="00F30AF7">
        <w:t>The purpose of this protocol is to standardize processes for eight commonly used anthropometric measures, to improve accuracy and allow comparison between research studies and pooling of results.</w:t>
      </w:r>
    </w:p>
    <w:p w:rsidR="008B26D6" w:rsidRDefault="008B26D6" w:rsidP="006B711A">
      <w:pPr>
        <w:jc w:val="both"/>
      </w:pPr>
    </w:p>
    <w:p w:rsidR="00E203CC" w:rsidRDefault="00E65618" w:rsidP="006B711A">
      <w:pPr>
        <w:jc w:val="both"/>
      </w:pPr>
      <w:r>
        <w:t>Critical steps within the protocol</w:t>
      </w:r>
    </w:p>
    <w:p w:rsidR="00D7536D" w:rsidRDefault="00E65618" w:rsidP="008B26D6">
      <w:pPr>
        <w:jc w:val="both"/>
      </w:pPr>
      <w:r>
        <w:t>Accurate assessment of body composition wit</w:t>
      </w:r>
      <w:r w:rsidR="00DC6E8E">
        <w:t>h manual anthropometry requires</w:t>
      </w:r>
      <w:r>
        <w:t xml:space="preserve"> sufficient time for training and</w:t>
      </w:r>
      <w:r w:rsidR="00DC6E8E">
        <w:t xml:space="preserve"> the conduct of</w:t>
      </w:r>
      <w:r>
        <w:t xml:space="preserve"> quality control procedures to ensure precision and accuracy.  Given the lead time required</w:t>
      </w:r>
      <w:r w:rsidR="00DC6E8E">
        <w:t>,</w:t>
      </w:r>
      <w:r>
        <w:t xml:space="preserve"> research assistants </w:t>
      </w:r>
      <w:r w:rsidR="00DC6E8E">
        <w:t>optimally should be available for a minimum of 24 months.  Equipment should be sturdy and regularly checked for calibration.</w:t>
      </w:r>
      <w:r w:rsidR="00DC6E8E" w:rsidRPr="00DC6E8E">
        <w:t xml:space="preserve"> </w:t>
      </w:r>
      <w:r w:rsidR="00DC6E8E">
        <w:t xml:space="preserve">To achieve high levels of reliability, raters must follow all steps of the anthropometric protocol precisely, as even minor alterations affect accuracy.  Anecdotal evidence suggests that improper identification of anatomical measurement sites, hand placement, and tautness of measurement equipment cause the greatest variation between measures.  With attention to detail, the enclosed protocol provides a clear method of collecting precise measurements yet it also shows that protocol alone is insufficient to achieve </w:t>
      </w:r>
      <w:r w:rsidR="002B7B34">
        <w:t xml:space="preserve">universally </w:t>
      </w:r>
      <w:r w:rsidR="00DC6E8E">
        <w:t>accurate results in the field.</w:t>
      </w:r>
    </w:p>
    <w:p w:rsidR="008B26D6" w:rsidRDefault="008B26D6" w:rsidP="006B711A">
      <w:pPr>
        <w:jc w:val="both"/>
      </w:pPr>
    </w:p>
    <w:p w:rsidR="00E203CC" w:rsidRDefault="00DC6E8E" w:rsidP="006B711A">
      <w:pPr>
        <w:jc w:val="both"/>
      </w:pPr>
      <w:r>
        <w:lastRenderedPageBreak/>
        <w:t>M</w:t>
      </w:r>
      <w:r w:rsidR="00E65618">
        <w:t>odifications and troubleshooting</w:t>
      </w:r>
    </w:p>
    <w:p w:rsidR="00E65618" w:rsidRDefault="00AA18EE" w:rsidP="008B26D6">
      <w:pPr>
        <w:jc w:val="both"/>
      </w:pPr>
      <w:r>
        <w:t xml:space="preserve">Low intra-rater </w:t>
      </w:r>
      <w:r w:rsidR="007C76B9">
        <w:t>TEM</w:t>
      </w:r>
      <w:r>
        <w:t xml:space="preserve"> values achieved by research staff members who completed brief but rigorous training suggest a high level of repeatability. </w:t>
      </w:r>
      <w:r w:rsidR="00FF694B">
        <w:t>Trainers should provide additional training</w:t>
      </w:r>
      <w:r w:rsidR="003605B1">
        <w:t>, however,</w:t>
      </w:r>
      <w:r w:rsidR="00FF694B">
        <w:t xml:space="preserve"> to research assistants </w:t>
      </w:r>
      <w:r w:rsidR="0007597A">
        <w:t>with TEM values outside of the range of acceptability for any measurement</w:t>
      </w:r>
      <w:r w:rsidR="0045593A">
        <w:t xml:space="preserve">. </w:t>
      </w:r>
      <w:r w:rsidR="00E306E7">
        <w:t xml:space="preserve">To ensure that </w:t>
      </w:r>
      <w:r w:rsidR="00DE4664">
        <w:t>research assistant</w:t>
      </w:r>
      <w:r w:rsidR="00E306E7">
        <w:t xml:space="preserve">s </w:t>
      </w:r>
      <w:r w:rsidR="004A22EA">
        <w:t xml:space="preserve">achieve </w:t>
      </w:r>
      <w:r w:rsidR="0045593A">
        <w:t>precise measures</w:t>
      </w:r>
      <w:r w:rsidR="001025ED">
        <w:t xml:space="preserve"> in the field</w:t>
      </w:r>
      <w:r w:rsidR="0045593A">
        <w:t>, all trainees</w:t>
      </w:r>
      <w:r w:rsidR="00E306E7">
        <w:t xml:space="preserve"> </w:t>
      </w:r>
      <w:r w:rsidR="0045593A">
        <w:t>undergo</w:t>
      </w:r>
      <w:r w:rsidR="00E306E7">
        <w:t xml:space="preserve"> a certification process. </w:t>
      </w:r>
      <w:r w:rsidR="0045593A">
        <w:t>T</w:t>
      </w:r>
      <w:r w:rsidR="00240B03">
        <w:t>rainee</w:t>
      </w:r>
      <w:r w:rsidR="00310FC8">
        <w:t>s must pass two f</w:t>
      </w:r>
      <w:r w:rsidR="004A22EA">
        <w:t>ield</w:t>
      </w:r>
      <w:r w:rsidR="00310FC8">
        <w:t xml:space="preserve"> </w:t>
      </w:r>
      <w:r w:rsidR="00240B03">
        <w:t>QC</w:t>
      </w:r>
      <w:r w:rsidR="00310FC8">
        <w:t xml:space="preserve"> </w:t>
      </w:r>
      <w:r w:rsidR="00BB455D">
        <w:t>asses</w:t>
      </w:r>
      <w:r w:rsidR="00310FC8">
        <w:t>s</w:t>
      </w:r>
      <w:r w:rsidR="00BB455D">
        <w:t>ments</w:t>
      </w:r>
      <w:r w:rsidR="00240B03">
        <w:t xml:space="preserve"> </w:t>
      </w:r>
      <w:r w:rsidR="004A22EA">
        <w:t xml:space="preserve">in order to be </w:t>
      </w:r>
      <w:r w:rsidR="0045593A">
        <w:t xml:space="preserve">fully certified </w:t>
      </w:r>
      <w:r w:rsidR="001025ED">
        <w:t>as anthropometric raters</w:t>
      </w:r>
      <w:r w:rsidR="00310FC8">
        <w:t>.</w:t>
      </w:r>
      <w:r w:rsidR="004A22EA">
        <w:t xml:space="preserve"> </w:t>
      </w:r>
      <w:r w:rsidR="009D2DE5">
        <w:t xml:space="preserve">In </w:t>
      </w:r>
      <w:r w:rsidR="00E45DA5">
        <w:t xml:space="preserve">this </w:t>
      </w:r>
      <w:r w:rsidR="009D2DE5">
        <w:t>analysis, two raters</w:t>
      </w:r>
      <w:r w:rsidR="00A14B1D">
        <w:t xml:space="preserve"> achieved </w:t>
      </w:r>
      <w:r w:rsidR="00E45ED8">
        <w:t xml:space="preserve">waist circumference </w:t>
      </w:r>
      <w:r w:rsidR="00F7458F">
        <w:t xml:space="preserve">measures </w:t>
      </w:r>
      <w:r w:rsidR="00E45ED8">
        <w:t>outside of</w:t>
      </w:r>
      <w:r w:rsidR="004A22EA">
        <w:t xml:space="preserve"> the </w:t>
      </w:r>
      <w:r w:rsidR="00F7458F">
        <w:t xml:space="preserve">TEM </w:t>
      </w:r>
      <w:r w:rsidR="004A22EA">
        <w:t xml:space="preserve">range of </w:t>
      </w:r>
      <w:r w:rsidR="00E45ED8">
        <w:t>acceptability</w:t>
      </w:r>
      <w:r w:rsidR="004A22EA">
        <w:t xml:space="preserve"> </w:t>
      </w:r>
      <w:r w:rsidR="00F7458F">
        <w:t>(as shown in Table 1)</w:t>
      </w:r>
      <w:r w:rsidR="00A14B1D">
        <w:t>, thus</w:t>
      </w:r>
      <w:r w:rsidR="00F7458F">
        <w:t xml:space="preserve"> </w:t>
      </w:r>
      <w:r w:rsidR="004A22EA">
        <w:t xml:space="preserve">did not </w:t>
      </w:r>
      <w:r w:rsidR="00E45ED8">
        <w:t>pass the certification process</w:t>
      </w:r>
      <w:r w:rsidR="00A14B1D">
        <w:t>.</w:t>
      </w:r>
      <w:r w:rsidR="00E45ED8">
        <w:t xml:space="preserve"> </w:t>
      </w:r>
      <w:r w:rsidR="00A14B1D">
        <w:t xml:space="preserve"> T</w:t>
      </w:r>
      <w:r w:rsidR="00E45ED8">
        <w:t>h</w:t>
      </w:r>
      <w:r w:rsidR="00A14B1D">
        <w:t>ese trainees</w:t>
      </w:r>
      <w:r w:rsidR="00E45ED8">
        <w:t xml:space="preserve"> </w:t>
      </w:r>
      <w:r w:rsidR="00A14B1D">
        <w:t>receiv</w:t>
      </w:r>
      <w:r w:rsidR="001025ED">
        <w:t>ed additional supervision</w:t>
      </w:r>
      <w:r w:rsidR="00F7458F">
        <w:t xml:space="preserve"> </w:t>
      </w:r>
      <w:r w:rsidR="00F313DC">
        <w:t xml:space="preserve">and training </w:t>
      </w:r>
      <w:r w:rsidR="009D2DE5">
        <w:t>prior to repeating their</w:t>
      </w:r>
      <w:r w:rsidR="00F7458F">
        <w:t xml:space="preserve"> </w:t>
      </w:r>
      <w:r w:rsidR="009D2DE5">
        <w:t>QC assessments</w:t>
      </w:r>
      <w:r w:rsidR="001025ED">
        <w:t xml:space="preserve"> </w:t>
      </w:r>
      <w:r w:rsidR="009D2DE5">
        <w:t>and</w:t>
      </w:r>
      <w:r w:rsidR="001025ED">
        <w:t xml:space="preserve"> </w:t>
      </w:r>
      <w:r w:rsidR="00F313DC">
        <w:t xml:space="preserve">independent </w:t>
      </w:r>
      <w:r w:rsidR="009D2DE5">
        <w:t>field</w:t>
      </w:r>
      <w:r w:rsidR="00F7458F">
        <w:t xml:space="preserve"> </w:t>
      </w:r>
      <w:r w:rsidR="001025ED">
        <w:t xml:space="preserve">data </w:t>
      </w:r>
      <w:r w:rsidR="00F313DC">
        <w:t>collection</w:t>
      </w:r>
      <w:r w:rsidR="00F7458F">
        <w:t>.</w:t>
      </w:r>
      <w:r w:rsidR="004A22EA">
        <w:t xml:space="preserve"> </w:t>
      </w:r>
      <w:r w:rsidR="00FF694B">
        <w:t xml:space="preserve">While </w:t>
      </w:r>
      <w:r w:rsidR="00E45DA5">
        <w:t xml:space="preserve">the outlined </w:t>
      </w:r>
      <w:r w:rsidR="00E767A1">
        <w:t xml:space="preserve">QC </w:t>
      </w:r>
      <w:r w:rsidR="00FF694B">
        <w:t xml:space="preserve">procedures provide overall confidence in a research assistant’s ability, they do not </w:t>
      </w:r>
      <w:r w:rsidR="00932B49">
        <w:t>produc</w:t>
      </w:r>
      <w:r w:rsidR="00E767A1">
        <w:t>e</w:t>
      </w:r>
      <w:r w:rsidR="00932B49">
        <w:t xml:space="preserve"> </w:t>
      </w:r>
      <w:r w:rsidR="00FF694B">
        <w:t xml:space="preserve">immediate </w:t>
      </w:r>
      <w:r w:rsidR="00932B49">
        <w:t>feedback</w:t>
      </w:r>
      <w:r w:rsidR="00E767A1">
        <w:t xml:space="preserve"> at the time of the field measurement</w:t>
      </w:r>
      <w:r w:rsidR="00932B49">
        <w:t>.</w:t>
      </w:r>
      <w:r w:rsidR="00087F32">
        <w:t xml:space="preserve"> </w:t>
      </w:r>
      <w:r w:rsidR="00FF694B">
        <w:t xml:space="preserve">One approach to overcoming this limitation is to have </w:t>
      </w:r>
      <w:r w:rsidR="00087F32">
        <w:t xml:space="preserve">two </w:t>
      </w:r>
      <w:r w:rsidR="00E767A1">
        <w:t>observers</w:t>
      </w:r>
      <w:r w:rsidR="00087F32">
        <w:t xml:space="preserve"> </w:t>
      </w:r>
      <w:r w:rsidR="0007597A">
        <w:t xml:space="preserve">each </w:t>
      </w:r>
      <w:r w:rsidR="00087F32">
        <w:t xml:space="preserve">perform </w:t>
      </w:r>
      <w:r w:rsidR="0007597A">
        <w:t xml:space="preserve">the </w:t>
      </w:r>
      <w:r w:rsidR="00087F32">
        <w:t>measure</w:t>
      </w:r>
      <w:r w:rsidR="00E767A1">
        <w:t>ment</w:t>
      </w:r>
      <w:r w:rsidR="00087F32">
        <w:t xml:space="preserve"> on the same subject. If numbers differ, the research </w:t>
      </w:r>
      <w:r w:rsidR="00FF694B">
        <w:t xml:space="preserve">assistants can take </w:t>
      </w:r>
      <w:r w:rsidR="005D2C09">
        <w:t>additional</w:t>
      </w:r>
      <w:r w:rsidR="00FF694B">
        <w:t xml:space="preserve"> measurements; data analysts may </w:t>
      </w:r>
      <w:r w:rsidR="00E767A1">
        <w:t>use</w:t>
      </w:r>
      <w:r w:rsidR="00087F32">
        <w:t xml:space="preserve"> the mean </w:t>
      </w:r>
      <w:r w:rsidR="00D9789F">
        <w:t>of the two</w:t>
      </w:r>
      <w:r w:rsidR="00FF694B">
        <w:t xml:space="preserve"> research assistants’ measures</w:t>
      </w:r>
      <w:r w:rsidR="00087F32">
        <w:t xml:space="preserve">.   </w:t>
      </w:r>
    </w:p>
    <w:p w:rsidR="008B26D6" w:rsidRDefault="008B26D6" w:rsidP="006B711A">
      <w:pPr>
        <w:jc w:val="both"/>
      </w:pPr>
    </w:p>
    <w:p w:rsidR="00E203CC" w:rsidRDefault="00E65618" w:rsidP="006B711A">
      <w:pPr>
        <w:jc w:val="both"/>
      </w:pPr>
      <w:r>
        <w:t>Limitations of the technique</w:t>
      </w:r>
      <w:r w:rsidR="00087F32">
        <w:t xml:space="preserve"> </w:t>
      </w:r>
      <w:r w:rsidR="00932B49">
        <w:t xml:space="preserve"> </w:t>
      </w:r>
      <w:r w:rsidR="004B032D">
        <w:t xml:space="preserve"> </w:t>
      </w:r>
    </w:p>
    <w:p w:rsidR="00F30AF7" w:rsidRDefault="00DC6E8E" w:rsidP="008B26D6">
      <w:pPr>
        <w:jc w:val="both"/>
      </w:pPr>
      <w:r>
        <w:t xml:space="preserve">Manual anthropometric assessment requires time and training, with ongoing monitoring of quality.  However, other methods also may require substantial training or other start-up costs in addition to the costs of the equipment.  For example, Massachusetts (where Project Viva is conducted) requires that anyone conducting a DXA scan be certified </w:t>
      </w:r>
      <w:r w:rsidR="005159B7">
        <w:t xml:space="preserve">as </w:t>
      </w:r>
      <w:r w:rsidR="006E4F2B">
        <w:t xml:space="preserve">a </w:t>
      </w:r>
      <w:r w:rsidR="005159B7">
        <w:t xml:space="preserve">radiologic technologist or licensed physician.  </w:t>
      </w:r>
      <w:r>
        <w:t xml:space="preserve">Project Viva research assistants studied for an average of </w:t>
      </w:r>
      <w:r w:rsidR="00696F32">
        <w:t>60</w:t>
      </w:r>
      <w:r>
        <w:t xml:space="preserve"> hours for the </w:t>
      </w:r>
      <w:r w:rsidR="005159B7">
        <w:t>3</w:t>
      </w:r>
      <w:r>
        <w:t>-hour long test, for which registration cost $</w:t>
      </w:r>
      <w:r w:rsidR="005159B7">
        <w:t>425</w:t>
      </w:r>
      <w:r>
        <w:t xml:space="preserve">.  </w:t>
      </w:r>
      <w:r w:rsidR="00651A72">
        <w:t>Additionally, m</w:t>
      </w:r>
      <w:r w:rsidR="00F30AF7">
        <w:t>anual anthropometry cannot directly assess visceral fat, in contrast to some imaging techniques.</w:t>
      </w:r>
    </w:p>
    <w:p w:rsidR="00E65618" w:rsidRDefault="00E65618" w:rsidP="006B711A">
      <w:pPr>
        <w:ind w:firstLine="720"/>
        <w:jc w:val="both"/>
      </w:pPr>
    </w:p>
    <w:p w:rsidR="00E203CC" w:rsidRDefault="00E65618" w:rsidP="006B711A">
      <w:pPr>
        <w:jc w:val="both"/>
      </w:pPr>
      <w:r>
        <w:t>Significance of the technique with respect to existing/alternative methods</w:t>
      </w:r>
    </w:p>
    <w:p w:rsidR="00E65618" w:rsidRDefault="003605B1" w:rsidP="008B26D6">
      <w:pPr>
        <w:jc w:val="both"/>
      </w:pPr>
      <w:r>
        <w:t xml:space="preserve">All approaches to measuring body </w:t>
      </w:r>
      <w:r w:rsidR="00B93D1E">
        <w:t xml:space="preserve">composition </w:t>
      </w:r>
      <w:r>
        <w:t xml:space="preserve">have advantages and disadvantages.  </w:t>
      </w:r>
      <w:r w:rsidR="00B93D1E" w:rsidRPr="00B93D1E">
        <w:t>Manual anthropometry can be used at all ages, confers no risks, and has minimal costs.</w:t>
      </w:r>
      <w:r w:rsidR="002265B9">
        <w:t xml:space="preserve"> </w:t>
      </w:r>
      <w:r w:rsidR="00B93D1E">
        <w:t>However,</w:t>
      </w:r>
      <w:r>
        <w:t xml:space="preserve"> </w:t>
      </w:r>
      <w:r w:rsidR="00D14CDF">
        <w:t>the</w:t>
      </w:r>
      <w:r w:rsidR="004C166B">
        <w:t xml:space="preserve"> success of these</w:t>
      </w:r>
      <w:r w:rsidR="00D14CDF">
        <w:t xml:space="preserve"> methods </w:t>
      </w:r>
      <w:r w:rsidR="0038402A">
        <w:t>depe</w:t>
      </w:r>
      <w:r w:rsidR="00D14CDF">
        <w:t>nd</w:t>
      </w:r>
      <w:r>
        <w:t>s</w:t>
      </w:r>
      <w:r w:rsidR="0038402A">
        <w:t xml:space="preserve"> </w:t>
      </w:r>
      <w:r w:rsidR="00D14CDF">
        <w:t xml:space="preserve">on the availability of a stable staff </w:t>
      </w:r>
      <w:r>
        <w:t xml:space="preserve">able </w:t>
      </w:r>
      <w:r w:rsidR="00D14CDF">
        <w:t xml:space="preserve">to spend </w:t>
      </w:r>
      <w:r>
        <w:t xml:space="preserve">weeks or </w:t>
      </w:r>
      <w:r w:rsidR="00D14CDF">
        <w:t>months completing the training procedures</w:t>
      </w:r>
      <w:r w:rsidR="00D14CDF" w:rsidRPr="00E77398">
        <w:t xml:space="preserve"> </w:t>
      </w:r>
      <w:r w:rsidR="00D14CDF">
        <w:t>and to follow protocols precisely</w:t>
      </w:r>
      <w:r w:rsidR="00696F32">
        <w:t>.</w:t>
      </w:r>
    </w:p>
    <w:p w:rsidR="008B26D6" w:rsidRDefault="008B26D6" w:rsidP="006B711A">
      <w:pPr>
        <w:jc w:val="both"/>
      </w:pPr>
    </w:p>
    <w:p w:rsidR="00E203CC" w:rsidRDefault="00E65618" w:rsidP="006B711A">
      <w:pPr>
        <w:jc w:val="both"/>
      </w:pPr>
      <w:r>
        <w:t xml:space="preserve">Future applications or directions </w:t>
      </w:r>
    </w:p>
    <w:p w:rsidR="00572246" w:rsidRDefault="00654762" w:rsidP="006B711A">
      <w:pPr>
        <w:jc w:val="both"/>
      </w:pPr>
      <w:r w:rsidRPr="00AA7F2D">
        <w:t>With minor alterations, the</w:t>
      </w:r>
      <w:r>
        <w:t>se</w:t>
      </w:r>
      <w:r w:rsidRPr="00AA7F2D">
        <w:t xml:space="preserve"> techniques can </w:t>
      </w:r>
      <w:r w:rsidR="00490F81">
        <w:t xml:space="preserve">also </w:t>
      </w:r>
      <w:r w:rsidRPr="00AA7F2D">
        <w:t xml:space="preserve">be </w:t>
      </w:r>
      <w:r>
        <w:t>adapted</w:t>
      </w:r>
      <w:r w:rsidRPr="00AA7F2D">
        <w:t xml:space="preserve"> </w:t>
      </w:r>
      <w:r>
        <w:t>for</w:t>
      </w:r>
      <w:r w:rsidRPr="00AA7F2D">
        <w:t xml:space="preserve"> other anthropometric measures, such as recumbent length</w:t>
      </w:r>
      <w:r w:rsidR="006E4F2B">
        <w:t>,</w:t>
      </w:r>
      <w:r w:rsidRPr="00AA7F2D">
        <w:t xml:space="preserve"> and chest and thigh skinfolds.</w:t>
      </w:r>
      <w:r>
        <w:t xml:space="preserve"> </w:t>
      </w:r>
      <w:r w:rsidR="00B45766">
        <w:t xml:space="preserve">In summary, </w:t>
      </w:r>
      <w:r>
        <w:t xml:space="preserve">this paper </w:t>
      </w:r>
      <w:r w:rsidR="006B228D">
        <w:t>demonstrates</w:t>
      </w:r>
      <w:r>
        <w:t xml:space="preserve"> </w:t>
      </w:r>
      <w:r w:rsidR="00B45766">
        <w:t xml:space="preserve">that </w:t>
      </w:r>
      <w:r w:rsidR="000C10E4">
        <w:t xml:space="preserve">with training and QC, research assistants can perform </w:t>
      </w:r>
      <w:r w:rsidR="00B45766">
        <w:t xml:space="preserve">manual anthropometric methods for assessment of adiposity in children </w:t>
      </w:r>
      <w:r w:rsidR="000C10E4">
        <w:t>with precision and accuracy</w:t>
      </w:r>
      <w:r w:rsidR="00E77398">
        <w:t xml:space="preserve">. </w:t>
      </w:r>
      <w:r w:rsidR="00B45766">
        <w:t xml:space="preserve">These methods </w:t>
      </w:r>
      <w:r w:rsidR="00B45766" w:rsidRPr="00B45766">
        <w:t>a</w:t>
      </w:r>
      <w:r w:rsidR="00B45766">
        <w:t>re</w:t>
      </w:r>
      <w:r w:rsidR="00E77398">
        <w:t xml:space="preserve"> safe,</w:t>
      </w:r>
      <w:r w:rsidR="00B45766">
        <w:t xml:space="preserve"> low</w:t>
      </w:r>
      <w:r w:rsidR="004C166B">
        <w:t>-</w:t>
      </w:r>
      <w:r w:rsidR="00B45766">
        <w:t>cost</w:t>
      </w:r>
      <w:r w:rsidR="00AC140B">
        <w:t>,</w:t>
      </w:r>
      <w:r w:rsidR="00B45766">
        <w:t xml:space="preserve"> and require minimal, portable </w:t>
      </w:r>
      <w:r w:rsidR="00B45766" w:rsidRPr="00B45766">
        <w:t>equipment</w:t>
      </w:r>
      <w:r w:rsidR="00B45766">
        <w:t xml:space="preserve"> and</w:t>
      </w:r>
      <w:r w:rsidR="000C10E4">
        <w:t xml:space="preserve"> are </w:t>
      </w:r>
      <w:r w:rsidR="00AC140B">
        <w:t>therefore</w:t>
      </w:r>
      <w:r w:rsidR="00B45766">
        <w:t xml:space="preserve"> suitable for field studies </w:t>
      </w:r>
      <w:r w:rsidR="00E77398">
        <w:t xml:space="preserve">among children.  </w:t>
      </w:r>
    </w:p>
    <w:p w:rsidR="008B0939" w:rsidRDefault="008B0939" w:rsidP="006B711A">
      <w:pPr>
        <w:jc w:val="both"/>
        <w:rPr>
          <w:b/>
          <w:bCs/>
        </w:rPr>
      </w:pPr>
    </w:p>
    <w:p w:rsidR="00561B82" w:rsidRDefault="00693C0C" w:rsidP="006B711A">
      <w:pPr>
        <w:jc w:val="both"/>
      </w:pPr>
      <w:r w:rsidRPr="004250FF">
        <w:rPr>
          <w:b/>
          <w:bCs/>
        </w:rPr>
        <w:t>ACKNOWLEDGMENTS:</w:t>
      </w:r>
      <w:r w:rsidRPr="004250FF">
        <w:t xml:space="preserve"> </w:t>
      </w:r>
    </w:p>
    <w:p w:rsidR="008469F4" w:rsidRPr="002D5A23" w:rsidRDefault="00A71975" w:rsidP="006B711A">
      <w:pPr>
        <w:widowControl w:val="0"/>
        <w:autoSpaceDE w:val="0"/>
        <w:autoSpaceDN w:val="0"/>
        <w:adjustRightInd w:val="0"/>
        <w:jc w:val="both"/>
      </w:pPr>
      <w:r w:rsidRPr="00A71975">
        <w:t xml:space="preserve">We greatly appreciate the contributions of our expert anthropometry trainers Irwin Shorr and Jorge Chavarro; the many volunteers who have allowed themselves to be pinched and measured in our anthropometry workshops, and the Project Viva mothers and children for their invaluable contributions. </w:t>
      </w:r>
      <w:r w:rsidR="00036ADB">
        <w:t xml:space="preserve">We’d like to extend a special thanks to </w:t>
      </w:r>
      <w:r w:rsidR="00036ADB" w:rsidRPr="00A71975">
        <w:t>members of the Project Viva research staff, past and present</w:t>
      </w:r>
      <w:r w:rsidR="00036ADB">
        <w:t xml:space="preserve">, especially to Nicole Witham and Marleny Ortega, </w:t>
      </w:r>
      <w:r w:rsidR="004B7D30">
        <w:t>for their contribution to the</w:t>
      </w:r>
      <w:r w:rsidR="00036ADB">
        <w:t xml:space="preserve"> video</w:t>
      </w:r>
      <w:r w:rsidR="004B7D30">
        <w:t xml:space="preserve"> accompanying this manuscript</w:t>
      </w:r>
      <w:r w:rsidR="00036ADB">
        <w:t xml:space="preserve">. </w:t>
      </w:r>
      <w:r w:rsidR="00B93D1E">
        <w:t>F</w:t>
      </w:r>
      <w:r w:rsidR="008B0939">
        <w:t>unding from the National Institutes of Health</w:t>
      </w:r>
      <w:r w:rsidR="00B93D1E">
        <w:t xml:space="preserve"> supported </w:t>
      </w:r>
      <w:r w:rsidR="00B93D1E">
        <w:lastRenderedPageBreak/>
        <w:t>this work</w:t>
      </w:r>
      <w:r w:rsidR="00696F32">
        <w:t xml:space="preserve"> </w:t>
      </w:r>
      <w:r w:rsidR="00B93D1E">
        <w:t>(</w:t>
      </w:r>
      <w:r w:rsidR="008B0939" w:rsidRPr="008B0939">
        <w:rPr>
          <w:color w:val="000000" w:themeColor="text1"/>
        </w:rPr>
        <w:t>R</w:t>
      </w:r>
      <w:r w:rsidR="006E4F2B">
        <w:rPr>
          <w:color w:val="000000" w:themeColor="text1"/>
        </w:rPr>
        <w:t>01</w:t>
      </w:r>
      <w:r w:rsidR="008B0939" w:rsidRPr="008B0939">
        <w:rPr>
          <w:color w:val="000000" w:themeColor="text1"/>
        </w:rPr>
        <w:t xml:space="preserve"> HD 034568</w:t>
      </w:r>
      <w:r w:rsidR="00B93D1E">
        <w:rPr>
          <w:color w:val="000000" w:themeColor="text1"/>
        </w:rPr>
        <w:t xml:space="preserve">, </w:t>
      </w:r>
      <w:r w:rsidR="00B93D1E" w:rsidRPr="00B93D1E">
        <w:rPr>
          <w:color w:val="000000" w:themeColor="text1"/>
        </w:rPr>
        <w:t>K24 HD069408</w:t>
      </w:r>
      <w:r w:rsidR="00B93D1E">
        <w:rPr>
          <w:color w:val="000000" w:themeColor="text1"/>
        </w:rPr>
        <w:t>)</w:t>
      </w:r>
      <w:r w:rsidR="008B0939">
        <w:rPr>
          <w:color w:val="000000" w:themeColor="text1"/>
        </w:rPr>
        <w:t>.</w:t>
      </w:r>
      <w:r w:rsidRPr="00A71975">
        <w:t xml:space="preserve"> </w:t>
      </w:r>
    </w:p>
    <w:p w:rsidR="008469F4" w:rsidRDefault="008469F4" w:rsidP="006B711A">
      <w:pPr>
        <w:widowControl w:val="0"/>
        <w:autoSpaceDE w:val="0"/>
        <w:autoSpaceDN w:val="0"/>
        <w:adjustRightInd w:val="0"/>
        <w:jc w:val="both"/>
        <w:rPr>
          <w:color w:val="000000"/>
        </w:rPr>
      </w:pPr>
    </w:p>
    <w:p w:rsidR="008469F4" w:rsidRDefault="00693C0C" w:rsidP="006B711A">
      <w:pPr>
        <w:widowControl w:val="0"/>
        <w:autoSpaceDE w:val="0"/>
        <w:autoSpaceDN w:val="0"/>
        <w:adjustRightInd w:val="0"/>
        <w:jc w:val="both"/>
        <w:rPr>
          <w:b/>
        </w:rPr>
      </w:pPr>
      <w:r w:rsidRPr="004250FF">
        <w:rPr>
          <w:b/>
        </w:rPr>
        <w:t xml:space="preserve">DISCLOSURES: </w:t>
      </w:r>
    </w:p>
    <w:p w:rsidR="008469F4" w:rsidRPr="002D5A23" w:rsidRDefault="00A71975" w:rsidP="006B711A">
      <w:pPr>
        <w:widowControl w:val="0"/>
        <w:autoSpaceDE w:val="0"/>
        <w:autoSpaceDN w:val="0"/>
        <w:adjustRightInd w:val="0"/>
        <w:jc w:val="both"/>
      </w:pPr>
      <w:r w:rsidRPr="00A71975">
        <w:t>The authors have nothing to disclose.</w:t>
      </w:r>
    </w:p>
    <w:p w:rsidR="008B26D6" w:rsidRDefault="008B26D6" w:rsidP="006B711A">
      <w:pPr>
        <w:jc w:val="both"/>
        <w:rPr>
          <w:b/>
          <w:bCs/>
        </w:rPr>
      </w:pPr>
    </w:p>
    <w:p w:rsidR="0088795F" w:rsidRDefault="00693C0C" w:rsidP="006B711A">
      <w:pPr>
        <w:jc w:val="both"/>
        <w:rPr>
          <w:i/>
          <w:color w:val="808080"/>
        </w:rPr>
      </w:pPr>
      <w:r w:rsidRPr="004250FF">
        <w:rPr>
          <w:b/>
          <w:bCs/>
        </w:rPr>
        <w:t>REFERENCES</w:t>
      </w:r>
      <w:r w:rsidRPr="004250FF">
        <w:t xml:space="preserve"> </w:t>
      </w:r>
    </w:p>
    <w:p w:rsidR="00CF732E" w:rsidRPr="007127A4" w:rsidRDefault="00153776" w:rsidP="006B711A">
      <w:pPr>
        <w:pStyle w:val="NormalWeb"/>
        <w:spacing w:before="0" w:beforeAutospacing="0" w:after="0" w:afterAutospacing="0"/>
        <w:ind w:left="720" w:hanging="360"/>
        <w:jc w:val="both"/>
        <w:rPr>
          <w:color w:val="000000" w:themeColor="text1"/>
        </w:rPr>
      </w:pPr>
      <w:r w:rsidRPr="007127A4">
        <w:rPr>
          <w:color w:val="000000" w:themeColor="text1"/>
        </w:rPr>
        <w:t>1</w:t>
      </w:r>
      <w:r w:rsidRPr="007127A4">
        <w:rPr>
          <w:rFonts w:ascii="Calibri" w:hAnsi="Calibri" w:cs="Arial"/>
          <w:color w:val="000000" w:themeColor="text1"/>
        </w:rPr>
        <w:t>.</w:t>
      </w:r>
      <w:r w:rsidR="00833969" w:rsidRPr="007127A4">
        <w:rPr>
          <w:rFonts w:ascii="Calibri" w:hAnsi="Calibri" w:cs="Arial"/>
          <w:color w:val="000000" w:themeColor="text1"/>
        </w:rPr>
        <w:tab/>
      </w:r>
      <w:r w:rsidR="00006AF8" w:rsidRPr="007127A4">
        <w:rPr>
          <w:color w:val="000000" w:themeColor="text1"/>
        </w:rPr>
        <w:t>Boeke, C.E., Oken, E., Kleinman, K.P., Rifas-Shiman, S.L., Taveras, E.M., &amp; Gillman, M.</w:t>
      </w:r>
      <w:r w:rsidR="00CF732E" w:rsidRPr="007127A4">
        <w:rPr>
          <w:color w:val="000000" w:themeColor="text1"/>
        </w:rPr>
        <w:t>W. Correlations among adiposity measures in school-aged children.</w:t>
      </w:r>
      <w:r w:rsidR="00CF732E" w:rsidRPr="007127A4">
        <w:rPr>
          <w:rStyle w:val="apple-converted-space"/>
          <w:i/>
          <w:iCs/>
          <w:color w:val="000000" w:themeColor="text1"/>
        </w:rPr>
        <w:t> </w:t>
      </w:r>
      <w:r w:rsidR="00CF732E" w:rsidRPr="007127A4">
        <w:rPr>
          <w:i/>
          <w:iCs/>
          <w:color w:val="000000" w:themeColor="text1"/>
        </w:rPr>
        <w:t>B</w:t>
      </w:r>
      <w:r w:rsidR="00F16704" w:rsidRPr="007127A4">
        <w:rPr>
          <w:i/>
          <w:iCs/>
          <w:color w:val="000000" w:themeColor="text1"/>
        </w:rPr>
        <w:t xml:space="preserve">MC </w:t>
      </w:r>
      <w:r w:rsidR="00CF732E" w:rsidRPr="007127A4">
        <w:rPr>
          <w:i/>
          <w:iCs/>
          <w:color w:val="000000" w:themeColor="text1"/>
        </w:rPr>
        <w:t xml:space="preserve">Pediatrics. </w:t>
      </w:r>
      <w:r w:rsidR="00CF732E" w:rsidRPr="007127A4">
        <w:rPr>
          <w:b/>
          <w:iCs/>
          <w:color w:val="000000" w:themeColor="text1"/>
        </w:rPr>
        <w:t>13</w:t>
      </w:r>
      <w:r w:rsidR="0045543E" w:rsidRPr="007127A4">
        <w:rPr>
          <w:b/>
          <w:iCs/>
          <w:color w:val="000000" w:themeColor="text1"/>
        </w:rPr>
        <w:t xml:space="preserve"> </w:t>
      </w:r>
      <w:r w:rsidR="00CF732E" w:rsidRPr="007127A4">
        <w:rPr>
          <w:b/>
          <w:iCs/>
          <w:color w:val="000000" w:themeColor="text1"/>
        </w:rPr>
        <w:t>(</w:t>
      </w:r>
      <w:r w:rsidR="00CF732E" w:rsidRPr="007127A4">
        <w:rPr>
          <w:color w:val="000000" w:themeColor="text1"/>
        </w:rPr>
        <w:t>99), 2431-13-99, doi:10.1186/1471-2431-13-99 [doi], (2013).</w:t>
      </w:r>
    </w:p>
    <w:p w:rsidR="00833969" w:rsidRDefault="00CF732E" w:rsidP="006B711A">
      <w:pPr>
        <w:pStyle w:val="NormalWeb"/>
        <w:spacing w:before="0" w:beforeAutospacing="0" w:after="0" w:afterAutospacing="0"/>
        <w:ind w:left="720" w:hanging="360"/>
        <w:jc w:val="both"/>
        <w:rPr>
          <w:color w:val="000000"/>
        </w:rPr>
      </w:pPr>
      <w:r w:rsidRPr="007127A4">
        <w:rPr>
          <w:color w:val="000000" w:themeColor="text1"/>
        </w:rPr>
        <w:t>2</w:t>
      </w:r>
      <w:r w:rsidRPr="007127A4">
        <w:rPr>
          <w:rFonts w:ascii="Calibri" w:hAnsi="Calibri" w:cs="Arial"/>
          <w:color w:val="000000" w:themeColor="text1"/>
        </w:rPr>
        <w:t xml:space="preserve">. </w:t>
      </w:r>
      <w:r>
        <w:rPr>
          <w:rFonts w:ascii="Calibri" w:hAnsi="Calibri" w:cs="Arial"/>
          <w:color w:val="7F7F7F"/>
        </w:rPr>
        <w:tab/>
      </w:r>
      <w:r w:rsidR="00006AF8">
        <w:rPr>
          <w:color w:val="000000"/>
        </w:rPr>
        <w:t>Ogden, C.L., Carroll, M.D., Kit, B.K., &amp; Flegal, K.</w:t>
      </w:r>
      <w:r w:rsidR="00833969" w:rsidRPr="00833969">
        <w:rPr>
          <w:color w:val="000000"/>
        </w:rPr>
        <w:t>M. Prevalence of chil</w:t>
      </w:r>
      <w:r w:rsidR="00833969">
        <w:rPr>
          <w:color w:val="000000"/>
        </w:rPr>
        <w:t>dhood and adult obesity in the U</w:t>
      </w:r>
      <w:r w:rsidR="00833969" w:rsidRPr="00833969">
        <w:rPr>
          <w:color w:val="000000"/>
        </w:rPr>
        <w:t xml:space="preserve">nited </w:t>
      </w:r>
      <w:r w:rsidR="00833969">
        <w:rPr>
          <w:color w:val="000000"/>
        </w:rPr>
        <w:t>S</w:t>
      </w:r>
      <w:r w:rsidR="00833969" w:rsidRPr="00833969">
        <w:rPr>
          <w:color w:val="000000"/>
        </w:rPr>
        <w:t>tates, 2011-2012.</w:t>
      </w:r>
      <w:r w:rsidR="00833969" w:rsidRPr="00833969">
        <w:rPr>
          <w:rStyle w:val="apple-converted-space"/>
          <w:i/>
          <w:iCs/>
          <w:color w:val="000000"/>
        </w:rPr>
        <w:t> </w:t>
      </w:r>
      <w:r w:rsidR="00F16704">
        <w:rPr>
          <w:rStyle w:val="apple-converted-space"/>
          <w:i/>
          <w:iCs/>
          <w:color w:val="000000"/>
        </w:rPr>
        <w:t>J</w:t>
      </w:r>
      <w:r w:rsidR="00F16704">
        <w:rPr>
          <w:i/>
          <w:iCs/>
          <w:color w:val="000000"/>
        </w:rPr>
        <w:t>AMA</w:t>
      </w:r>
      <w:r w:rsidR="00E12693">
        <w:rPr>
          <w:i/>
          <w:iCs/>
          <w:color w:val="000000"/>
        </w:rPr>
        <w:t>.</w:t>
      </w:r>
      <w:r w:rsidR="00833969" w:rsidRPr="00833969">
        <w:rPr>
          <w:rStyle w:val="apple-converted-space"/>
          <w:i/>
          <w:iCs/>
          <w:color w:val="000000"/>
        </w:rPr>
        <w:t> </w:t>
      </w:r>
      <w:r w:rsidR="00833969" w:rsidRPr="00E12693">
        <w:rPr>
          <w:b/>
          <w:iCs/>
          <w:color w:val="000000"/>
        </w:rPr>
        <w:t>311</w:t>
      </w:r>
      <w:r w:rsidR="0045543E">
        <w:rPr>
          <w:b/>
          <w:iCs/>
          <w:color w:val="000000"/>
        </w:rPr>
        <w:t xml:space="preserve"> </w:t>
      </w:r>
      <w:r w:rsidR="00E12693">
        <w:rPr>
          <w:color w:val="000000"/>
        </w:rPr>
        <w:t>(8), 806-814,</w:t>
      </w:r>
      <w:r w:rsidR="00833969" w:rsidRPr="00833969">
        <w:rPr>
          <w:color w:val="000000"/>
        </w:rPr>
        <w:t xml:space="preserve"> doi:10.1001/jama.2014.732 [doi]</w:t>
      </w:r>
      <w:r w:rsidR="00E12693">
        <w:rPr>
          <w:color w:val="000000"/>
        </w:rPr>
        <w:t>, (2014).</w:t>
      </w:r>
    </w:p>
    <w:p w:rsidR="003B3CBA" w:rsidRDefault="00CF732E" w:rsidP="006B711A">
      <w:pPr>
        <w:pStyle w:val="NormalWeb"/>
        <w:spacing w:before="0" w:beforeAutospacing="0" w:after="0" w:afterAutospacing="0"/>
        <w:ind w:left="720" w:hanging="360"/>
        <w:jc w:val="both"/>
        <w:rPr>
          <w:color w:val="000000"/>
        </w:rPr>
      </w:pPr>
      <w:r>
        <w:rPr>
          <w:color w:val="000000"/>
        </w:rPr>
        <w:t>3</w:t>
      </w:r>
      <w:r w:rsidR="003B3CBA">
        <w:rPr>
          <w:color w:val="000000"/>
        </w:rPr>
        <w:t xml:space="preserve">. </w:t>
      </w:r>
      <w:r w:rsidR="003B3CBA">
        <w:rPr>
          <w:color w:val="000000"/>
        </w:rPr>
        <w:tab/>
      </w:r>
      <w:r w:rsidR="003B3CBA" w:rsidRPr="003B3CBA">
        <w:rPr>
          <w:color w:val="000000"/>
        </w:rPr>
        <w:t>Erermis, S., Cetin, N., Tamar, M., Bukusoglu, N., Akdeniz, F., &amp; Goksen, D. Is obesity a risk factor for psychopathology among adolescents?</w:t>
      </w:r>
      <w:r w:rsidR="003B3CBA" w:rsidRPr="003B3CBA">
        <w:rPr>
          <w:rStyle w:val="apple-converted-space"/>
          <w:i/>
          <w:iCs/>
          <w:color w:val="000000"/>
        </w:rPr>
        <w:t> </w:t>
      </w:r>
      <w:r w:rsidR="003B3CBA" w:rsidRPr="003B3CBA">
        <w:rPr>
          <w:i/>
          <w:iCs/>
          <w:color w:val="000000"/>
        </w:rPr>
        <w:t>Pediatr Int</w:t>
      </w:r>
      <w:r w:rsidR="00E12693">
        <w:rPr>
          <w:i/>
          <w:iCs/>
          <w:color w:val="000000"/>
        </w:rPr>
        <w:t>.</w:t>
      </w:r>
      <w:r w:rsidR="003B3CBA" w:rsidRPr="003B3CBA">
        <w:rPr>
          <w:rStyle w:val="apple-converted-space"/>
          <w:i/>
          <w:iCs/>
          <w:color w:val="000000"/>
        </w:rPr>
        <w:t> </w:t>
      </w:r>
      <w:r w:rsidR="003B3CBA" w:rsidRPr="00E12693">
        <w:rPr>
          <w:b/>
          <w:iCs/>
          <w:color w:val="000000"/>
        </w:rPr>
        <w:t>46</w:t>
      </w:r>
      <w:r w:rsidR="0045543E">
        <w:rPr>
          <w:b/>
          <w:iCs/>
          <w:color w:val="000000"/>
        </w:rPr>
        <w:t xml:space="preserve"> </w:t>
      </w:r>
      <w:r w:rsidR="003B3CBA" w:rsidRPr="003B3CBA">
        <w:rPr>
          <w:color w:val="000000"/>
        </w:rPr>
        <w:t>(3), 296-301</w:t>
      </w:r>
      <w:r w:rsidR="00E12693">
        <w:rPr>
          <w:color w:val="000000"/>
        </w:rPr>
        <w:t>,</w:t>
      </w:r>
      <w:r w:rsidR="003B3CBA" w:rsidRPr="003B3CBA">
        <w:rPr>
          <w:color w:val="000000"/>
        </w:rPr>
        <w:t xml:space="preserve"> doi:10.1111/j.1442-200x.2004.01882.x [doi]</w:t>
      </w:r>
      <w:r w:rsidR="00E12693">
        <w:rPr>
          <w:color w:val="000000"/>
        </w:rPr>
        <w:t xml:space="preserve">, </w:t>
      </w:r>
      <w:r w:rsidR="00E12693" w:rsidRPr="003B3CBA">
        <w:rPr>
          <w:color w:val="000000"/>
        </w:rPr>
        <w:t>(2004).</w:t>
      </w:r>
    </w:p>
    <w:p w:rsidR="003B3CBA" w:rsidRDefault="00CF732E" w:rsidP="006B711A">
      <w:pPr>
        <w:pStyle w:val="NormalWeb"/>
        <w:spacing w:before="0" w:beforeAutospacing="0" w:after="0" w:afterAutospacing="0"/>
        <w:ind w:left="720" w:hanging="360"/>
        <w:jc w:val="both"/>
        <w:rPr>
          <w:color w:val="000000"/>
        </w:rPr>
      </w:pPr>
      <w:r>
        <w:rPr>
          <w:color w:val="000000"/>
        </w:rPr>
        <w:t>4</w:t>
      </w:r>
      <w:r w:rsidR="003B3CBA">
        <w:rPr>
          <w:color w:val="000000"/>
        </w:rPr>
        <w:t xml:space="preserve">. </w:t>
      </w:r>
      <w:r w:rsidR="003B3CBA">
        <w:rPr>
          <w:color w:val="000000"/>
        </w:rPr>
        <w:tab/>
      </w:r>
      <w:r w:rsidR="003B3CBA" w:rsidRPr="00833969">
        <w:rPr>
          <w:color w:val="000000"/>
        </w:rPr>
        <w:t>Gunnell, D., Frankel, S., Nachahal, K., Peters, T., &amp; Smith, G. Childhood obesity and adult cardiovascular mortality: A 57-y follow-up study based on the boyd orr cohort.</w:t>
      </w:r>
      <w:r w:rsidR="003B3CBA" w:rsidRPr="00833969">
        <w:rPr>
          <w:rStyle w:val="apple-converted-space"/>
          <w:i/>
          <w:iCs/>
          <w:color w:val="000000"/>
        </w:rPr>
        <w:t> </w:t>
      </w:r>
      <w:r w:rsidR="00F12FD6">
        <w:rPr>
          <w:i/>
          <w:iCs/>
          <w:color w:val="000000"/>
        </w:rPr>
        <w:t>AJCN</w:t>
      </w:r>
      <w:r w:rsidR="00E12693">
        <w:rPr>
          <w:i/>
          <w:iCs/>
          <w:color w:val="000000"/>
        </w:rPr>
        <w:t>.</w:t>
      </w:r>
      <w:r w:rsidR="003B3CBA" w:rsidRPr="00833969">
        <w:rPr>
          <w:rStyle w:val="apple-converted-space"/>
          <w:i/>
          <w:iCs/>
          <w:color w:val="000000"/>
        </w:rPr>
        <w:t> </w:t>
      </w:r>
      <w:r w:rsidR="003B3CBA" w:rsidRPr="00E12693">
        <w:rPr>
          <w:b/>
          <w:iCs/>
          <w:color w:val="000000"/>
        </w:rPr>
        <w:t>67</w:t>
      </w:r>
      <w:r w:rsidR="0045543E">
        <w:rPr>
          <w:b/>
          <w:iCs/>
          <w:color w:val="000000"/>
        </w:rPr>
        <w:t xml:space="preserve"> </w:t>
      </w:r>
      <w:r w:rsidR="003B3CBA" w:rsidRPr="00833969">
        <w:rPr>
          <w:color w:val="000000"/>
        </w:rPr>
        <w:t>(6), 1111-1118</w:t>
      </w:r>
      <w:r w:rsidR="00E12693">
        <w:rPr>
          <w:color w:val="000000"/>
        </w:rPr>
        <w:t>,</w:t>
      </w:r>
      <w:r w:rsidR="00E12693" w:rsidRPr="00E12693">
        <w:rPr>
          <w:color w:val="000000"/>
        </w:rPr>
        <w:t xml:space="preserve"> </w:t>
      </w:r>
      <w:r w:rsidR="00E12693" w:rsidRPr="00833969">
        <w:rPr>
          <w:color w:val="000000"/>
        </w:rPr>
        <w:t>(1998).</w:t>
      </w:r>
    </w:p>
    <w:p w:rsidR="003B3CBA" w:rsidRDefault="00CF732E" w:rsidP="006B711A">
      <w:pPr>
        <w:pStyle w:val="NormalWeb"/>
        <w:spacing w:before="0" w:beforeAutospacing="0" w:after="0" w:afterAutospacing="0"/>
        <w:ind w:left="720" w:hanging="360"/>
        <w:jc w:val="both"/>
        <w:rPr>
          <w:color w:val="000000"/>
        </w:rPr>
      </w:pPr>
      <w:r>
        <w:rPr>
          <w:color w:val="000000"/>
        </w:rPr>
        <w:t>5</w:t>
      </w:r>
      <w:r w:rsidR="003B3CBA">
        <w:rPr>
          <w:color w:val="000000"/>
        </w:rPr>
        <w:t xml:space="preserve">. </w:t>
      </w:r>
      <w:r w:rsidR="003B3CBA">
        <w:rPr>
          <w:color w:val="000000"/>
        </w:rPr>
        <w:tab/>
      </w:r>
      <w:r w:rsidR="003B3CBA" w:rsidRPr="00833969">
        <w:rPr>
          <w:color w:val="000000"/>
        </w:rPr>
        <w:t>Vanhala, M., Vanhala, P., Kumpusalo, E., Halonen, P., &amp; Takala, J. Relation between obesity from childhood to adulthood and the metabolic syndrome: Population based study.</w:t>
      </w:r>
      <w:r w:rsidR="003B3CBA" w:rsidRPr="00833969">
        <w:rPr>
          <w:rStyle w:val="apple-converted-space"/>
          <w:i/>
          <w:iCs/>
          <w:color w:val="000000"/>
        </w:rPr>
        <w:t> </w:t>
      </w:r>
      <w:r w:rsidR="00E12693">
        <w:rPr>
          <w:i/>
          <w:iCs/>
          <w:color w:val="000000"/>
        </w:rPr>
        <w:t>Brit Med J.</w:t>
      </w:r>
      <w:r w:rsidR="003B3CBA" w:rsidRPr="00833969">
        <w:rPr>
          <w:rStyle w:val="apple-converted-space"/>
          <w:i/>
          <w:iCs/>
          <w:color w:val="000000"/>
        </w:rPr>
        <w:t> </w:t>
      </w:r>
      <w:r w:rsidR="003B3CBA" w:rsidRPr="00E12693">
        <w:rPr>
          <w:b/>
          <w:iCs/>
          <w:color w:val="000000"/>
        </w:rPr>
        <w:t>317</w:t>
      </w:r>
      <w:r w:rsidR="0045543E">
        <w:rPr>
          <w:b/>
          <w:iCs/>
          <w:color w:val="000000"/>
        </w:rPr>
        <w:t xml:space="preserve"> </w:t>
      </w:r>
      <w:r w:rsidR="003B3CBA" w:rsidRPr="00833969">
        <w:rPr>
          <w:color w:val="000000"/>
        </w:rPr>
        <w:t>(7154), 319</w:t>
      </w:r>
      <w:r w:rsidR="00E12693">
        <w:rPr>
          <w:color w:val="000000"/>
        </w:rPr>
        <w:t>,</w:t>
      </w:r>
      <w:r w:rsidR="006203C5">
        <w:rPr>
          <w:color w:val="000000"/>
        </w:rPr>
        <w:t xml:space="preserve"> </w:t>
      </w:r>
      <w:r w:rsidR="008C5463" w:rsidRPr="00C57131">
        <w:rPr>
          <w:color w:val="333333"/>
          <w:shd w:val="clear" w:color="auto" w:fill="FFFFFF"/>
        </w:rPr>
        <w:t>doi:</w:t>
      </w:r>
      <w:r w:rsidR="006203C5">
        <w:rPr>
          <w:color w:val="333333"/>
          <w:shd w:val="clear" w:color="auto" w:fill="FFFFFF"/>
        </w:rPr>
        <w:t xml:space="preserve"> 1</w:t>
      </w:r>
      <w:r w:rsidR="008C5463" w:rsidRPr="00C57131">
        <w:rPr>
          <w:color w:val="333333"/>
          <w:shd w:val="clear" w:color="auto" w:fill="FFFFFF"/>
        </w:rPr>
        <w:t>0.1136/bmj.317.7154.319</w:t>
      </w:r>
      <w:r w:rsidR="006203C5" w:rsidRPr="00833969">
        <w:rPr>
          <w:color w:val="000000"/>
        </w:rPr>
        <w:t xml:space="preserve"> </w:t>
      </w:r>
      <w:r w:rsidR="00E12693" w:rsidRPr="00833969">
        <w:rPr>
          <w:color w:val="000000"/>
        </w:rPr>
        <w:t>(1998).</w:t>
      </w:r>
    </w:p>
    <w:p w:rsidR="001D3E34" w:rsidRDefault="00CF732E" w:rsidP="006B711A">
      <w:pPr>
        <w:pStyle w:val="NormalWeb"/>
        <w:spacing w:before="0" w:beforeAutospacing="0" w:after="0" w:afterAutospacing="0"/>
        <w:ind w:left="720" w:hanging="360"/>
        <w:jc w:val="both"/>
        <w:rPr>
          <w:color w:val="000000"/>
        </w:rPr>
      </w:pPr>
      <w:r>
        <w:rPr>
          <w:color w:val="000000"/>
        </w:rPr>
        <w:t>6</w:t>
      </w:r>
      <w:r w:rsidR="003B3CBA">
        <w:rPr>
          <w:color w:val="000000"/>
        </w:rPr>
        <w:t>.</w:t>
      </w:r>
      <w:r w:rsidR="003B3CBA">
        <w:rPr>
          <w:color w:val="000000"/>
        </w:rPr>
        <w:tab/>
      </w:r>
      <w:r w:rsidR="00C227F5">
        <w:rPr>
          <w:color w:val="000000"/>
        </w:rPr>
        <w:t xml:space="preserve">Papoutsakis, C., Priftis, K.N., Drakouli, M., Prifti, S., Konstantaki, E., Chondronikola, M., Antonogeorgos, G., Matziou, V.Childhood overweight/obesity and asthma: is there a link? A systematic review of recent epidemiologic evidence. </w:t>
      </w:r>
      <w:r w:rsidR="00F12FD6">
        <w:rPr>
          <w:i/>
          <w:color w:val="000000"/>
        </w:rPr>
        <w:t>J</w:t>
      </w:r>
      <w:r w:rsidR="00C227F5" w:rsidRPr="00C227F5">
        <w:rPr>
          <w:i/>
          <w:color w:val="000000"/>
        </w:rPr>
        <w:t xml:space="preserve">  Acad Nutr Diet.</w:t>
      </w:r>
      <w:r w:rsidR="00C227F5">
        <w:rPr>
          <w:color w:val="000000"/>
        </w:rPr>
        <w:t xml:space="preserve"> </w:t>
      </w:r>
      <w:r w:rsidR="00C227F5" w:rsidRPr="00C227F5">
        <w:rPr>
          <w:b/>
          <w:color w:val="000000"/>
        </w:rPr>
        <w:t>113</w:t>
      </w:r>
      <w:r w:rsidR="0045543E">
        <w:rPr>
          <w:b/>
          <w:color w:val="000000"/>
        </w:rPr>
        <w:t xml:space="preserve"> </w:t>
      </w:r>
      <w:r w:rsidR="00C227F5">
        <w:rPr>
          <w:color w:val="000000"/>
        </w:rPr>
        <w:t>(1), 77-105, doi: 10.1016/j.jand.2012.08.025, (2013).</w:t>
      </w:r>
    </w:p>
    <w:p w:rsidR="003B3CBA" w:rsidRDefault="001D3E34" w:rsidP="006B711A">
      <w:pPr>
        <w:pStyle w:val="NormalWeb"/>
        <w:spacing w:before="0" w:beforeAutospacing="0" w:after="0" w:afterAutospacing="0"/>
        <w:ind w:left="720" w:hanging="360"/>
        <w:jc w:val="both"/>
        <w:rPr>
          <w:color w:val="000000"/>
        </w:rPr>
      </w:pPr>
      <w:r>
        <w:rPr>
          <w:color w:val="000000"/>
        </w:rPr>
        <w:t xml:space="preserve">7. </w:t>
      </w:r>
      <w:r>
        <w:rPr>
          <w:color w:val="000000"/>
        </w:rPr>
        <w:tab/>
      </w:r>
      <w:r w:rsidR="00006AF8">
        <w:rPr>
          <w:color w:val="000000"/>
        </w:rPr>
        <w:t>Rifas-Shiman, S.L., Rich-Edwards, J.W., Scanlon, K.S., Kleinman, K.P., &amp; Gillman, M.</w:t>
      </w:r>
      <w:r w:rsidR="003B3CBA" w:rsidRPr="00833969">
        <w:rPr>
          <w:color w:val="000000"/>
        </w:rPr>
        <w:t>W. Misdiagnosis of overweight and underweight children younger than 2 years of age due to length measurement bias.</w:t>
      </w:r>
      <w:r w:rsidR="003B3CBA" w:rsidRPr="00833969">
        <w:rPr>
          <w:rStyle w:val="apple-converted-space"/>
          <w:i/>
          <w:iCs/>
          <w:color w:val="000000"/>
        </w:rPr>
        <w:t> </w:t>
      </w:r>
      <w:r w:rsidR="002A312D">
        <w:rPr>
          <w:i/>
          <w:iCs/>
          <w:color w:val="000000"/>
        </w:rPr>
        <w:t xml:space="preserve"> MedGenMed.</w:t>
      </w:r>
      <w:r w:rsidR="003B3CBA" w:rsidRPr="00833969">
        <w:rPr>
          <w:rStyle w:val="apple-converted-space"/>
          <w:i/>
          <w:iCs/>
          <w:color w:val="000000"/>
        </w:rPr>
        <w:t> </w:t>
      </w:r>
      <w:r w:rsidR="003B3CBA" w:rsidRPr="002A312D">
        <w:rPr>
          <w:b/>
          <w:iCs/>
          <w:color w:val="000000"/>
        </w:rPr>
        <w:t>7</w:t>
      </w:r>
      <w:r w:rsidR="0045543E">
        <w:rPr>
          <w:b/>
          <w:iCs/>
          <w:color w:val="000000"/>
        </w:rPr>
        <w:t xml:space="preserve"> </w:t>
      </w:r>
      <w:r w:rsidR="003B3CBA" w:rsidRPr="00833969">
        <w:rPr>
          <w:color w:val="000000"/>
        </w:rPr>
        <w:t>(4), 56</w:t>
      </w:r>
      <w:r w:rsidR="002A312D">
        <w:rPr>
          <w:color w:val="000000"/>
        </w:rPr>
        <w:t>,</w:t>
      </w:r>
      <w:r w:rsidR="003B3CBA" w:rsidRPr="00833969">
        <w:rPr>
          <w:color w:val="000000"/>
        </w:rPr>
        <w:t xml:space="preserve"> doi:515767 [pii]</w:t>
      </w:r>
      <w:r w:rsidR="002A312D">
        <w:rPr>
          <w:color w:val="000000"/>
        </w:rPr>
        <w:t xml:space="preserve">, </w:t>
      </w:r>
      <w:r w:rsidR="002A312D" w:rsidRPr="00833969">
        <w:rPr>
          <w:color w:val="000000"/>
        </w:rPr>
        <w:t>(2005).</w:t>
      </w:r>
    </w:p>
    <w:p w:rsidR="009E7FFA" w:rsidRDefault="001D3E34" w:rsidP="006B711A">
      <w:pPr>
        <w:pStyle w:val="NormalWeb"/>
        <w:spacing w:before="0" w:beforeAutospacing="0" w:after="0" w:afterAutospacing="0"/>
        <w:ind w:left="720" w:hanging="360"/>
        <w:jc w:val="both"/>
      </w:pPr>
      <w:r>
        <w:rPr>
          <w:color w:val="000000"/>
        </w:rPr>
        <w:t>8</w:t>
      </w:r>
      <w:r w:rsidR="009E7FFA">
        <w:rPr>
          <w:color w:val="000000"/>
        </w:rPr>
        <w:t xml:space="preserve">. </w:t>
      </w:r>
      <w:r w:rsidR="009E7FFA">
        <w:rPr>
          <w:color w:val="000000"/>
        </w:rPr>
        <w:tab/>
      </w:r>
      <w:r w:rsidR="009E7FFA" w:rsidRPr="004250FF">
        <w:t xml:space="preserve">Horan, M., Gibney, E., Molloy, E. &amp; McAuliffe, F. Methodologies to assess paediatric adiposity. </w:t>
      </w:r>
      <w:r w:rsidR="009E7FFA" w:rsidRPr="004250FF">
        <w:rPr>
          <w:i/>
        </w:rPr>
        <w:t>Ir</w:t>
      </w:r>
      <w:r w:rsidR="0091696C">
        <w:rPr>
          <w:i/>
        </w:rPr>
        <w:t xml:space="preserve"> </w:t>
      </w:r>
      <w:r w:rsidR="009E7FFA" w:rsidRPr="004250FF">
        <w:rPr>
          <w:i/>
        </w:rPr>
        <w:t xml:space="preserve"> J Med Sci</w:t>
      </w:r>
      <w:r w:rsidR="002A312D">
        <w:t>.</w:t>
      </w:r>
      <w:r w:rsidR="009E7FFA" w:rsidRPr="004250FF">
        <w:t xml:space="preserve"> </w:t>
      </w:r>
      <w:r w:rsidR="005D2C09" w:rsidRPr="005D2C09">
        <w:rPr>
          <w:b/>
        </w:rPr>
        <w:t>814</w:t>
      </w:r>
      <w:r w:rsidR="005D2C09">
        <w:t xml:space="preserve"> (1), </w:t>
      </w:r>
      <w:r w:rsidR="009E7FFA" w:rsidRPr="004250FF">
        <w:t>1-16, doi:10.1007/s11845-014-1124-1</w:t>
      </w:r>
      <w:r w:rsidR="002A312D">
        <w:t>,</w:t>
      </w:r>
      <w:r w:rsidR="009E7FFA" w:rsidRPr="004250FF">
        <w:t xml:space="preserve"> (2014).</w:t>
      </w:r>
    </w:p>
    <w:p w:rsidR="009E7FFA" w:rsidRDefault="001D3E34" w:rsidP="006B711A">
      <w:pPr>
        <w:pStyle w:val="NormalWeb"/>
        <w:spacing w:before="0" w:beforeAutospacing="0" w:after="0" w:afterAutospacing="0"/>
        <w:ind w:left="720" w:hanging="360"/>
        <w:jc w:val="both"/>
        <w:rPr>
          <w:color w:val="000000"/>
        </w:rPr>
      </w:pPr>
      <w:r>
        <w:rPr>
          <w:color w:val="000000"/>
        </w:rPr>
        <w:t>9</w:t>
      </w:r>
      <w:r w:rsidR="009E7FFA">
        <w:rPr>
          <w:color w:val="000000"/>
        </w:rPr>
        <w:t xml:space="preserve">. </w:t>
      </w:r>
      <w:r w:rsidR="009E7FFA">
        <w:rPr>
          <w:color w:val="000000"/>
        </w:rPr>
        <w:tab/>
      </w:r>
      <w:r w:rsidR="00006AF8">
        <w:rPr>
          <w:color w:val="000000"/>
        </w:rPr>
        <w:t>Wells, J.C., &amp; Fewtrell, M.</w:t>
      </w:r>
      <w:r w:rsidR="009E7FFA" w:rsidRPr="009E7FFA">
        <w:rPr>
          <w:color w:val="000000"/>
        </w:rPr>
        <w:t>S. Measuring body composition.</w:t>
      </w:r>
      <w:r w:rsidR="009E7FFA" w:rsidRPr="009E7FFA">
        <w:rPr>
          <w:rStyle w:val="apple-converted-space"/>
          <w:i/>
          <w:iCs/>
          <w:color w:val="000000"/>
        </w:rPr>
        <w:t> </w:t>
      </w:r>
      <w:r w:rsidR="00F313DC">
        <w:rPr>
          <w:i/>
          <w:iCs/>
          <w:color w:val="000000"/>
        </w:rPr>
        <w:t>Arch</w:t>
      </w:r>
      <w:r w:rsidR="009E7FFA" w:rsidRPr="009E7FFA">
        <w:rPr>
          <w:i/>
          <w:iCs/>
          <w:color w:val="000000"/>
        </w:rPr>
        <w:t xml:space="preserve"> Dis Child</w:t>
      </w:r>
      <w:r w:rsidR="002A312D">
        <w:rPr>
          <w:i/>
          <w:iCs/>
          <w:color w:val="000000"/>
        </w:rPr>
        <w:t xml:space="preserve">. </w:t>
      </w:r>
      <w:r w:rsidR="009E7FFA" w:rsidRPr="009E7FFA">
        <w:rPr>
          <w:rStyle w:val="apple-converted-space"/>
          <w:i/>
          <w:iCs/>
          <w:color w:val="000000"/>
        </w:rPr>
        <w:t> </w:t>
      </w:r>
      <w:r w:rsidR="009E7FFA" w:rsidRPr="002A312D">
        <w:rPr>
          <w:b/>
          <w:iCs/>
          <w:color w:val="000000"/>
        </w:rPr>
        <w:t>91</w:t>
      </w:r>
      <w:r w:rsidR="0045543E">
        <w:rPr>
          <w:b/>
          <w:iCs/>
          <w:color w:val="000000"/>
        </w:rPr>
        <w:t xml:space="preserve"> </w:t>
      </w:r>
      <w:r w:rsidR="009E7FFA" w:rsidRPr="009E7FFA">
        <w:rPr>
          <w:color w:val="000000"/>
        </w:rPr>
        <w:t>(7), 612-617</w:t>
      </w:r>
      <w:r w:rsidR="002A312D">
        <w:rPr>
          <w:color w:val="000000"/>
        </w:rPr>
        <w:t>,</w:t>
      </w:r>
      <w:r w:rsidR="009E7FFA" w:rsidRPr="009E7FFA">
        <w:rPr>
          <w:color w:val="000000"/>
        </w:rPr>
        <w:t xml:space="preserve"> doi:</w:t>
      </w:r>
      <w:r w:rsidR="006203C5">
        <w:rPr>
          <w:color w:val="000000"/>
        </w:rPr>
        <w:t xml:space="preserve"> </w:t>
      </w:r>
      <w:r w:rsidR="009E7FFA" w:rsidRPr="009E7FFA">
        <w:rPr>
          <w:color w:val="000000"/>
        </w:rPr>
        <w:t>91/7/612 [pii]</w:t>
      </w:r>
      <w:r w:rsidR="002A312D">
        <w:rPr>
          <w:color w:val="000000"/>
        </w:rPr>
        <w:t xml:space="preserve">, </w:t>
      </w:r>
      <w:r w:rsidR="002A312D" w:rsidRPr="009E7FFA">
        <w:rPr>
          <w:color w:val="000000"/>
        </w:rPr>
        <w:t>(2006).</w:t>
      </w:r>
    </w:p>
    <w:p w:rsidR="00A800E1" w:rsidRDefault="001D3E34" w:rsidP="006B711A">
      <w:pPr>
        <w:pStyle w:val="NormalWeb"/>
        <w:spacing w:before="0" w:beforeAutospacing="0" w:after="0" w:afterAutospacing="0"/>
        <w:ind w:left="720" w:hanging="360"/>
        <w:jc w:val="both"/>
        <w:rPr>
          <w:color w:val="000000"/>
        </w:rPr>
      </w:pPr>
      <w:r>
        <w:rPr>
          <w:color w:val="000000"/>
        </w:rPr>
        <w:t>10</w:t>
      </w:r>
      <w:r w:rsidR="00F43905">
        <w:rPr>
          <w:color w:val="000000"/>
        </w:rPr>
        <w:t>.</w:t>
      </w:r>
      <w:r w:rsidR="00F43905">
        <w:rPr>
          <w:color w:val="000000"/>
        </w:rPr>
        <w:tab/>
      </w:r>
      <w:r w:rsidR="00006AF8">
        <w:rPr>
          <w:color w:val="000000"/>
        </w:rPr>
        <w:t>Wells, J.C., Fuller, N.J., Dewit, O., Fewtrell, M.S., Elia, M., &amp; Cole, T.</w:t>
      </w:r>
      <w:r w:rsidR="00F43905" w:rsidRPr="00F43905">
        <w:rPr>
          <w:color w:val="000000"/>
        </w:rPr>
        <w:t>J. Four-component model of body composition in children: Density and hydration of</w:t>
      </w:r>
    </w:p>
    <w:p w:rsidR="00F43905" w:rsidRDefault="00F43905" w:rsidP="006B711A">
      <w:pPr>
        <w:pStyle w:val="NormalWeb"/>
        <w:spacing w:before="0" w:beforeAutospacing="0" w:after="0" w:afterAutospacing="0"/>
        <w:ind w:left="720" w:hanging="360"/>
        <w:jc w:val="both"/>
        <w:rPr>
          <w:color w:val="000000"/>
        </w:rPr>
      </w:pPr>
      <w:r w:rsidRPr="00F43905">
        <w:rPr>
          <w:color w:val="000000"/>
        </w:rPr>
        <w:t xml:space="preserve"> fat-free mass and comparison with simpler models.</w:t>
      </w:r>
      <w:r w:rsidRPr="00F43905">
        <w:rPr>
          <w:rStyle w:val="apple-converted-space"/>
          <w:i/>
          <w:iCs/>
          <w:color w:val="000000"/>
        </w:rPr>
        <w:t> </w:t>
      </w:r>
      <w:r w:rsidRPr="00F43905">
        <w:rPr>
          <w:i/>
          <w:iCs/>
          <w:color w:val="000000"/>
        </w:rPr>
        <w:t xml:space="preserve"> Am</w:t>
      </w:r>
      <w:r w:rsidR="002A312D">
        <w:rPr>
          <w:i/>
          <w:iCs/>
          <w:color w:val="000000"/>
        </w:rPr>
        <w:t xml:space="preserve"> J Clin Nutr. </w:t>
      </w:r>
      <w:r w:rsidRPr="00F43905">
        <w:rPr>
          <w:rStyle w:val="apple-converted-space"/>
          <w:i/>
          <w:iCs/>
          <w:color w:val="000000"/>
        </w:rPr>
        <w:t> </w:t>
      </w:r>
      <w:r w:rsidRPr="002A312D">
        <w:rPr>
          <w:b/>
          <w:iCs/>
          <w:color w:val="000000"/>
        </w:rPr>
        <w:t>69</w:t>
      </w:r>
      <w:r w:rsidR="0045543E">
        <w:rPr>
          <w:b/>
          <w:iCs/>
          <w:color w:val="000000"/>
        </w:rPr>
        <w:t xml:space="preserve"> </w:t>
      </w:r>
      <w:r w:rsidRPr="00F43905">
        <w:rPr>
          <w:color w:val="000000"/>
        </w:rPr>
        <w:t>(5), 904-912</w:t>
      </w:r>
      <w:r w:rsidR="002A312D">
        <w:rPr>
          <w:color w:val="000000"/>
        </w:rPr>
        <w:t xml:space="preserve">, </w:t>
      </w:r>
      <w:r w:rsidR="002A312D" w:rsidRPr="00F43905">
        <w:rPr>
          <w:color w:val="000000"/>
        </w:rPr>
        <w:t>(1999).</w:t>
      </w:r>
    </w:p>
    <w:p w:rsidR="00BF49AC" w:rsidRDefault="00664B7E" w:rsidP="006B711A">
      <w:pPr>
        <w:pStyle w:val="NormalWeb"/>
        <w:spacing w:before="0" w:beforeAutospacing="0" w:after="0" w:afterAutospacing="0"/>
        <w:ind w:left="720" w:hanging="360"/>
        <w:jc w:val="both"/>
        <w:rPr>
          <w:color w:val="000000"/>
        </w:rPr>
      </w:pPr>
      <w:r>
        <w:rPr>
          <w:color w:val="000000"/>
        </w:rPr>
        <w:t>1</w:t>
      </w:r>
      <w:r w:rsidR="001D3E34">
        <w:rPr>
          <w:color w:val="000000"/>
        </w:rPr>
        <w:t>1</w:t>
      </w:r>
      <w:r>
        <w:rPr>
          <w:color w:val="000000"/>
        </w:rPr>
        <w:t xml:space="preserve">. </w:t>
      </w:r>
      <w:r w:rsidR="00006AF8">
        <w:rPr>
          <w:color w:val="000000"/>
        </w:rPr>
        <w:t>Damilakis</w:t>
      </w:r>
      <w:r w:rsidRPr="00BF49AC">
        <w:rPr>
          <w:color w:val="000000"/>
        </w:rPr>
        <w:t xml:space="preserve">, </w:t>
      </w:r>
      <w:r w:rsidR="00006AF8">
        <w:rPr>
          <w:color w:val="000000"/>
        </w:rPr>
        <w:t>J</w:t>
      </w:r>
      <w:r w:rsidRPr="00BF49AC">
        <w:rPr>
          <w:color w:val="000000"/>
        </w:rPr>
        <w:t xml:space="preserve">., </w:t>
      </w:r>
      <w:r w:rsidR="005B45C9">
        <w:rPr>
          <w:color w:val="000000"/>
        </w:rPr>
        <w:t>Adams, J.</w:t>
      </w:r>
      <w:r w:rsidR="00006AF8">
        <w:rPr>
          <w:color w:val="000000"/>
        </w:rPr>
        <w:t xml:space="preserve">E., Guglielmi, G., </w:t>
      </w:r>
      <w:r w:rsidRPr="00BF49AC">
        <w:rPr>
          <w:color w:val="000000"/>
        </w:rPr>
        <w:t>&amp; L</w:t>
      </w:r>
      <w:r w:rsidR="00006AF8">
        <w:rPr>
          <w:color w:val="000000"/>
        </w:rPr>
        <w:t>ink</w:t>
      </w:r>
      <w:r w:rsidRPr="00BF49AC">
        <w:rPr>
          <w:color w:val="000000"/>
        </w:rPr>
        <w:t xml:space="preserve">, </w:t>
      </w:r>
      <w:r w:rsidR="005B45C9">
        <w:rPr>
          <w:color w:val="000000"/>
        </w:rPr>
        <w:t>T.</w:t>
      </w:r>
      <w:r w:rsidR="00006AF8">
        <w:rPr>
          <w:color w:val="000000"/>
        </w:rPr>
        <w:t>M</w:t>
      </w:r>
      <w:r w:rsidRPr="00BF49AC">
        <w:rPr>
          <w:color w:val="000000"/>
        </w:rPr>
        <w:t xml:space="preserve">. </w:t>
      </w:r>
      <w:r w:rsidR="00006AF8">
        <w:rPr>
          <w:color w:val="000000"/>
        </w:rPr>
        <w:t xml:space="preserve"> </w:t>
      </w:r>
      <w:r w:rsidR="00006AF8" w:rsidRPr="00006AF8">
        <w:rPr>
          <w:iCs/>
          <w:color w:val="000000"/>
        </w:rPr>
        <w:t>Radiation exposure in X-ray-based imaging techniques used in osteoporosis</w:t>
      </w:r>
      <w:r w:rsidRPr="00006AF8">
        <w:rPr>
          <w:color w:val="000000"/>
        </w:rPr>
        <w:t>.</w:t>
      </w:r>
      <w:r w:rsidRPr="00BF49AC">
        <w:rPr>
          <w:color w:val="000000"/>
        </w:rPr>
        <w:t xml:space="preserve"> </w:t>
      </w:r>
      <w:r w:rsidR="0045543E">
        <w:rPr>
          <w:i/>
          <w:color w:val="000000"/>
        </w:rPr>
        <w:t>Eur J</w:t>
      </w:r>
      <w:r w:rsidR="00006AF8" w:rsidRPr="00006AF8">
        <w:rPr>
          <w:i/>
          <w:color w:val="000000"/>
        </w:rPr>
        <w:t xml:space="preserve"> Radiol.</w:t>
      </w:r>
      <w:r w:rsidR="00006AF8">
        <w:rPr>
          <w:color w:val="000000"/>
        </w:rPr>
        <w:t xml:space="preserve"> </w:t>
      </w:r>
      <w:r w:rsidR="00006AF8" w:rsidRPr="00C227F5">
        <w:rPr>
          <w:b/>
          <w:color w:val="000000"/>
        </w:rPr>
        <w:t>20</w:t>
      </w:r>
      <w:r w:rsidR="0045543E">
        <w:rPr>
          <w:b/>
          <w:color w:val="000000"/>
        </w:rPr>
        <w:t xml:space="preserve"> </w:t>
      </w:r>
      <w:r w:rsidR="00006AF8">
        <w:rPr>
          <w:color w:val="000000"/>
        </w:rPr>
        <w:t xml:space="preserve">(11), 2707-2714, </w:t>
      </w:r>
      <w:r w:rsidRPr="00BF49AC">
        <w:rPr>
          <w:color w:val="000000"/>
        </w:rPr>
        <w:t>doi:10.1007/</w:t>
      </w:r>
      <w:r w:rsidR="00006AF8">
        <w:rPr>
          <w:color w:val="000000"/>
        </w:rPr>
        <w:t>s00330-010-1845-0</w:t>
      </w:r>
      <w:r w:rsidR="002A312D">
        <w:rPr>
          <w:color w:val="000000"/>
        </w:rPr>
        <w:t xml:space="preserve">, </w:t>
      </w:r>
      <w:r w:rsidR="00006AF8">
        <w:rPr>
          <w:color w:val="000000"/>
        </w:rPr>
        <w:t>(2010</w:t>
      </w:r>
      <w:r w:rsidR="002A312D" w:rsidRPr="00BF49AC">
        <w:rPr>
          <w:color w:val="000000"/>
        </w:rPr>
        <w:t>).</w:t>
      </w:r>
      <w:r w:rsidR="00006AF8">
        <w:rPr>
          <w:color w:val="000000"/>
        </w:rPr>
        <w:t xml:space="preserve"> </w:t>
      </w:r>
    </w:p>
    <w:p w:rsidR="00BF49AC" w:rsidRPr="00442A4D" w:rsidRDefault="00BF49AC" w:rsidP="006B711A">
      <w:pPr>
        <w:pStyle w:val="EndNoteBibliography"/>
        <w:ind w:left="720" w:hanging="360"/>
        <w:jc w:val="both"/>
      </w:pPr>
      <w:r>
        <w:rPr>
          <w:color w:val="000000"/>
        </w:rPr>
        <w:t>1</w:t>
      </w:r>
      <w:r w:rsidR="001D3E34">
        <w:rPr>
          <w:color w:val="000000"/>
        </w:rPr>
        <w:t>2</w:t>
      </w:r>
      <w:r>
        <w:rPr>
          <w:color w:val="000000"/>
        </w:rPr>
        <w:t xml:space="preserve">. </w:t>
      </w:r>
      <w:r w:rsidR="005B45C9">
        <w:t>Ulijaszek, S.</w:t>
      </w:r>
      <w:r w:rsidRPr="00442A4D">
        <w:t>J.</w:t>
      </w:r>
      <w:r w:rsidR="00C763DA" w:rsidRPr="00442A4D">
        <w:t>,</w:t>
      </w:r>
      <w:r w:rsidR="005B45C9">
        <w:t xml:space="preserve"> &amp; Kerr, D.</w:t>
      </w:r>
      <w:r w:rsidRPr="00442A4D">
        <w:t xml:space="preserve">A. Anthropometric measurement error and the assessment of nutritional status. </w:t>
      </w:r>
      <w:r w:rsidRPr="00442A4D">
        <w:rPr>
          <w:i/>
        </w:rPr>
        <w:t>Brit J Nutr</w:t>
      </w:r>
      <w:r w:rsidR="002A312D" w:rsidRPr="00442A4D">
        <w:rPr>
          <w:i/>
        </w:rPr>
        <w:t xml:space="preserve">. </w:t>
      </w:r>
      <w:r w:rsidRPr="00442A4D">
        <w:t xml:space="preserve"> </w:t>
      </w:r>
      <w:r w:rsidRPr="00C227F5">
        <w:rPr>
          <w:b/>
        </w:rPr>
        <w:t>82</w:t>
      </w:r>
      <w:r w:rsidR="00642E50">
        <w:rPr>
          <w:b/>
        </w:rPr>
        <w:t xml:space="preserve"> </w:t>
      </w:r>
      <w:r w:rsidR="00642E50" w:rsidRPr="00642E50">
        <w:t>(3)</w:t>
      </w:r>
      <w:r w:rsidR="002A312D" w:rsidRPr="00642E50">
        <w:t>,</w:t>
      </w:r>
      <w:r w:rsidR="002A312D" w:rsidRPr="00442A4D">
        <w:t xml:space="preserve"> 165-177, </w:t>
      </w:r>
      <w:r w:rsidRPr="00442A4D">
        <w:t>doi:10.1017/S0007114599001348</w:t>
      </w:r>
      <w:r w:rsidR="002A312D" w:rsidRPr="00442A4D">
        <w:t>,</w:t>
      </w:r>
      <w:r w:rsidRPr="00442A4D">
        <w:t xml:space="preserve"> (1999).</w:t>
      </w:r>
    </w:p>
    <w:p w:rsidR="00BF49AC" w:rsidRDefault="00BF49AC" w:rsidP="006B711A">
      <w:pPr>
        <w:pStyle w:val="EndNoteBibliography"/>
        <w:ind w:left="720" w:hanging="360"/>
        <w:jc w:val="both"/>
      </w:pPr>
      <w:r>
        <w:rPr>
          <w:color w:val="000000"/>
        </w:rPr>
        <w:t>1</w:t>
      </w:r>
      <w:r w:rsidR="001D3E34">
        <w:rPr>
          <w:color w:val="000000"/>
        </w:rPr>
        <w:t>3</w:t>
      </w:r>
      <w:r>
        <w:rPr>
          <w:color w:val="000000"/>
        </w:rPr>
        <w:t>.</w:t>
      </w:r>
      <w:r w:rsidR="005B45C9">
        <w:t xml:space="preserve"> Oken, E., Baccarelli, A.</w:t>
      </w:r>
      <w:r>
        <w:t>A., Gold, D.R</w:t>
      </w:r>
      <w:r w:rsidR="005B45C9">
        <w:t>., Kleinman, K.P., Litonjua, A.</w:t>
      </w:r>
      <w:r>
        <w:t>A., DeMeo, D., Gillman, M.W. Cohort profile: Project Viva</w:t>
      </w:r>
      <w:r w:rsidR="00E50580">
        <w:t xml:space="preserve">. </w:t>
      </w:r>
      <w:r w:rsidR="00E50580" w:rsidRPr="002A312D">
        <w:rPr>
          <w:i/>
        </w:rPr>
        <w:t>Int J Epidemiol</w:t>
      </w:r>
      <w:r w:rsidR="002A312D">
        <w:rPr>
          <w:i/>
        </w:rPr>
        <w:t>.</w:t>
      </w:r>
      <w:r w:rsidR="00E50580">
        <w:t xml:space="preserve"> </w:t>
      </w:r>
      <w:r w:rsidR="00E50580" w:rsidRPr="002A312D">
        <w:rPr>
          <w:b/>
        </w:rPr>
        <w:t>44</w:t>
      </w:r>
      <w:r w:rsidR="0045543E">
        <w:rPr>
          <w:b/>
        </w:rPr>
        <w:t xml:space="preserve"> </w:t>
      </w:r>
      <w:r w:rsidR="00E50580">
        <w:t>(1), 37-48</w:t>
      </w:r>
      <w:r w:rsidR="002A312D">
        <w:t>,</w:t>
      </w:r>
      <w:r w:rsidR="00E50580">
        <w:t xml:space="preserve"> doi: 10.1093/ije/dyu008</w:t>
      </w:r>
      <w:r w:rsidR="002A312D">
        <w:t>, (2015).</w:t>
      </w:r>
      <w:r>
        <w:t xml:space="preserve"> </w:t>
      </w:r>
    </w:p>
    <w:p w:rsidR="006203C5" w:rsidRDefault="00C763DA" w:rsidP="006B711A">
      <w:pPr>
        <w:autoSpaceDE w:val="0"/>
        <w:autoSpaceDN w:val="0"/>
        <w:adjustRightInd w:val="0"/>
        <w:ind w:left="360"/>
        <w:jc w:val="both"/>
        <w:rPr>
          <w:rFonts w:eastAsiaTheme="minorHAnsi"/>
        </w:rPr>
      </w:pPr>
      <w:r>
        <w:rPr>
          <w:color w:val="000000"/>
        </w:rPr>
        <w:t>1</w:t>
      </w:r>
      <w:r w:rsidR="001D3E34">
        <w:rPr>
          <w:color w:val="000000"/>
        </w:rPr>
        <w:t>4</w:t>
      </w:r>
      <w:r>
        <w:rPr>
          <w:color w:val="000000"/>
        </w:rPr>
        <w:t>.</w:t>
      </w:r>
      <w:r>
        <w:t xml:space="preserve"> </w:t>
      </w:r>
      <w:r w:rsidRPr="00C763DA">
        <w:rPr>
          <w:rFonts w:eastAsiaTheme="minorHAnsi"/>
        </w:rPr>
        <w:t>Ulijaszek</w:t>
      </w:r>
      <w:r>
        <w:rPr>
          <w:rFonts w:eastAsiaTheme="minorHAnsi"/>
        </w:rPr>
        <w:t>,</w:t>
      </w:r>
      <w:r w:rsidRPr="00C763DA">
        <w:rPr>
          <w:rFonts w:eastAsiaTheme="minorHAnsi"/>
        </w:rPr>
        <w:t xml:space="preserve"> S</w:t>
      </w:r>
      <w:r>
        <w:rPr>
          <w:rFonts w:eastAsiaTheme="minorHAnsi"/>
        </w:rPr>
        <w:t>.J.,</w:t>
      </w:r>
      <w:r w:rsidRPr="00C763DA">
        <w:rPr>
          <w:rFonts w:eastAsiaTheme="minorHAnsi"/>
        </w:rPr>
        <w:t xml:space="preserve"> &amp; Lourie</w:t>
      </w:r>
      <w:r>
        <w:rPr>
          <w:rFonts w:eastAsiaTheme="minorHAnsi"/>
        </w:rPr>
        <w:t>,</w:t>
      </w:r>
      <w:r w:rsidRPr="00C763DA">
        <w:rPr>
          <w:rFonts w:eastAsiaTheme="minorHAnsi"/>
        </w:rPr>
        <w:t xml:space="preserve"> J</w:t>
      </w:r>
      <w:r>
        <w:rPr>
          <w:rFonts w:eastAsiaTheme="minorHAnsi"/>
        </w:rPr>
        <w:t>.</w:t>
      </w:r>
      <w:r w:rsidRPr="00C763DA">
        <w:rPr>
          <w:rFonts w:eastAsiaTheme="minorHAnsi"/>
        </w:rPr>
        <w:t>A</w:t>
      </w:r>
      <w:r>
        <w:rPr>
          <w:rFonts w:eastAsiaTheme="minorHAnsi"/>
        </w:rPr>
        <w:t>.</w:t>
      </w:r>
      <w:r w:rsidRPr="00C763DA">
        <w:rPr>
          <w:rFonts w:eastAsiaTheme="minorHAnsi"/>
        </w:rPr>
        <w:t xml:space="preserve"> Intra- and inter-observer error in</w:t>
      </w:r>
      <w:r>
        <w:rPr>
          <w:rFonts w:eastAsiaTheme="minorHAnsi"/>
        </w:rPr>
        <w:t xml:space="preserve"> </w:t>
      </w:r>
      <w:r w:rsidRPr="00C763DA">
        <w:rPr>
          <w:rFonts w:eastAsiaTheme="minorHAnsi"/>
        </w:rPr>
        <w:t>anthropometric</w:t>
      </w:r>
    </w:p>
    <w:p w:rsidR="00522A59" w:rsidRDefault="00C763DA" w:rsidP="00C57131">
      <w:pPr>
        <w:autoSpaceDE w:val="0"/>
        <w:autoSpaceDN w:val="0"/>
        <w:adjustRightInd w:val="0"/>
        <w:ind w:left="720"/>
        <w:jc w:val="both"/>
        <w:rPr>
          <w:rFonts w:eastAsiaTheme="minorHAnsi"/>
        </w:rPr>
      </w:pPr>
      <w:r w:rsidRPr="00C763DA">
        <w:rPr>
          <w:rFonts w:eastAsiaTheme="minorHAnsi"/>
        </w:rPr>
        <w:lastRenderedPageBreak/>
        <w:t xml:space="preserve">measurement. In </w:t>
      </w:r>
      <w:r w:rsidRPr="00C763DA">
        <w:rPr>
          <w:rFonts w:eastAsiaTheme="minorHAnsi"/>
          <w:i/>
          <w:iCs/>
        </w:rPr>
        <w:t>Anthropometry: the</w:t>
      </w:r>
      <w:r w:rsidR="006203C5">
        <w:rPr>
          <w:rFonts w:eastAsiaTheme="minorHAnsi"/>
          <w:i/>
          <w:iCs/>
        </w:rPr>
        <w:t xml:space="preserve"> </w:t>
      </w:r>
      <w:r w:rsidRPr="00C763DA">
        <w:rPr>
          <w:rFonts w:eastAsiaTheme="minorHAnsi"/>
          <w:i/>
          <w:iCs/>
        </w:rPr>
        <w:t>Individual</w:t>
      </w:r>
      <w:r>
        <w:rPr>
          <w:rFonts w:eastAsiaTheme="minorHAnsi"/>
        </w:rPr>
        <w:t xml:space="preserve"> </w:t>
      </w:r>
      <w:r w:rsidRPr="00C763DA">
        <w:rPr>
          <w:rFonts w:eastAsiaTheme="minorHAnsi"/>
          <w:i/>
          <w:iCs/>
        </w:rPr>
        <w:t>and the Population</w:t>
      </w:r>
      <w:r w:rsidRPr="00C763DA">
        <w:rPr>
          <w:rFonts w:eastAsiaTheme="minorHAnsi"/>
        </w:rPr>
        <w:t>, Cambridge University Press,</w:t>
      </w:r>
      <w:r w:rsidR="0045543E">
        <w:rPr>
          <w:rFonts w:eastAsiaTheme="minorHAnsi"/>
        </w:rPr>
        <w:t xml:space="preserve"> </w:t>
      </w:r>
      <w:r w:rsidR="0045543E" w:rsidRPr="00C763DA">
        <w:rPr>
          <w:rFonts w:eastAsiaTheme="minorHAnsi"/>
        </w:rPr>
        <w:t>30–55</w:t>
      </w:r>
      <w:r w:rsidRPr="00C763DA">
        <w:rPr>
          <w:rFonts w:eastAsiaTheme="minorHAnsi"/>
        </w:rPr>
        <w:t xml:space="preserve"> (1994).</w:t>
      </w:r>
    </w:p>
    <w:p w:rsidR="00522A59" w:rsidRDefault="00465FAA" w:rsidP="00C57131">
      <w:pPr>
        <w:autoSpaceDE w:val="0"/>
        <w:autoSpaceDN w:val="0"/>
        <w:adjustRightInd w:val="0"/>
        <w:ind w:left="360"/>
        <w:jc w:val="both"/>
        <w:rPr>
          <w:i/>
          <w:iCs/>
        </w:rPr>
      </w:pPr>
      <w:r>
        <w:rPr>
          <w:color w:val="000000"/>
        </w:rPr>
        <w:t>1</w:t>
      </w:r>
      <w:r w:rsidR="001D3E34">
        <w:rPr>
          <w:color w:val="000000"/>
        </w:rPr>
        <w:t>5</w:t>
      </w:r>
      <w:r>
        <w:rPr>
          <w:color w:val="000000"/>
        </w:rPr>
        <w:t xml:space="preserve">. </w:t>
      </w:r>
      <w:r w:rsidRPr="00216DDB">
        <w:t xml:space="preserve">Häggström, M. </w:t>
      </w:r>
      <w:r>
        <w:t xml:space="preserve">Medical gallery of Mikael </w:t>
      </w:r>
      <w:r w:rsidRPr="00216DDB">
        <w:t>Häggström</w:t>
      </w:r>
      <w:r w:rsidRPr="00216DDB">
        <w:rPr>
          <w:i/>
          <w:iCs/>
        </w:rPr>
        <w:t xml:space="preserve"> </w:t>
      </w:r>
      <w:r w:rsidRPr="00465FAA">
        <w:rPr>
          <w:iCs/>
        </w:rPr>
        <w:t>2014</w:t>
      </w:r>
      <w:r>
        <w:rPr>
          <w:iCs/>
        </w:rPr>
        <w:t xml:space="preserve">. </w:t>
      </w:r>
      <w:r w:rsidRPr="002A312D">
        <w:rPr>
          <w:i/>
          <w:iCs/>
        </w:rPr>
        <w:t>Wikiversity Journal of</w:t>
      </w:r>
    </w:p>
    <w:p w:rsidR="00522A59" w:rsidRDefault="00465FAA" w:rsidP="00C57131">
      <w:pPr>
        <w:autoSpaceDE w:val="0"/>
        <w:autoSpaceDN w:val="0"/>
        <w:adjustRightInd w:val="0"/>
        <w:ind w:left="360" w:firstLine="360"/>
        <w:jc w:val="both"/>
      </w:pPr>
      <w:r w:rsidRPr="002A312D">
        <w:rPr>
          <w:i/>
          <w:iCs/>
        </w:rPr>
        <w:t>Medicine</w:t>
      </w:r>
      <w:r w:rsidR="002A312D">
        <w:rPr>
          <w:iCs/>
        </w:rPr>
        <w:t xml:space="preserve">. </w:t>
      </w:r>
      <w:r>
        <w:rPr>
          <w:iCs/>
        </w:rPr>
        <w:t xml:space="preserve"> </w:t>
      </w:r>
      <w:r w:rsidRPr="002A312D">
        <w:rPr>
          <w:b/>
          <w:iCs/>
        </w:rPr>
        <w:t>1</w:t>
      </w:r>
      <w:r w:rsidR="0045543E">
        <w:rPr>
          <w:b/>
          <w:iCs/>
        </w:rPr>
        <w:t xml:space="preserve"> </w:t>
      </w:r>
      <w:r>
        <w:rPr>
          <w:iCs/>
        </w:rPr>
        <w:t>(</w:t>
      </w:r>
      <w:r w:rsidR="002A312D">
        <w:rPr>
          <w:iCs/>
        </w:rPr>
        <w:t xml:space="preserve">2). DOI: </w:t>
      </w:r>
      <w:r w:rsidR="00F16704">
        <w:rPr>
          <w:iCs/>
        </w:rPr>
        <w:t>1</w:t>
      </w:r>
      <w:r w:rsidR="002A312D">
        <w:rPr>
          <w:iCs/>
        </w:rPr>
        <w:t xml:space="preserve">0.15347/wjm/2014.008, </w:t>
      </w:r>
      <w:r w:rsidR="002A312D" w:rsidRPr="00216DDB">
        <w:t>(201</w:t>
      </w:r>
      <w:r w:rsidR="002A312D">
        <w:t>4</w:t>
      </w:r>
      <w:r w:rsidR="002A312D" w:rsidRPr="00216DDB">
        <w:t>).</w:t>
      </w:r>
    </w:p>
    <w:p w:rsidR="00CE6865" w:rsidRDefault="00910874" w:rsidP="006B711A">
      <w:pPr>
        <w:pStyle w:val="NormalWeb"/>
        <w:spacing w:before="0" w:beforeAutospacing="0" w:after="0" w:afterAutospacing="0"/>
        <w:ind w:left="450" w:hanging="90"/>
        <w:jc w:val="both"/>
      </w:pPr>
      <w:r>
        <w:rPr>
          <w:color w:val="000000"/>
        </w:rPr>
        <w:t>1</w:t>
      </w:r>
      <w:r w:rsidR="001D3E34">
        <w:rPr>
          <w:color w:val="000000"/>
        </w:rPr>
        <w:t>6</w:t>
      </w:r>
      <w:r w:rsidR="00CE6865">
        <w:rPr>
          <w:color w:val="000000"/>
        </w:rPr>
        <w:t>.</w:t>
      </w:r>
      <w:r w:rsidR="00CE6865">
        <w:rPr>
          <w:i/>
          <w:iCs/>
        </w:rPr>
        <w:t xml:space="preserve"> </w:t>
      </w:r>
      <w:r w:rsidR="00CE6865" w:rsidRPr="00CE6865">
        <w:t xml:space="preserve">Meredith, D. </w:t>
      </w:r>
      <w:r w:rsidR="00CE6865" w:rsidRPr="00CE6865">
        <w:rPr>
          <w:i/>
          <w:iCs/>
        </w:rPr>
        <w:t>Male anatomy study face side</w:t>
      </w:r>
      <w:r w:rsidR="00CE6865" w:rsidRPr="00CE6865">
        <w:t>. Flickr</w:t>
      </w:r>
      <w:r w:rsidR="002A312D">
        <w:t xml:space="preserve">. </w:t>
      </w:r>
      <w:r w:rsidR="002A312D" w:rsidRPr="00CE6865">
        <w:t>(2007).</w:t>
      </w:r>
    </w:p>
    <w:p w:rsidR="00CE6865" w:rsidRPr="00CE6865" w:rsidRDefault="00910874" w:rsidP="006B711A">
      <w:pPr>
        <w:pStyle w:val="NormalWeb"/>
        <w:spacing w:before="0" w:beforeAutospacing="0" w:after="0" w:afterAutospacing="0"/>
        <w:ind w:left="450" w:hanging="90"/>
        <w:jc w:val="both"/>
      </w:pPr>
      <w:r w:rsidRPr="00CE6865">
        <w:rPr>
          <w:color w:val="000000"/>
        </w:rPr>
        <w:t>1</w:t>
      </w:r>
      <w:r w:rsidR="001D3E34">
        <w:rPr>
          <w:color w:val="000000"/>
        </w:rPr>
        <w:t>7</w:t>
      </w:r>
      <w:r w:rsidR="00CE6865" w:rsidRPr="00CE6865">
        <w:rPr>
          <w:color w:val="000000"/>
        </w:rPr>
        <w:t>.</w:t>
      </w:r>
      <w:r w:rsidR="00CE6865" w:rsidRPr="00CE6865">
        <w:rPr>
          <w:sz w:val="18"/>
          <w:szCs w:val="18"/>
        </w:rPr>
        <w:t xml:space="preserve"> </w:t>
      </w:r>
      <w:r w:rsidR="00CE6865" w:rsidRPr="00CE6865">
        <w:t xml:space="preserve">DBCLS. </w:t>
      </w:r>
      <w:r w:rsidR="00CE6865" w:rsidRPr="00CE6865">
        <w:rPr>
          <w:i/>
          <w:iCs/>
        </w:rPr>
        <w:t>Acromion of Scapula05</w:t>
      </w:r>
      <w:r w:rsidR="002A312D">
        <w:t xml:space="preserve">. Japan: BodyParts3D. </w:t>
      </w:r>
      <w:r w:rsidR="002A312D" w:rsidRPr="00CE6865">
        <w:t xml:space="preserve">(2013). </w:t>
      </w:r>
      <w:r w:rsidR="00CE6865" w:rsidRPr="00CE6865">
        <w:t xml:space="preserve"> </w:t>
      </w:r>
    </w:p>
    <w:p w:rsidR="00CE6865" w:rsidRPr="00CE6865" w:rsidRDefault="00CE6865" w:rsidP="006B711A">
      <w:pPr>
        <w:autoSpaceDE w:val="0"/>
        <w:autoSpaceDN w:val="0"/>
        <w:adjustRightInd w:val="0"/>
        <w:jc w:val="both"/>
        <w:rPr>
          <w:b/>
        </w:rPr>
      </w:pPr>
    </w:p>
    <w:p w:rsidR="00CE6865" w:rsidRDefault="00CE6865" w:rsidP="006B711A">
      <w:pPr>
        <w:autoSpaceDE w:val="0"/>
        <w:autoSpaceDN w:val="0"/>
        <w:adjustRightInd w:val="0"/>
        <w:jc w:val="both"/>
        <w:rPr>
          <w:b/>
        </w:rPr>
      </w:pPr>
    </w:p>
    <w:p w:rsidR="008755A1" w:rsidRDefault="008755A1" w:rsidP="006B711A">
      <w:pPr>
        <w:autoSpaceDE w:val="0"/>
        <w:autoSpaceDN w:val="0"/>
        <w:adjustRightInd w:val="0"/>
        <w:jc w:val="both"/>
        <w:rPr>
          <w:b/>
        </w:rPr>
      </w:pPr>
    </w:p>
    <w:p w:rsidR="008755A1" w:rsidRDefault="008755A1" w:rsidP="006B711A">
      <w:pPr>
        <w:autoSpaceDE w:val="0"/>
        <w:autoSpaceDN w:val="0"/>
        <w:adjustRightInd w:val="0"/>
        <w:jc w:val="both"/>
        <w:rPr>
          <w:b/>
        </w:rPr>
      </w:pPr>
    </w:p>
    <w:p w:rsidR="0045543E" w:rsidRDefault="0045543E" w:rsidP="006B711A">
      <w:pPr>
        <w:autoSpaceDE w:val="0"/>
        <w:autoSpaceDN w:val="0"/>
        <w:adjustRightInd w:val="0"/>
        <w:jc w:val="both"/>
        <w:rPr>
          <w:b/>
        </w:rPr>
      </w:pPr>
    </w:p>
    <w:p w:rsidR="0045543E" w:rsidRDefault="0045543E" w:rsidP="006B711A">
      <w:pPr>
        <w:autoSpaceDE w:val="0"/>
        <w:autoSpaceDN w:val="0"/>
        <w:adjustRightInd w:val="0"/>
        <w:jc w:val="both"/>
        <w:rPr>
          <w:b/>
        </w:rPr>
      </w:pPr>
    </w:p>
    <w:p w:rsidR="00F7458F" w:rsidRDefault="00F7458F" w:rsidP="006B711A">
      <w:pPr>
        <w:autoSpaceDE w:val="0"/>
        <w:autoSpaceDN w:val="0"/>
        <w:adjustRightInd w:val="0"/>
        <w:jc w:val="both"/>
        <w:rPr>
          <w:b/>
        </w:rPr>
      </w:pPr>
    </w:p>
    <w:p w:rsidR="00F7458F" w:rsidRDefault="00F7458F" w:rsidP="006B711A">
      <w:pPr>
        <w:autoSpaceDE w:val="0"/>
        <w:autoSpaceDN w:val="0"/>
        <w:adjustRightInd w:val="0"/>
        <w:jc w:val="both"/>
        <w:rPr>
          <w:b/>
        </w:rPr>
      </w:pPr>
    </w:p>
    <w:p w:rsidR="00694608" w:rsidRDefault="00655522" w:rsidP="006B711A">
      <w:pPr>
        <w:jc w:val="both"/>
        <w:rPr>
          <w:b/>
        </w:rPr>
      </w:pPr>
      <w:r>
        <w:rPr>
          <w:b/>
        </w:rPr>
        <w:br w:type="page"/>
      </w:r>
    </w:p>
    <w:p w:rsidR="00397EE1" w:rsidRDefault="00397EE1" w:rsidP="006B711A">
      <w:pPr>
        <w:jc w:val="both"/>
      </w:pPr>
    </w:p>
    <w:p w:rsidR="00397EE1" w:rsidRDefault="00397EE1" w:rsidP="006B711A">
      <w:pPr>
        <w:jc w:val="both"/>
      </w:pPr>
    </w:p>
    <w:p w:rsidR="00397EE1" w:rsidRDefault="00397EE1" w:rsidP="006B711A">
      <w:pPr>
        <w:jc w:val="both"/>
      </w:pPr>
    </w:p>
    <w:sectPr w:rsidR="00397EE1" w:rsidSect="00F36AB2">
      <w:footerReference w:type="defaul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0DE7" w:rsidRDefault="00700DE7" w:rsidP="00C2482F">
      <w:r>
        <w:separator/>
      </w:r>
    </w:p>
  </w:endnote>
  <w:endnote w:type="continuationSeparator" w:id="0">
    <w:p w:rsidR="00700DE7" w:rsidRDefault="00700DE7" w:rsidP="00C24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CB6" w:rsidRPr="00494F77" w:rsidRDefault="00757CB6" w:rsidP="002D42A6">
    <w:pPr>
      <w:rPr>
        <w:rFonts w:ascii="Calibri" w:hAnsi="Calibri" w:cs="Calibri"/>
        <w:sz w:val="20"/>
      </w:rPr>
    </w:pPr>
    <w:r w:rsidRPr="00494F77">
      <w:rPr>
        <w:rFonts w:ascii="Calibri" w:hAnsi="Calibri" w:cs="Calibri"/>
        <w:sz w:val="20"/>
      </w:rPr>
      <w:t xml:space="preserve">Page </w:t>
    </w:r>
    <w:r w:rsidR="008C5463" w:rsidRPr="00494F77">
      <w:rPr>
        <w:rFonts w:ascii="Calibri" w:hAnsi="Calibri" w:cs="Calibri"/>
        <w:sz w:val="20"/>
      </w:rPr>
      <w:fldChar w:fldCharType="begin"/>
    </w:r>
    <w:r w:rsidRPr="00494F77">
      <w:rPr>
        <w:rFonts w:ascii="Calibri" w:hAnsi="Calibri" w:cs="Calibri"/>
        <w:sz w:val="20"/>
      </w:rPr>
      <w:instrText xml:space="preserve"> PAGE </w:instrText>
    </w:r>
    <w:r w:rsidR="008C5463" w:rsidRPr="00494F77">
      <w:rPr>
        <w:rFonts w:ascii="Calibri" w:hAnsi="Calibri" w:cs="Calibri"/>
        <w:sz w:val="20"/>
      </w:rPr>
      <w:fldChar w:fldCharType="separate"/>
    </w:r>
    <w:r w:rsidR="00F36AB2">
      <w:rPr>
        <w:rFonts w:ascii="Calibri" w:hAnsi="Calibri" w:cs="Calibri"/>
        <w:noProof/>
        <w:sz w:val="20"/>
      </w:rPr>
      <w:t>10</w:t>
    </w:r>
    <w:r w:rsidR="008C5463" w:rsidRPr="00494F77">
      <w:rPr>
        <w:rFonts w:ascii="Calibri" w:hAnsi="Calibri" w:cs="Calibri"/>
        <w:sz w:val="20"/>
      </w:rPr>
      <w:fldChar w:fldCharType="end"/>
    </w:r>
    <w:r w:rsidRPr="00494F77">
      <w:rPr>
        <w:rFonts w:ascii="Calibri" w:hAnsi="Calibri" w:cs="Calibri"/>
        <w:sz w:val="20"/>
      </w:rPr>
      <w:t xml:space="preserve"> of </w:t>
    </w:r>
    <w:r w:rsidR="008C5463" w:rsidRPr="00494F77">
      <w:rPr>
        <w:rFonts w:ascii="Calibri" w:hAnsi="Calibri" w:cs="Calibri"/>
        <w:sz w:val="20"/>
      </w:rPr>
      <w:fldChar w:fldCharType="begin"/>
    </w:r>
    <w:r w:rsidRPr="00494F77">
      <w:rPr>
        <w:rFonts w:ascii="Calibri" w:hAnsi="Calibri" w:cs="Calibri"/>
        <w:sz w:val="20"/>
      </w:rPr>
      <w:instrText xml:space="preserve"> NUMPAGES  </w:instrText>
    </w:r>
    <w:r w:rsidR="008C5463" w:rsidRPr="00494F77">
      <w:rPr>
        <w:rFonts w:ascii="Calibri" w:hAnsi="Calibri" w:cs="Calibri"/>
        <w:sz w:val="20"/>
      </w:rPr>
      <w:fldChar w:fldCharType="separate"/>
    </w:r>
    <w:r w:rsidR="00F36AB2">
      <w:rPr>
        <w:rFonts w:ascii="Calibri" w:hAnsi="Calibri" w:cs="Calibri"/>
        <w:noProof/>
        <w:sz w:val="20"/>
      </w:rPr>
      <w:t>15</w:t>
    </w:r>
    <w:r w:rsidR="008C5463" w:rsidRPr="00494F77">
      <w:rPr>
        <w:rFonts w:ascii="Calibri" w:hAnsi="Calibri" w:cs="Calibri"/>
        <w:sz w:val="20"/>
      </w:rPr>
      <w:fldChar w:fldCharType="end"/>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CB6" w:rsidRPr="005D2C09" w:rsidRDefault="00757CB6">
    <w:r w:rsidRPr="005D2C09">
      <w:t xml:space="preserve">Page </w:t>
    </w:r>
    <w:r w:rsidR="008C5463">
      <w:fldChar w:fldCharType="begin"/>
    </w:r>
    <w:r w:rsidR="004568AE">
      <w:instrText xml:space="preserve"> PAGE </w:instrText>
    </w:r>
    <w:r w:rsidR="008C5463">
      <w:fldChar w:fldCharType="separate"/>
    </w:r>
    <w:r w:rsidR="00F36AB2">
      <w:rPr>
        <w:noProof/>
      </w:rPr>
      <w:t>1</w:t>
    </w:r>
    <w:r w:rsidR="008C5463">
      <w:rPr>
        <w:noProof/>
      </w:rPr>
      <w:fldChar w:fldCharType="end"/>
    </w:r>
    <w:r w:rsidRPr="005D2C09">
      <w:t xml:space="preserve"> of </w:t>
    </w:r>
    <w:r w:rsidR="00700DE7">
      <w:fldChar w:fldCharType="begin"/>
    </w:r>
    <w:r w:rsidR="00700DE7">
      <w:instrText xml:space="preserve"> NUMPAGES  </w:instrText>
    </w:r>
    <w:r w:rsidR="00700DE7">
      <w:fldChar w:fldCharType="separate"/>
    </w:r>
    <w:r w:rsidR="00F36AB2">
      <w:rPr>
        <w:noProof/>
      </w:rPr>
      <w:t>15</w:t>
    </w:r>
    <w:r w:rsidR="00700DE7">
      <w:rPr>
        <w:noProof/>
      </w:rPr>
      <w:fldChar w:fldCharType="end"/>
    </w:r>
  </w:p>
  <w:p w:rsidR="00757CB6" w:rsidRDefault="00757C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0DE7" w:rsidRDefault="00700DE7" w:rsidP="00C2482F">
      <w:r>
        <w:separator/>
      </w:r>
    </w:p>
  </w:footnote>
  <w:footnote w:type="continuationSeparator" w:id="0">
    <w:p w:rsidR="00700DE7" w:rsidRDefault="00700DE7" w:rsidP="00C248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7C3440"/>
    <w:multiLevelType w:val="hybridMultilevel"/>
    <w:tmpl w:val="3AF2BCBA"/>
    <w:lvl w:ilvl="0" w:tplc="9260D44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DI3MjIxszQ3sjAwNjBU0lEKTi0uzszPAykwqgUAlT/OOCwAAAA="/>
  </w:docVars>
  <w:rsids>
    <w:rsidRoot w:val="00693C0C"/>
    <w:rsid w:val="000019B6"/>
    <w:rsid w:val="0000529F"/>
    <w:rsid w:val="00005F64"/>
    <w:rsid w:val="00006AF8"/>
    <w:rsid w:val="00011866"/>
    <w:rsid w:val="000155DC"/>
    <w:rsid w:val="00015B29"/>
    <w:rsid w:val="00021667"/>
    <w:rsid w:val="000255A5"/>
    <w:rsid w:val="00034897"/>
    <w:rsid w:val="00036ADB"/>
    <w:rsid w:val="00041CF7"/>
    <w:rsid w:val="00047211"/>
    <w:rsid w:val="00052171"/>
    <w:rsid w:val="0005728E"/>
    <w:rsid w:val="00060290"/>
    <w:rsid w:val="000620F3"/>
    <w:rsid w:val="00062859"/>
    <w:rsid w:val="00066CBA"/>
    <w:rsid w:val="00067818"/>
    <w:rsid w:val="0007597A"/>
    <w:rsid w:val="00077B8D"/>
    <w:rsid w:val="00080868"/>
    <w:rsid w:val="0008234D"/>
    <w:rsid w:val="00086027"/>
    <w:rsid w:val="00087F32"/>
    <w:rsid w:val="00092074"/>
    <w:rsid w:val="000A14BF"/>
    <w:rsid w:val="000A2355"/>
    <w:rsid w:val="000A62FF"/>
    <w:rsid w:val="000B544E"/>
    <w:rsid w:val="000B54F3"/>
    <w:rsid w:val="000B571F"/>
    <w:rsid w:val="000C0865"/>
    <w:rsid w:val="000C0D27"/>
    <w:rsid w:val="000C10E4"/>
    <w:rsid w:val="000C1EE9"/>
    <w:rsid w:val="000C486D"/>
    <w:rsid w:val="000C57B1"/>
    <w:rsid w:val="000C7650"/>
    <w:rsid w:val="000D0446"/>
    <w:rsid w:val="000D1DCB"/>
    <w:rsid w:val="000D405F"/>
    <w:rsid w:val="000D505D"/>
    <w:rsid w:val="000E2A9D"/>
    <w:rsid w:val="000E72DD"/>
    <w:rsid w:val="000F1F8D"/>
    <w:rsid w:val="000F3ECE"/>
    <w:rsid w:val="000F44EB"/>
    <w:rsid w:val="000F53EE"/>
    <w:rsid w:val="000F54F8"/>
    <w:rsid w:val="000F6B7C"/>
    <w:rsid w:val="000F7DC3"/>
    <w:rsid w:val="00100479"/>
    <w:rsid w:val="001025ED"/>
    <w:rsid w:val="00102D79"/>
    <w:rsid w:val="00102F45"/>
    <w:rsid w:val="001038CD"/>
    <w:rsid w:val="001041A2"/>
    <w:rsid w:val="0010438C"/>
    <w:rsid w:val="00112282"/>
    <w:rsid w:val="001131C1"/>
    <w:rsid w:val="00114D12"/>
    <w:rsid w:val="00115D68"/>
    <w:rsid w:val="00117045"/>
    <w:rsid w:val="00117E1F"/>
    <w:rsid w:val="0012108C"/>
    <w:rsid w:val="00123884"/>
    <w:rsid w:val="00127F83"/>
    <w:rsid w:val="00133C0C"/>
    <w:rsid w:val="00135408"/>
    <w:rsid w:val="00135ED7"/>
    <w:rsid w:val="00136316"/>
    <w:rsid w:val="00142A12"/>
    <w:rsid w:val="00145E65"/>
    <w:rsid w:val="00147A73"/>
    <w:rsid w:val="001517D6"/>
    <w:rsid w:val="00153776"/>
    <w:rsid w:val="001543DF"/>
    <w:rsid w:val="001579D7"/>
    <w:rsid w:val="00162C6E"/>
    <w:rsid w:val="00163B52"/>
    <w:rsid w:val="001653DA"/>
    <w:rsid w:val="00167ACA"/>
    <w:rsid w:val="00170BD7"/>
    <w:rsid w:val="00170D32"/>
    <w:rsid w:val="001764D3"/>
    <w:rsid w:val="00177E31"/>
    <w:rsid w:val="00180D8A"/>
    <w:rsid w:val="001813BE"/>
    <w:rsid w:val="001816DE"/>
    <w:rsid w:val="001858BB"/>
    <w:rsid w:val="00190560"/>
    <w:rsid w:val="00191806"/>
    <w:rsid w:val="001933E5"/>
    <w:rsid w:val="00193BF3"/>
    <w:rsid w:val="001A0F68"/>
    <w:rsid w:val="001A1F04"/>
    <w:rsid w:val="001A2E72"/>
    <w:rsid w:val="001A467F"/>
    <w:rsid w:val="001B06E4"/>
    <w:rsid w:val="001B2608"/>
    <w:rsid w:val="001B322E"/>
    <w:rsid w:val="001B4F93"/>
    <w:rsid w:val="001B54AC"/>
    <w:rsid w:val="001C01FE"/>
    <w:rsid w:val="001C3151"/>
    <w:rsid w:val="001C3844"/>
    <w:rsid w:val="001C66BA"/>
    <w:rsid w:val="001C75D9"/>
    <w:rsid w:val="001D07FA"/>
    <w:rsid w:val="001D3E34"/>
    <w:rsid w:val="001D3EB4"/>
    <w:rsid w:val="001D4CAF"/>
    <w:rsid w:val="001E0F96"/>
    <w:rsid w:val="001E28A5"/>
    <w:rsid w:val="001E40CD"/>
    <w:rsid w:val="001F10A0"/>
    <w:rsid w:val="001F62CB"/>
    <w:rsid w:val="001F6F13"/>
    <w:rsid w:val="00201170"/>
    <w:rsid w:val="002019E3"/>
    <w:rsid w:val="00202223"/>
    <w:rsid w:val="00202CD0"/>
    <w:rsid w:val="002063EF"/>
    <w:rsid w:val="00207014"/>
    <w:rsid w:val="002070D6"/>
    <w:rsid w:val="00207707"/>
    <w:rsid w:val="0021177F"/>
    <w:rsid w:val="00212928"/>
    <w:rsid w:val="00212C1F"/>
    <w:rsid w:val="002135B7"/>
    <w:rsid w:val="002168D5"/>
    <w:rsid w:val="0021709F"/>
    <w:rsid w:val="00221784"/>
    <w:rsid w:val="00222B21"/>
    <w:rsid w:val="002244CF"/>
    <w:rsid w:val="00225B9F"/>
    <w:rsid w:val="002265B9"/>
    <w:rsid w:val="00232A00"/>
    <w:rsid w:val="00233685"/>
    <w:rsid w:val="00235FAE"/>
    <w:rsid w:val="00236776"/>
    <w:rsid w:val="00240B03"/>
    <w:rsid w:val="00240B0F"/>
    <w:rsid w:val="00242327"/>
    <w:rsid w:val="00246D8E"/>
    <w:rsid w:val="0025581F"/>
    <w:rsid w:val="002608C9"/>
    <w:rsid w:val="00264D6B"/>
    <w:rsid w:val="002752B2"/>
    <w:rsid w:val="00281F71"/>
    <w:rsid w:val="00284711"/>
    <w:rsid w:val="002870C2"/>
    <w:rsid w:val="00287A7B"/>
    <w:rsid w:val="002903A9"/>
    <w:rsid w:val="00291105"/>
    <w:rsid w:val="002935D8"/>
    <w:rsid w:val="00295C30"/>
    <w:rsid w:val="00296967"/>
    <w:rsid w:val="002A078B"/>
    <w:rsid w:val="002A312D"/>
    <w:rsid w:val="002A5B56"/>
    <w:rsid w:val="002B2819"/>
    <w:rsid w:val="002B6395"/>
    <w:rsid w:val="002B7B34"/>
    <w:rsid w:val="002C3155"/>
    <w:rsid w:val="002C4658"/>
    <w:rsid w:val="002D0905"/>
    <w:rsid w:val="002D212E"/>
    <w:rsid w:val="002D2472"/>
    <w:rsid w:val="002D42A6"/>
    <w:rsid w:val="002D5A23"/>
    <w:rsid w:val="002E4F17"/>
    <w:rsid w:val="002E6AA1"/>
    <w:rsid w:val="002E7027"/>
    <w:rsid w:val="002F1B63"/>
    <w:rsid w:val="002F7204"/>
    <w:rsid w:val="002F76D7"/>
    <w:rsid w:val="0030414E"/>
    <w:rsid w:val="00310FC8"/>
    <w:rsid w:val="00313E29"/>
    <w:rsid w:val="003153E7"/>
    <w:rsid w:val="00315C38"/>
    <w:rsid w:val="003160ED"/>
    <w:rsid w:val="00316951"/>
    <w:rsid w:val="00320FFE"/>
    <w:rsid w:val="00324214"/>
    <w:rsid w:val="00325149"/>
    <w:rsid w:val="003259A2"/>
    <w:rsid w:val="0033190A"/>
    <w:rsid w:val="00343931"/>
    <w:rsid w:val="00344FD5"/>
    <w:rsid w:val="00353BB4"/>
    <w:rsid w:val="00354F55"/>
    <w:rsid w:val="003605B1"/>
    <w:rsid w:val="003647B5"/>
    <w:rsid w:val="00365B89"/>
    <w:rsid w:val="00380413"/>
    <w:rsid w:val="00380F95"/>
    <w:rsid w:val="0038402A"/>
    <w:rsid w:val="00391A59"/>
    <w:rsid w:val="00397B36"/>
    <w:rsid w:val="00397EE1"/>
    <w:rsid w:val="003A3E88"/>
    <w:rsid w:val="003B00DF"/>
    <w:rsid w:val="003B1E80"/>
    <w:rsid w:val="003B2B1A"/>
    <w:rsid w:val="003B3CBA"/>
    <w:rsid w:val="003B3E70"/>
    <w:rsid w:val="003B462C"/>
    <w:rsid w:val="003C398D"/>
    <w:rsid w:val="003D0E59"/>
    <w:rsid w:val="003D13CB"/>
    <w:rsid w:val="003D4EBB"/>
    <w:rsid w:val="003D5663"/>
    <w:rsid w:val="003D6537"/>
    <w:rsid w:val="003D6CA3"/>
    <w:rsid w:val="003F1A57"/>
    <w:rsid w:val="003F1D8F"/>
    <w:rsid w:val="003F3167"/>
    <w:rsid w:val="003F33AB"/>
    <w:rsid w:val="00400BF5"/>
    <w:rsid w:val="00400D5D"/>
    <w:rsid w:val="00411A54"/>
    <w:rsid w:val="00413449"/>
    <w:rsid w:val="00414E03"/>
    <w:rsid w:val="00415ED4"/>
    <w:rsid w:val="00416CA9"/>
    <w:rsid w:val="00417AB0"/>
    <w:rsid w:val="004236BF"/>
    <w:rsid w:val="004250FF"/>
    <w:rsid w:val="004260B8"/>
    <w:rsid w:val="00426E8C"/>
    <w:rsid w:val="004273E2"/>
    <w:rsid w:val="0043273C"/>
    <w:rsid w:val="00432F79"/>
    <w:rsid w:val="00441131"/>
    <w:rsid w:val="00442A4D"/>
    <w:rsid w:val="00442C5F"/>
    <w:rsid w:val="00442DB2"/>
    <w:rsid w:val="004435ED"/>
    <w:rsid w:val="00447268"/>
    <w:rsid w:val="00451157"/>
    <w:rsid w:val="004543AF"/>
    <w:rsid w:val="0045475A"/>
    <w:rsid w:val="004552C7"/>
    <w:rsid w:val="0045543E"/>
    <w:rsid w:val="0045593A"/>
    <w:rsid w:val="004568AE"/>
    <w:rsid w:val="00461A3C"/>
    <w:rsid w:val="00462982"/>
    <w:rsid w:val="004636E4"/>
    <w:rsid w:val="00465DF0"/>
    <w:rsid w:val="00465FAA"/>
    <w:rsid w:val="004739D2"/>
    <w:rsid w:val="0048479A"/>
    <w:rsid w:val="0049051A"/>
    <w:rsid w:val="00490DF6"/>
    <w:rsid w:val="00490F81"/>
    <w:rsid w:val="0049115C"/>
    <w:rsid w:val="0049655A"/>
    <w:rsid w:val="004973B2"/>
    <w:rsid w:val="004A04B9"/>
    <w:rsid w:val="004A0DB2"/>
    <w:rsid w:val="004A22EA"/>
    <w:rsid w:val="004A2C6B"/>
    <w:rsid w:val="004A3FE5"/>
    <w:rsid w:val="004B032D"/>
    <w:rsid w:val="004B0880"/>
    <w:rsid w:val="004B7D30"/>
    <w:rsid w:val="004C14C3"/>
    <w:rsid w:val="004C166B"/>
    <w:rsid w:val="004C5B82"/>
    <w:rsid w:val="004D3A85"/>
    <w:rsid w:val="004D49EE"/>
    <w:rsid w:val="004D5FEA"/>
    <w:rsid w:val="004D61A3"/>
    <w:rsid w:val="004E0E16"/>
    <w:rsid w:val="004E219A"/>
    <w:rsid w:val="004E4142"/>
    <w:rsid w:val="004E6032"/>
    <w:rsid w:val="004F29C6"/>
    <w:rsid w:val="00502A2D"/>
    <w:rsid w:val="00510626"/>
    <w:rsid w:val="00513400"/>
    <w:rsid w:val="00513E2C"/>
    <w:rsid w:val="00515452"/>
    <w:rsid w:val="005159B7"/>
    <w:rsid w:val="0051607A"/>
    <w:rsid w:val="00517553"/>
    <w:rsid w:val="00520434"/>
    <w:rsid w:val="005216CE"/>
    <w:rsid w:val="005228C1"/>
    <w:rsid w:val="00522A59"/>
    <w:rsid w:val="00524676"/>
    <w:rsid w:val="00527312"/>
    <w:rsid w:val="005319F6"/>
    <w:rsid w:val="00532A7C"/>
    <w:rsid w:val="00533110"/>
    <w:rsid w:val="005400FC"/>
    <w:rsid w:val="0054076A"/>
    <w:rsid w:val="005437ED"/>
    <w:rsid w:val="00552C96"/>
    <w:rsid w:val="005541E0"/>
    <w:rsid w:val="0055522E"/>
    <w:rsid w:val="00561B82"/>
    <w:rsid w:val="00562BCA"/>
    <w:rsid w:val="00572210"/>
    <w:rsid w:val="00572246"/>
    <w:rsid w:val="00573FFD"/>
    <w:rsid w:val="005826E0"/>
    <w:rsid w:val="005849D1"/>
    <w:rsid w:val="0058504C"/>
    <w:rsid w:val="00585E78"/>
    <w:rsid w:val="00586499"/>
    <w:rsid w:val="00586DF1"/>
    <w:rsid w:val="00587A6E"/>
    <w:rsid w:val="00587ECE"/>
    <w:rsid w:val="005938C2"/>
    <w:rsid w:val="005A1986"/>
    <w:rsid w:val="005A2DE5"/>
    <w:rsid w:val="005A5EDB"/>
    <w:rsid w:val="005A680A"/>
    <w:rsid w:val="005B2CE5"/>
    <w:rsid w:val="005B45C9"/>
    <w:rsid w:val="005B5276"/>
    <w:rsid w:val="005B58D2"/>
    <w:rsid w:val="005B6378"/>
    <w:rsid w:val="005B76FC"/>
    <w:rsid w:val="005C0043"/>
    <w:rsid w:val="005C18E0"/>
    <w:rsid w:val="005C1A47"/>
    <w:rsid w:val="005C2775"/>
    <w:rsid w:val="005C3B61"/>
    <w:rsid w:val="005C4E18"/>
    <w:rsid w:val="005D0798"/>
    <w:rsid w:val="005D2064"/>
    <w:rsid w:val="005D2C09"/>
    <w:rsid w:val="005D7946"/>
    <w:rsid w:val="005E05A7"/>
    <w:rsid w:val="005E2C1F"/>
    <w:rsid w:val="005E2D97"/>
    <w:rsid w:val="005E4135"/>
    <w:rsid w:val="005E4D06"/>
    <w:rsid w:val="005E5D5D"/>
    <w:rsid w:val="005E6B8E"/>
    <w:rsid w:val="00600690"/>
    <w:rsid w:val="00600BD9"/>
    <w:rsid w:val="00613FCA"/>
    <w:rsid w:val="00614CFD"/>
    <w:rsid w:val="00617F14"/>
    <w:rsid w:val="006203C5"/>
    <w:rsid w:val="00624A61"/>
    <w:rsid w:val="00625B82"/>
    <w:rsid w:val="00630C25"/>
    <w:rsid w:val="00633440"/>
    <w:rsid w:val="00641646"/>
    <w:rsid w:val="00642E50"/>
    <w:rsid w:val="00646183"/>
    <w:rsid w:val="00651714"/>
    <w:rsid w:val="00651A72"/>
    <w:rsid w:val="00651AF1"/>
    <w:rsid w:val="00653EAA"/>
    <w:rsid w:val="00653FAC"/>
    <w:rsid w:val="00654762"/>
    <w:rsid w:val="006548CB"/>
    <w:rsid w:val="006550F9"/>
    <w:rsid w:val="00655522"/>
    <w:rsid w:val="006561DB"/>
    <w:rsid w:val="00656D61"/>
    <w:rsid w:val="00664B7E"/>
    <w:rsid w:val="00666681"/>
    <w:rsid w:val="00667C24"/>
    <w:rsid w:val="006720E2"/>
    <w:rsid w:val="00672A0C"/>
    <w:rsid w:val="00673DB3"/>
    <w:rsid w:val="00675380"/>
    <w:rsid w:val="006769E1"/>
    <w:rsid w:val="006816D8"/>
    <w:rsid w:val="00681BD2"/>
    <w:rsid w:val="0068745B"/>
    <w:rsid w:val="0069072A"/>
    <w:rsid w:val="006909C9"/>
    <w:rsid w:val="00693C0C"/>
    <w:rsid w:val="00694608"/>
    <w:rsid w:val="00696F32"/>
    <w:rsid w:val="00697090"/>
    <w:rsid w:val="006A3F44"/>
    <w:rsid w:val="006A582C"/>
    <w:rsid w:val="006A5E44"/>
    <w:rsid w:val="006B228D"/>
    <w:rsid w:val="006B3C83"/>
    <w:rsid w:val="006B4414"/>
    <w:rsid w:val="006B711A"/>
    <w:rsid w:val="006C11FB"/>
    <w:rsid w:val="006C1B1B"/>
    <w:rsid w:val="006C3A47"/>
    <w:rsid w:val="006D0B26"/>
    <w:rsid w:val="006D193F"/>
    <w:rsid w:val="006D5258"/>
    <w:rsid w:val="006D7D73"/>
    <w:rsid w:val="006D7DE8"/>
    <w:rsid w:val="006E2CEA"/>
    <w:rsid w:val="006E38C3"/>
    <w:rsid w:val="006E4F2B"/>
    <w:rsid w:val="006E5769"/>
    <w:rsid w:val="006E7528"/>
    <w:rsid w:val="006F1AED"/>
    <w:rsid w:val="006F2EDA"/>
    <w:rsid w:val="006F4050"/>
    <w:rsid w:val="006F57D6"/>
    <w:rsid w:val="006F657C"/>
    <w:rsid w:val="006F661B"/>
    <w:rsid w:val="00700DE7"/>
    <w:rsid w:val="00701CA0"/>
    <w:rsid w:val="0070601E"/>
    <w:rsid w:val="007101AC"/>
    <w:rsid w:val="007117B9"/>
    <w:rsid w:val="007127A4"/>
    <w:rsid w:val="007165F6"/>
    <w:rsid w:val="00717F17"/>
    <w:rsid w:val="007211FE"/>
    <w:rsid w:val="007250FD"/>
    <w:rsid w:val="0073127A"/>
    <w:rsid w:val="0073466C"/>
    <w:rsid w:val="0073542B"/>
    <w:rsid w:val="00736656"/>
    <w:rsid w:val="007368FF"/>
    <w:rsid w:val="00741133"/>
    <w:rsid w:val="0074402B"/>
    <w:rsid w:val="00744584"/>
    <w:rsid w:val="00747BD9"/>
    <w:rsid w:val="007500DE"/>
    <w:rsid w:val="00754D10"/>
    <w:rsid w:val="007558C0"/>
    <w:rsid w:val="00756D01"/>
    <w:rsid w:val="00757CB6"/>
    <w:rsid w:val="00761A50"/>
    <w:rsid w:val="007626C3"/>
    <w:rsid w:val="00763FDB"/>
    <w:rsid w:val="007641D6"/>
    <w:rsid w:val="007716B3"/>
    <w:rsid w:val="00774423"/>
    <w:rsid w:val="007748A5"/>
    <w:rsid w:val="00783F6F"/>
    <w:rsid w:val="00792FE3"/>
    <w:rsid w:val="00796589"/>
    <w:rsid w:val="0079666B"/>
    <w:rsid w:val="0079717D"/>
    <w:rsid w:val="007A0374"/>
    <w:rsid w:val="007A0532"/>
    <w:rsid w:val="007A6C34"/>
    <w:rsid w:val="007A7CE7"/>
    <w:rsid w:val="007B05D8"/>
    <w:rsid w:val="007B0CC0"/>
    <w:rsid w:val="007B4EB4"/>
    <w:rsid w:val="007B59DF"/>
    <w:rsid w:val="007B5DA5"/>
    <w:rsid w:val="007B6CC3"/>
    <w:rsid w:val="007C33D9"/>
    <w:rsid w:val="007C4154"/>
    <w:rsid w:val="007C5C86"/>
    <w:rsid w:val="007C76B9"/>
    <w:rsid w:val="007E2914"/>
    <w:rsid w:val="007E2CC3"/>
    <w:rsid w:val="007E4EB7"/>
    <w:rsid w:val="007F26CB"/>
    <w:rsid w:val="007F4992"/>
    <w:rsid w:val="007F5F83"/>
    <w:rsid w:val="008009D5"/>
    <w:rsid w:val="00802C5A"/>
    <w:rsid w:val="008044F9"/>
    <w:rsid w:val="0080706D"/>
    <w:rsid w:val="008070CC"/>
    <w:rsid w:val="008207B1"/>
    <w:rsid w:val="00821F89"/>
    <w:rsid w:val="00822226"/>
    <w:rsid w:val="00822C32"/>
    <w:rsid w:val="00824727"/>
    <w:rsid w:val="008248CE"/>
    <w:rsid w:val="00825150"/>
    <w:rsid w:val="00831B48"/>
    <w:rsid w:val="00832E11"/>
    <w:rsid w:val="00833969"/>
    <w:rsid w:val="008361F3"/>
    <w:rsid w:val="00843149"/>
    <w:rsid w:val="008431F4"/>
    <w:rsid w:val="008437A4"/>
    <w:rsid w:val="00844CD3"/>
    <w:rsid w:val="008469F4"/>
    <w:rsid w:val="00846DFE"/>
    <w:rsid w:val="00847D6A"/>
    <w:rsid w:val="00852A7A"/>
    <w:rsid w:val="00856146"/>
    <w:rsid w:val="008569BB"/>
    <w:rsid w:val="00856AB6"/>
    <w:rsid w:val="0086503A"/>
    <w:rsid w:val="00865CB8"/>
    <w:rsid w:val="0086608B"/>
    <w:rsid w:val="008670ED"/>
    <w:rsid w:val="00867B22"/>
    <w:rsid w:val="008719B7"/>
    <w:rsid w:val="008755A1"/>
    <w:rsid w:val="00880EE7"/>
    <w:rsid w:val="00884EF4"/>
    <w:rsid w:val="00886EE5"/>
    <w:rsid w:val="0088795F"/>
    <w:rsid w:val="0089041A"/>
    <w:rsid w:val="00894DC0"/>
    <w:rsid w:val="008A1BE8"/>
    <w:rsid w:val="008A6BDB"/>
    <w:rsid w:val="008A7581"/>
    <w:rsid w:val="008B0939"/>
    <w:rsid w:val="008B26D6"/>
    <w:rsid w:val="008B2F3D"/>
    <w:rsid w:val="008B568B"/>
    <w:rsid w:val="008B568F"/>
    <w:rsid w:val="008B7416"/>
    <w:rsid w:val="008C14AF"/>
    <w:rsid w:val="008C1DE3"/>
    <w:rsid w:val="008C5463"/>
    <w:rsid w:val="008C7227"/>
    <w:rsid w:val="008D093C"/>
    <w:rsid w:val="008D656B"/>
    <w:rsid w:val="008E0B49"/>
    <w:rsid w:val="008E3C6C"/>
    <w:rsid w:val="008E69C8"/>
    <w:rsid w:val="008F0086"/>
    <w:rsid w:val="008F07CC"/>
    <w:rsid w:val="008F19CA"/>
    <w:rsid w:val="008F1E74"/>
    <w:rsid w:val="008F57FA"/>
    <w:rsid w:val="00900246"/>
    <w:rsid w:val="00902B4E"/>
    <w:rsid w:val="0090657B"/>
    <w:rsid w:val="009069E6"/>
    <w:rsid w:val="0091005F"/>
    <w:rsid w:val="00910874"/>
    <w:rsid w:val="00912C1D"/>
    <w:rsid w:val="0091339D"/>
    <w:rsid w:val="0091696C"/>
    <w:rsid w:val="0092072A"/>
    <w:rsid w:val="009224AD"/>
    <w:rsid w:val="0092263A"/>
    <w:rsid w:val="009262E5"/>
    <w:rsid w:val="0092795B"/>
    <w:rsid w:val="009279BA"/>
    <w:rsid w:val="0093042F"/>
    <w:rsid w:val="00932B49"/>
    <w:rsid w:val="00933CC2"/>
    <w:rsid w:val="0093523D"/>
    <w:rsid w:val="009369DF"/>
    <w:rsid w:val="009458E8"/>
    <w:rsid w:val="00946ED3"/>
    <w:rsid w:val="0095165E"/>
    <w:rsid w:val="0095509F"/>
    <w:rsid w:val="009555BE"/>
    <w:rsid w:val="00955C09"/>
    <w:rsid w:val="00960628"/>
    <w:rsid w:val="00964D92"/>
    <w:rsid w:val="00966C2C"/>
    <w:rsid w:val="0096783D"/>
    <w:rsid w:val="00971B79"/>
    <w:rsid w:val="0097604C"/>
    <w:rsid w:val="00976AA4"/>
    <w:rsid w:val="009805DD"/>
    <w:rsid w:val="00981239"/>
    <w:rsid w:val="009812E8"/>
    <w:rsid w:val="0098731C"/>
    <w:rsid w:val="009919E6"/>
    <w:rsid w:val="00993625"/>
    <w:rsid w:val="009956D0"/>
    <w:rsid w:val="00997151"/>
    <w:rsid w:val="009A04EA"/>
    <w:rsid w:val="009A0C00"/>
    <w:rsid w:val="009A5DC2"/>
    <w:rsid w:val="009B54BF"/>
    <w:rsid w:val="009C17B2"/>
    <w:rsid w:val="009C17F5"/>
    <w:rsid w:val="009C1F08"/>
    <w:rsid w:val="009C228F"/>
    <w:rsid w:val="009D2D11"/>
    <w:rsid w:val="009D2DE5"/>
    <w:rsid w:val="009D4C6B"/>
    <w:rsid w:val="009D50AF"/>
    <w:rsid w:val="009D65AE"/>
    <w:rsid w:val="009E1FF4"/>
    <w:rsid w:val="009E3473"/>
    <w:rsid w:val="009E68C2"/>
    <w:rsid w:val="009E7238"/>
    <w:rsid w:val="009E7FFA"/>
    <w:rsid w:val="009F08BB"/>
    <w:rsid w:val="009F1D78"/>
    <w:rsid w:val="009F25F4"/>
    <w:rsid w:val="009F5F98"/>
    <w:rsid w:val="009F6E9C"/>
    <w:rsid w:val="00A01560"/>
    <w:rsid w:val="00A01881"/>
    <w:rsid w:val="00A02F97"/>
    <w:rsid w:val="00A05946"/>
    <w:rsid w:val="00A10048"/>
    <w:rsid w:val="00A11F31"/>
    <w:rsid w:val="00A132D5"/>
    <w:rsid w:val="00A14B1D"/>
    <w:rsid w:val="00A21D15"/>
    <w:rsid w:val="00A24EAD"/>
    <w:rsid w:val="00A27195"/>
    <w:rsid w:val="00A30223"/>
    <w:rsid w:val="00A32520"/>
    <w:rsid w:val="00A36347"/>
    <w:rsid w:val="00A366CE"/>
    <w:rsid w:val="00A36BBE"/>
    <w:rsid w:val="00A40379"/>
    <w:rsid w:val="00A457F4"/>
    <w:rsid w:val="00A466D9"/>
    <w:rsid w:val="00A52031"/>
    <w:rsid w:val="00A5759D"/>
    <w:rsid w:val="00A57629"/>
    <w:rsid w:val="00A604CD"/>
    <w:rsid w:val="00A62179"/>
    <w:rsid w:val="00A636FF"/>
    <w:rsid w:val="00A65A51"/>
    <w:rsid w:val="00A65E1D"/>
    <w:rsid w:val="00A71975"/>
    <w:rsid w:val="00A738CD"/>
    <w:rsid w:val="00A74766"/>
    <w:rsid w:val="00A74D5F"/>
    <w:rsid w:val="00A800E1"/>
    <w:rsid w:val="00A86918"/>
    <w:rsid w:val="00A86E3F"/>
    <w:rsid w:val="00A879F9"/>
    <w:rsid w:val="00A9206F"/>
    <w:rsid w:val="00A922A9"/>
    <w:rsid w:val="00A94FFA"/>
    <w:rsid w:val="00A9731C"/>
    <w:rsid w:val="00A975D6"/>
    <w:rsid w:val="00AA18EE"/>
    <w:rsid w:val="00AA4651"/>
    <w:rsid w:val="00AA4656"/>
    <w:rsid w:val="00AA4F95"/>
    <w:rsid w:val="00AA7013"/>
    <w:rsid w:val="00AB2429"/>
    <w:rsid w:val="00AB32C0"/>
    <w:rsid w:val="00AB4B93"/>
    <w:rsid w:val="00AB4DED"/>
    <w:rsid w:val="00AB5A81"/>
    <w:rsid w:val="00AC140B"/>
    <w:rsid w:val="00AC2DA6"/>
    <w:rsid w:val="00AC5487"/>
    <w:rsid w:val="00AC6441"/>
    <w:rsid w:val="00AC6C43"/>
    <w:rsid w:val="00AD47E3"/>
    <w:rsid w:val="00AD6A84"/>
    <w:rsid w:val="00AE1354"/>
    <w:rsid w:val="00AE339A"/>
    <w:rsid w:val="00AE3D37"/>
    <w:rsid w:val="00AE4168"/>
    <w:rsid w:val="00AF0B29"/>
    <w:rsid w:val="00AF1ABA"/>
    <w:rsid w:val="00AF429F"/>
    <w:rsid w:val="00AF4F65"/>
    <w:rsid w:val="00AF517B"/>
    <w:rsid w:val="00AF58E1"/>
    <w:rsid w:val="00AF5AE9"/>
    <w:rsid w:val="00B016F7"/>
    <w:rsid w:val="00B032BA"/>
    <w:rsid w:val="00B0399F"/>
    <w:rsid w:val="00B0413D"/>
    <w:rsid w:val="00B11D0E"/>
    <w:rsid w:val="00B163DE"/>
    <w:rsid w:val="00B1693A"/>
    <w:rsid w:val="00B16F8F"/>
    <w:rsid w:val="00B1728C"/>
    <w:rsid w:val="00B23853"/>
    <w:rsid w:val="00B2654C"/>
    <w:rsid w:val="00B3039F"/>
    <w:rsid w:val="00B309A8"/>
    <w:rsid w:val="00B37B52"/>
    <w:rsid w:val="00B37FCF"/>
    <w:rsid w:val="00B4217E"/>
    <w:rsid w:val="00B45766"/>
    <w:rsid w:val="00B47B0E"/>
    <w:rsid w:val="00B47E97"/>
    <w:rsid w:val="00B54FA4"/>
    <w:rsid w:val="00B55166"/>
    <w:rsid w:val="00B564FC"/>
    <w:rsid w:val="00B578BF"/>
    <w:rsid w:val="00B57EFB"/>
    <w:rsid w:val="00B61379"/>
    <w:rsid w:val="00B65B5E"/>
    <w:rsid w:val="00B65BCB"/>
    <w:rsid w:val="00B66383"/>
    <w:rsid w:val="00B67077"/>
    <w:rsid w:val="00B67314"/>
    <w:rsid w:val="00B731CF"/>
    <w:rsid w:val="00B752EC"/>
    <w:rsid w:val="00B75669"/>
    <w:rsid w:val="00B83C4C"/>
    <w:rsid w:val="00B8442E"/>
    <w:rsid w:val="00B857EB"/>
    <w:rsid w:val="00B8608A"/>
    <w:rsid w:val="00B908A4"/>
    <w:rsid w:val="00B937AA"/>
    <w:rsid w:val="00B937CB"/>
    <w:rsid w:val="00B93D1E"/>
    <w:rsid w:val="00B9685E"/>
    <w:rsid w:val="00BA1B89"/>
    <w:rsid w:val="00BA5717"/>
    <w:rsid w:val="00BA5E33"/>
    <w:rsid w:val="00BB3644"/>
    <w:rsid w:val="00BB455D"/>
    <w:rsid w:val="00BC01B5"/>
    <w:rsid w:val="00BC0273"/>
    <w:rsid w:val="00BC1BA4"/>
    <w:rsid w:val="00BC7B2B"/>
    <w:rsid w:val="00BD299B"/>
    <w:rsid w:val="00BD5CDB"/>
    <w:rsid w:val="00BD682A"/>
    <w:rsid w:val="00BD75C2"/>
    <w:rsid w:val="00BE2DA7"/>
    <w:rsid w:val="00BE58EE"/>
    <w:rsid w:val="00BE7AF6"/>
    <w:rsid w:val="00BF006F"/>
    <w:rsid w:val="00BF2DC7"/>
    <w:rsid w:val="00BF3C7F"/>
    <w:rsid w:val="00BF49AC"/>
    <w:rsid w:val="00BF656E"/>
    <w:rsid w:val="00C01B32"/>
    <w:rsid w:val="00C05647"/>
    <w:rsid w:val="00C06998"/>
    <w:rsid w:val="00C13A2F"/>
    <w:rsid w:val="00C17669"/>
    <w:rsid w:val="00C17BC9"/>
    <w:rsid w:val="00C219AA"/>
    <w:rsid w:val="00C227F5"/>
    <w:rsid w:val="00C2482F"/>
    <w:rsid w:val="00C4564F"/>
    <w:rsid w:val="00C51E8E"/>
    <w:rsid w:val="00C5380C"/>
    <w:rsid w:val="00C57131"/>
    <w:rsid w:val="00C63613"/>
    <w:rsid w:val="00C6418F"/>
    <w:rsid w:val="00C655AB"/>
    <w:rsid w:val="00C66987"/>
    <w:rsid w:val="00C67681"/>
    <w:rsid w:val="00C708FF"/>
    <w:rsid w:val="00C73586"/>
    <w:rsid w:val="00C7509A"/>
    <w:rsid w:val="00C755B5"/>
    <w:rsid w:val="00C763DA"/>
    <w:rsid w:val="00C81A3F"/>
    <w:rsid w:val="00C85CDE"/>
    <w:rsid w:val="00C87744"/>
    <w:rsid w:val="00C92638"/>
    <w:rsid w:val="00C95056"/>
    <w:rsid w:val="00C9637C"/>
    <w:rsid w:val="00C9680C"/>
    <w:rsid w:val="00CA295B"/>
    <w:rsid w:val="00CA4322"/>
    <w:rsid w:val="00CA452A"/>
    <w:rsid w:val="00CA4636"/>
    <w:rsid w:val="00CB53C8"/>
    <w:rsid w:val="00CC0383"/>
    <w:rsid w:val="00CC2D87"/>
    <w:rsid w:val="00CD1D45"/>
    <w:rsid w:val="00CD3DBF"/>
    <w:rsid w:val="00CD4414"/>
    <w:rsid w:val="00CD483F"/>
    <w:rsid w:val="00CD48E3"/>
    <w:rsid w:val="00CD4A1E"/>
    <w:rsid w:val="00CD4DC1"/>
    <w:rsid w:val="00CD6BD9"/>
    <w:rsid w:val="00CE2F2C"/>
    <w:rsid w:val="00CE6865"/>
    <w:rsid w:val="00CF732E"/>
    <w:rsid w:val="00D02E0B"/>
    <w:rsid w:val="00D042FA"/>
    <w:rsid w:val="00D04AD9"/>
    <w:rsid w:val="00D04F47"/>
    <w:rsid w:val="00D07BD4"/>
    <w:rsid w:val="00D124EF"/>
    <w:rsid w:val="00D14CDF"/>
    <w:rsid w:val="00D16483"/>
    <w:rsid w:val="00D167B4"/>
    <w:rsid w:val="00D2018A"/>
    <w:rsid w:val="00D211B2"/>
    <w:rsid w:val="00D26007"/>
    <w:rsid w:val="00D30CB7"/>
    <w:rsid w:val="00D31924"/>
    <w:rsid w:val="00D32F7B"/>
    <w:rsid w:val="00D330AB"/>
    <w:rsid w:val="00D35E2F"/>
    <w:rsid w:val="00D37375"/>
    <w:rsid w:val="00D403A6"/>
    <w:rsid w:val="00D42CDA"/>
    <w:rsid w:val="00D45B4D"/>
    <w:rsid w:val="00D6161F"/>
    <w:rsid w:val="00D62815"/>
    <w:rsid w:val="00D64523"/>
    <w:rsid w:val="00D653E7"/>
    <w:rsid w:val="00D667E2"/>
    <w:rsid w:val="00D73E86"/>
    <w:rsid w:val="00D7536D"/>
    <w:rsid w:val="00D75EB5"/>
    <w:rsid w:val="00D82A7D"/>
    <w:rsid w:val="00D8340A"/>
    <w:rsid w:val="00D91537"/>
    <w:rsid w:val="00D9789F"/>
    <w:rsid w:val="00DA002C"/>
    <w:rsid w:val="00DA4AE6"/>
    <w:rsid w:val="00DA57EC"/>
    <w:rsid w:val="00DA6154"/>
    <w:rsid w:val="00DC0003"/>
    <w:rsid w:val="00DC15B9"/>
    <w:rsid w:val="00DC3420"/>
    <w:rsid w:val="00DC495F"/>
    <w:rsid w:val="00DC6AE7"/>
    <w:rsid w:val="00DC6E8E"/>
    <w:rsid w:val="00DD356B"/>
    <w:rsid w:val="00DD4E23"/>
    <w:rsid w:val="00DE0829"/>
    <w:rsid w:val="00DE155A"/>
    <w:rsid w:val="00DE1FBE"/>
    <w:rsid w:val="00DE4664"/>
    <w:rsid w:val="00DE4C39"/>
    <w:rsid w:val="00DE4DE2"/>
    <w:rsid w:val="00DF1846"/>
    <w:rsid w:val="00E00130"/>
    <w:rsid w:val="00E006F5"/>
    <w:rsid w:val="00E01377"/>
    <w:rsid w:val="00E0205B"/>
    <w:rsid w:val="00E033D4"/>
    <w:rsid w:val="00E05A4F"/>
    <w:rsid w:val="00E1051D"/>
    <w:rsid w:val="00E12693"/>
    <w:rsid w:val="00E16F76"/>
    <w:rsid w:val="00E203CC"/>
    <w:rsid w:val="00E223C0"/>
    <w:rsid w:val="00E22CF5"/>
    <w:rsid w:val="00E230E9"/>
    <w:rsid w:val="00E2480C"/>
    <w:rsid w:val="00E261F0"/>
    <w:rsid w:val="00E306E7"/>
    <w:rsid w:val="00E30ADA"/>
    <w:rsid w:val="00E30F9E"/>
    <w:rsid w:val="00E33A9C"/>
    <w:rsid w:val="00E37545"/>
    <w:rsid w:val="00E45DA5"/>
    <w:rsid w:val="00E45ED8"/>
    <w:rsid w:val="00E50580"/>
    <w:rsid w:val="00E527C9"/>
    <w:rsid w:val="00E54444"/>
    <w:rsid w:val="00E548B6"/>
    <w:rsid w:val="00E54B57"/>
    <w:rsid w:val="00E56471"/>
    <w:rsid w:val="00E56EDA"/>
    <w:rsid w:val="00E61A3B"/>
    <w:rsid w:val="00E65618"/>
    <w:rsid w:val="00E65981"/>
    <w:rsid w:val="00E7140C"/>
    <w:rsid w:val="00E74D8C"/>
    <w:rsid w:val="00E767A1"/>
    <w:rsid w:val="00E77398"/>
    <w:rsid w:val="00E77E6A"/>
    <w:rsid w:val="00E810D8"/>
    <w:rsid w:val="00E832DF"/>
    <w:rsid w:val="00E85F62"/>
    <w:rsid w:val="00E901C3"/>
    <w:rsid w:val="00E917A5"/>
    <w:rsid w:val="00E91935"/>
    <w:rsid w:val="00EA52F7"/>
    <w:rsid w:val="00EB410F"/>
    <w:rsid w:val="00EC0495"/>
    <w:rsid w:val="00EC06CC"/>
    <w:rsid w:val="00EC4C57"/>
    <w:rsid w:val="00ED22BF"/>
    <w:rsid w:val="00ED3519"/>
    <w:rsid w:val="00EE14E7"/>
    <w:rsid w:val="00EE2F95"/>
    <w:rsid w:val="00EF11C2"/>
    <w:rsid w:val="00EF25B4"/>
    <w:rsid w:val="00EF6601"/>
    <w:rsid w:val="00F01BA2"/>
    <w:rsid w:val="00F10EC5"/>
    <w:rsid w:val="00F12B51"/>
    <w:rsid w:val="00F12FD6"/>
    <w:rsid w:val="00F14B77"/>
    <w:rsid w:val="00F16704"/>
    <w:rsid w:val="00F176BC"/>
    <w:rsid w:val="00F21DFC"/>
    <w:rsid w:val="00F2248B"/>
    <w:rsid w:val="00F22494"/>
    <w:rsid w:val="00F303BC"/>
    <w:rsid w:val="00F30AF7"/>
    <w:rsid w:val="00F313DC"/>
    <w:rsid w:val="00F36AB2"/>
    <w:rsid w:val="00F37EA2"/>
    <w:rsid w:val="00F43905"/>
    <w:rsid w:val="00F47580"/>
    <w:rsid w:val="00F50FE0"/>
    <w:rsid w:val="00F5579F"/>
    <w:rsid w:val="00F57D4E"/>
    <w:rsid w:val="00F60D90"/>
    <w:rsid w:val="00F7458F"/>
    <w:rsid w:val="00F760CD"/>
    <w:rsid w:val="00F7643C"/>
    <w:rsid w:val="00F7785E"/>
    <w:rsid w:val="00F84660"/>
    <w:rsid w:val="00F85BA0"/>
    <w:rsid w:val="00F87A48"/>
    <w:rsid w:val="00F92AAA"/>
    <w:rsid w:val="00F93F1D"/>
    <w:rsid w:val="00F97FA0"/>
    <w:rsid w:val="00FA009F"/>
    <w:rsid w:val="00FA43B6"/>
    <w:rsid w:val="00FA526B"/>
    <w:rsid w:val="00FA65DD"/>
    <w:rsid w:val="00FB5825"/>
    <w:rsid w:val="00FB5A40"/>
    <w:rsid w:val="00FB5EF0"/>
    <w:rsid w:val="00FC1084"/>
    <w:rsid w:val="00FC1139"/>
    <w:rsid w:val="00FC1187"/>
    <w:rsid w:val="00FC4C39"/>
    <w:rsid w:val="00FC7B10"/>
    <w:rsid w:val="00FD13A9"/>
    <w:rsid w:val="00FD26F1"/>
    <w:rsid w:val="00FD274F"/>
    <w:rsid w:val="00FD3BD4"/>
    <w:rsid w:val="00FD5C39"/>
    <w:rsid w:val="00FE134C"/>
    <w:rsid w:val="00FE2C24"/>
    <w:rsid w:val="00FE7FF2"/>
    <w:rsid w:val="00FF0041"/>
    <w:rsid w:val="00FF02BF"/>
    <w:rsid w:val="00FF3423"/>
    <w:rsid w:val="00FF658D"/>
    <w:rsid w:val="00FF694B"/>
    <w:rsid w:val="00FF7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C0C"/>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6F1AED"/>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93C0C"/>
    <w:pPr>
      <w:spacing w:before="100" w:beforeAutospacing="1" w:after="100" w:afterAutospacing="1"/>
    </w:pPr>
  </w:style>
  <w:style w:type="paragraph" w:styleId="Footer">
    <w:name w:val="footer"/>
    <w:basedOn w:val="Normal"/>
    <w:link w:val="FooterChar"/>
    <w:uiPriority w:val="99"/>
    <w:rsid w:val="00693C0C"/>
    <w:pPr>
      <w:tabs>
        <w:tab w:val="center" w:pos="4680"/>
        <w:tab w:val="right" w:pos="9360"/>
      </w:tabs>
    </w:pPr>
  </w:style>
  <w:style w:type="character" w:customStyle="1" w:styleId="FooterChar">
    <w:name w:val="Footer Char"/>
    <w:basedOn w:val="DefaultParagraphFont"/>
    <w:link w:val="Footer"/>
    <w:uiPriority w:val="99"/>
    <w:rsid w:val="00693C0C"/>
    <w:rPr>
      <w:rFonts w:ascii="Times New Roman" w:eastAsia="Times New Roman" w:hAnsi="Times New Roman" w:cs="Times New Roman"/>
      <w:sz w:val="24"/>
      <w:szCs w:val="24"/>
    </w:rPr>
  </w:style>
  <w:style w:type="character" w:styleId="CommentReference">
    <w:name w:val="annotation reference"/>
    <w:rsid w:val="00693C0C"/>
    <w:rPr>
      <w:sz w:val="18"/>
      <w:szCs w:val="18"/>
    </w:rPr>
  </w:style>
  <w:style w:type="paragraph" w:styleId="CommentText">
    <w:name w:val="annotation text"/>
    <w:basedOn w:val="Normal"/>
    <w:link w:val="CommentTextChar"/>
    <w:rsid w:val="00693C0C"/>
  </w:style>
  <w:style w:type="character" w:customStyle="1" w:styleId="CommentTextChar">
    <w:name w:val="Comment Text Char"/>
    <w:basedOn w:val="DefaultParagraphFont"/>
    <w:link w:val="CommentText"/>
    <w:rsid w:val="00693C0C"/>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693C0C"/>
    <w:pPr>
      <w:spacing w:after="120" w:line="276" w:lineRule="auto"/>
      <w:ind w:left="360"/>
    </w:pPr>
    <w:rPr>
      <w:rFonts w:ascii="Calibri" w:eastAsia="Calibri" w:hAnsi="Calibri"/>
      <w:sz w:val="22"/>
      <w:szCs w:val="22"/>
    </w:rPr>
  </w:style>
  <w:style w:type="character" w:customStyle="1" w:styleId="BodyTextIndentChar">
    <w:name w:val="Body Text Indent Char"/>
    <w:basedOn w:val="DefaultParagraphFont"/>
    <w:link w:val="BodyTextIndent"/>
    <w:uiPriority w:val="99"/>
    <w:rsid w:val="00693C0C"/>
    <w:rPr>
      <w:rFonts w:ascii="Calibri" w:eastAsia="Calibri" w:hAnsi="Calibri" w:cs="Times New Roman"/>
    </w:rPr>
  </w:style>
  <w:style w:type="paragraph" w:customStyle="1" w:styleId="EndNoteBibliography">
    <w:name w:val="EndNote Bibliography"/>
    <w:basedOn w:val="Normal"/>
    <w:link w:val="EndNoteBibliographyChar"/>
    <w:rsid w:val="00693C0C"/>
    <w:rPr>
      <w:noProof/>
    </w:rPr>
  </w:style>
  <w:style w:type="character" w:customStyle="1" w:styleId="EndNoteBibliographyChar">
    <w:name w:val="EndNote Bibliography Char"/>
    <w:link w:val="EndNoteBibliography"/>
    <w:rsid w:val="00693C0C"/>
    <w:rPr>
      <w:rFonts w:ascii="Times New Roman" w:eastAsia="Times New Roman" w:hAnsi="Times New Roman" w:cs="Times New Roman"/>
      <w:noProof/>
      <w:sz w:val="24"/>
      <w:szCs w:val="24"/>
    </w:rPr>
  </w:style>
  <w:style w:type="character" w:customStyle="1" w:styleId="apple-converted-space">
    <w:name w:val="apple-converted-space"/>
    <w:basedOn w:val="DefaultParagraphFont"/>
    <w:rsid w:val="00693C0C"/>
  </w:style>
  <w:style w:type="paragraph" w:styleId="BalloonText">
    <w:name w:val="Balloon Text"/>
    <w:basedOn w:val="Normal"/>
    <w:link w:val="BalloonTextChar"/>
    <w:uiPriority w:val="99"/>
    <w:semiHidden/>
    <w:unhideWhenUsed/>
    <w:rsid w:val="00693C0C"/>
    <w:rPr>
      <w:rFonts w:ascii="Tahoma" w:hAnsi="Tahoma" w:cs="Tahoma"/>
      <w:sz w:val="16"/>
      <w:szCs w:val="16"/>
    </w:rPr>
  </w:style>
  <w:style w:type="character" w:customStyle="1" w:styleId="BalloonTextChar">
    <w:name w:val="Balloon Text Char"/>
    <w:basedOn w:val="DefaultParagraphFont"/>
    <w:link w:val="BalloonText"/>
    <w:uiPriority w:val="99"/>
    <w:semiHidden/>
    <w:rsid w:val="00693C0C"/>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45475A"/>
    <w:rPr>
      <w:b/>
      <w:bCs/>
      <w:sz w:val="20"/>
      <w:szCs w:val="20"/>
    </w:rPr>
  </w:style>
  <w:style w:type="character" w:customStyle="1" w:styleId="CommentSubjectChar">
    <w:name w:val="Comment Subject Char"/>
    <w:basedOn w:val="CommentTextChar"/>
    <w:link w:val="CommentSubject"/>
    <w:uiPriority w:val="99"/>
    <w:semiHidden/>
    <w:rsid w:val="0045475A"/>
    <w:rPr>
      <w:rFonts w:ascii="Times New Roman" w:eastAsia="Times New Roman" w:hAnsi="Times New Roman" w:cs="Times New Roman"/>
      <w:b/>
      <w:bCs/>
      <w:sz w:val="20"/>
      <w:szCs w:val="20"/>
    </w:rPr>
  </w:style>
  <w:style w:type="character" w:styleId="PlaceholderText">
    <w:name w:val="Placeholder Text"/>
    <w:basedOn w:val="DefaultParagraphFont"/>
    <w:uiPriority w:val="99"/>
    <w:semiHidden/>
    <w:rsid w:val="000019B6"/>
    <w:rPr>
      <w:color w:val="808080"/>
    </w:rPr>
  </w:style>
  <w:style w:type="paragraph" w:styleId="ListParagraph">
    <w:name w:val="List Paragraph"/>
    <w:basedOn w:val="Normal"/>
    <w:uiPriority w:val="34"/>
    <w:qFormat/>
    <w:rsid w:val="0058504C"/>
    <w:pPr>
      <w:ind w:left="720"/>
      <w:contextualSpacing/>
    </w:pPr>
  </w:style>
  <w:style w:type="character" w:styleId="Hyperlink">
    <w:name w:val="Hyperlink"/>
    <w:basedOn w:val="DefaultParagraphFont"/>
    <w:uiPriority w:val="99"/>
    <w:unhideWhenUsed/>
    <w:rsid w:val="00400D5D"/>
    <w:rPr>
      <w:color w:val="0000FF" w:themeColor="hyperlink"/>
      <w:u w:val="single"/>
    </w:rPr>
  </w:style>
  <w:style w:type="table" w:styleId="TableGrid">
    <w:name w:val="Table Grid"/>
    <w:basedOn w:val="TableNormal"/>
    <w:uiPriority w:val="59"/>
    <w:rsid w:val="00653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579D7"/>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6F1AED"/>
    <w:rPr>
      <w:rFonts w:ascii="Times New Roman" w:eastAsia="Times New Roman" w:hAnsi="Times New Roman" w:cs="Times New Roman"/>
      <w:b/>
      <w:bCs/>
      <w:kern w:val="36"/>
      <w:sz w:val="48"/>
      <w:szCs w:val="48"/>
    </w:rPr>
  </w:style>
  <w:style w:type="paragraph" w:styleId="FootnoteText">
    <w:name w:val="footnote text"/>
    <w:basedOn w:val="Normal"/>
    <w:link w:val="FootnoteTextChar"/>
    <w:uiPriority w:val="99"/>
    <w:semiHidden/>
    <w:unhideWhenUsed/>
    <w:rsid w:val="00524676"/>
    <w:rPr>
      <w:sz w:val="20"/>
      <w:szCs w:val="20"/>
    </w:rPr>
  </w:style>
  <w:style w:type="character" w:customStyle="1" w:styleId="FootnoteTextChar">
    <w:name w:val="Footnote Text Char"/>
    <w:basedOn w:val="DefaultParagraphFont"/>
    <w:link w:val="FootnoteText"/>
    <w:uiPriority w:val="99"/>
    <w:semiHidden/>
    <w:rsid w:val="0052467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24676"/>
    <w:rPr>
      <w:vertAlign w:val="superscript"/>
    </w:rPr>
  </w:style>
  <w:style w:type="paragraph" w:styleId="Header">
    <w:name w:val="header"/>
    <w:basedOn w:val="Normal"/>
    <w:link w:val="HeaderChar"/>
    <w:uiPriority w:val="99"/>
    <w:semiHidden/>
    <w:unhideWhenUsed/>
    <w:rsid w:val="005D2C09"/>
    <w:pPr>
      <w:tabs>
        <w:tab w:val="center" w:pos="4680"/>
        <w:tab w:val="right" w:pos="9360"/>
      </w:tabs>
    </w:pPr>
  </w:style>
  <w:style w:type="character" w:customStyle="1" w:styleId="HeaderChar">
    <w:name w:val="Header Char"/>
    <w:basedOn w:val="DefaultParagraphFont"/>
    <w:link w:val="Header"/>
    <w:uiPriority w:val="99"/>
    <w:semiHidden/>
    <w:rsid w:val="005D2C09"/>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DD4E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C0C"/>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6F1AED"/>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93C0C"/>
    <w:pPr>
      <w:spacing w:before="100" w:beforeAutospacing="1" w:after="100" w:afterAutospacing="1"/>
    </w:pPr>
  </w:style>
  <w:style w:type="paragraph" w:styleId="Footer">
    <w:name w:val="footer"/>
    <w:basedOn w:val="Normal"/>
    <w:link w:val="FooterChar"/>
    <w:uiPriority w:val="99"/>
    <w:rsid w:val="00693C0C"/>
    <w:pPr>
      <w:tabs>
        <w:tab w:val="center" w:pos="4680"/>
        <w:tab w:val="right" w:pos="9360"/>
      </w:tabs>
    </w:pPr>
  </w:style>
  <w:style w:type="character" w:customStyle="1" w:styleId="FooterChar">
    <w:name w:val="Footer Char"/>
    <w:basedOn w:val="DefaultParagraphFont"/>
    <w:link w:val="Footer"/>
    <w:uiPriority w:val="99"/>
    <w:rsid w:val="00693C0C"/>
    <w:rPr>
      <w:rFonts w:ascii="Times New Roman" w:eastAsia="Times New Roman" w:hAnsi="Times New Roman" w:cs="Times New Roman"/>
      <w:sz w:val="24"/>
      <w:szCs w:val="24"/>
    </w:rPr>
  </w:style>
  <w:style w:type="character" w:styleId="CommentReference">
    <w:name w:val="annotation reference"/>
    <w:rsid w:val="00693C0C"/>
    <w:rPr>
      <w:sz w:val="18"/>
      <w:szCs w:val="18"/>
    </w:rPr>
  </w:style>
  <w:style w:type="paragraph" w:styleId="CommentText">
    <w:name w:val="annotation text"/>
    <w:basedOn w:val="Normal"/>
    <w:link w:val="CommentTextChar"/>
    <w:rsid w:val="00693C0C"/>
  </w:style>
  <w:style w:type="character" w:customStyle="1" w:styleId="CommentTextChar">
    <w:name w:val="Comment Text Char"/>
    <w:basedOn w:val="DefaultParagraphFont"/>
    <w:link w:val="CommentText"/>
    <w:rsid w:val="00693C0C"/>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693C0C"/>
    <w:pPr>
      <w:spacing w:after="120" w:line="276" w:lineRule="auto"/>
      <w:ind w:left="360"/>
    </w:pPr>
    <w:rPr>
      <w:rFonts w:ascii="Calibri" w:eastAsia="Calibri" w:hAnsi="Calibri"/>
      <w:sz w:val="22"/>
      <w:szCs w:val="22"/>
    </w:rPr>
  </w:style>
  <w:style w:type="character" w:customStyle="1" w:styleId="BodyTextIndentChar">
    <w:name w:val="Body Text Indent Char"/>
    <w:basedOn w:val="DefaultParagraphFont"/>
    <w:link w:val="BodyTextIndent"/>
    <w:uiPriority w:val="99"/>
    <w:rsid w:val="00693C0C"/>
    <w:rPr>
      <w:rFonts w:ascii="Calibri" w:eastAsia="Calibri" w:hAnsi="Calibri" w:cs="Times New Roman"/>
    </w:rPr>
  </w:style>
  <w:style w:type="paragraph" w:customStyle="1" w:styleId="EndNoteBibliography">
    <w:name w:val="EndNote Bibliography"/>
    <w:basedOn w:val="Normal"/>
    <w:link w:val="EndNoteBibliographyChar"/>
    <w:rsid w:val="00693C0C"/>
    <w:rPr>
      <w:noProof/>
    </w:rPr>
  </w:style>
  <w:style w:type="character" w:customStyle="1" w:styleId="EndNoteBibliographyChar">
    <w:name w:val="EndNote Bibliography Char"/>
    <w:link w:val="EndNoteBibliography"/>
    <w:rsid w:val="00693C0C"/>
    <w:rPr>
      <w:rFonts w:ascii="Times New Roman" w:eastAsia="Times New Roman" w:hAnsi="Times New Roman" w:cs="Times New Roman"/>
      <w:noProof/>
      <w:sz w:val="24"/>
      <w:szCs w:val="24"/>
    </w:rPr>
  </w:style>
  <w:style w:type="character" w:customStyle="1" w:styleId="apple-converted-space">
    <w:name w:val="apple-converted-space"/>
    <w:basedOn w:val="DefaultParagraphFont"/>
    <w:rsid w:val="00693C0C"/>
  </w:style>
  <w:style w:type="paragraph" w:styleId="BalloonText">
    <w:name w:val="Balloon Text"/>
    <w:basedOn w:val="Normal"/>
    <w:link w:val="BalloonTextChar"/>
    <w:uiPriority w:val="99"/>
    <w:semiHidden/>
    <w:unhideWhenUsed/>
    <w:rsid w:val="00693C0C"/>
    <w:rPr>
      <w:rFonts w:ascii="Tahoma" w:hAnsi="Tahoma" w:cs="Tahoma"/>
      <w:sz w:val="16"/>
      <w:szCs w:val="16"/>
    </w:rPr>
  </w:style>
  <w:style w:type="character" w:customStyle="1" w:styleId="BalloonTextChar">
    <w:name w:val="Balloon Text Char"/>
    <w:basedOn w:val="DefaultParagraphFont"/>
    <w:link w:val="BalloonText"/>
    <w:uiPriority w:val="99"/>
    <w:semiHidden/>
    <w:rsid w:val="00693C0C"/>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45475A"/>
    <w:rPr>
      <w:b/>
      <w:bCs/>
      <w:sz w:val="20"/>
      <w:szCs w:val="20"/>
    </w:rPr>
  </w:style>
  <w:style w:type="character" w:customStyle="1" w:styleId="CommentSubjectChar">
    <w:name w:val="Comment Subject Char"/>
    <w:basedOn w:val="CommentTextChar"/>
    <w:link w:val="CommentSubject"/>
    <w:uiPriority w:val="99"/>
    <w:semiHidden/>
    <w:rsid w:val="0045475A"/>
    <w:rPr>
      <w:rFonts w:ascii="Times New Roman" w:eastAsia="Times New Roman" w:hAnsi="Times New Roman" w:cs="Times New Roman"/>
      <w:b/>
      <w:bCs/>
      <w:sz w:val="20"/>
      <w:szCs w:val="20"/>
    </w:rPr>
  </w:style>
  <w:style w:type="character" w:styleId="PlaceholderText">
    <w:name w:val="Placeholder Text"/>
    <w:basedOn w:val="DefaultParagraphFont"/>
    <w:uiPriority w:val="99"/>
    <w:semiHidden/>
    <w:rsid w:val="000019B6"/>
    <w:rPr>
      <w:color w:val="808080"/>
    </w:rPr>
  </w:style>
  <w:style w:type="paragraph" w:styleId="ListParagraph">
    <w:name w:val="List Paragraph"/>
    <w:basedOn w:val="Normal"/>
    <w:uiPriority w:val="34"/>
    <w:qFormat/>
    <w:rsid w:val="0058504C"/>
    <w:pPr>
      <w:ind w:left="720"/>
      <w:contextualSpacing/>
    </w:pPr>
  </w:style>
  <w:style w:type="character" w:styleId="Hyperlink">
    <w:name w:val="Hyperlink"/>
    <w:basedOn w:val="DefaultParagraphFont"/>
    <w:uiPriority w:val="99"/>
    <w:unhideWhenUsed/>
    <w:rsid w:val="00400D5D"/>
    <w:rPr>
      <w:color w:val="0000FF" w:themeColor="hyperlink"/>
      <w:u w:val="single"/>
    </w:rPr>
  </w:style>
  <w:style w:type="table" w:styleId="TableGrid">
    <w:name w:val="Table Grid"/>
    <w:basedOn w:val="TableNormal"/>
    <w:uiPriority w:val="59"/>
    <w:rsid w:val="00653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579D7"/>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6F1AED"/>
    <w:rPr>
      <w:rFonts w:ascii="Times New Roman" w:eastAsia="Times New Roman" w:hAnsi="Times New Roman" w:cs="Times New Roman"/>
      <w:b/>
      <w:bCs/>
      <w:kern w:val="36"/>
      <w:sz w:val="48"/>
      <w:szCs w:val="48"/>
    </w:rPr>
  </w:style>
  <w:style w:type="paragraph" w:styleId="FootnoteText">
    <w:name w:val="footnote text"/>
    <w:basedOn w:val="Normal"/>
    <w:link w:val="FootnoteTextChar"/>
    <w:uiPriority w:val="99"/>
    <w:semiHidden/>
    <w:unhideWhenUsed/>
    <w:rsid w:val="00524676"/>
    <w:rPr>
      <w:sz w:val="20"/>
      <w:szCs w:val="20"/>
    </w:rPr>
  </w:style>
  <w:style w:type="character" w:customStyle="1" w:styleId="FootnoteTextChar">
    <w:name w:val="Footnote Text Char"/>
    <w:basedOn w:val="DefaultParagraphFont"/>
    <w:link w:val="FootnoteText"/>
    <w:uiPriority w:val="99"/>
    <w:semiHidden/>
    <w:rsid w:val="0052467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24676"/>
    <w:rPr>
      <w:vertAlign w:val="superscript"/>
    </w:rPr>
  </w:style>
  <w:style w:type="paragraph" w:styleId="Header">
    <w:name w:val="header"/>
    <w:basedOn w:val="Normal"/>
    <w:link w:val="HeaderChar"/>
    <w:uiPriority w:val="99"/>
    <w:semiHidden/>
    <w:unhideWhenUsed/>
    <w:rsid w:val="005D2C09"/>
    <w:pPr>
      <w:tabs>
        <w:tab w:val="center" w:pos="4680"/>
        <w:tab w:val="right" w:pos="9360"/>
      </w:tabs>
    </w:pPr>
  </w:style>
  <w:style w:type="character" w:customStyle="1" w:styleId="HeaderChar">
    <w:name w:val="Header Char"/>
    <w:basedOn w:val="DefaultParagraphFont"/>
    <w:link w:val="Header"/>
    <w:uiPriority w:val="99"/>
    <w:semiHidden/>
    <w:rsid w:val="005D2C09"/>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DD4E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69615">
      <w:bodyDiv w:val="1"/>
      <w:marLeft w:val="0"/>
      <w:marRight w:val="0"/>
      <w:marTop w:val="0"/>
      <w:marBottom w:val="0"/>
      <w:divBdr>
        <w:top w:val="none" w:sz="0" w:space="0" w:color="auto"/>
        <w:left w:val="none" w:sz="0" w:space="0" w:color="auto"/>
        <w:bottom w:val="none" w:sz="0" w:space="0" w:color="auto"/>
        <w:right w:val="none" w:sz="0" w:space="0" w:color="auto"/>
      </w:divBdr>
    </w:div>
    <w:div w:id="219633282">
      <w:bodyDiv w:val="1"/>
      <w:marLeft w:val="0"/>
      <w:marRight w:val="0"/>
      <w:marTop w:val="0"/>
      <w:marBottom w:val="0"/>
      <w:divBdr>
        <w:top w:val="none" w:sz="0" w:space="0" w:color="auto"/>
        <w:left w:val="none" w:sz="0" w:space="0" w:color="auto"/>
        <w:bottom w:val="none" w:sz="0" w:space="0" w:color="auto"/>
        <w:right w:val="none" w:sz="0" w:space="0" w:color="auto"/>
      </w:divBdr>
      <w:divsChild>
        <w:div w:id="212431040">
          <w:marLeft w:val="0"/>
          <w:marRight w:val="0"/>
          <w:marTop w:val="34"/>
          <w:marBottom w:val="34"/>
          <w:divBdr>
            <w:top w:val="none" w:sz="0" w:space="0" w:color="auto"/>
            <w:left w:val="none" w:sz="0" w:space="0" w:color="auto"/>
            <w:bottom w:val="none" w:sz="0" w:space="0" w:color="auto"/>
            <w:right w:val="none" w:sz="0" w:space="0" w:color="auto"/>
          </w:divBdr>
        </w:div>
      </w:divsChild>
    </w:div>
    <w:div w:id="260114153">
      <w:bodyDiv w:val="1"/>
      <w:marLeft w:val="0"/>
      <w:marRight w:val="0"/>
      <w:marTop w:val="0"/>
      <w:marBottom w:val="0"/>
      <w:divBdr>
        <w:top w:val="none" w:sz="0" w:space="0" w:color="auto"/>
        <w:left w:val="none" w:sz="0" w:space="0" w:color="auto"/>
        <w:bottom w:val="none" w:sz="0" w:space="0" w:color="auto"/>
        <w:right w:val="none" w:sz="0" w:space="0" w:color="auto"/>
      </w:divBdr>
    </w:div>
    <w:div w:id="341399830">
      <w:bodyDiv w:val="1"/>
      <w:marLeft w:val="0"/>
      <w:marRight w:val="0"/>
      <w:marTop w:val="0"/>
      <w:marBottom w:val="0"/>
      <w:divBdr>
        <w:top w:val="none" w:sz="0" w:space="0" w:color="auto"/>
        <w:left w:val="none" w:sz="0" w:space="0" w:color="auto"/>
        <w:bottom w:val="none" w:sz="0" w:space="0" w:color="auto"/>
        <w:right w:val="none" w:sz="0" w:space="0" w:color="auto"/>
      </w:divBdr>
    </w:div>
    <w:div w:id="666060926">
      <w:bodyDiv w:val="1"/>
      <w:marLeft w:val="0"/>
      <w:marRight w:val="0"/>
      <w:marTop w:val="0"/>
      <w:marBottom w:val="0"/>
      <w:divBdr>
        <w:top w:val="none" w:sz="0" w:space="0" w:color="auto"/>
        <w:left w:val="none" w:sz="0" w:space="0" w:color="auto"/>
        <w:bottom w:val="none" w:sz="0" w:space="0" w:color="auto"/>
        <w:right w:val="none" w:sz="0" w:space="0" w:color="auto"/>
      </w:divBdr>
    </w:div>
    <w:div w:id="732239048">
      <w:bodyDiv w:val="1"/>
      <w:marLeft w:val="0"/>
      <w:marRight w:val="0"/>
      <w:marTop w:val="0"/>
      <w:marBottom w:val="0"/>
      <w:divBdr>
        <w:top w:val="none" w:sz="0" w:space="0" w:color="auto"/>
        <w:left w:val="none" w:sz="0" w:space="0" w:color="auto"/>
        <w:bottom w:val="none" w:sz="0" w:space="0" w:color="auto"/>
        <w:right w:val="none" w:sz="0" w:space="0" w:color="auto"/>
      </w:divBdr>
    </w:div>
    <w:div w:id="1178884397">
      <w:bodyDiv w:val="1"/>
      <w:marLeft w:val="0"/>
      <w:marRight w:val="0"/>
      <w:marTop w:val="0"/>
      <w:marBottom w:val="0"/>
      <w:divBdr>
        <w:top w:val="none" w:sz="0" w:space="0" w:color="auto"/>
        <w:left w:val="none" w:sz="0" w:space="0" w:color="auto"/>
        <w:bottom w:val="none" w:sz="0" w:space="0" w:color="auto"/>
        <w:right w:val="none" w:sz="0" w:space="0" w:color="auto"/>
      </w:divBdr>
    </w:div>
    <w:div w:id="1257522184">
      <w:bodyDiv w:val="1"/>
      <w:marLeft w:val="0"/>
      <w:marRight w:val="0"/>
      <w:marTop w:val="0"/>
      <w:marBottom w:val="0"/>
      <w:divBdr>
        <w:top w:val="none" w:sz="0" w:space="0" w:color="auto"/>
        <w:left w:val="none" w:sz="0" w:space="0" w:color="auto"/>
        <w:bottom w:val="none" w:sz="0" w:space="0" w:color="auto"/>
        <w:right w:val="none" w:sz="0" w:space="0" w:color="auto"/>
      </w:divBdr>
    </w:div>
    <w:div w:id="1352299105">
      <w:bodyDiv w:val="1"/>
      <w:marLeft w:val="0"/>
      <w:marRight w:val="0"/>
      <w:marTop w:val="0"/>
      <w:marBottom w:val="0"/>
      <w:divBdr>
        <w:top w:val="none" w:sz="0" w:space="0" w:color="auto"/>
        <w:left w:val="none" w:sz="0" w:space="0" w:color="auto"/>
        <w:bottom w:val="none" w:sz="0" w:space="0" w:color="auto"/>
        <w:right w:val="none" w:sz="0" w:space="0" w:color="auto"/>
      </w:divBdr>
    </w:div>
    <w:div w:id="1494182272">
      <w:bodyDiv w:val="1"/>
      <w:marLeft w:val="0"/>
      <w:marRight w:val="0"/>
      <w:marTop w:val="0"/>
      <w:marBottom w:val="0"/>
      <w:divBdr>
        <w:top w:val="none" w:sz="0" w:space="0" w:color="auto"/>
        <w:left w:val="none" w:sz="0" w:space="0" w:color="auto"/>
        <w:bottom w:val="none" w:sz="0" w:space="0" w:color="auto"/>
        <w:right w:val="none" w:sz="0" w:space="0" w:color="auto"/>
      </w:divBdr>
    </w:div>
    <w:div w:id="1610775396">
      <w:bodyDiv w:val="1"/>
      <w:marLeft w:val="0"/>
      <w:marRight w:val="0"/>
      <w:marTop w:val="0"/>
      <w:marBottom w:val="0"/>
      <w:divBdr>
        <w:top w:val="none" w:sz="0" w:space="0" w:color="auto"/>
        <w:left w:val="none" w:sz="0" w:space="0" w:color="auto"/>
        <w:bottom w:val="none" w:sz="0" w:space="0" w:color="auto"/>
        <w:right w:val="none" w:sz="0" w:space="0" w:color="auto"/>
      </w:divBdr>
      <w:divsChild>
        <w:div w:id="646906943">
          <w:marLeft w:val="0"/>
          <w:marRight w:val="0"/>
          <w:marTop w:val="34"/>
          <w:marBottom w:val="34"/>
          <w:divBdr>
            <w:top w:val="none" w:sz="0" w:space="0" w:color="auto"/>
            <w:left w:val="none" w:sz="0" w:space="0" w:color="auto"/>
            <w:bottom w:val="none" w:sz="0" w:space="0" w:color="auto"/>
            <w:right w:val="none" w:sz="0" w:space="0" w:color="auto"/>
          </w:divBdr>
        </w:div>
      </w:divsChild>
    </w:div>
    <w:div w:id="1738891388">
      <w:bodyDiv w:val="1"/>
      <w:marLeft w:val="0"/>
      <w:marRight w:val="0"/>
      <w:marTop w:val="0"/>
      <w:marBottom w:val="0"/>
      <w:divBdr>
        <w:top w:val="none" w:sz="0" w:space="0" w:color="auto"/>
        <w:left w:val="none" w:sz="0" w:space="0" w:color="auto"/>
        <w:bottom w:val="none" w:sz="0" w:space="0" w:color="auto"/>
        <w:right w:val="none" w:sz="0" w:space="0" w:color="auto"/>
      </w:divBdr>
    </w:div>
    <w:div w:id="1749646488">
      <w:bodyDiv w:val="1"/>
      <w:marLeft w:val="0"/>
      <w:marRight w:val="0"/>
      <w:marTop w:val="0"/>
      <w:marBottom w:val="0"/>
      <w:divBdr>
        <w:top w:val="none" w:sz="0" w:space="0" w:color="auto"/>
        <w:left w:val="none" w:sz="0" w:space="0" w:color="auto"/>
        <w:bottom w:val="none" w:sz="0" w:space="0" w:color="auto"/>
        <w:right w:val="none" w:sz="0" w:space="0" w:color="auto"/>
      </w:divBdr>
    </w:div>
    <w:div w:id="2042631201">
      <w:bodyDiv w:val="1"/>
      <w:marLeft w:val="0"/>
      <w:marRight w:val="0"/>
      <w:marTop w:val="0"/>
      <w:marBottom w:val="0"/>
      <w:divBdr>
        <w:top w:val="none" w:sz="0" w:space="0" w:color="auto"/>
        <w:left w:val="none" w:sz="0" w:space="0" w:color="auto"/>
        <w:bottom w:val="none" w:sz="0" w:space="0" w:color="auto"/>
        <w:right w:val="none" w:sz="0" w:space="0" w:color="auto"/>
      </w:divBdr>
    </w:div>
    <w:div w:id="211991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emily_oken@harvardpilgrim.org" TargetMode="External"/><Relationship Id="rId4" Type="http://schemas.microsoft.com/office/2007/relationships/stylesWithEffects" Target="stylesWithEffects.xml"/><Relationship Id="rId9" Type="http://schemas.openxmlformats.org/officeDocument/2006/relationships/hyperlink" Target="mailto:emily_oken@harvardpilgrim.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BAF85F-8D05-4AAE-80F7-CF1767F91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5686</Words>
  <Characters>32416</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2016-03-11T14:29:00Z</cp:lastPrinted>
  <dcterms:created xsi:type="dcterms:W3CDTF">2016-09-07T16:27:00Z</dcterms:created>
  <dcterms:modified xsi:type="dcterms:W3CDTF">2016-09-07T16:27:00Z</dcterms:modified>
</cp:coreProperties>
</file>