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63" w:rsidRDefault="006F41BD" w:rsidP="006F41BD">
      <w:pPr>
        <w:spacing w:line="360" w:lineRule="auto"/>
        <w:rPr>
          <w:rFonts w:eastAsia="MS Mincho"/>
          <w:sz w:val="24"/>
        </w:rPr>
      </w:pPr>
      <w:r w:rsidRPr="00F33501">
        <w:rPr>
          <w:rFonts w:eastAsia="MS Mincho"/>
          <w:b/>
          <w:sz w:val="24"/>
        </w:rPr>
        <w:t>Schindler’s equation</w:t>
      </w:r>
      <w:r w:rsidR="00E72E63">
        <w:rPr>
          <w:rFonts w:eastAsia="MS Mincho"/>
          <w:sz w:val="24"/>
        </w:rPr>
        <w:t xml:space="preserve">, </w:t>
      </w:r>
    </w:p>
    <w:p w:rsidR="00F33501" w:rsidRDefault="006F41BD" w:rsidP="006F41BD">
      <w:pPr>
        <w:spacing w:line="360" w:lineRule="auto"/>
        <w:rPr>
          <w:rFonts w:eastAsia="MS Mincho"/>
          <w:sz w:val="24"/>
        </w:rPr>
      </w:pPr>
      <w:r>
        <w:rPr>
          <w:rFonts w:eastAsia="MS Mincho"/>
          <w:sz w:val="24"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2666"/>
        <w:gridCol w:w="2722"/>
      </w:tblGrid>
      <w:tr w:rsidR="00F33501" w:rsidRPr="009C0589" w:rsidTr="00F21F20">
        <w:tc>
          <w:tcPr>
            <w:tcW w:w="3284" w:type="dxa"/>
          </w:tcPr>
          <w:p w:rsidR="00F33501" w:rsidRPr="009C0589" w:rsidRDefault="00F33501" w:rsidP="00F33501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k+1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 xml:space="preserve">-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(k)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∆t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3285" w:type="dxa"/>
          </w:tcPr>
          <w:p w:rsidR="00F33501" w:rsidRPr="009C0589" w:rsidRDefault="00F33501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86" w:type="dxa"/>
            <w:vAlign w:val="center"/>
          </w:tcPr>
          <w:p w:rsidR="00F33501" w:rsidRPr="009C0589" w:rsidRDefault="00F33501" w:rsidP="00F21F20">
            <w:pPr>
              <w:pStyle w:val="Textoindependiente"/>
              <w:spacing w:line="360" w:lineRule="auto"/>
              <w:jc w:val="right"/>
              <w:rPr>
                <w:color w:val="000000" w:themeColor="text1"/>
                <w:sz w:val="24"/>
              </w:rPr>
            </w:pPr>
            <w:r w:rsidRPr="009C0589">
              <w:rPr>
                <w:color w:val="000000" w:themeColor="text1"/>
                <w:sz w:val="24"/>
              </w:rPr>
              <w:t>(1)</w:t>
            </w:r>
          </w:p>
        </w:tc>
      </w:tr>
    </w:tbl>
    <w:p w:rsidR="006F41BD" w:rsidRPr="00F33501" w:rsidRDefault="00F33501" w:rsidP="006F41BD">
      <w:pPr>
        <w:spacing w:line="360" w:lineRule="auto"/>
        <w:rPr>
          <w:rFonts w:eastAsia="MS Mincho"/>
          <w:sz w:val="24"/>
        </w:rPr>
      </w:pPr>
      <w:proofErr w:type="gramStart"/>
      <w:r>
        <w:rPr>
          <w:rFonts w:eastAsia="MS Mincho"/>
          <w:sz w:val="24"/>
        </w:rPr>
        <w:t>where</w:t>
      </w:r>
      <w:proofErr w:type="gramEnd"/>
      <w:r>
        <w:rPr>
          <w:rFonts w:eastAsia="MS Mincho"/>
          <w:sz w:val="24"/>
        </w:rPr>
        <w:t xml:space="preserve"> </w:t>
      </w:r>
      <w:r w:rsidRPr="009C0589">
        <w:rPr>
          <w:rFonts w:eastAsia="MS Mincho"/>
          <w:i/>
          <w:color w:val="000000" w:themeColor="text1"/>
          <w:sz w:val="24"/>
        </w:rPr>
        <w:t>x</w:t>
      </w:r>
      <w:r w:rsidRPr="000B7B8E">
        <w:rPr>
          <w:rFonts w:eastAsia="MS Mincho"/>
          <w:i/>
          <w:color w:val="000000" w:themeColor="text1"/>
          <w:sz w:val="24"/>
          <w:vertAlign w:val="subscript"/>
        </w:rPr>
        <w:t>i</w:t>
      </w:r>
      <w:r>
        <w:rPr>
          <w:rFonts w:eastAsia="MS Mincho"/>
          <w:i/>
          <w:color w:val="000000" w:themeColor="text1"/>
          <w:sz w:val="24"/>
          <w:vertAlign w:val="subscript"/>
        </w:rPr>
        <w:t xml:space="preserve"> </w:t>
      </w:r>
      <w:r>
        <w:rPr>
          <w:rFonts w:eastAsia="MS Mincho"/>
          <w:color w:val="000000" w:themeColor="text1"/>
          <w:sz w:val="24"/>
        </w:rPr>
        <w:t xml:space="preserve">is the time series of each electrode and </w:t>
      </w:r>
      <m:oMath>
        <m:r>
          <w:rPr>
            <w:rFonts w:ascii="Cambria Math" w:hAnsi="Cambria Math"/>
            <w:color w:val="000000" w:themeColor="text1"/>
            <w:sz w:val="24"/>
          </w:rPr>
          <m:t>∆t</m:t>
        </m:r>
      </m:oMath>
      <w:r>
        <w:rPr>
          <w:rFonts w:eastAsia="MS Mincho"/>
          <w:color w:val="000000" w:themeColor="text1"/>
          <w:sz w:val="24"/>
        </w:rPr>
        <w:t xml:space="preserve"> is the sampling time.</w:t>
      </w:r>
      <w:bookmarkStart w:id="0" w:name="_GoBack"/>
      <w:bookmarkEnd w:id="0"/>
    </w:p>
    <w:p w:rsidR="006F41BD" w:rsidRDefault="006F41BD" w:rsidP="006F41BD">
      <w:pPr>
        <w:spacing w:line="360" w:lineRule="auto"/>
        <w:rPr>
          <w:rFonts w:eastAsia="MS Mincho"/>
          <w:sz w:val="24"/>
        </w:rPr>
      </w:pPr>
    </w:p>
    <w:p w:rsidR="006F41BD" w:rsidRPr="009C0589" w:rsidRDefault="006F41BD" w:rsidP="006F41BD">
      <w:pPr>
        <w:spacing w:line="360" w:lineRule="auto"/>
        <w:rPr>
          <w:rFonts w:eastAsia="MS Mincho"/>
          <w:color w:val="000000" w:themeColor="text1"/>
          <w:sz w:val="24"/>
        </w:rPr>
      </w:pPr>
      <w:r w:rsidRPr="00F33501">
        <w:rPr>
          <w:rFonts w:eastAsia="MS Mincho"/>
          <w:b/>
          <w:sz w:val="24"/>
        </w:rPr>
        <w:t>Th</w:t>
      </w:r>
      <w:r w:rsidRPr="00F33501">
        <w:rPr>
          <w:rFonts w:eastAsia="MS Mincho"/>
          <w:b/>
          <w:sz w:val="24"/>
        </w:rPr>
        <w:t>e spectral entropy (SE)</w:t>
      </w:r>
      <w:r>
        <w:rPr>
          <w:rFonts w:eastAsia="MS Mincho"/>
          <w:sz w:val="24"/>
        </w:rPr>
        <w:t xml:space="preserve">, is the Shannon entropy of the full signal power spectrum, was calculated as an indicator of the signal spectral content. The SE was calculated in the following way. Firstly </w:t>
      </w:r>
      <w:r w:rsidRPr="009C0589">
        <w:rPr>
          <w:rFonts w:eastAsia="MS Mincho"/>
          <w:sz w:val="24"/>
        </w:rPr>
        <w:t xml:space="preserve">the normalized power spectrum </w:t>
      </w:r>
      <w:proofErr w:type="spellStart"/>
      <w:r w:rsidRPr="009C0589">
        <w:rPr>
          <w:rFonts w:eastAsia="MS Mincho"/>
          <w:i/>
          <w:sz w:val="24"/>
        </w:rPr>
        <w:t>nPS</w:t>
      </w:r>
      <w:r w:rsidRPr="000B7B8E">
        <w:rPr>
          <w:rFonts w:eastAsia="MS Mincho"/>
          <w:i/>
          <w:sz w:val="24"/>
          <w:vertAlign w:val="subscript"/>
        </w:rPr>
        <w:t>i</w:t>
      </w:r>
      <w:proofErr w:type="spellEnd"/>
      <w:r w:rsidRPr="009C0589">
        <w:rPr>
          <w:rFonts w:eastAsia="MS Mincho"/>
          <w:sz w:val="24"/>
        </w:rPr>
        <w:t xml:space="preserve"> </w:t>
      </w:r>
      <w:r>
        <w:rPr>
          <w:rFonts w:eastAsia="MS Mincho"/>
          <w:sz w:val="24"/>
        </w:rPr>
        <w:t>was</w:t>
      </w:r>
      <w:r w:rsidRPr="009C0589">
        <w:rPr>
          <w:rFonts w:eastAsia="MS Mincho"/>
          <w:sz w:val="24"/>
        </w:rPr>
        <w:t xml:space="preserve"> </w:t>
      </w:r>
      <w:r>
        <w:rPr>
          <w:rFonts w:eastAsia="MS Mincho"/>
          <w:color w:val="000000" w:themeColor="text1"/>
          <w:sz w:val="24"/>
        </w:rPr>
        <w:t>estimated</w:t>
      </w:r>
      <w:r w:rsidRPr="009C0589">
        <w:rPr>
          <w:rFonts w:eastAsia="MS Mincho"/>
          <w:color w:val="000000" w:themeColor="text1"/>
          <w:sz w:val="24"/>
        </w:rPr>
        <w:t xml:space="preserve"> for each electrode</w:t>
      </w:r>
      <w:r>
        <w:rPr>
          <w:rFonts w:eastAsia="MS Mincho"/>
          <w:color w:val="000000" w:themeColor="text1"/>
          <w:sz w:val="24"/>
        </w:rPr>
        <w:t>’s</w:t>
      </w:r>
      <w:r w:rsidRPr="009C0589">
        <w:rPr>
          <w:rFonts w:eastAsia="MS Mincho"/>
          <w:color w:val="000000" w:themeColor="text1"/>
          <w:sz w:val="24"/>
        </w:rPr>
        <w:t xml:space="preserve"> time series </w:t>
      </w:r>
      <w:r w:rsidRPr="009C0589">
        <w:rPr>
          <w:rFonts w:eastAsia="MS Mincho"/>
          <w:i/>
          <w:color w:val="000000" w:themeColor="text1"/>
          <w:sz w:val="24"/>
        </w:rPr>
        <w:t>x</w:t>
      </w:r>
      <w:r w:rsidRPr="000B7B8E">
        <w:rPr>
          <w:rFonts w:eastAsia="MS Mincho"/>
          <w:i/>
          <w:color w:val="000000" w:themeColor="text1"/>
          <w:sz w:val="24"/>
          <w:vertAlign w:val="subscript"/>
        </w:rPr>
        <w:t>i</w:t>
      </w:r>
      <w:r w:rsidRPr="009C0589">
        <w:rPr>
          <w:rFonts w:eastAsia="MS Mincho"/>
          <w:color w:val="000000" w:themeColor="text1"/>
          <w:sz w:val="24"/>
        </w:rPr>
        <w:t xml:space="preserve"> 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1"/>
        <w:gridCol w:w="2747"/>
        <w:gridCol w:w="2796"/>
      </w:tblGrid>
      <w:tr w:rsidR="006F41BD" w:rsidRPr="009C0589" w:rsidTr="00F21F20">
        <w:tc>
          <w:tcPr>
            <w:tcW w:w="3284" w:type="dxa"/>
          </w:tcPr>
          <w:p w:rsidR="006F41BD" w:rsidRPr="009C0589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nPS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l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PS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l</m:t>
                            </m:r>
                          </m:sub>
                        </m:sSub>
                      </m:e>
                    </m:d>
                  </m:num>
                  <m:den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l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PS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i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color w:val="000000" w:themeColor="text1"/>
                                    <w:sz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  <w:sz w:val="24"/>
                                  </w:rPr>
                                  <m:t>l</m:t>
                                </m:r>
                              </m:sub>
                            </m:sSub>
                          </m:e>
                        </m:d>
                      </m:e>
                    </m:nary>
                  </m:den>
                </m:f>
              </m:oMath>
            </m:oMathPara>
          </w:p>
        </w:tc>
        <w:tc>
          <w:tcPr>
            <w:tcW w:w="3285" w:type="dxa"/>
          </w:tcPr>
          <w:p w:rsidR="006F41BD" w:rsidRPr="009C0589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86" w:type="dxa"/>
            <w:vAlign w:val="center"/>
          </w:tcPr>
          <w:p w:rsidR="006F41BD" w:rsidRPr="009C0589" w:rsidRDefault="006F41BD" w:rsidP="00F21F20">
            <w:pPr>
              <w:pStyle w:val="Textoindependiente"/>
              <w:spacing w:line="360" w:lineRule="auto"/>
              <w:jc w:val="right"/>
              <w:rPr>
                <w:color w:val="000000" w:themeColor="text1"/>
                <w:sz w:val="24"/>
              </w:rPr>
            </w:pPr>
            <w:r w:rsidRPr="009C0589">
              <w:rPr>
                <w:color w:val="000000" w:themeColor="text1"/>
                <w:sz w:val="24"/>
              </w:rPr>
              <w:t>(1)</w:t>
            </w:r>
          </w:p>
        </w:tc>
      </w:tr>
    </w:tbl>
    <w:p w:rsidR="006F41BD" w:rsidRPr="00C2745B" w:rsidRDefault="006F41BD" w:rsidP="006F41BD">
      <w:pPr>
        <w:widowControl/>
        <w:autoSpaceDE w:val="0"/>
        <w:autoSpaceDN w:val="0"/>
        <w:adjustRightInd w:val="0"/>
        <w:spacing w:line="360" w:lineRule="auto"/>
        <w:jc w:val="left"/>
        <w:rPr>
          <w:rFonts w:eastAsia="MS Mincho"/>
          <w:sz w:val="24"/>
        </w:rPr>
      </w:pPr>
      <w:proofErr w:type="gramStart"/>
      <w:r w:rsidRPr="009C0589">
        <w:rPr>
          <w:rFonts w:eastAsia="MS Mincho"/>
          <w:sz w:val="24"/>
        </w:rPr>
        <w:t>where</w:t>
      </w:r>
      <w:proofErr w:type="gramEnd"/>
      <w:r w:rsidRPr="009C0589">
        <w:rPr>
          <w:rFonts w:eastAsia="MS Mincho"/>
          <w:sz w:val="24"/>
        </w:rPr>
        <w:t xml:space="preserve"> </w:t>
      </w:r>
      <w:proofErr w:type="spellStart"/>
      <w:r w:rsidRPr="009C0589">
        <w:rPr>
          <w:rFonts w:eastAsia="MS Mincho"/>
          <w:i/>
          <w:sz w:val="24"/>
        </w:rPr>
        <w:t>PS</w:t>
      </w:r>
      <w:r w:rsidRPr="007B71EF">
        <w:rPr>
          <w:rFonts w:eastAsia="MS Mincho"/>
          <w:i/>
          <w:sz w:val="24"/>
          <w:vertAlign w:val="subscript"/>
        </w:rPr>
        <w:t>i</w:t>
      </w:r>
      <w:proofErr w:type="spellEnd"/>
      <w:r w:rsidRPr="009C0589">
        <w:rPr>
          <w:rFonts w:eastAsia="MS Mincho"/>
          <w:i/>
          <w:color w:val="000000" w:themeColor="text1"/>
          <w:sz w:val="24"/>
        </w:rPr>
        <w:t>(</w:t>
      </w:r>
      <w:proofErr w:type="spellStart"/>
      <w:r w:rsidRPr="009C0589">
        <w:rPr>
          <w:i/>
          <w:color w:val="000000" w:themeColor="text1"/>
          <w:sz w:val="24"/>
        </w:rPr>
        <w:t>f</w:t>
      </w:r>
      <w:r w:rsidRPr="009C0589">
        <w:rPr>
          <w:i/>
          <w:color w:val="000000" w:themeColor="text1"/>
          <w:sz w:val="24"/>
          <w:vertAlign w:val="subscript"/>
        </w:rPr>
        <w:t>l</w:t>
      </w:r>
      <w:proofErr w:type="spellEnd"/>
      <w:r w:rsidRPr="009C0589">
        <w:rPr>
          <w:rFonts w:eastAsia="MS Mincho"/>
          <w:i/>
          <w:color w:val="000000" w:themeColor="text1"/>
          <w:sz w:val="24"/>
        </w:rPr>
        <w:t>)</w:t>
      </w:r>
      <w:r w:rsidRPr="009C0589">
        <w:rPr>
          <w:rFonts w:eastAsia="MS Mincho"/>
          <w:color w:val="000000" w:themeColor="text1"/>
          <w:sz w:val="24"/>
        </w:rPr>
        <w:t xml:space="preserve"> is the power spectrum of </w:t>
      </w:r>
      <w:r w:rsidRPr="009C0589">
        <w:rPr>
          <w:rFonts w:eastAsia="MS Mincho"/>
          <w:i/>
          <w:color w:val="000000" w:themeColor="text1"/>
          <w:sz w:val="24"/>
        </w:rPr>
        <w:t>x</w:t>
      </w:r>
      <w:r w:rsidRPr="009C0589">
        <w:rPr>
          <w:rFonts w:eastAsia="MS Mincho"/>
          <w:i/>
          <w:color w:val="000000" w:themeColor="text1"/>
          <w:sz w:val="24"/>
          <w:vertAlign w:val="subscript"/>
        </w:rPr>
        <w:t>i</w:t>
      </w:r>
      <w:r w:rsidRPr="009C0589">
        <w:rPr>
          <w:rFonts w:eastAsia="MS Mincho"/>
          <w:color w:val="000000" w:themeColor="text1"/>
          <w:sz w:val="24"/>
        </w:rPr>
        <w:t xml:space="preserve"> and the sum runs all over the </w:t>
      </w:r>
      <w:r>
        <w:rPr>
          <w:rFonts w:eastAsia="MS Mincho"/>
          <w:color w:val="000000" w:themeColor="text1"/>
          <w:sz w:val="24"/>
        </w:rPr>
        <w:t xml:space="preserve">full spectrum of </w:t>
      </w:r>
      <w:r w:rsidRPr="009C0589">
        <w:rPr>
          <w:rFonts w:eastAsia="MS Mincho"/>
          <w:color w:val="000000" w:themeColor="text1"/>
          <w:sz w:val="24"/>
        </w:rPr>
        <w:t xml:space="preserve">frequencies </w:t>
      </w:r>
      <w:r w:rsidRPr="009C0589">
        <w:rPr>
          <w:i/>
          <w:color w:val="000000" w:themeColor="text1"/>
          <w:sz w:val="24"/>
        </w:rPr>
        <w:t>f</w:t>
      </w:r>
      <w:r w:rsidRPr="009C0589">
        <w:rPr>
          <w:i/>
          <w:color w:val="000000" w:themeColor="text1"/>
          <w:sz w:val="24"/>
          <w:vertAlign w:val="subscript"/>
        </w:rPr>
        <w:t>l</w:t>
      </w:r>
      <w:r w:rsidRPr="009C0589">
        <w:rPr>
          <w:rFonts w:eastAsia="MS Mincho"/>
          <w:color w:val="000000" w:themeColor="text1"/>
          <w:sz w:val="24"/>
        </w:rPr>
        <w:t xml:space="preserve">. </w:t>
      </w:r>
      <w:r>
        <w:rPr>
          <w:rFonts w:eastAsia="MS Mincho"/>
          <w:color w:val="000000" w:themeColor="text1"/>
          <w:sz w:val="24"/>
        </w:rPr>
        <w:t>Secondly, t</w:t>
      </w:r>
      <w:r w:rsidRPr="009C0589">
        <w:rPr>
          <w:rFonts w:eastAsia="MS Mincho"/>
          <w:sz w:val="24"/>
        </w:rPr>
        <w:t xml:space="preserve">he </w:t>
      </w:r>
      <w:r>
        <w:rPr>
          <w:rFonts w:eastAsia="MS Mincho"/>
          <w:sz w:val="24"/>
        </w:rPr>
        <w:t>Shannon entropy</w:t>
      </w:r>
      <w:r w:rsidRPr="00C2745B">
        <w:rPr>
          <w:rFonts w:eastAsia="MS Mincho"/>
          <w:color w:val="000000" w:themeColor="text1"/>
          <w:sz w:val="24"/>
        </w:rPr>
        <w:t xml:space="preserve"> of this “probability distribution” </w:t>
      </w:r>
      <w:r>
        <w:rPr>
          <w:rFonts w:eastAsia="MS Mincho"/>
          <w:color w:val="000000" w:themeColor="text1"/>
          <w:sz w:val="24"/>
        </w:rPr>
        <w:t>was</w:t>
      </w:r>
      <w:r w:rsidRPr="00C2745B">
        <w:rPr>
          <w:rFonts w:eastAsia="MS Mincho"/>
          <w:color w:val="000000" w:themeColor="text1"/>
          <w:sz w:val="24"/>
        </w:rPr>
        <w:t xml:space="preserve"> calculated</w:t>
      </w:r>
    </w:p>
    <w:tbl>
      <w:tblPr>
        <w:tblStyle w:val="Tablaconcuadrcula"/>
        <w:tblW w:w="9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1602"/>
        <w:gridCol w:w="3295"/>
      </w:tblGrid>
      <w:tr w:rsidR="006F41BD" w:rsidRPr="00C2745B" w:rsidTr="00F21F20">
        <w:trPr>
          <w:trHeight w:val="1210"/>
        </w:trPr>
        <w:tc>
          <w:tcPr>
            <w:tcW w:w="4986" w:type="dxa"/>
            <w:vAlign w:val="center"/>
          </w:tcPr>
          <w:p w:rsidR="006F41BD" w:rsidRPr="00C2745B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  <w:lang w:val="es-E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SE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4"/>
                    <w:lang w:val="es-ES"/>
                  </w:rPr>
                  <m:t>=-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l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nPS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s-E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l</m:t>
                        </m:r>
                      </m:sub>
                    </m:sSub>
                    <m:r>
                      <w:rPr>
                        <w:rFonts w:ascii="Cambria Math" w:hAnsi="Cambria Math"/>
                        <w:color w:val="000000" w:themeColor="text1"/>
                        <w:sz w:val="24"/>
                        <w:lang w:val="es-ES"/>
                      </w:rPr>
                      <m:t>)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 w:themeColor="text1"/>
                            <w:sz w:val="24"/>
                            <w:lang w:val="es-ES"/>
                          </w:rPr>
                          <m:t>log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nPS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lang w:val="es-ES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</w:rPr>
                              <m:t>l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  <w:lang w:val="es-ES"/>
                          </w:rPr>
                          <m:t>)</m:t>
                        </m:r>
                      </m:e>
                    </m:func>
                  </m:e>
                </m:nary>
              </m:oMath>
            </m:oMathPara>
          </w:p>
        </w:tc>
        <w:tc>
          <w:tcPr>
            <w:tcW w:w="1602" w:type="dxa"/>
          </w:tcPr>
          <w:p w:rsidR="006F41BD" w:rsidRPr="00C2745B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  <w:lang w:val="es-ES"/>
              </w:rPr>
            </w:pPr>
          </w:p>
        </w:tc>
        <w:tc>
          <w:tcPr>
            <w:tcW w:w="3295" w:type="dxa"/>
            <w:vAlign w:val="center"/>
          </w:tcPr>
          <w:p w:rsidR="006F41BD" w:rsidRPr="00C2745B" w:rsidRDefault="006F41BD" w:rsidP="006F41BD">
            <w:pPr>
              <w:pStyle w:val="Textoindependiente"/>
              <w:spacing w:line="360" w:lineRule="auto"/>
              <w:jc w:val="center"/>
              <w:rPr>
                <w:color w:val="000000" w:themeColor="text1"/>
                <w:sz w:val="24"/>
                <w:lang w:val="es-ES"/>
              </w:rPr>
            </w:pPr>
            <w:r w:rsidRPr="00C2745B">
              <w:rPr>
                <w:color w:val="000000" w:themeColor="text1"/>
                <w:sz w:val="24"/>
                <w:lang w:val="es-ES"/>
              </w:rPr>
              <w:t>(2)</w:t>
            </w:r>
          </w:p>
        </w:tc>
      </w:tr>
    </w:tbl>
    <w:p w:rsidR="006F41BD" w:rsidRPr="00C2745B" w:rsidRDefault="006F41BD" w:rsidP="006F41BD">
      <w:pPr>
        <w:pStyle w:val="Textoindependiente"/>
        <w:spacing w:line="360" w:lineRule="auto"/>
        <w:rPr>
          <w:color w:val="000000" w:themeColor="text1"/>
          <w:sz w:val="24"/>
        </w:rPr>
      </w:pPr>
      <w:proofErr w:type="gramStart"/>
      <w:r w:rsidRPr="00C2745B">
        <w:rPr>
          <w:color w:val="000000" w:themeColor="text1"/>
          <w:sz w:val="24"/>
        </w:rPr>
        <w:t>where</w:t>
      </w:r>
      <w:proofErr w:type="gramEnd"/>
      <w:r w:rsidRPr="00C2745B">
        <w:rPr>
          <w:color w:val="000000" w:themeColor="text1"/>
          <w:sz w:val="24"/>
        </w:rPr>
        <w:t xml:space="preserve"> </w:t>
      </w:r>
      <w:proofErr w:type="spellStart"/>
      <w:r w:rsidRPr="00C2745B">
        <w:rPr>
          <w:i/>
          <w:color w:val="000000" w:themeColor="text1"/>
          <w:sz w:val="24"/>
        </w:rPr>
        <w:t>SE</w:t>
      </w:r>
      <w:r w:rsidRPr="00C2745B">
        <w:rPr>
          <w:i/>
          <w:color w:val="000000" w:themeColor="text1"/>
          <w:sz w:val="24"/>
          <w:vertAlign w:val="subscript"/>
        </w:rPr>
        <w:t>i</w:t>
      </w:r>
      <w:proofErr w:type="spellEnd"/>
      <w:r w:rsidRPr="00C2745B">
        <w:rPr>
          <w:color w:val="000000" w:themeColor="text1"/>
          <w:sz w:val="24"/>
          <w:vertAlign w:val="subscript"/>
        </w:rPr>
        <w:t xml:space="preserve"> </w:t>
      </w:r>
      <w:r w:rsidRPr="00C2745B">
        <w:rPr>
          <w:color w:val="000000" w:themeColor="text1"/>
          <w:sz w:val="24"/>
        </w:rPr>
        <w:t>is the spectral entropy for channel</w:t>
      </w:r>
      <w:r w:rsidRPr="00C2745B">
        <w:rPr>
          <w:i/>
          <w:color w:val="000000" w:themeColor="text1"/>
          <w:sz w:val="24"/>
        </w:rPr>
        <w:t xml:space="preserve"> </w:t>
      </w:r>
      <w:proofErr w:type="spellStart"/>
      <w:r w:rsidRPr="00C2745B">
        <w:rPr>
          <w:i/>
          <w:color w:val="000000" w:themeColor="text1"/>
          <w:sz w:val="24"/>
        </w:rPr>
        <w:t>i</w:t>
      </w:r>
      <w:proofErr w:type="spellEnd"/>
      <w:r w:rsidRPr="00C2745B">
        <w:rPr>
          <w:color w:val="000000" w:themeColor="text1"/>
          <w:sz w:val="24"/>
        </w:rPr>
        <w:t>. The</w:t>
      </w:r>
      <w:r>
        <w:rPr>
          <w:color w:val="000000" w:themeColor="text1"/>
          <w:sz w:val="24"/>
        </w:rPr>
        <w:t xml:space="preserve"> average</w:t>
      </w:r>
      <w:r w:rsidRPr="00C2745B">
        <w:rPr>
          <w:color w:val="000000" w:themeColor="text1"/>
          <w:sz w:val="24"/>
        </w:rPr>
        <w:t xml:space="preserve"> of </w:t>
      </w:r>
      <w:r>
        <w:rPr>
          <w:color w:val="000000" w:themeColor="text1"/>
          <w:sz w:val="24"/>
        </w:rPr>
        <w:t xml:space="preserve">the </w:t>
      </w:r>
      <w:r w:rsidRPr="00C2745B">
        <w:rPr>
          <w:i/>
          <w:color w:val="000000" w:themeColor="text1"/>
          <w:sz w:val="24"/>
        </w:rPr>
        <w:t>SE</w:t>
      </w:r>
      <w:r w:rsidRPr="00C2745B">
        <w:rPr>
          <w:color w:val="000000" w:themeColor="text1"/>
          <w:sz w:val="24"/>
        </w:rPr>
        <w:t xml:space="preserve"> for </w:t>
      </w:r>
      <w:r>
        <w:rPr>
          <w:color w:val="000000" w:themeColor="text1"/>
          <w:sz w:val="24"/>
        </w:rPr>
        <w:t>a set of electrodes i.e. the whole network electrodes or a particular region, was finally calculated as</w:t>
      </w:r>
      <w:r w:rsidRPr="00C2745B">
        <w:rPr>
          <w:color w:val="000000" w:themeColor="text1"/>
          <w:sz w:val="24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2640"/>
        <w:gridCol w:w="2696"/>
      </w:tblGrid>
      <w:tr w:rsidR="006F41BD" w:rsidRPr="00C2745B" w:rsidTr="00F21F20">
        <w:trPr>
          <w:trHeight w:val="1086"/>
        </w:trPr>
        <w:tc>
          <w:tcPr>
            <w:tcW w:w="3253" w:type="dxa"/>
            <w:vAlign w:val="center"/>
          </w:tcPr>
          <w:p w:rsidR="006F41BD" w:rsidRPr="00C2745B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 w:themeColor="text1"/>
                    <w:sz w:val="24"/>
                  </w:rPr>
                  <m:t>SE=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electrodes</m:t>
                        </m:r>
                      </m:sub>
                    </m:sSub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 w:themeColor="text1"/>
                        <w:sz w:val="24"/>
                      </w:rPr>
                      <m:t>i=1</m:t>
                    </m:r>
                  </m:sub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electrodes</m:t>
                        </m:r>
                      </m:sub>
                    </m:sSub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SE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4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</w:tc>
        <w:tc>
          <w:tcPr>
            <w:tcW w:w="3253" w:type="dxa"/>
            <w:vAlign w:val="center"/>
          </w:tcPr>
          <w:p w:rsidR="006F41BD" w:rsidRPr="00C2745B" w:rsidRDefault="006F41BD" w:rsidP="00F21F20">
            <w:pPr>
              <w:pStyle w:val="Textoindependiente"/>
              <w:spacing w:line="360" w:lineRule="auto"/>
              <w:rPr>
                <w:color w:val="000000" w:themeColor="text1"/>
                <w:sz w:val="24"/>
              </w:rPr>
            </w:pPr>
          </w:p>
        </w:tc>
        <w:tc>
          <w:tcPr>
            <w:tcW w:w="3254" w:type="dxa"/>
            <w:vAlign w:val="center"/>
          </w:tcPr>
          <w:p w:rsidR="006F41BD" w:rsidRPr="00C2745B" w:rsidRDefault="006F41BD" w:rsidP="00F21F20">
            <w:pPr>
              <w:pStyle w:val="Textoindependiente"/>
              <w:spacing w:line="360" w:lineRule="auto"/>
              <w:jc w:val="righ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Pr="00C2745B">
              <w:rPr>
                <w:color w:val="000000" w:themeColor="text1"/>
                <w:sz w:val="24"/>
              </w:rPr>
              <w:t>(3)</w:t>
            </w:r>
          </w:p>
        </w:tc>
      </w:tr>
    </w:tbl>
    <w:p w:rsidR="00FF43C0" w:rsidRDefault="00FF43C0"/>
    <w:sectPr w:rsidR="00FF4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95"/>
    <w:rsid w:val="002E4D95"/>
    <w:rsid w:val="006F41BD"/>
    <w:rsid w:val="00813EB3"/>
    <w:rsid w:val="00967EBC"/>
    <w:rsid w:val="009944DA"/>
    <w:rsid w:val="00E72E63"/>
    <w:rsid w:val="00F33501"/>
    <w:rsid w:val="00FF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D037D-C1B0-4E21-8F2E-81DDC5DC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B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F41B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F41BD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table" w:styleId="Tablaconcuadrcula">
    <w:name w:val="Table Grid"/>
    <w:basedOn w:val="Tablanormal"/>
    <w:rsid w:val="006F41B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s-AR"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2016-07-18T17:50:00Z</dcterms:created>
  <dcterms:modified xsi:type="dcterms:W3CDTF">2016-07-18T18:20:00Z</dcterms:modified>
</cp:coreProperties>
</file>