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Title:</w:t>
      </w: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Visualization of the Charcoal Agar Resazurin Assay (CARA) for Semi-quantitative, Medium-throughput Enumeration of Mycobacteria</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Authors:</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Ben Gold</w:t>
      </w:r>
      <w:r>
        <w:rPr>
          <w:rFonts w:ascii="Times" w:hAnsi="Times" w:cs="Times" w:eastAsia="Times"/>
          <w:color w:val="auto"/>
          <w:spacing w:val="0"/>
          <w:position w:val="0"/>
          <w:sz w:val="24"/>
          <w:shd w:fill="auto" w:val="clear"/>
          <w:vertAlign w:val="superscript"/>
        </w:rPr>
        <w:t xml:space="preserve">1</w:t>
      </w:r>
      <w:r>
        <w:rPr>
          <w:rFonts w:ascii="Times" w:hAnsi="Times" w:cs="Times" w:eastAsia="Times"/>
          <w:color w:val="auto"/>
          <w:spacing w:val="0"/>
          <w:position w:val="0"/>
          <w:sz w:val="24"/>
          <w:shd w:fill="auto" w:val="clear"/>
        </w:rPr>
        <w:t xml:space="preserve">, Julia Roberts</w:t>
      </w:r>
      <w:r>
        <w:rPr>
          <w:rFonts w:ascii="Times" w:hAnsi="Times" w:cs="Times" w:eastAsia="Times"/>
          <w:color w:val="auto"/>
          <w:spacing w:val="0"/>
          <w:position w:val="0"/>
          <w:sz w:val="24"/>
          <w:shd w:fill="auto" w:val="clear"/>
          <w:vertAlign w:val="superscript"/>
        </w:rPr>
        <w:t xml:space="preserve">1†</w:t>
      </w:r>
      <w:r>
        <w:rPr>
          <w:rFonts w:ascii="Times" w:hAnsi="Times" w:cs="Times" w:eastAsia="Times"/>
          <w:color w:val="auto"/>
          <w:spacing w:val="0"/>
          <w:position w:val="0"/>
          <w:sz w:val="24"/>
          <w:shd w:fill="auto" w:val="clear"/>
          <w:vertAlign w:val="subscript"/>
        </w:rPr>
        <w:t xml:space="preserve">,</w:t>
      </w:r>
      <w:r>
        <w:rPr>
          <w:rFonts w:ascii="Times" w:hAnsi="Times" w:cs="Times" w:eastAsia="Times"/>
          <w:color w:val="auto"/>
          <w:spacing w:val="0"/>
          <w:position w:val="0"/>
          <w:sz w:val="24"/>
          <w:shd w:fill="auto" w:val="clear"/>
        </w:rPr>
        <w:t xml:space="preserve"> Yan Ling</w:t>
      </w:r>
      <w:r>
        <w:rPr>
          <w:rFonts w:ascii="Times" w:hAnsi="Times" w:cs="Times" w:eastAsia="Times"/>
          <w:color w:val="auto"/>
          <w:spacing w:val="0"/>
          <w:position w:val="0"/>
          <w:sz w:val="24"/>
          <w:shd w:fill="auto" w:val="clear"/>
          <w:vertAlign w:val="superscript"/>
        </w:rPr>
        <w:t xml:space="preserve">1†</w:t>
      </w:r>
      <w:r>
        <w:rPr>
          <w:rFonts w:ascii="Times" w:hAnsi="Times" w:cs="Times" w:eastAsia="Times"/>
          <w:color w:val="auto"/>
          <w:spacing w:val="0"/>
          <w:position w:val="0"/>
          <w:sz w:val="24"/>
          <w:shd w:fill="auto" w:val="clear"/>
        </w:rPr>
        <w:t xml:space="preserve">, Landys Lopez Quezada</w:t>
      </w:r>
      <w:r>
        <w:rPr>
          <w:rFonts w:ascii="Times" w:hAnsi="Times" w:cs="Times" w:eastAsia="Times"/>
          <w:color w:val="auto"/>
          <w:spacing w:val="0"/>
          <w:position w:val="0"/>
          <w:sz w:val="24"/>
          <w:shd w:fill="auto" w:val="clear"/>
          <w:vertAlign w:val="superscript"/>
        </w:rPr>
        <w:t xml:space="preserve">1</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vertAlign w:val="superscript"/>
        </w:rPr>
        <w:t xml:space="preserve"> </w:t>
      </w:r>
      <w:r>
        <w:rPr>
          <w:rFonts w:ascii="Times" w:hAnsi="Times" w:cs="Times" w:eastAsia="Times"/>
          <w:color w:val="auto"/>
          <w:spacing w:val="0"/>
          <w:position w:val="0"/>
          <w:sz w:val="24"/>
          <w:shd w:fill="auto" w:val="clear"/>
        </w:rPr>
        <w:t xml:space="preserve">Jou Glasheen</w:t>
      </w:r>
      <w:r>
        <w:rPr>
          <w:rFonts w:ascii="Times" w:hAnsi="Times" w:cs="Times" w:eastAsia="Times"/>
          <w:color w:val="auto"/>
          <w:spacing w:val="0"/>
          <w:position w:val="0"/>
          <w:sz w:val="24"/>
          <w:shd w:fill="auto" w:val="clear"/>
          <w:vertAlign w:val="superscript"/>
        </w:rPr>
        <w:t xml:space="preserve">1</w:t>
      </w:r>
      <w:r>
        <w:rPr>
          <w:rFonts w:ascii="Times" w:hAnsi="Times" w:cs="Times" w:eastAsia="Times"/>
          <w:color w:val="auto"/>
          <w:spacing w:val="0"/>
          <w:position w:val="0"/>
          <w:sz w:val="24"/>
          <w:shd w:fill="auto" w:val="clear"/>
        </w:rPr>
        <w:t xml:space="preserve">, Elaine Ballinger</w:t>
      </w:r>
      <w:r>
        <w:rPr>
          <w:rFonts w:ascii="Times" w:hAnsi="Times" w:cs="Times" w:eastAsia="Times"/>
          <w:color w:val="auto"/>
          <w:spacing w:val="0"/>
          <w:position w:val="0"/>
          <w:sz w:val="24"/>
          <w:shd w:fill="auto" w:val="clear"/>
          <w:vertAlign w:val="superscript"/>
        </w:rPr>
        <w:t xml:space="preserve">1</w:t>
      </w:r>
      <w:r>
        <w:rPr>
          <w:rFonts w:ascii="Times" w:hAnsi="Times" w:cs="Times" w:eastAsia="Times"/>
          <w:color w:val="auto"/>
          <w:spacing w:val="0"/>
          <w:position w:val="0"/>
          <w:sz w:val="24"/>
          <w:shd w:fill="auto" w:val="clear"/>
          <w:vertAlign w:val="subscript"/>
        </w:rPr>
        <w:t xml:space="preserve">,</w:t>
      </w:r>
      <w:r>
        <w:rPr>
          <w:rFonts w:ascii="Times" w:hAnsi="Times" w:cs="Times" w:eastAsia="Times"/>
          <w:color w:val="auto"/>
          <w:spacing w:val="0"/>
          <w:position w:val="0"/>
          <w:sz w:val="24"/>
          <w:shd w:fill="auto" w:val="clear"/>
          <w:vertAlign w:val="superscript"/>
        </w:rPr>
        <w:t xml:space="preserve"> </w:t>
      </w:r>
      <w:r>
        <w:rPr>
          <w:rFonts w:ascii="Times" w:hAnsi="Times" w:cs="Times" w:eastAsia="Times"/>
          <w:color w:val="auto"/>
          <w:spacing w:val="0"/>
          <w:position w:val="0"/>
          <w:sz w:val="24"/>
          <w:shd w:fill="auto" w:val="clear"/>
        </w:rPr>
        <w:t xml:space="preserve">Selin Somersan-Karakaya</w:t>
      </w:r>
      <w:r>
        <w:rPr>
          <w:rFonts w:ascii="Times" w:hAnsi="Times" w:cs="Times" w:eastAsia="Times"/>
          <w:color w:val="auto"/>
          <w:spacing w:val="0"/>
          <w:position w:val="0"/>
          <w:sz w:val="24"/>
          <w:shd w:fill="auto" w:val="clear"/>
          <w:vertAlign w:val="superscript"/>
        </w:rPr>
        <w:t xml:space="preserve">2</w:t>
      </w:r>
      <w:r>
        <w:rPr>
          <w:rFonts w:ascii="Times" w:hAnsi="Times" w:cs="Times" w:eastAsia="Times"/>
          <w:color w:val="auto"/>
          <w:spacing w:val="0"/>
          <w:position w:val="0"/>
          <w:sz w:val="24"/>
          <w:shd w:fill="auto" w:val="clear"/>
        </w:rPr>
        <w:t xml:space="preserve">, Thulasi Warrier</w:t>
      </w:r>
      <w:r>
        <w:rPr>
          <w:rFonts w:ascii="Times" w:hAnsi="Times" w:cs="Times" w:eastAsia="Times"/>
          <w:color w:val="auto"/>
          <w:spacing w:val="0"/>
          <w:position w:val="0"/>
          <w:sz w:val="24"/>
          <w:shd w:fill="auto" w:val="clear"/>
          <w:vertAlign w:val="superscript"/>
        </w:rPr>
        <w:t xml:space="preserve">1</w:t>
      </w:r>
      <w:r>
        <w:rPr>
          <w:rFonts w:ascii="Times" w:hAnsi="Times" w:cs="Times" w:eastAsia="Times"/>
          <w:color w:val="auto"/>
          <w:spacing w:val="0"/>
          <w:position w:val="0"/>
          <w:sz w:val="24"/>
          <w:shd w:fill="auto" w:val="clear"/>
        </w:rPr>
        <w:t xml:space="preserve">, Carl Nathan</w:t>
      </w:r>
      <w:r>
        <w:rPr>
          <w:rFonts w:ascii="Times" w:hAnsi="Times" w:cs="Times" w:eastAsia="Times"/>
          <w:color w:val="auto"/>
          <w:spacing w:val="0"/>
          <w:position w:val="0"/>
          <w:sz w:val="24"/>
          <w:shd w:fill="auto" w:val="clear"/>
          <w:vertAlign w:val="superscript"/>
        </w:rPr>
        <w:t xml:space="preserve">1 </w:t>
      </w:r>
    </w:p>
    <w:p>
      <w:pPr>
        <w:spacing w:before="0" w:after="0" w:line="240"/>
        <w:ind w:right="0" w:left="0" w:firstLine="0"/>
        <w:jc w:val="both"/>
        <w:rPr>
          <w:rFonts w:ascii="Times" w:hAnsi="Times" w:cs="Times" w:eastAsia="Times"/>
          <w:color w:val="auto"/>
          <w:spacing w:val="0"/>
          <w:position w:val="6"/>
          <w:sz w:val="24"/>
          <w:shd w:fill="auto" w:val="clear"/>
          <w:vertAlign w:val="superscript"/>
        </w:rPr>
      </w:pPr>
    </w:p>
    <w:p>
      <w:pPr>
        <w:spacing w:before="0" w:after="0" w:line="240"/>
        <w:ind w:right="0" w:left="0" w:firstLine="0"/>
        <w:jc w:val="both"/>
        <w:rPr>
          <w:rFonts w:ascii="Times" w:hAnsi="Times" w:cs="Times" w:eastAsia="Times"/>
          <w:color w:val="auto"/>
          <w:spacing w:val="0"/>
          <w:position w:val="6"/>
          <w:sz w:val="24"/>
          <w:shd w:fill="auto" w:val="clear"/>
        </w:rPr>
      </w:pPr>
      <w:r>
        <w:rPr>
          <w:rFonts w:ascii="Times" w:hAnsi="Times" w:cs="Times" w:eastAsia="Times"/>
          <w:color w:val="auto"/>
          <w:spacing w:val="0"/>
          <w:position w:val="6"/>
          <w:sz w:val="24"/>
          <w:shd w:fill="auto" w:val="clear"/>
          <w:vertAlign w:val="superscript"/>
        </w:rPr>
        <w:t xml:space="preserve">1</w:t>
      </w:r>
      <w:r>
        <w:rPr>
          <w:rFonts w:ascii="Times" w:hAnsi="Times" w:cs="Times" w:eastAsia="Times"/>
          <w:color w:val="auto"/>
          <w:spacing w:val="0"/>
          <w:position w:val="6"/>
          <w:sz w:val="24"/>
          <w:shd w:fill="auto" w:val="clear"/>
        </w:rPr>
        <w:t xml:space="preserve">Departments of Microbiology &amp;amp; Immunology, </w:t>
      </w:r>
      <w:r>
        <w:rPr>
          <w:rFonts w:ascii="Times" w:hAnsi="Times" w:cs="Times" w:eastAsia="Times"/>
          <w:color w:val="auto"/>
          <w:spacing w:val="0"/>
          <w:position w:val="6"/>
          <w:sz w:val="24"/>
          <w:shd w:fill="auto" w:val="clear"/>
          <w:vertAlign w:val="superscript"/>
        </w:rPr>
        <w:t xml:space="preserve">2</w:t>
      </w:r>
      <w:r>
        <w:rPr>
          <w:rFonts w:ascii="Times" w:hAnsi="Times" w:cs="Times" w:eastAsia="Times"/>
          <w:color w:val="auto"/>
          <w:spacing w:val="0"/>
          <w:position w:val="6"/>
          <w:sz w:val="24"/>
          <w:shd w:fill="auto" w:val="clear"/>
        </w:rPr>
        <w:t xml:space="preserve">Medicine, Weill Cornell Medical College, New York, NY. USA.</w:t>
      </w:r>
    </w:p>
    <w:p>
      <w:pPr>
        <w:spacing w:before="0" w:after="0" w:line="240"/>
        <w:ind w:right="0" w:left="0" w:firstLine="0"/>
        <w:jc w:val="both"/>
        <w:rPr>
          <w:rFonts w:ascii="Times" w:hAnsi="Times" w:cs="Times" w:eastAsia="Times"/>
          <w:color w:val="auto"/>
          <w:spacing w:val="0"/>
          <w:position w:val="0"/>
          <w:sz w:val="24"/>
          <w:shd w:fill="auto" w:val="clear"/>
          <w:vertAlign w:val="superscript"/>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vertAlign w:val="superscript"/>
        </w:rPr>
        <w:t xml:space="preserve">†</w:t>
      </w:r>
      <w:r>
        <w:rPr>
          <w:rFonts w:ascii="Times" w:hAnsi="Times" w:cs="Times" w:eastAsia="Times"/>
          <w:color w:val="auto"/>
          <w:spacing w:val="0"/>
          <w:position w:val="0"/>
          <w:sz w:val="24"/>
          <w:shd w:fill="auto" w:val="clear"/>
        </w:rPr>
        <w:t xml:space="preserve"> These authors contributed equally.</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Email addresses: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Ben Gold: bsg2001@med.cornell.edu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Julia Roberts: jar2022@med.cornell.edu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Yan Ling: yal2007@med.cornell.edu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Landys Lopez Quezada: lal2024@med.cornell.edu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Jou Glasheen: glj2006@med.cornell.edu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Elaine Ballinger: elb2028@med.cornell.edu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Selin Somersan-Karakaya: ses9022@med.cornell.edu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Thulasi Warrier: thw2004@med.cornell.edu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Carl Nathan: cnathan@med.cornell.edu</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CORRESPONDING AUTHOR:  </w:t>
      </w:r>
    </w:p>
    <w:p>
      <w:pPr>
        <w:spacing w:before="0" w:after="0" w:line="240"/>
        <w:ind w:right="0" w:left="0" w:firstLine="0"/>
        <w:jc w:val="both"/>
        <w:rPr>
          <w:rFonts w:ascii="Times" w:hAnsi="Times" w:cs="Times" w:eastAsia="Times"/>
          <w:color w:val="auto"/>
          <w:spacing w:val="0"/>
          <w:position w:val="0"/>
          <w:sz w:val="24"/>
          <w:u w:val="single"/>
          <w:shd w:fill="auto" w:val="clear"/>
        </w:rPr>
      </w:pPr>
      <w:r>
        <w:rPr>
          <w:rFonts w:ascii="Times" w:hAnsi="Times" w:cs="Times" w:eastAsia="Times"/>
          <w:color w:val="auto"/>
          <w:spacing w:val="0"/>
          <w:position w:val="0"/>
          <w:sz w:val="24"/>
          <w:shd w:fill="auto" w:val="clear"/>
        </w:rPr>
        <w:t xml:space="preserve">Ben Gold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Microbiology and Immunology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Weill Cornell Medical College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NY.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r>
        <w:rPr>
          <w:rFonts w:ascii="Times" w:hAnsi="Times" w:cs="Times" w:eastAsia="Times"/>
          <w:color w:val="auto"/>
          <w:spacing w:val="0"/>
          <w:position w:val="0"/>
          <w:sz w:val="24"/>
          <w:shd w:fill="auto" w:val="clear"/>
        </w:rPr>
        <w:t xml:space="preserve">bsg2001@med.cornell.edu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646-962-6209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KEYWORDS: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i/>
          <w:color w:val="auto"/>
          <w:spacing w:val="0"/>
          <w:position w:val="0"/>
          <w:sz w:val="24"/>
          <w:shd w:fill="auto" w:val="clear"/>
        </w:rPr>
        <w:t xml:space="preserve">Mycobacterium tuberculosis</w:t>
      </w:r>
      <w:r>
        <w:rPr>
          <w:rFonts w:ascii="Times" w:hAnsi="Times" w:cs="Times" w:eastAsia="Times"/>
          <w:color w:val="auto"/>
          <w:spacing w:val="0"/>
          <w:position w:val="0"/>
          <w:sz w:val="24"/>
          <w:shd w:fill="auto" w:val="clear"/>
        </w:rPr>
        <w:t xml:space="preserve">, </w:t>
      </w:r>
      <w:r>
        <w:rPr>
          <w:rFonts w:ascii="Times" w:hAnsi="Times" w:cs="Times" w:eastAsia="Times"/>
          <w:i/>
          <w:color w:val="auto"/>
          <w:spacing w:val="0"/>
          <w:position w:val="0"/>
          <w:sz w:val="24"/>
          <w:shd w:fill="auto" w:val="clear"/>
        </w:rPr>
        <w:t xml:space="preserve">Mycobacterium smegmatis</w:t>
      </w:r>
      <w:r>
        <w:rPr>
          <w:rFonts w:ascii="Times" w:hAnsi="Times" w:cs="Times" w:eastAsia="Times"/>
          <w:color w:val="auto"/>
          <w:spacing w:val="0"/>
          <w:position w:val="0"/>
          <w:sz w:val="24"/>
          <w:shd w:fill="auto" w:val="clear"/>
        </w:rPr>
        <w:t xml:space="preserve">,</w:t>
      </w:r>
      <w:r>
        <w:rPr>
          <w:rFonts w:ascii="Times" w:hAnsi="Times" w:cs="Times" w:eastAsia="Times"/>
          <w:b/>
          <w:color w:val="auto"/>
          <w:spacing w:val="0"/>
          <w:position w:val="0"/>
          <w:sz w:val="24"/>
          <w:shd w:fill="auto" w:val="clear"/>
        </w:rPr>
        <w:t xml:space="preserve"> </w:t>
      </w:r>
      <w:r>
        <w:rPr>
          <w:rFonts w:ascii="Times" w:hAnsi="Times" w:cs="Times" w:eastAsia="Times"/>
          <w:i/>
          <w:color w:val="auto"/>
          <w:spacing w:val="0"/>
          <w:position w:val="0"/>
          <w:sz w:val="24"/>
          <w:shd w:fill="auto" w:val="clear"/>
        </w:rPr>
        <w:t xml:space="preserve">Mycobacterium bovis </w:t>
      </w:r>
      <w:r>
        <w:rPr>
          <w:rFonts w:ascii="Times" w:hAnsi="Times" w:cs="Times" w:eastAsia="Times"/>
          <w:color w:val="auto"/>
          <w:spacing w:val="0"/>
          <w:position w:val="0"/>
          <w:sz w:val="24"/>
          <w:shd w:fill="auto" w:val="clear"/>
        </w:rPr>
        <w:t xml:space="preserve">BCG, charcoal agar, resazurin, anti-infectives, antibiotics, bacteriostatic, bactericidal, replicating, non-replicating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harcoal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gar </w:t>
      </w: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esazurin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ssay (CARA) is a semi-quantitative, medium-throughput method to assess activity of test agents against mycobacteria that are replicating, non-replicating, or both.  The CARA permits rapid evaluation of time- and concentration-dependent activity and identifies parameters to pursue by colony forming unit (CFU) assays.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an urgent need to discover and progress anti-infectives that shorten the duration of tuberculosis (TB) treatment.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the etiological agent of TB, is refractory to rapid and lasting chemotherapy due to the presence of bacilli exhibiting phenotypic drug resistance.  The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harcoal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gar </w:t>
      </w: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esazurin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ssay (CARA) was developed as a tool to characterize active molecules discovered by high-throughput screening campaigns against replicating and non-replicating </w:t>
      </w:r>
      <w:r>
        <w:rPr>
          <w:rFonts w:ascii="Times New Roman" w:hAnsi="Times New Roman" w:cs="Times New Roman" w:eastAsia="Times New Roman"/>
          <w:i/>
          <w:color w:val="auto"/>
          <w:spacing w:val="0"/>
          <w:position w:val="0"/>
          <w:sz w:val="24"/>
          <w:shd w:fill="auto" w:val="clear"/>
        </w:rPr>
        <w:t xml:space="preserve">M. tuberculosis</w:t>
      </w:r>
      <w:r>
        <w:rPr>
          <w:rFonts w:ascii="Times New Roman" w:hAnsi="Times New Roman" w:cs="Times New Roman" w:eastAsia="Times New Roman"/>
          <w:color w:val="auto"/>
          <w:spacing w:val="0"/>
          <w:position w:val="0"/>
          <w:sz w:val="24"/>
          <w:shd w:fill="auto" w:val="clear"/>
        </w:rPr>
        <w:t xml:space="preserve">.  Inclusion of activated charcoal in bacteriologic agar medium helps mitigate the impact of compound carry-over, and eliminates the requirement to pre-dilute cells prior to spotting on CARA microplates.  After a 7-10 day incubation period at 37 &amp;#176;C, the reduction of resazurin by mycobacterial microcolonies growing on the surface of CARA microplate wells permits semi-quantitative assessment of bacterial numbers via fluorometry.  The CARA detects approximately a 2-3 log</w:t>
      </w:r>
      <w:r>
        <w:rPr>
          <w:rFonts w:ascii="Times New Roman" w:hAnsi="Times New Roman" w:cs="Times New Roman" w:eastAsia="Times New Roman"/>
          <w:color w:val="auto"/>
          <w:spacing w:val="0"/>
          <w:position w:val="0"/>
          <w:sz w:val="24"/>
          <w:shd w:fill="auto" w:val="clear"/>
          <w:vertAlign w:val="subscript"/>
        </w:rPr>
        <w:t xml:space="preserve">10</w:t>
      </w:r>
      <w:r>
        <w:rPr>
          <w:rFonts w:ascii="Times New Roman" w:hAnsi="Times New Roman" w:cs="Times New Roman" w:eastAsia="Times New Roman"/>
          <w:color w:val="auto"/>
          <w:spacing w:val="0"/>
          <w:position w:val="0"/>
          <w:sz w:val="24"/>
          <w:shd w:fill="auto" w:val="clear"/>
        </w:rPr>
        <w:t xml:space="preserve"> difference in bacterial numbers and predicts a minimal bactericidal concentration leading to ≥ 99% bacterial kill (MBC</w:t>
      </w:r>
      <w:r>
        <w:rPr>
          <w:rFonts w:ascii="Times New Roman" w:hAnsi="Times New Roman" w:cs="Times New Roman" w:eastAsia="Times New Roman"/>
          <w:color w:val="auto"/>
          <w:spacing w:val="0"/>
          <w:position w:val="0"/>
          <w:sz w:val="24"/>
          <w:shd w:fill="auto" w:val="clear"/>
          <w:vertAlign w:val="subscript"/>
        </w:rPr>
        <w:t xml:space="preserve">≥99</w:t>
      </w:r>
      <w:r>
        <w:rPr>
          <w:rFonts w:ascii="Times New Roman" w:hAnsi="Times New Roman" w:cs="Times New Roman" w:eastAsia="Times New Roman"/>
          <w:color w:val="auto"/>
          <w:spacing w:val="0"/>
          <w:position w:val="0"/>
          <w:sz w:val="24"/>
          <w:shd w:fill="auto" w:val="clear"/>
        </w:rPr>
        <w:t xml:space="preserve">).  The CARA helps determine whether a molecule is active on bacilli that are replicating, non-replicating, or both.  Pilot experiments using the CARA facilitate the identification of which concentration of test agent and time of compound exposure require further evaluation by colony forming unit (CFU) assays.  In addition, the CARA can predict if replicating actives are bactericidal or bacteriostatic.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the etiological agent of tuberculosis, can survive in a host in a latent state that is refractory to antibiotic eradication.  Phenotypic (non-genetic) resistance of </w:t>
      </w:r>
      <w:r>
        <w:rPr>
          <w:rFonts w:ascii="Times New Roman" w:hAnsi="Times New Roman" w:cs="Times New Roman" w:eastAsia="Times New Roman"/>
          <w:i/>
          <w:color w:val="auto"/>
          <w:spacing w:val="0"/>
          <w:position w:val="0"/>
          <w:sz w:val="24"/>
          <w:shd w:fill="auto" w:val="clear"/>
        </w:rPr>
        <w:t xml:space="preserve">M. tuberculosis</w:t>
      </w:r>
      <w:r>
        <w:rPr>
          <w:rFonts w:ascii="Times New Roman" w:hAnsi="Times New Roman" w:cs="Times New Roman" w:eastAsia="Times New Roman"/>
          <w:color w:val="auto"/>
          <w:spacing w:val="0"/>
          <w:position w:val="0"/>
          <w:sz w:val="24"/>
          <w:shd w:fill="auto" w:val="clear"/>
        </w:rPr>
        <w:t xml:space="preserve"> during infection is believed to be due, in part, to populations of non-replicating bacilli</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Class I persisters displaying phenotypic drug resistance arise via rare stochastic mechanisms amongst large populations of drug sensitive cells</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Class II persisters are rendered non-replicating by factors of host immunity, including external stresses in microenvironments encountered during infection.  We recently developed an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model of Class II non-replicating persistence to mimic conditions confronted by </w:t>
      </w:r>
      <w:r>
        <w:rPr>
          <w:rFonts w:ascii="Times New Roman" w:hAnsi="Times New Roman" w:cs="Times New Roman" w:eastAsia="Times New Roman"/>
          <w:i/>
          <w:color w:val="auto"/>
          <w:spacing w:val="0"/>
          <w:position w:val="0"/>
          <w:sz w:val="24"/>
          <w:shd w:fill="auto" w:val="clear"/>
        </w:rPr>
        <w:t xml:space="preserve">M. tuberculosis</w:t>
      </w:r>
      <w:r>
        <w:rPr>
          <w:rFonts w:ascii="Times New Roman" w:hAnsi="Times New Roman" w:cs="Times New Roman" w:eastAsia="Times New Roman"/>
          <w:color w:val="auto"/>
          <w:spacing w:val="0"/>
          <w:position w:val="0"/>
          <w:sz w:val="24"/>
          <w:shd w:fill="auto" w:val="clear"/>
        </w:rPr>
        <w:t xml:space="preserve"> in activated macrophages and granulomas.  The multi-stress model of Class II persistence includes conditions that slow growth, such as a fatty acid carbon source, and completely halt growth, such as mild acidity (pH 5.0), hypoxia (1%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nitric oxide and other reactive nitrogen intermediates </w:t>
      </w:r>
      <w:r>
        <w:rPr>
          <w:rFonts w:ascii="Times New Roman" w:hAnsi="Times New Roman" w:cs="Times New Roman" w:eastAsia="Times New Roman"/>
          <w:color w:val="auto"/>
          <w:spacing w:val="0"/>
          <w:position w:val="0"/>
          <w:sz w:val="24"/>
          <w:shd w:fill="auto" w:val="clear"/>
          <w:vertAlign w:val="superscript"/>
        </w:rPr>
        <w:t xml:space="preserve">5-9</w:t>
      </w:r>
      <w:r>
        <w:rPr>
          <w:rFonts w:ascii="Times New Roman" w:hAnsi="Times New Roman" w:cs="Times New Roman" w:eastAsia="Times New Roman"/>
          <w:color w:val="auto"/>
          <w:spacing w:val="0"/>
          <w:position w:val="0"/>
          <w:sz w:val="24"/>
          <w:shd w:fill="auto" w:val="clear"/>
        </w:rPr>
        <w:t xml:space="preserve">.  Large-scale screening employing this multi-stress model of non-replication, and other Class II non-replicating models, has yielded diverse molecules whose activity is directed against the non-replicating state</w:t>
      </w:r>
      <w:r>
        <w:rPr>
          <w:rFonts w:ascii="Times New Roman" w:hAnsi="Times New Roman" w:cs="Times New Roman" w:eastAsia="Times New Roman"/>
          <w:color w:val="auto"/>
          <w:spacing w:val="0"/>
          <w:position w:val="0"/>
          <w:sz w:val="24"/>
          <w:shd w:fill="auto" w:val="clear"/>
          <w:vertAlign w:val="superscript"/>
        </w:rPr>
        <w:t xml:space="preserve">5-7,9-18</w:t>
      </w:r>
      <w:r>
        <w:rPr>
          <w:rFonts w:ascii="Times New Roman" w:hAnsi="Times New Roman" w:cs="Times New Roman" w:eastAsia="Times New Roman"/>
          <w:color w:val="auto"/>
          <w:spacing w:val="0"/>
          <w:position w:val="0"/>
          <w:sz w:val="24"/>
          <w:shd w:fill="auto" w:val="clear"/>
        </w:rPr>
        <w:t xml:space="preserve">.  The same non-replicating screens also revealed a category of molecules that possess activity against both replicating and non-replicating bacilli, termed “dual actives”</w:t>
      </w:r>
      <w:r>
        <w:rPr>
          <w:rFonts w:ascii="Times New Roman" w:hAnsi="Times New Roman" w:cs="Times New Roman" w:eastAsia="Times New Roman"/>
          <w:color w:val="auto"/>
          <w:spacing w:val="0"/>
          <w:position w:val="0"/>
          <w:sz w:val="24"/>
          <w:shd w:fill="auto" w:val="clear"/>
          <w:vertAlign w:val="superscript"/>
        </w:rPr>
        <w:t xml:space="preserve">7,10,12,19,20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Antibacterial drug discovery in the hit-to-lead phase entails extensive characterization of candidate molecules to choose leads for hit expansion, preliminary pharmacologic characterization, target identification, and preliminary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efficacy studies.  As an early step, anti-infectives are classified by their bacteriostatic or bactericidal mechanism of action and, if bactericidal, whether bacterial kill is time- and/or concentration-dependent.  The colony forming unit (CFU) assay is the classical, gold standard method to address these questions.   In the CFU assay, bacteria are exposed to a test agent, after which aliquots are removed, serially diluted, and aliquots of dilutions are spread on solid bacteriologic medium and incubated to permit growth of surviving cells.  Finally, bacterial colonies are enumerated.  The CFU assay requires large numbers of microtiter plates to dilute cells and agar-containing Petri-plates to enumerate surviving colonies. The CFU assay for slow growing mycobacteria is hampered by their slow generation time (18-24 hours), which requires approximately 3 weeks for colonies to appear on plates.  Furthermore, incubator space is often limited in specialized biosafety-level-3 facilities.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cumbersome, CFU assays are the gold standard to characterize the impact of non-replicating and dual-active molecules on mycobacteria.  Non-replicating assays are subject to high false-positive rates as many are coupled to replicating assays to assess cellular viability</w:t>
      </w:r>
      <w:r>
        <w:rPr>
          <w:rFonts w:ascii="Times New Roman" w:hAnsi="Times New Roman" w:cs="Times New Roman" w:eastAsia="Times New Roman"/>
          <w:color w:val="auto"/>
          <w:spacing w:val="0"/>
          <w:position w:val="0"/>
          <w:sz w:val="24"/>
          <w:shd w:fill="auto" w:val="clear"/>
          <w:vertAlign w:val="superscript"/>
        </w:rPr>
        <w:t xml:space="preserve">6-8</w:t>
      </w:r>
      <w:r>
        <w:rPr>
          <w:rFonts w:ascii="Times New Roman" w:hAnsi="Times New Roman" w:cs="Times New Roman" w:eastAsia="Times New Roman"/>
          <w:color w:val="auto"/>
          <w:spacing w:val="0"/>
          <w:position w:val="0"/>
          <w:sz w:val="24"/>
          <w:shd w:fill="auto" w:val="clear"/>
        </w:rPr>
        <w:t xml:space="preserve">.  For example, a compound that has potent activity against replicating </w:t>
      </w:r>
      <w:r>
        <w:rPr>
          <w:rFonts w:ascii="Times New Roman" w:hAnsi="Times New Roman" w:cs="Times New Roman" w:eastAsia="Times New Roman"/>
          <w:i/>
          <w:color w:val="auto"/>
          <w:spacing w:val="0"/>
          <w:position w:val="0"/>
          <w:sz w:val="24"/>
          <w:shd w:fill="auto" w:val="clear"/>
        </w:rPr>
        <w:t xml:space="preserve">M. tuberculosis</w:t>
      </w:r>
      <w:r>
        <w:rPr>
          <w:rFonts w:ascii="Times New Roman" w:hAnsi="Times New Roman" w:cs="Times New Roman" w:eastAsia="Times New Roman"/>
          <w:color w:val="auto"/>
          <w:spacing w:val="0"/>
          <w:position w:val="0"/>
          <w:sz w:val="24"/>
          <w:shd w:fill="auto" w:val="clear"/>
        </w:rPr>
        <w:t xml:space="preserve"> (a “replicating active”) may fail to kill during the non-replicating assay, yet can still kill by virtue of carry-over from the non-replicating phase of the assay to the recovery phase of the assay, which is conducted under conditions that support replication (“replicating conditions”).  Compound carry over further complicates analysis of dual active molecules, making it difficult to distinguish whether activity was replicating, non-replicating, or dual.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address the issues described above, we developed the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harcoal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gar </w:t>
      </w: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esazurin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ssay (CARA) for rapid, semi-quantitative enumeration of mycobacterial species such as </w:t>
      </w:r>
      <w:r>
        <w:rPr>
          <w:rFonts w:ascii="Times New Roman" w:hAnsi="Times New Roman" w:cs="Times New Roman" w:eastAsia="Times New Roman"/>
          <w:i/>
          <w:color w:val="auto"/>
          <w:spacing w:val="0"/>
          <w:position w:val="0"/>
          <w:sz w:val="24"/>
          <w:shd w:fill="auto" w:val="clear"/>
        </w:rPr>
        <w:t xml:space="preserve">M. tuberculosis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 bovis</w:t>
      </w:r>
      <w:r>
        <w:rPr>
          <w:rFonts w:ascii="Times New Roman" w:hAnsi="Times New Roman" w:cs="Times New Roman" w:eastAsia="Times New Roman"/>
          <w:color w:val="auto"/>
          <w:spacing w:val="0"/>
          <w:position w:val="0"/>
          <w:sz w:val="24"/>
          <w:shd w:fill="auto" w:val="clear"/>
        </w:rPr>
        <w:t xml:space="preserve"> BCG, and </w:t>
      </w:r>
      <w:r>
        <w:rPr>
          <w:rFonts w:ascii="Times New Roman" w:hAnsi="Times New Roman" w:cs="Times New Roman" w:eastAsia="Times New Roman"/>
          <w:i/>
          <w:color w:val="auto"/>
          <w:spacing w:val="0"/>
          <w:position w:val="0"/>
          <w:sz w:val="24"/>
          <w:shd w:fill="auto" w:val="clear"/>
        </w:rPr>
        <w:t xml:space="preserve">M. smegmatis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Figures 1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b/>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  In buffer solutions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activated charcoal rapidly sequesters most of the standard drugs used to treat tuberculosis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Activated charcoal in CARA microplates binds compounds that may carry over from an assay microplate, and this feature of the CARA eliminates the requirement to serially dilute assay well contents prior to enumeration </w:t>
      </w:r>
      <w:r>
        <w:rPr>
          <w:rFonts w:ascii="Times New Roman" w:hAnsi="Times New Roman" w:cs="Times New Roman" w:eastAsia="Times New Roman"/>
          <w:color w:val="auto"/>
          <w:spacing w:val="0"/>
          <w:position w:val="0"/>
          <w:sz w:val="24"/>
          <w:shd w:fill="auto" w:val="clear"/>
          <w:vertAlign w:val="superscript"/>
        </w:rPr>
        <w:t xml:space="preserve">7,21,22</w:t>
      </w:r>
      <w:r>
        <w:rPr>
          <w:rFonts w:ascii="Times New Roman" w:hAnsi="Times New Roman" w:cs="Times New Roman" w:eastAsia="Times New Roman"/>
          <w:color w:val="auto"/>
          <w:spacing w:val="0"/>
          <w:position w:val="0"/>
          <w:sz w:val="24"/>
          <w:shd w:fill="auto" w:val="clear"/>
        </w:rPr>
        <w:t xml:space="preserve">.  The number of mycobacterial microcolonies on the agar surface of CARA microplates is estimated by the addition of resazurin, a blue dye, whose reduced form, resorufin, is a pink molecule whose fluorescence is measured by a spectrophotometry</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CARA microplates are developed at 1-2 days for </w:t>
      </w:r>
      <w:r>
        <w:rPr>
          <w:rFonts w:ascii="Times New Roman" w:hAnsi="Times New Roman" w:cs="Times New Roman" w:eastAsia="Times New Roman"/>
          <w:i/>
          <w:color w:val="auto"/>
          <w:spacing w:val="0"/>
          <w:position w:val="0"/>
          <w:sz w:val="24"/>
          <w:shd w:fill="auto" w:val="clear"/>
        </w:rPr>
        <w:t xml:space="preserve">M. smegmatis</w:t>
      </w:r>
      <w:r>
        <w:rPr>
          <w:rFonts w:ascii="Times New Roman" w:hAnsi="Times New Roman" w:cs="Times New Roman" w:eastAsia="Times New Roman"/>
          <w:color w:val="auto"/>
          <w:spacing w:val="0"/>
          <w:position w:val="0"/>
          <w:sz w:val="24"/>
          <w:shd w:fill="auto" w:val="clear"/>
        </w:rPr>
        <w:t xml:space="preserve"> and 7-10 days for slow growing mycobacteria such as </w:t>
      </w:r>
      <w:r>
        <w:rPr>
          <w:rFonts w:ascii="Times New Roman" w:hAnsi="Times New Roman" w:cs="Times New Roman" w:eastAsia="Times New Roman"/>
          <w:i/>
          <w:color w:val="auto"/>
          <w:spacing w:val="0"/>
          <w:position w:val="0"/>
          <w:sz w:val="24"/>
          <w:shd w:fill="auto" w:val="clear"/>
        </w:rPr>
        <w:t xml:space="preserve">M. tuberculosis</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M. bovis</w:t>
      </w:r>
      <w:r>
        <w:rPr>
          <w:rFonts w:ascii="Times New Roman" w:hAnsi="Times New Roman" w:cs="Times New Roman" w:eastAsia="Times New Roman"/>
          <w:color w:val="auto"/>
          <w:spacing w:val="0"/>
          <w:position w:val="0"/>
          <w:sz w:val="24"/>
          <w:shd w:fill="auto" w:val="clear"/>
        </w:rPr>
        <w:t xml:space="preserve"> BCG.  The CARA has a narrow dynamic range of ~ 2-3 log</w:t>
      </w:r>
      <w:r>
        <w:rPr>
          <w:rFonts w:ascii="Times New Roman" w:hAnsi="Times New Roman" w:cs="Times New Roman" w:eastAsia="Times New Roman"/>
          <w:color w:val="auto"/>
          <w:spacing w:val="0"/>
          <w:position w:val="0"/>
          <w:sz w:val="24"/>
          <w:shd w:fill="auto" w:val="clear"/>
          <w:vertAlign w:val="subscript"/>
        </w:rPr>
        <w:t xml:space="preserve">10</w:t>
      </w:r>
      <w:r>
        <w:rPr>
          <w:rFonts w:ascii="Times New Roman" w:hAnsi="Times New Roman" w:cs="Times New Roman" w:eastAsia="Times New Roman"/>
          <w:color w:val="auto"/>
          <w:spacing w:val="0"/>
          <w:position w:val="0"/>
          <w:sz w:val="24"/>
          <w:shd w:fill="auto" w:val="clear"/>
        </w:rPr>
        <w:t xml:space="preserve"> difference in CFU.   When used instead of a CFU assay, a single CARA microplate replaces approximately 5 96-well plates used for serial dilutions and 120 tri-style agar plates used for plating.  Interpretation of CARA data helps guide subsequent studies by determining which incubation times and compound concentrations to test in more laborious CFU-based assays.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 Preparation of CARA microplates:</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w:t>
        <w:tab/>
        <w:t xml:space="preserve">Autoclave 900 mL of Middlebrook 7H11 agar containing 0.2% glycerol and 0.4% activated charcoal in a 2-liter Erlenmeyer flask, or alternatively, 450 mL in a 1-liter glass beaker.  Include a large autoclavable stir bar in the flask or beaker.  Cover the opening of the flask or beaker with aluminum foil and attach to glass with autoclave tape.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w:t>
        <w:tab/>
        <w:t xml:space="preserve">Cool to touch (approximately 55-65 &amp;#176;C) on a magnetic stir plate set at a low speed to maintain the charcoal in suspension.</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w:t>
        <w:tab/>
        <w:t xml:space="preserve">Perform all subsequent steps aseptically in a biosafety hood that has a magnetic stir plate.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w:t>
        <w:tab/>
        <w:t xml:space="preserve">Remove foil.  Add 100 mL OADC supplement (OADC supplement, when used at 10%, yields final media concentrations of 0.2% dextrose, 0.5% albumin, 0.085% NaCl, 0.0005% oleic acid, and 0.4 mg/mL catalase) to the 2-liter Erlenmeyer flask, or 50 mL OADC to the 1-liter beaker, and continue mixing.</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1.5</w:t>
        <w:tab/>
        <w:t xml:space="preserve">If using an Erlenmeyer flask, pour approximately 25-40 mL of 7H11-OADC-charcoal into a sterile reagent reservoir.  If using the beaker, it is not necessary to use a reagent reservoir.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1.6</w:t>
        <w:tab/>
        <w:t xml:space="preserve">Fill a 96-well microplate with 200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L/well of 7H11-OADC-charcoal from the reagent reservoir or beaker.  Work quickly to avoid agar solidification and introduction of bubbles.  Avoid splashing solid medium outside of the wells, as that can be a source of fungal contamination.  Using a multichannel pipette, use one set of 12 filter tips for the transfer of 7H11-OADC-charcoal to the 8 rows (A-H) of the 96-well plate.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medium solidifies quickly.  To avoid clogging pipette tips, change them frequently.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Alternatively, pour CARA microplates using a p1000 electronic multichannel pipette with filter tips to assist in preparing numerous plates.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Due to the low volume of microplate wells, the agar in CARA microplates solidifies within minutes of pouring.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1.8</w:t>
        <w:tab/>
        <w:t xml:space="preserve">Place stacks of CARA microplates in resealable plastic bags to avoid drying out.</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1.9</w:t>
        <w:tab/>
        <w:t xml:space="preserve">Store CARA microplates at 4 &amp;#176;C.</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 Setting up replicating and non-replicating MIC</w:t>
      </w:r>
      <w:r>
        <w:rPr>
          <w:rFonts w:ascii="Times New Roman" w:hAnsi="Times New Roman" w:cs="Times New Roman" w:eastAsia="Times New Roman"/>
          <w:b/>
          <w:color w:val="auto"/>
          <w:spacing w:val="0"/>
          <w:position w:val="0"/>
          <w:sz w:val="24"/>
          <w:shd w:fill="FFFF00" w:val="clear"/>
          <w:vertAlign w:val="subscript"/>
        </w:rPr>
        <w:t xml:space="preserve">90</w:t>
      </w:r>
      <w:r>
        <w:rPr>
          <w:rFonts w:ascii="Times New Roman" w:hAnsi="Times New Roman" w:cs="Times New Roman" w:eastAsia="Times New Roman"/>
          <w:b/>
          <w:color w:val="auto"/>
          <w:spacing w:val="0"/>
          <w:position w:val="0"/>
          <w:sz w:val="24"/>
          <w:shd w:fill="FFFF00" w:val="clear"/>
        </w:rPr>
        <w:t xml:space="preserve"> assays: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tab/>
        <w:t xml:space="preserve">Inoculate </w:t>
      </w:r>
      <w:r>
        <w:rPr>
          <w:rFonts w:ascii="Times New Roman" w:hAnsi="Times New Roman" w:cs="Times New Roman" w:eastAsia="Times New Roman"/>
          <w:i/>
          <w:color w:val="auto"/>
          <w:spacing w:val="0"/>
          <w:position w:val="0"/>
          <w:sz w:val="24"/>
          <w:shd w:fill="FFFF00" w:val="clear"/>
        </w:rPr>
        <w:t xml:space="preserve">M. tuberculosis</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 M. bovis </w:t>
      </w:r>
      <w:r>
        <w:rPr>
          <w:rFonts w:ascii="Times New Roman" w:hAnsi="Times New Roman" w:cs="Times New Roman" w:eastAsia="Times New Roman"/>
          <w:color w:val="auto"/>
          <w:spacing w:val="0"/>
          <w:position w:val="0"/>
          <w:sz w:val="24"/>
          <w:shd w:fill="FFFF00" w:val="clear"/>
        </w:rPr>
        <w:t xml:space="preserve">BCG or </w:t>
      </w:r>
      <w:r>
        <w:rPr>
          <w:rFonts w:ascii="Times New Roman" w:hAnsi="Times New Roman" w:cs="Times New Roman" w:eastAsia="Times New Roman"/>
          <w:i/>
          <w:color w:val="auto"/>
          <w:spacing w:val="0"/>
          <w:position w:val="0"/>
          <w:sz w:val="24"/>
          <w:shd w:fill="FFFF00" w:val="clear"/>
        </w:rPr>
        <w:t xml:space="preserve">M. smegmatis</w:t>
      </w:r>
      <w:r>
        <w:rPr>
          <w:rFonts w:ascii="Times New Roman" w:hAnsi="Times New Roman" w:cs="Times New Roman" w:eastAsia="Times New Roman"/>
          <w:color w:val="auto"/>
          <w:spacing w:val="0"/>
          <w:position w:val="0"/>
          <w:sz w:val="24"/>
          <w:shd w:fill="FFFF00" w:val="clear"/>
        </w:rPr>
        <w:t xml:space="preserve"> at an OD</w:t>
      </w:r>
      <w:r>
        <w:rPr>
          <w:rFonts w:ascii="Times New Roman" w:hAnsi="Times New Roman" w:cs="Times New Roman" w:eastAsia="Times New Roman"/>
          <w:color w:val="auto"/>
          <w:spacing w:val="0"/>
          <w:position w:val="0"/>
          <w:sz w:val="24"/>
          <w:shd w:fill="FFFF00" w:val="clear"/>
          <w:vertAlign w:val="subscript"/>
        </w:rPr>
        <w:t xml:space="preserve">580</w:t>
      </w:r>
      <w:r>
        <w:rPr>
          <w:rFonts w:ascii="Times New Roman" w:hAnsi="Times New Roman" w:cs="Times New Roman" w:eastAsia="Times New Roman"/>
          <w:color w:val="auto"/>
          <w:spacing w:val="0"/>
          <w:position w:val="0"/>
          <w:sz w:val="24"/>
          <w:shd w:fill="FFFF00" w:val="clear"/>
        </w:rPr>
        <w:t xml:space="preserve"> of 0.01 - 0.1 and expand to mid-log phase (OD</w:t>
      </w:r>
      <w:r>
        <w:rPr>
          <w:rFonts w:ascii="Times New Roman" w:hAnsi="Times New Roman" w:cs="Times New Roman" w:eastAsia="Times New Roman"/>
          <w:color w:val="auto"/>
          <w:spacing w:val="0"/>
          <w:position w:val="0"/>
          <w:sz w:val="24"/>
          <w:shd w:fill="FFFF00" w:val="clear"/>
          <w:vertAlign w:val="subscript"/>
        </w:rPr>
        <w:t xml:space="preserve">580</w:t>
      </w:r>
      <w:r>
        <w:rPr>
          <w:rFonts w:ascii="Times New Roman" w:hAnsi="Times New Roman" w:cs="Times New Roman" w:eastAsia="Times New Roman"/>
          <w:color w:val="auto"/>
          <w:spacing w:val="0"/>
          <w:position w:val="0"/>
          <w:sz w:val="24"/>
          <w:shd w:fill="FFFF00" w:val="clear"/>
        </w:rPr>
        <w:t xml:space="preserve"> ~ 0.5) in Middlebrook 7H9-ADN (Middlebrook 7H9 containing 0.2% glycerol, 0.2% dextrose, 0.5% albumin, and 0.085% NaCl) or 7H9-OADC (Middlebrook 7H9 containing 0.2% glycerol and 10% OADC supplement).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tab/>
        <w:t xml:space="preserve">Grow </w:t>
      </w:r>
      <w:r>
        <w:rPr>
          <w:rFonts w:ascii="Times New Roman" w:hAnsi="Times New Roman" w:cs="Times New Roman" w:eastAsia="Times New Roman"/>
          <w:i/>
          <w:color w:val="auto"/>
          <w:spacing w:val="0"/>
          <w:position w:val="0"/>
          <w:sz w:val="24"/>
          <w:shd w:fill="FFFF00" w:val="clear"/>
        </w:rPr>
        <w:t xml:space="preserve">M. tuberculosis</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i/>
          <w:color w:val="auto"/>
          <w:spacing w:val="0"/>
          <w:position w:val="0"/>
          <w:sz w:val="24"/>
          <w:shd w:fill="FFFF00" w:val="clear"/>
        </w:rPr>
        <w:t xml:space="preserve">M. bovis</w:t>
      </w:r>
      <w:r>
        <w:rPr>
          <w:rFonts w:ascii="Times New Roman" w:hAnsi="Times New Roman" w:cs="Times New Roman" w:eastAsia="Times New Roman"/>
          <w:color w:val="auto"/>
          <w:spacing w:val="0"/>
          <w:position w:val="0"/>
          <w:sz w:val="24"/>
          <w:shd w:fill="FFFF00" w:val="clear"/>
        </w:rPr>
        <w:t xml:space="preserve"> BCG as ~ 20 mL standing cultures in cell culture flasks and </w:t>
      </w:r>
      <w:r>
        <w:rPr>
          <w:rFonts w:ascii="Times New Roman" w:hAnsi="Times New Roman" w:cs="Times New Roman" w:eastAsia="Times New Roman"/>
          <w:i/>
          <w:color w:val="auto"/>
          <w:spacing w:val="0"/>
          <w:position w:val="0"/>
          <w:sz w:val="24"/>
          <w:shd w:fill="FFFF00" w:val="clear"/>
        </w:rPr>
        <w:t xml:space="preserve">M. smegmatis</w:t>
      </w:r>
      <w:r>
        <w:rPr>
          <w:rFonts w:ascii="Times New Roman" w:hAnsi="Times New Roman" w:cs="Times New Roman" w:eastAsia="Times New Roman"/>
          <w:color w:val="auto"/>
          <w:spacing w:val="0"/>
          <w:position w:val="0"/>
          <w:sz w:val="24"/>
          <w:shd w:fill="FFFF00" w:val="clear"/>
        </w:rPr>
        <w:t xml:space="preserve"> with shaking in polypropylene round-bottom (4 mL culture) or 50 mL conical centrifuge tubes (10-20 mL culture).  Incubate pathogenic mycobacteria at 37 &amp;#176;C with 20% 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and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i/>
          <w:color w:val="auto"/>
          <w:spacing w:val="0"/>
          <w:position w:val="0"/>
          <w:sz w:val="24"/>
          <w:shd w:fill="FFFF00" w:val="clear"/>
        </w:rPr>
        <w:t xml:space="preserve">M. smegmatis</w:t>
      </w:r>
      <w:r>
        <w:rPr>
          <w:rFonts w:ascii="Times New Roman" w:hAnsi="Times New Roman" w:cs="Times New Roman" w:eastAsia="Times New Roman"/>
          <w:color w:val="auto"/>
          <w:spacing w:val="0"/>
          <w:position w:val="0"/>
          <w:sz w:val="24"/>
          <w:shd w:fill="FFFF00" w:val="clear"/>
        </w:rPr>
        <w:t xml:space="preserve"> at 37 &amp;#176;C with 20% 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tab/>
        <w:t xml:space="preserve">Set up a minimal-inhibitory concentration (MIC</w:t>
      </w:r>
      <w:r>
        <w:rPr>
          <w:rFonts w:ascii="Times New Roman" w:hAnsi="Times New Roman" w:cs="Times New Roman" w:eastAsia="Times New Roman"/>
          <w:color w:val="auto"/>
          <w:spacing w:val="0"/>
          <w:position w:val="0"/>
          <w:sz w:val="24"/>
          <w:shd w:fill="FFFF00" w:val="clear"/>
          <w:vertAlign w:val="subscript"/>
        </w:rPr>
        <w:t xml:space="preserve">90</w:t>
      </w:r>
      <w:r>
        <w:rPr>
          <w:rFonts w:ascii="Times New Roman" w:hAnsi="Times New Roman" w:cs="Times New Roman" w:eastAsia="Times New Roman"/>
          <w:color w:val="auto"/>
          <w:spacing w:val="0"/>
          <w:position w:val="0"/>
          <w:sz w:val="24"/>
          <w:shd w:fill="FFFF00" w:val="clear"/>
        </w:rPr>
        <w:t xml:space="preserve">)-style experiment under replicating and non-replicating conditions (</w:t>
      </w:r>
      <w:r>
        <w:rPr>
          <w:rFonts w:ascii="Times New Roman" w:hAnsi="Times New Roman" w:cs="Times New Roman" w:eastAsia="Times New Roman"/>
          <w:b/>
          <w:color w:val="auto"/>
          <w:spacing w:val="0"/>
          <w:position w:val="0"/>
          <w:sz w:val="24"/>
          <w:shd w:fill="FFFF00" w:val="clear"/>
        </w:rPr>
        <w:t xml:space="preserve">Figure 2</w:t>
      </w:r>
      <w:r>
        <w:rPr>
          <w:rFonts w:ascii="Times New Roman" w:hAnsi="Times New Roman" w:cs="Times New Roman" w:eastAsia="Times New Roman"/>
          <w:color w:val="auto"/>
          <w:spacing w:val="0"/>
          <w:position w:val="0"/>
          <w:sz w:val="24"/>
          <w:shd w:fill="FFFF00"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Test agents are usually assayed in duplicates or quadruplicates to permit testing 4, or 2 compounds, respectively, per 96-well microplate.  For example, in a 96-well plate, one test agent can be assayed in rows A-D and another in rows E-H.  The DMSO (vehicle) is in columns 1, 2, and 12, and the test agent dilution series runs from column 3 (lowest concentration) to column 11 (highest concentration).  MIC</w:t>
      </w:r>
      <w:r>
        <w:rPr>
          <w:rFonts w:ascii="Times New Roman" w:hAnsi="Times New Roman" w:cs="Times New Roman" w:eastAsia="Times New Roman"/>
          <w:color w:val="auto"/>
          <w:spacing w:val="0"/>
          <w:position w:val="0"/>
          <w:sz w:val="24"/>
          <w:shd w:fill="FFFF00" w:val="clear"/>
          <w:vertAlign w:val="subscript"/>
        </w:rPr>
        <w:t xml:space="preserve">90</w:t>
      </w:r>
      <w:r>
        <w:rPr>
          <w:rFonts w:ascii="Times New Roman" w:hAnsi="Times New Roman" w:cs="Times New Roman" w:eastAsia="Times New Roman"/>
          <w:color w:val="auto"/>
          <w:spacing w:val="0"/>
          <w:position w:val="0"/>
          <w:sz w:val="24"/>
          <w:shd w:fill="FFFF00" w:val="clear"/>
        </w:rPr>
        <w:t xml:space="preserve">-style assays typically employ 2-fold dilution series.  There are numerous non-replicating models available for mycobacteria </w:t>
      </w:r>
      <w:r>
        <w:rPr>
          <w:rFonts w:ascii="Times New Roman" w:hAnsi="Times New Roman" w:cs="Times New Roman" w:eastAsia="Times New Roman"/>
          <w:color w:val="auto"/>
          <w:spacing w:val="0"/>
          <w:position w:val="0"/>
          <w:sz w:val="24"/>
          <w:shd w:fill="FFFF00" w:val="clear"/>
          <w:vertAlign w:val="superscript"/>
        </w:rPr>
        <w:t xml:space="preserve">14-16,18,24,25</w:t>
      </w:r>
      <w:r>
        <w:rPr>
          <w:rFonts w:ascii="Times New Roman" w:hAnsi="Times New Roman" w:cs="Times New Roman" w:eastAsia="Times New Roman"/>
          <w:color w:val="auto"/>
          <w:spacing w:val="0"/>
          <w:position w:val="0"/>
          <w:sz w:val="24"/>
          <w:shd w:fill="FFFF00" w:val="clear"/>
        </w:rPr>
        <w:t xml:space="preserve"> and for illustrative purposes, we are using a multi-stress model of non-replication </w:t>
      </w:r>
      <w:r>
        <w:rPr>
          <w:rFonts w:ascii="Times New Roman" w:hAnsi="Times New Roman" w:cs="Times New Roman" w:eastAsia="Times New Roman"/>
          <w:color w:val="auto"/>
          <w:spacing w:val="0"/>
          <w:position w:val="0"/>
          <w:sz w:val="24"/>
          <w:shd w:fill="FFFF00" w:val="clear"/>
          <w:vertAlign w:val="superscript"/>
        </w:rPr>
        <w:t xml:space="preserve">6,8,9</w:t>
      </w:r>
      <w:r>
        <w:rPr>
          <w:rFonts w:ascii="Times New Roman" w:hAnsi="Times New Roman" w:cs="Times New Roman" w:eastAsia="Times New Roman"/>
          <w:color w:val="auto"/>
          <w:spacing w:val="0"/>
          <w:position w:val="0"/>
          <w:sz w:val="24"/>
          <w:shd w:fill="FFFF00"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2.3.1</w:t>
        <w:tab/>
        <w:t xml:space="preserve">For the replicating assay, distribute 200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cells in 7H9-ADN at an OD</w:t>
      </w:r>
      <w:r>
        <w:rPr>
          <w:rFonts w:ascii="Times New Roman" w:hAnsi="Times New Roman" w:cs="Times New Roman" w:eastAsia="Times New Roman"/>
          <w:color w:val="auto"/>
          <w:spacing w:val="0"/>
          <w:position w:val="0"/>
          <w:sz w:val="24"/>
          <w:shd w:fill="FFFF00" w:val="clear"/>
          <w:vertAlign w:val="subscript"/>
        </w:rPr>
        <w:t xml:space="preserve">580</w:t>
      </w:r>
      <w:r>
        <w:rPr>
          <w:rFonts w:ascii="Times New Roman" w:hAnsi="Times New Roman" w:cs="Times New Roman" w:eastAsia="Times New Roman"/>
          <w:color w:val="auto"/>
          <w:spacing w:val="0"/>
          <w:position w:val="0"/>
          <w:sz w:val="24"/>
          <w:shd w:fill="FFFF00" w:val="clear"/>
        </w:rPr>
        <w:t xml:space="preserve"> of 0.01 into all wells of a clear-bottomed, tissue culture treated 96-well plate.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2.3.2</w:t>
        <w:tab/>
        <w:t xml:space="preserve">For the non-replicating assay, wash cells twice in phosphate buffered saline (PBS) containing 0.02% tyloxapol, and resuspend cells in non-replicating medium (0.05% KH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PO</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 0.05% MgSO</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 0.005% ferric ammonium citrate, 0.0001% ZnCl</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0.1% NH</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Cl, 0.5% BSA, 0.085% NaCl, 0.02% tyloxapol, 0.05% butyrate;</w:t>
      </w:r>
      <w:r>
        <w:rPr>
          <w:rFonts w:ascii="Times New Roman" w:hAnsi="Times New Roman" w:cs="Times New Roman" w:eastAsia="Times New Roman"/>
          <w:color w:val="auto"/>
          <w:spacing w:val="0"/>
          <w:position w:val="0"/>
          <w:sz w:val="24"/>
          <w:shd w:fill="FFFF00" w:val="clear"/>
          <w:vertAlign w:val="superscript"/>
        </w:rPr>
        <w:t xml:space="preserve"> </w:t>
      </w:r>
      <w:r>
        <w:rPr>
          <w:rFonts w:ascii="Times New Roman" w:hAnsi="Times New Roman" w:cs="Times New Roman" w:eastAsia="Times New Roman"/>
          <w:color w:val="auto"/>
          <w:spacing w:val="0"/>
          <w:position w:val="0"/>
          <w:sz w:val="24"/>
          <w:shd w:fill="FFFF00" w:val="clear"/>
        </w:rPr>
        <w:t xml:space="preserve">pH adjusted to 5.0 with 2N NaOH).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2.3.2.1</w:t>
        <w:tab/>
        <w:t xml:space="preserve">Dilute cells to an OD</w:t>
      </w:r>
      <w:r>
        <w:rPr>
          <w:rFonts w:ascii="Times New Roman" w:hAnsi="Times New Roman" w:cs="Times New Roman" w:eastAsia="Times New Roman"/>
          <w:color w:val="auto"/>
          <w:spacing w:val="0"/>
          <w:position w:val="0"/>
          <w:sz w:val="24"/>
          <w:shd w:fill="FFFF00" w:val="clear"/>
          <w:vertAlign w:val="subscript"/>
        </w:rPr>
        <w:t xml:space="preserve">580</w:t>
      </w:r>
      <w:r>
        <w:rPr>
          <w:rFonts w:ascii="Times New Roman" w:hAnsi="Times New Roman" w:cs="Times New Roman" w:eastAsia="Times New Roman"/>
          <w:color w:val="auto"/>
          <w:spacing w:val="0"/>
          <w:position w:val="0"/>
          <w:sz w:val="24"/>
          <w:shd w:fill="FFFF00" w:val="clear"/>
        </w:rPr>
        <w:t xml:space="preserve"> of 0.1 in non-replicating medium and add NaNO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from a freshly prepared 1 M stock to a final concentration of 0.5 mM.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2.3.2.2</w:t>
        <w:tab/>
        <w:t xml:space="preserve">Distribute 200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cells at an OD</w:t>
      </w:r>
      <w:r>
        <w:rPr>
          <w:rFonts w:ascii="Times New Roman" w:hAnsi="Times New Roman" w:cs="Times New Roman" w:eastAsia="Times New Roman"/>
          <w:color w:val="auto"/>
          <w:spacing w:val="0"/>
          <w:position w:val="0"/>
          <w:sz w:val="24"/>
          <w:shd w:fill="FFFF00" w:val="clear"/>
          <w:vertAlign w:val="subscript"/>
        </w:rPr>
        <w:t xml:space="preserve">580</w:t>
      </w:r>
      <w:r>
        <w:rPr>
          <w:rFonts w:ascii="Times New Roman" w:hAnsi="Times New Roman" w:cs="Times New Roman" w:eastAsia="Times New Roman"/>
          <w:color w:val="auto"/>
          <w:spacing w:val="0"/>
          <w:position w:val="0"/>
          <w:sz w:val="24"/>
          <w:shd w:fill="FFFF00" w:val="clear"/>
        </w:rPr>
        <w:t xml:space="preserve"> of 0.1 into all wells of a clear-bottomed, tissue culture treated 96-well plate.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Prepare compound dilutions as 100-fold stock solutions in DMSO.  Thus, a typical MIC plate testing the impact of a molecule at a final concentration 0.4 - 100 &amp;#956;g/mL would require stock solutions of 0.04 – 10 mg/mL in DMSO.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2.3.3</w:t>
        <w:tab/>
        <w:t xml:space="preserve">Add 2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dilutions of test agent 1 into rows A-E and 2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dilutions of test agent 2 into rows E-H.  Mix thoroughly.</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2.3.4</w:t>
        <w:tab/>
        <w:t xml:space="preserve">Add 2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vehicle control (usually DMSO) into control wells, columns 1, 2, 12 (rows A-H).  Mix thoroughly.</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2.3.5</w:t>
        <w:tab/>
        <w:t xml:space="preserve">For each experiment, include at least one positive control such as rifampicin from 0.004 to 1 &amp;#956;g/mL (replicating assay) and/or 0.08 to 20 &amp;#956;g/mL (non-replicating assay).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use of 6-bromo-1H-indazol-3-amine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at 0.1 to 25 &amp;#956;g/mL is recommended as a control compound that has selective, NaNO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-dependent activity in the multi-stress model of non-replication.</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2.3.6</w:t>
        <w:tab/>
        <w:t xml:space="preserve">For replicating assays, incubate microplates at 37 &amp;#176;C at 20% 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and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for 7 days (</w:t>
      </w:r>
      <w:r>
        <w:rPr>
          <w:rFonts w:ascii="Times New Roman" w:hAnsi="Times New Roman" w:cs="Times New Roman" w:eastAsia="Times New Roman"/>
          <w:i/>
          <w:color w:val="auto"/>
          <w:spacing w:val="0"/>
          <w:position w:val="0"/>
          <w:sz w:val="24"/>
          <w:shd w:fill="FFFF00" w:val="clear"/>
        </w:rPr>
        <w:t xml:space="preserve">M. tuberculosis</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i/>
          <w:color w:val="auto"/>
          <w:spacing w:val="0"/>
          <w:position w:val="0"/>
          <w:sz w:val="24"/>
          <w:shd w:fill="FFFF00" w:val="clear"/>
        </w:rPr>
        <w:t xml:space="preserve">M. bovis</w:t>
      </w:r>
      <w:r>
        <w:rPr>
          <w:rFonts w:ascii="Times New Roman" w:hAnsi="Times New Roman" w:cs="Times New Roman" w:eastAsia="Times New Roman"/>
          <w:color w:val="auto"/>
          <w:spacing w:val="0"/>
          <w:position w:val="0"/>
          <w:sz w:val="24"/>
          <w:shd w:fill="FFFF00" w:val="clear"/>
        </w:rPr>
        <w:t xml:space="preserve"> BCG) or 1-48 hours (</w:t>
      </w:r>
      <w:r>
        <w:rPr>
          <w:rFonts w:ascii="Times New Roman" w:hAnsi="Times New Roman" w:cs="Times New Roman" w:eastAsia="Times New Roman"/>
          <w:i/>
          <w:color w:val="auto"/>
          <w:spacing w:val="0"/>
          <w:position w:val="0"/>
          <w:sz w:val="24"/>
          <w:shd w:fill="FFFF00" w:val="clear"/>
        </w:rPr>
        <w:t xml:space="preserve">M. smegmatis</w:t>
      </w:r>
      <w:r>
        <w:rPr>
          <w:rFonts w:ascii="Times New Roman" w:hAnsi="Times New Roman" w:cs="Times New Roman" w:eastAsia="Times New Roman"/>
          <w:color w:val="auto"/>
          <w:spacing w:val="0"/>
          <w:position w:val="0"/>
          <w:sz w:val="24"/>
          <w:shd w:fill="FFFF00" w:val="clear"/>
        </w:rPr>
        <w:t xml:space="preserve">).  For the multi-stress model of non-replication, incubate microplates for 7 days at 37 &amp;#176;C at 1% 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and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i/>
          <w:color w:val="auto"/>
          <w:spacing w:val="0"/>
          <w:position w:val="0"/>
          <w:sz w:val="24"/>
          <w:shd w:fill="FFFF00" w:val="clear"/>
        </w:rPr>
        <w:t xml:space="preserve">M. tuberculosis</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i/>
          <w:color w:val="auto"/>
          <w:spacing w:val="0"/>
          <w:position w:val="0"/>
          <w:sz w:val="24"/>
          <w:shd w:fill="FFFF00" w:val="clear"/>
        </w:rPr>
        <w:t xml:space="preserve">M. bovis</w:t>
      </w:r>
      <w:r>
        <w:rPr>
          <w:rFonts w:ascii="Times New Roman" w:hAnsi="Times New Roman" w:cs="Times New Roman" w:eastAsia="Times New Roman"/>
          <w:color w:val="auto"/>
          <w:spacing w:val="0"/>
          <w:position w:val="0"/>
          <w:sz w:val="24"/>
          <w:shd w:fill="FFFF00" w:val="clear"/>
        </w:rPr>
        <w:t xml:space="preserve"> BCG).  </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 Inoculation of CARA microplates: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w:t>
        <w:tab/>
        <w:t xml:space="preserve">At time points in which the CARA will be used as a read-out, carefully resuspend well contents of the MIC</w:t>
      </w:r>
      <w:r>
        <w:rPr>
          <w:rFonts w:ascii="Times New Roman" w:hAnsi="Times New Roman" w:cs="Times New Roman" w:eastAsia="Times New Roman"/>
          <w:color w:val="auto"/>
          <w:spacing w:val="0"/>
          <w:position w:val="0"/>
          <w:sz w:val="24"/>
          <w:shd w:fill="FFFF00" w:val="clear"/>
          <w:vertAlign w:val="subscript"/>
        </w:rPr>
        <w:t xml:space="preserve">90</w:t>
      </w:r>
      <w:r>
        <w:rPr>
          <w:rFonts w:ascii="Times New Roman" w:hAnsi="Times New Roman" w:cs="Times New Roman" w:eastAsia="Times New Roman"/>
          <w:color w:val="auto"/>
          <w:spacing w:val="0"/>
          <w:position w:val="0"/>
          <w:sz w:val="24"/>
          <w:shd w:fill="FFFF00" w:val="clear"/>
        </w:rPr>
        <w:t xml:space="preserve">-style assay plate using a p200 multichannel pipette set at 50 - 75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Pipette up and down at least 5-10 times and gently swirl the well contents in a circular motion using the pipette tips.  </w:t>
      </w:r>
    </w:p>
    <w:p>
      <w:pPr>
        <w:spacing w:before="0" w:after="240" w:line="240"/>
        <w:ind w:right="0" w:left="360" w:firstLine="0"/>
        <w:jc w:val="both"/>
        <w:rPr>
          <w:rFonts w:ascii="Times New Roman" w:hAnsi="Times New Roman" w:cs="Times New Roman" w:eastAsia="Times New Roman"/>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w:t>
        <w:tab/>
        <w:t xml:space="preserve">Transfer 10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assay well contents to the CARA microplate.  Ensure that the order of the well contents on the assay plate matches the order of the well contents of the CARA microplate. Avoid splashing during the transfers and make sure the 10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are spotted into the middle of the CARA microplate wells.  Confirm the 10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absorbs into the CARA microplate.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There are no dilutions required prior to spotting cells on the CARA microplates.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w:t>
        <w:tab/>
        <w:t xml:space="preserve">Bind stacks of CARA microplates with plate tape and then place into a resealable plastic bag.  Incubate CARA microplates at 37 &amp;#176;C with 20% 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i/>
          <w:color w:val="auto"/>
          <w:spacing w:val="0"/>
          <w:position w:val="0"/>
          <w:sz w:val="24"/>
          <w:shd w:fill="FFFF00" w:val="clear"/>
        </w:rPr>
        <w:t xml:space="preserve">M. smegmatis</w:t>
      </w:r>
      <w:r>
        <w:rPr>
          <w:rFonts w:ascii="Times New Roman" w:hAnsi="Times New Roman" w:cs="Times New Roman" w:eastAsia="Times New Roman"/>
          <w:color w:val="auto"/>
          <w:spacing w:val="0"/>
          <w:position w:val="0"/>
          <w:sz w:val="24"/>
          <w:shd w:fill="FFFF00" w:val="clear"/>
        </w:rPr>
        <w:t xml:space="preserve">) or 1% 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and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i/>
          <w:color w:val="auto"/>
          <w:spacing w:val="0"/>
          <w:position w:val="0"/>
          <w:sz w:val="24"/>
          <w:shd w:fill="FFFF00" w:val="clear"/>
        </w:rPr>
        <w:t xml:space="preserve">M. tuberculosis</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i/>
          <w:color w:val="auto"/>
          <w:spacing w:val="0"/>
          <w:position w:val="0"/>
          <w:sz w:val="24"/>
          <w:shd w:fill="FFFF00" w:val="clear"/>
        </w:rPr>
        <w:t xml:space="preserve">M. bovis</w:t>
      </w:r>
      <w:r>
        <w:rPr>
          <w:rFonts w:ascii="Times New Roman" w:hAnsi="Times New Roman" w:cs="Times New Roman" w:eastAsia="Times New Roman"/>
          <w:color w:val="auto"/>
          <w:spacing w:val="0"/>
          <w:position w:val="0"/>
          <w:sz w:val="24"/>
          <w:shd w:fill="FFFF00" w:val="clear"/>
        </w:rPr>
        <w:t xml:space="preserve"> BCG).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tab/>
        <w:t xml:space="preserve">For </w:t>
      </w:r>
      <w:r>
        <w:rPr>
          <w:rFonts w:ascii="Times New Roman" w:hAnsi="Times New Roman" w:cs="Times New Roman" w:eastAsia="Times New Roman"/>
          <w:i/>
          <w:color w:val="auto"/>
          <w:spacing w:val="0"/>
          <w:position w:val="0"/>
          <w:sz w:val="24"/>
          <w:shd w:fill="FFFF00" w:val="clear"/>
        </w:rPr>
        <w:t xml:space="preserve">M. tuberculosis </w:t>
      </w:r>
      <w:r>
        <w:rPr>
          <w:rFonts w:ascii="Times New Roman" w:hAnsi="Times New Roman" w:cs="Times New Roman" w:eastAsia="Times New Roman"/>
          <w:color w:val="auto"/>
          <w:spacing w:val="0"/>
          <w:position w:val="0"/>
          <w:sz w:val="24"/>
          <w:shd w:fill="FFFF00" w:val="clear"/>
        </w:rPr>
        <w:t xml:space="preserve">and</w:t>
      </w:r>
      <w:r>
        <w:rPr>
          <w:rFonts w:ascii="Times New Roman" w:hAnsi="Times New Roman" w:cs="Times New Roman" w:eastAsia="Times New Roman"/>
          <w:i/>
          <w:color w:val="auto"/>
          <w:spacing w:val="0"/>
          <w:position w:val="0"/>
          <w:sz w:val="24"/>
          <w:shd w:fill="FFFF00" w:val="clear"/>
        </w:rPr>
        <w:t xml:space="preserve"> M. bovis </w:t>
      </w:r>
      <w:r>
        <w:rPr>
          <w:rFonts w:ascii="Times New Roman" w:hAnsi="Times New Roman" w:cs="Times New Roman" w:eastAsia="Times New Roman"/>
          <w:color w:val="auto"/>
          <w:spacing w:val="0"/>
          <w:position w:val="0"/>
          <w:sz w:val="24"/>
          <w:shd w:fill="FFFF00" w:val="clear"/>
        </w:rPr>
        <w:t xml:space="preserve">BCG, replicating assays: incubate for 7 days; for </w:t>
      </w:r>
      <w:r>
        <w:rPr>
          <w:rFonts w:ascii="Times New Roman" w:hAnsi="Times New Roman" w:cs="Times New Roman" w:eastAsia="Times New Roman"/>
          <w:i/>
          <w:color w:val="auto"/>
          <w:spacing w:val="0"/>
          <w:position w:val="0"/>
          <w:sz w:val="24"/>
          <w:shd w:fill="FFFF00" w:val="clear"/>
        </w:rPr>
        <w:t xml:space="preserve">M. tuberculosis </w:t>
      </w:r>
      <w:r>
        <w:rPr>
          <w:rFonts w:ascii="Times New Roman" w:hAnsi="Times New Roman" w:cs="Times New Roman" w:eastAsia="Times New Roman"/>
          <w:color w:val="auto"/>
          <w:spacing w:val="0"/>
          <w:position w:val="0"/>
          <w:sz w:val="24"/>
          <w:shd w:fill="FFFF00" w:val="clear"/>
        </w:rPr>
        <w:t xml:space="preserve">and</w:t>
      </w:r>
      <w:r>
        <w:rPr>
          <w:rFonts w:ascii="Times New Roman" w:hAnsi="Times New Roman" w:cs="Times New Roman" w:eastAsia="Times New Roman"/>
          <w:i/>
          <w:color w:val="auto"/>
          <w:spacing w:val="0"/>
          <w:position w:val="0"/>
          <w:sz w:val="24"/>
          <w:shd w:fill="FFFF00" w:val="clear"/>
        </w:rPr>
        <w:t xml:space="preserve"> M. bovis </w:t>
      </w:r>
      <w:r>
        <w:rPr>
          <w:rFonts w:ascii="Times New Roman" w:hAnsi="Times New Roman" w:cs="Times New Roman" w:eastAsia="Times New Roman"/>
          <w:color w:val="auto"/>
          <w:spacing w:val="0"/>
          <w:position w:val="0"/>
          <w:sz w:val="24"/>
          <w:shd w:fill="FFFF00" w:val="clear"/>
        </w:rPr>
        <w:t xml:space="preserve">BCG non-replicating assays, incubate for 10 days; for </w:t>
      </w:r>
      <w:r>
        <w:rPr>
          <w:rFonts w:ascii="Times New Roman" w:hAnsi="Times New Roman" w:cs="Times New Roman" w:eastAsia="Times New Roman"/>
          <w:i/>
          <w:color w:val="auto"/>
          <w:spacing w:val="0"/>
          <w:position w:val="0"/>
          <w:sz w:val="24"/>
          <w:shd w:fill="FFFF00" w:val="clear"/>
        </w:rPr>
        <w:t xml:space="preserve">M. smegmatis</w:t>
      </w:r>
      <w:r>
        <w:rPr>
          <w:rFonts w:ascii="Times New Roman" w:hAnsi="Times New Roman" w:cs="Times New Roman" w:eastAsia="Times New Roman"/>
          <w:color w:val="auto"/>
          <w:spacing w:val="0"/>
          <w:position w:val="0"/>
          <w:sz w:val="24"/>
          <w:shd w:fill="FFFF00" w:val="clear"/>
        </w:rPr>
        <w:t xml:space="preserve">, replicating assays, incubate for 1-2 days; for </w:t>
      </w:r>
      <w:r>
        <w:rPr>
          <w:rFonts w:ascii="Times New Roman" w:hAnsi="Times New Roman" w:cs="Times New Roman" w:eastAsia="Times New Roman"/>
          <w:i/>
          <w:color w:val="auto"/>
          <w:spacing w:val="0"/>
          <w:position w:val="0"/>
          <w:sz w:val="24"/>
          <w:shd w:fill="FFFF00" w:val="clear"/>
        </w:rPr>
        <w:t xml:space="preserve">M. smegmatis</w:t>
      </w:r>
      <w:r>
        <w:rPr>
          <w:rFonts w:ascii="Times New Roman" w:hAnsi="Times New Roman" w:cs="Times New Roman" w:eastAsia="Times New Roman"/>
          <w:color w:val="auto"/>
          <w:spacing w:val="0"/>
          <w:position w:val="0"/>
          <w:sz w:val="24"/>
          <w:shd w:fill="FFFF00" w:val="clear"/>
        </w:rPr>
        <w:t xml:space="preserve">, non-replicating assays, incubate 2-3 days.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Times are estimates and may be modified accordingly for different replicating, non-replicating, and stress conditions.  </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 Developing CARA microplates: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w:t>
        <w:tab/>
        <w:t xml:space="preserve">Develop the CARA microplates when a film of bacterial growth, or larger, macroscopic colonies, are visible on the negative (vehicle) control wells.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After prolonged incubation, CARA microplate wells often appear dry and we recommend pre-wetting well contents with sterile PBS.  This serves to prevent the charcoal from absorbing resazurin, which can lead to low fluorescence or well-to-well variation.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tab/>
        <w:t xml:space="preserve">Using a single set of 12 p200 tips with a multichannel pipette, dispense 40 &amp;#181;L of sterile PBS along the side of the wells and allow the PBS to distribute across the top of the agar/bacterial microcolonies.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FFFF00" w:val="clear"/>
        </w:rPr>
        <w:t xml:space="preserve">Prepare CARA developing reagent by mixing 5 mg resazurin (0.01% final) and 50 mL of 5% Tween80 in PBS. </w:t>
      </w:r>
      <w:r>
        <w:rPr>
          <w:rFonts w:ascii="Times New Roman" w:hAnsi="Times New Roman" w:cs="Times New Roman" w:eastAsia="Times New Roman"/>
          <w:color w:val="auto"/>
          <w:spacing w:val="0"/>
          <w:position w:val="0"/>
          <w:sz w:val="24"/>
          <w:shd w:fill="auto" w:val="clear"/>
        </w:rPr>
        <w:t xml:space="preserve">Vortex and sterile filter.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An alternative CARA developing reagent can be prepared by mixing commercially prepared resazurin liquid solution at 1:1 (vol/vol) with 10% Tween80 in PBS.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w:t>
        <w:tab/>
        <w:t xml:space="preserve">Add 50 &amp;#181;L of freshly prepared CARA developing reagent to each well of the CARA microplate using a 12-channel pipette.  Rock plates back and forth a few times to help distribute reagent across the agar and bacterial mat in each well.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4.5</w:t>
        <w:tab/>
        <w:t xml:space="preserve">Place the plates in a resealable plastic bag and incubate at 37 &amp;#176;C for at least 30 minutes for </w:t>
      </w:r>
      <w:r>
        <w:rPr>
          <w:rFonts w:ascii="Times New Roman" w:hAnsi="Times New Roman" w:cs="Times New Roman" w:eastAsia="Times New Roman"/>
          <w:i/>
          <w:color w:val="auto"/>
          <w:spacing w:val="0"/>
          <w:position w:val="0"/>
          <w:sz w:val="24"/>
          <w:shd w:fill="FFFF00" w:val="clear"/>
        </w:rPr>
        <w:t xml:space="preserve">M. smegmatis</w:t>
      </w:r>
      <w:r>
        <w:rPr>
          <w:rFonts w:ascii="Times New Roman" w:hAnsi="Times New Roman" w:cs="Times New Roman" w:eastAsia="Times New Roman"/>
          <w:color w:val="auto"/>
          <w:spacing w:val="0"/>
          <w:position w:val="0"/>
          <w:sz w:val="24"/>
          <w:shd w:fill="FFFF00" w:val="clear"/>
        </w:rPr>
        <w:t xml:space="preserve"> and 45-60 minutes for </w:t>
      </w:r>
      <w:r>
        <w:rPr>
          <w:rFonts w:ascii="Times New Roman" w:hAnsi="Times New Roman" w:cs="Times New Roman" w:eastAsia="Times New Roman"/>
          <w:i/>
          <w:color w:val="auto"/>
          <w:spacing w:val="0"/>
          <w:position w:val="0"/>
          <w:sz w:val="24"/>
          <w:shd w:fill="FFFF00" w:val="clear"/>
        </w:rPr>
        <w:t xml:space="preserve">M. tuberculosis</w:t>
      </w:r>
      <w:r>
        <w:rPr>
          <w:rFonts w:ascii="Times New Roman" w:hAnsi="Times New Roman" w:cs="Times New Roman" w:eastAsia="Times New Roman"/>
          <w:color w:val="auto"/>
          <w:spacing w:val="0"/>
          <w:position w:val="0"/>
          <w:sz w:val="24"/>
          <w:shd w:fill="FFFF00" w:val="clear"/>
        </w:rPr>
        <w:t xml:space="preserve"> or </w:t>
      </w:r>
      <w:r>
        <w:rPr>
          <w:rFonts w:ascii="Times New Roman" w:hAnsi="Times New Roman" w:cs="Times New Roman" w:eastAsia="Times New Roman"/>
          <w:i/>
          <w:color w:val="auto"/>
          <w:spacing w:val="0"/>
          <w:position w:val="0"/>
          <w:sz w:val="24"/>
          <w:shd w:fill="FFFF00" w:val="clear"/>
        </w:rPr>
        <w:t xml:space="preserve">M. bovis</w:t>
      </w:r>
      <w:r>
        <w:rPr>
          <w:rFonts w:ascii="Times New Roman" w:hAnsi="Times New Roman" w:cs="Times New Roman" w:eastAsia="Times New Roman"/>
          <w:color w:val="auto"/>
          <w:spacing w:val="0"/>
          <w:position w:val="0"/>
          <w:sz w:val="24"/>
          <w:shd w:fill="FFFF00" w:val="clear"/>
        </w:rPr>
        <w:t xml:space="preserve"> BCG.</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 vehicle control wells fail to turn pink within the first hour, the plates can be re-bagged and incubated for longer periods of time.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w:t>
        <w:tab/>
        <w:t xml:space="preserve">Prior to reading fluorescence, place CARA microplates in a biosafety hood for 15 minutes at room temperature with their lids removed.  When using BSL3 spectrophotometers outside of a biosafety cabinet, adhere an optical quality PCR sticker over the plate and seal tightly by pressing gently on the sticker surface with a soft paper towel.</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4.7</w:t>
        <w:tab/>
        <w:t xml:space="preserve">Determine fluorescence via top read with excitation at 530 nm and emission at 590 nm.  It is not necessary to blank the plate.</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 Data analysis: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w:t>
        <w:tab/>
        <w:t xml:space="preserve">Plot inhibitor concentration on the X-axis on a log</w:t>
      </w:r>
      <w:r>
        <w:rPr>
          <w:rFonts w:ascii="Times New Roman" w:hAnsi="Times New Roman" w:cs="Times New Roman" w:eastAsia="Times New Roman"/>
          <w:color w:val="auto"/>
          <w:spacing w:val="0"/>
          <w:position w:val="0"/>
          <w:sz w:val="24"/>
          <w:shd w:fill="FFFF00" w:val="clear"/>
          <w:vertAlign w:val="subscript"/>
        </w:rPr>
        <w:t xml:space="preserve">10</w:t>
      </w:r>
      <w:r>
        <w:rPr>
          <w:rFonts w:ascii="Times New Roman" w:hAnsi="Times New Roman" w:cs="Times New Roman" w:eastAsia="Times New Roman"/>
          <w:color w:val="auto"/>
          <w:spacing w:val="0"/>
          <w:position w:val="0"/>
          <w:sz w:val="24"/>
          <w:shd w:fill="FFFF00" w:val="clear"/>
        </w:rPr>
        <w:t xml:space="preserve"> scale and fluorescence on the Y-axis on a linear scale.  Use a scatter plot employing a curve fit such as “log inhibitor versus response-variable slope (4 parameters)”. Plot data points as means +/- standard error.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Anticipated CARA results are described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and summarized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For replicating cells, the CARA is run in parallel with a standard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assays, and for non-replicating assays, the CARA is run in parallel with an adapted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assay that is coupled to an outgrowth phase.  The concentration of test agent that results in failure of CARA-fluorescence to rise above background levels is the CARA-MBC</w:t>
      </w:r>
      <w:r>
        <w:rPr>
          <w:rFonts w:ascii="Times New Roman" w:hAnsi="Times New Roman" w:cs="Times New Roman" w:eastAsia="Times New Roman"/>
          <w:color w:val="auto"/>
          <w:spacing w:val="0"/>
          <w:position w:val="0"/>
          <w:sz w:val="24"/>
          <w:shd w:fill="auto" w:val="clear"/>
          <w:vertAlign w:val="subscript"/>
        </w:rPr>
        <w:t xml:space="preserve">≥99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3a</w:t>
      </w:r>
      <w:r>
        <w:rPr>
          <w:rFonts w:ascii="Times New Roman" w:hAnsi="Times New Roman" w:cs="Times New Roman" w:eastAsia="Times New Roman"/>
          <w:color w:val="auto"/>
          <w:spacing w:val="0"/>
          <w:position w:val="0"/>
          <w:sz w:val="24"/>
          <w:shd w:fill="auto" w:val="clear"/>
        </w:rPr>
        <w:t xml:space="preserve">).  The “≥99” subscript indicates that the CARA-MBC provides an estimated concentration of test agent that gives rise to ≥2 log</w:t>
      </w:r>
      <w:r>
        <w:rPr>
          <w:rFonts w:ascii="Times New Roman" w:hAnsi="Times New Roman" w:cs="Times New Roman" w:eastAsia="Times New Roman"/>
          <w:color w:val="auto"/>
          <w:spacing w:val="0"/>
          <w:position w:val="0"/>
          <w:sz w:val="24"/>
          <w:shd w:fill="auto" w:val="clear"/>
          <w:vertAlign w:val="subscript"/>
        </w:rPr>
        <w:t xml:space="preserve">10</w:t>
      </w:r>
      <w:r>
        <w:rPr>
          <w:rFonts w:ascii="Times New Roman" w:hAnsi="Times New Roman" w:cs="Times New Roman" w:eastAsia="Times New Roman"/>
          <w:color w:val="auto"/>
          <w:spacing w:val="0"/>
          <w:position w:val="0"/>
          <w:sz w:val="24"/>
          <w:shd w:fill="auto" w:val="clear"/>
        </w:rPr>
        <w:t xml:space="preserve"> bacterial kill (≥99% kill).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liquid broth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assay is unable to discriminate between bactericidal and bacteriostatic activity and this distinction has to be resolved by a CFU assay.  By convention, the threshold that distinguishes bactericidal from bacteriostatic activity for slow-growing mycobacteria is approximately 2-3 log</w:t>
      </w:r>
      <w:r>
        <w:rPr>
          <w:rFonts w:ascii="Times New Roman" w:hAnsi="Times New Roman" w:cs="Times New Roman" w:eastAsia="Times New Roman"/>
          <w:color w:val="auto"/>
          <w:spacing w:val="0"/>
          <w:position w:val="0"/>
          <w:sz w:val="24"/>
          <w:shd w:fill="auto" w:val="clear"/>
          <w:vertAlign w:val="subscript"/>
        </w:rPr>
        <w:t xml:space="preserve">10</w:t>
      </w:r>
      <w:r>
        <w:rPr>
          <w:rFonts w:ascii="Times New Roman" w:hAnsi="Times New Roman" w:cs="Times New Roman" w:eastAsia="Times New Roman"/>
          <w:color w:val="auto"/>
          <w:spacing w:val="0"/>
          <w:position w:val="0"/>
          <w:sz w:val="24"/>
          <w:shd w:fill="auto" w:val="clear"/>
        </w:rPr>
        <w:t xml:space="preserve"> kill over 7 days </w:t>
      </w:r>
      <w:r>
        <w:rPr>
          <w:rFonts w:ascii="Times New Roman" w:hAnsi="Times New Roman" w:cs="Times New Roman" w:eastAsia="Times New Roman"/>
          <w:color w:val="auto"/>
          <w:spacing w:val="0"/>
          <w:position w:val="0"/>
          <w:sz w:val="24"/>
          <w:shd w:fill="auto" w:val="clear"/>
          <w:vertAlign w:val="superscript"/>
        </w:rPr>
        <w:t xml:space="preserve">7,26</w:t>
      </w:r>
      <w:r>
        <w:rPr>
          <w:rFonts w:ascii="Times New Roman" w:hAnsi="Times New Roman" w:cs="Times New Roman" w:eastAsia="Times New Roman"/>
          <w:color w:val="auto"/>
          <w:spacing w:val="0"/>
          <w:position w:val="0"/>
          <w:sz w:val="24"/>
          <w:shd w:fill="auto" w:val="clear"/>
        </w:rPr>
        <w:t xml:space="preserve">.  Since the dynamic range of the CARA is also 2-3 log</w:t>
      </w:r>
      <w:r>
        <w:rPr>
          <w:rFonts w:ascii="Times New Roman" w:hAnsi="Times New Roman" w:cs="Times New Roman" w:eastAsia="Times New Roman"/>
          <w:color w:val="auto"/>
          <w:spacing w:val="0"/>
          <w:position w:val="0"/>
          <w:sz w:val="24"/>
          <w:shd w:fill="auto" w:val="clear"/>
          <w:vertAlign w:val="subscript"/>
        </w:rPr>
        <w:t xml:space="preserve">10</w:t>
      </w:r>
      <w:r>
        <w:rPr>
          <w:rFonts w:ascii="Times New Roman" w:hAnsi="Times New Roman" w:cs="Times New Roman" w:eastAsia="Times New Roman"/>
          <w:color w:val="auto"/>
          <w:spacing w:val="0"/>
          <w:position w:val="0"/>
          <w:sz w:val="24"/>
          <w:shd w:fill="auto" w:val="clear"/>
        </w:rPr>
        <w:t xml:space="preserve"> kill, the CARA can provide an estimate of bactericidal or bacteriostatic activity.  The CARA easily identifies some replicating actives as bacteriostatic due to failure of these compounds to decrease CARA fluorescence to background levels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However, some compounds with bacteriostatic activity against replicating </w:t>
      </w:r>
      <w:r>
        <w:rPr>
          <w:rFonts w:ascii="Times New Roman" w:hAnsi="Times New Roman" w:cs="Times New Roman" w:eastAsia="Times New Roman"/>
          <w:i/>
          <w:color w:val="auto"/>
          <w:spacing w:val="0"/>
          <w:position w:val="0"/>
          <w:sz w:val="24"/>
          <w:shd w:fill="auto" w:val="clear"/>
        </w:rPr>
        <w:t xml:space="preserve">M. tuberculosis</w:t>
      </w:r>
      <w:r>
        <w:rPr>
          <w:rFonts w:ascii="Times New Roman" w:hAnsi="Times New Roman" w:cs="Times New Roman" w:eastAsia="Times New Roman"/>
          <w:color w:val="auto"/>
          <w:spacing w:val="0"/>
          <w:position w:val="0"/>
          <w:sz w:val="24"/>
          <w:shd w:fill="auto" w:val="clear"/>
        </w:rPr>
        <w:t xml:space="preserve"> have a potent post-antibiotic effect, meaning that they continue to inhibit regrowth of bacteria during the recovery phase even in the absence of compound carry-over. This effect can be difficult to recognize in the CARA assay. Compounds are suspected of exerting a post-antibiotic effect if they display a “static window”, defined as a &amp;gt; 4-fold shift to the right between the MIC and CARA curves (</w:t>
      </w:r>
      <w:r>
        <w:rPr>
          <w:rFonts w:ascii="Times New Roman" w:hAnsi="Times New Roman" w:cs="Times New Roman" w:eastAsia="Times New Roman"/>
          <w:b/>
          <w:color w:val="auto"/>
          <w:spacing w:val="0"/>
          <w:position w:val="0"/>
          <w:sz w:val="24"/>
          <w:shd w:fill="auto" w:val="clear"/>
        </w:rPr>
        <w:t xml:space="preserve">Figure 3b</w:t>
      </w:r>
      <w:r>
        <w:rPr>
          <w:rFonts w:ascii="Times New Roman" w:hAnsi="Times New Roman" w:cs="Times New Roman" w:eastAsia="Times New Roman"/>
          <w:color w:val="auto"/>
          <w:spacing w:val="0"/>
          <w:position w:val="0"/>
          <w:sz w:val="24"/>
          <w:shd w:fill="auto" w:val="clear"/>
        </w:rPr>
        <w:t xml:space="preserve">).  The static window indicates that a molecule active against replicating </w:t>
      </w:r>
      <w:r>
        <w:rPr>
          <w:rFonts w:ascii="Times New Roman" w:hAnsi="Times New Roman" w:cs="Times New Roman" w:eastAsia="Times New Roman"/>
          <w:i/>
          <w:color w:val="auto"/>
          <w:spacing w:val="0"/>
          <w:position w:val="0"/>
          <w:sz w:val="24"/>
          <w:shd w:fill="auto" w:val="clear"/>
        </w:rPr>
        <w:t xml:space="preserve">M. tuberculosis</w:t>
      </w:r>
      <w:r>
        <w:rPr>
          <w:rFonts w:ascii="Times New Roman" w:hAnsi="Times New Roman" w:cs="Times New Roman" w:eastAsia="Times New Roman"/>
          <w:color w:val="auto"/>
          <w:spacing w:val="0"/>
          <w:position w:val="0"/>
          <w:sz w:val="24"/>
          <w:shd w:fill="auto" w:val="clear"/>
        </w:rPr>
        <w:t xml:space="preserve"> may be bacteriostatic instead of bactericidal.  In some cases, the static windows are apparent only after inspection of an expanded Y-axis for CARA fluorescence (</w:t>
      </w:r>
      <w:r>
        <w:rPr>
          <w:rFonts w:ascii="Times New Roman" w:hAnsi="Times New Roman" w:cs="Times New Roman" w:eastAsia="Times New Roman"/>
          <w:b/>
          <w:color w:val="auto"/>
          <w:spacing w:val="0"/>
          <w:position w:val="0"/>
          <w:sz w:val="24"/>
          <w:shd w:fill="auto" w:val="clear"/>
        </w:rPr>
        <w:t xml:space="preserve">Figure 3c and 3d</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CARA and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data are usually plotted together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Representative data for replicating- and non-replicating-active molecules tested by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and CARA are shown in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There are 4 major activity classes for molecules: 1) replicating bactericidal (demonstrated with isoniazid, </w:t>
      </w:r>
      <w:r>
        <w:rPr>
          <w:rFonts w:ascii="Times New Roman" w:hAnsi="Times New Roman" w:cs="Times New Roman" w:eastAsia="Times New Roman"/>
          <w:b/>
          <w:color w:val="auto"/>
          <w:spacing w:val="0"/>
          <w:position w:val="0"/>
          <w:sz w:val="24"/>
          <w:shd w:fill="auto" w:val="clear"/>
        </w:rPr>
        <w:t xml:space="preserve">Figure 4a</w:t>
      </w:r>
      <w:r>
        <w:rPr>
          <w:rFonts w:ascii="Times New Roman" w:hAnsi="Times New Roman" w:cs="Times New Roman" w:eastAsia="Times New Roman"/>
          <w:color w:val="auto"/>
          <w:spacing w:val="0"/>
          <w:position w:val="0"/>
          <w:sz w:val="24"/>
          <w:shd w:fill="auto" w:val="clear"/>
        </w:rPr>
        <w:t xml:space="preserve">); 2) replicating bacteriostatic (demonstrated with linezolid, </w:t>
      </w:r>
      <w:r>
        <w:rPr>
          <w:rFonts w:ascii="Times New Roman" w:hAnsi="Times New Roman" w:cs="Times New Roman" w:eastAsia="Times New Roman"/>
          <w:b/>
          <w:color w:val="auto"/>
          <w:spacing w:val="0"/>
          <w:position w:val="0"/>
          <w:sz w:val="24"/>
          <w:shd w:fill="auto" w:val="clear"/>
        </w:rPr>
        <w:t xml:space="preserve">Figure 4b</w:t>
      </w:r>
      <w:r>
        <w:rPr>
          <w:rFonts w:ascii="Times New Roman" w:hAnsi="Times New Roman" w:cs="Times New Roman" w:eastAsia="Times New Roman"/>
          <w:color w:val="auto"/>
          <w:spacing w:val="0"/>
          <w:position w:val="0"/>
          <w:sz w:val="24"/>
          <w:shd w:fill="auto" w:val="clear"/>
        </w:rPr>
        <w:t xml:space="preserve">); 3) non-replicating bactericidal (demonstrated with oxyphenbutazone, </w:t>
      </w:r>
      <w:r>
        <w:rPr>
          <w:rFonts w:ascii="Times New Roman" w:hAnsi="Times New Roman" w:cs="Times New Roman" w:eastAsia="Times New Roman"/>
          <w:b/>
          <w:color w:val="auto"/>
          <w:spacing w:val="0"/>
          <w:position w:val="0"/>
          <w:sz w:val="24"/>
          <w:shd w:fill="auto" w:val="clear"/>
        </w:rPr>
        <w:t xml:space="preserve">Figure 4c</w:t>
      </w:r>
      <w:r>
        <w:rPr>
          <w:rFonts w:ascii="Times New Roman" w:hAnsi="Times New Roman" w:cs="Times New Roman" w:eastAsia="Times New Roman"/>
          <w:color w:val="auto"/>
          <w:spacing w:val="0"/>
          <w:position w:val="0"/>
          <w:sz w:val="24"/>
          <w:shd w:fill="auto" w:val="clear"/>
        </w:rPr>
        <w:t xml:space="preserve">); and, 4) replicating-active (bacteriostatic or bactericidal) and non-replicating bactericidal (demonstrated with PA-824, </w:t>
      </w:r>
      <w:r>
        <w:rPr>
          <w:rFonts w:ascii="Times New Roman" w:hAnsi="Times New Roman" w:cs="Times New Roman" w:eastAsia="Times New Roman"/>
          <w:b/>
          <w:color w:val="auto"/>
          <w:spacing w:val="0"/>
          <w:position w:val="0"/>
          <w:sz w:val="24"/>
          <w:shd w:fill="auto" w:val="clear"/>
        </w:rPr>
        <w:t xml:space="preserve">Figure 4d</w:t>
      </w:r>
      <w:r>
        <w:rPr>
          <w:rFonts w:ascii="Times New Roman" w:hAnsi="Times New Roman" w:cs="Times New Roman" w:eastAsia="Times New Roman"/>
          <w:color w:val="auto"/>
          <w:spacing w:val="0"/>
          <w:position w:val="0"/>
          <w:sz w:val="24"/>
          <w:shd w:fill="auto" w:val="clear"/>
        </w:rPr>
        <w:t xml:space="preserve">).  Importantly, </w:t>
      </w:r>
      <w:r>
        <w:rPr>
          <w:rFonts w:ascii="Times New Roman" w:hAnsi="Times New Roman" w:cs="Times New Roman" w:eastAsia="Times New Roman"/>
          <w:b/>
          <w:color w:val="auto"/>
          <w:spacing w:val="0"/>
          <w:position w:val="0"/>
          <w:sz w:val="24"/>
          <w:shd w:fill="auto" w:val="clear"/>
        </w:rPr>
        <w:t xml:space="preserve">Figures 4a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4b</w:t>
      </w:r>
      <w:r>
        <w:rPr>
          <w:rFonts w:ascii="Times New Roman" w:hAnsi="Times New Roman" w:cs="Times New Roman" w:eastAsia="Times New Roman"/>
          <w:color w:val="auto"/>
          <w:spacing w:val="0"/>
          <w:position w:val="0"/>
          <w:sz w:val="24"/>
          <w:shd w:fill="auto" w:val="clear"/>
        </w:rPr>
        <w:t xml:space="preserve"> demonstrate that while isoniazid and linezolid appear to have activity against non-replicating bacteria by the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assay, the CARA suggests they are inactive under the non-replicating conditions tested.  To test the utility of the CARA in predicting a molecule’s time- and concentration-dependent impact, replicating </w:t>
      </w:r>
      <w:r>
        <w:rPr>
          <w:rFonts w:ascii="Times New Roman" w:hAnsi="Times New Roman" w:cs="Times New Roman" w:eastAsia="Times New Roman"/>
          <w:i/>
          <w:color w:val="auto"/>
          <w:spacing w:val="0"/>
          <w:position w:val="0"/>
          <w:sz w:val="24"/>
          <w:shd w:fill="auto" w:val="clear"/>
        </w:rPr>
        <w:t xml:space="preserve">M. smegmatis</w:t>
      </w:r>
      <w:r>
        <w:rPr>
          <w:rFonts w:ascii="Times New Roman" w:hAnsi="Times New Roman" w:cs="Times New Roman" w:eastAsia="Times New Roman"/>
          <w:color w:val="auto"/>
          <w:spacing w:val="0"/>
          <w:position w:val="0"/>
          <w:sz w:val="24"/>
          <w:shd w:fill="auto" w:val="clear"/>
        </w:rPr>
        <w:t xml:space="preserve"> was exposed to increasing concentrations of rifampicin (</w:t>
      </w:r>
      <w:r>
        <w:rPr>
          <w:rFonts w:ascii="Times New Roman" w:hAnsi="Times New Roman" w:cs="Times New Roman" w:eastAsia="Times New Roman"/>
          <w:b/>
          <w:color w:val="auto"/>
          <w:spacing w:val="0"/>
          <w:position w:val="0"/>
          <w:sz w:val="24"/>
          <w:shd w:fill="auto" w:val="clear"/>
        </w:rPr>
        <w:t xml:space="preserve">Figures 5a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and at various times between 1-24 hours, aliquots were spotted onto CARA plates.  These data indicated that rifampicin exerted an impact as early as 1 hour (</w:t>
      </w:r>
      <w:r>
        <w:rPr>
          <w:rFonts w:ascii="Times New Roman" w:hAnsi="Times New Roman" w:cs="Times New Roman" w:eastAsia="Times New Roman"/>
          <w:b/>
          <w:color w:val="auto"/>
          <w:spacing w:val="0"/>
          <w:position w:val="0"/>
          <w:sz w:val="24"/>
          <w:shd w:fill="auto" w:val="clear"/>
        </w:rPr>
        <w:t xml:space="preserve">Figure 5a</w:t>
      </w:r>
      <w:r>
        <w:rPr>
          <w:rFonts w:ascii="Times New Roman" w:hAnsi="Times New Roman" w:cs="Times New Roman" w:eastAsia="Times New Roman"/>
          <w:color w:val="auto"/>
          <w:spacing w:val="0"/>
          <w:position w:val="0"/>
          <w:sz w:val="24"/>
          <w:shd w:fill="auto" w:val="clear"/>
        </w:rPr>
        <w:t xml:space="preserve">), displayed increasing bactericidal activity between 3-24 hours (</w:t>
      </w:r>
      <w:r>
        <w:rPr>
          <w:rFonts w:ascii="Times New Roman" w:hAnsi="Times New Roman" w:cs="Times New Roman" w:eastAsia="Times New Roman"/>
          <w:b/>
          <w:color w:val="auto"/>
          <w:spacing w:val="0"/>
          <w:position w:val="0"/>
          <w:sz w:val="24"/>
          <w:shd w:fill="auto" w:val="clear"/>
        </w:rPr>
        <w:t xml:space="preserve">Figures 5b-d</w:t>
      </w:r>
      <w:r>
        <w:rPr>
          <w:rFonts w:ascii="Times New Roman" w:hAnsi="Times New Roman" w:cs="Times New Roman" w:eastAsia="Times New Roman"/>
          <w:color w:val="auto"/>
          <w:spacing w:val="0"/>
          <w:position w:val="0"/>
          <w:sz w:val="24"/>
          <w:shd w:fill="auto" w:val="clear"/>
        </w:rPr>
        <w:t xml:space="preserve">), and killed ≥2-3 log</w:t>
      </w:r>
      <w:r>
        <w:rPr>
          <w:rFonts w:ascii="Times New Roman" w:hAnsi="Times New Roman" w:cs="Times New Roman" w:eastAsia="Times New Roman"/>
          <w:color w:val="auto"/>
          <w:spacing w:val="0"/>
          <w:position w:val="0"/>
          <w:sz w:val="24"/>
          <w:shd w:fill="auto" w:val="clear"/>
          <w:vertAlign w:val="subscript"/>
        </w:rPr>
        <w:t xml:space="preserve">10</w:t>
      </w:r>
      <w:r>
        <w:rPr>
          <w:rFonts w:ascii="Times New Roman" w:hAnsi="Times New Roman" w:cs="Times New Roman" w:eastAsia="Times New Roman"/>
          <w:color w:val="auto"/>
          <w:spacing w:val="0"/>
          <w:position w:val="0"/>
          <w:sz w:val="24"/>
          <w:shd w:fill="auto" w:val="clear"/>
        </w:rPr>
        <w:t xml:space="preserve"> at ~10 &amp;#956;g/mL by 24 hours (</w:t>
      </w:r>
      <w:r>
        <w:rPr>
          <w:rFonts w:ascii="Times New Roman" w:hAnsi="Times New Roman" w:cs="Times New Roman" w:eastAsia="Times New Roman"/>
          <w:b/>
          <w:color w:val="auto"/>
          <w:spacing w:val="0"/>
          <w:position w:val="0"/>
          <w:sz w:val="24"/>
          <w:shd w:fill="auto" w:val="clear"/>
        </w:rPr>
        <w:t xml:space="preserve">Figure 5d</w:t>
      </w:r>
      <w:r>
        <w:rPr>
          <w:rFonts w:ascii="Times New Roman" w:hAnsi="Times New Roman" w:cs="Times New Roman" w:eastAsia="Times New Roman"/>
          <w:color w:val="auto"/>
          <w:spacing w:val="0"/>
          <w:position w:val="0"/>
          <w:sz w:val="24"/>
          <w:shd w:fill="auto" w:val="clear"/>
        </w:rPr>
        <w:t xml:space="preserve">).  A similar experiment testing quadruplicates of a vehicle control and 9 drug concentrations, and at 4 time points, would be prohibitive by a standard CFU-based assay.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Thus, the CARA has a role in drug discovery as a medium-throughput, rapid mechanism to identify a molecule’s activity profile.  CARA predictions should be rigorously evaluated using a standard CFU assay.  The addition of 0.4% activated charcoal to Petri plates for CFU analysis may help improve correlation to CARA data, and may result in more accurate CFU counts, the magnitude of the correction generally being proportional to the compound’s potency </w:t>
      </w:r>
      <w:r>
        <w:rPr>
          <w:rFonts w:ascii="Times New Roman" w:hAnsi="Times New Roman" w:cs="Times New Roman" w:eastAsia="Times New Roman"/>
          <w:color w:val="auto"/>
          <w:spacing w:val="0"/>
          <w:position w:val="0"/>
          <w:sz w:val="24"/>
          <w:shd w:fill="auto" w:val="clear"/>
          <w:vertAlign w:val="superscript"/>
        </w:rPr>
        <w:t xml:space="preserve">21,22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CARA is a predictive tool in drug discovery.  This diagram summarizes the utility of the CARA as an intermediate stage between drug screening (single point screening, cherry-picking, and dose-response assays) and time-consuming hit-to-lead assays (CFU assays and target identification).  [Adapted with permission from </w:t>
      </w:r>
      <w:r>
        <w:rPr>
          <w:rFonts w:ascii="Times New Roman" w:hAnsi="Times New Roman" w:cs="Times New Roman" w:eastAsia="Times New Roman"/>
          <w:i/>
          <w:color w:val="auto"/>
          <w:spacing w:val="0"/>
          <w:position w:val="0"/>
          <w:sz w:val="24"/>
          <w:shd w:fill="auto" w:val="clear"/>
        </w:rPr>
        <w:t xml:space="preserve">Gold et al., Antimicrobial Agents and Chemotherapy, 2015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Schematic of the broth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assay and CARA with anticipated results.  Both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and CARA results are presented for 8 possible activities.  The color-coding for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microplate wells is white (no growth) and brown (growth), and for CARA microplates is black (no fluorescence) and pink (resorufin fluorescence).  Data are hypothetical.  [Adapted with permission from </w:t>
      </w:r>
      <w:r>
        <w:rPr>
          <w:rFonts w:ascii="Times New Roman" w:hAnsi="Times New Roman" w:cs="Times New Roman" w:eastAsia="Times New Roman"/>
          <w:i/>
          <w:color w:val="auto"/>
          <w:spacing w:val="0"/>
          <w:position w:val="0"/>
          <w:sz w:val="24"/>
          <w:shd w:fill="auto" w:val="clear"/>
        </w:rPr>
        <w:t xml:space="preserve">Gold et al., Antimicrobial Agents and Chemotherapy, 2015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Specialized CARA terms and definitions.  The minimal bactericidal concentration of a molecule resulting in background levels of CARA fluorescence is the CARA-MBC</w:t>
      </w:r>
      <w:r>
        <w:rPr>
          <w:rFonts w:ascii="Times New Roman" w:hAnsi="Times New Roman" w:cs="Times New Roman" w:eastAsia="Times New Roman"/>
          <w:color w:val="auto"/>
          <w:spacing w:val="0"/>
          <w:position w:val="0"/>
          <w:sz w:val="24"/>
          <w:shd w:fill="auto" w:val="clear"/>
          <w:vertAlign w:val="subscript"/>
        </w:rPr>
        <w:t xml:space="preserve">≥99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Under replicating conditions, a ≥4-fold shift of the CARA-MBC</w:t>
      </w:r>
      <w:r>
        <w:rPr>
          <w:rFonts w:ascii="Times New Roman" w:hAnsi="Times New Roman" w:cs="Times New Roman" w:eastAsia="Times New Roman"/>
          <w:color w:val="auto"/>
          <w:spacing w:val="0"/>
          <w:position w:val="0"/>
          <w:sz w:val="24"/>
          <w:shd w:fill="auto" w:val="clear"/>
          <w:vertAlign w:val="subscript"/>
        </w:rPr>
        <w:t xml:space="preserve">≥99</w:t>
      </w:r>
      <w:r>
        <w:rPr>
          <w:rFonts w:ascii="Times New Roman" w:hAnsi="Times New Roman" w:cs="Times New Roman" w:eastAsia="Times New Roman"/>
          <w:color w:val="auto"/>
          <w:spacing w:val="0"/>
          <w:position w:val="0"/>
          <w:sz w:val="24"/>
          <w:shd w:fill="auto" w:val="clear"/>
        </w:rPr>
        <w:t xml:space="preserve"> to the right of the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often indicates bacteriostatic activity and is called a “static window”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For molecules with a potent post-antibiotic effect, static windows may be difficult to observe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and require expansion of the Y-axis (CARA fluorescence) to visualize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Data are hypothetical.     [Adapted with permission from </w:t>
      </w:r>
      <w:r>
        <w:rPr>
          <w:rFonts w:ascii="Times New Roman" w:hAnsi="Times New Roman" w:cs="Times New Roman" w:eastAsia="Times New Roman"/>
          <w:i/>
          <w:color w:val="auto"/>
          <w:spacing w:val="0"/>
          <w:position w:val="0"/>
          <w:sz w:val="24"/>
          <w:shd w:fill="auto" w:val="clear"/>
        </w:rPr>
        <w:t xml:space="preserve">Gold et al., Antimicrobial Agents and Chemotherapy, 2015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Illustrative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and CARA results for select compounds.  Data for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(red) and CARA (blue) are demonstrated for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isoniazid (INH),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linezolid,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oxyphenbutazone, and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PA-824.  Wild-type </w:t>
      </w:r>
      <w:r>
        <w:rPr>
          <w:rFonts w:ascii="Times New Roman" w:hAnsi="Times New Roman" w:cs="Times New Roman" w:eastAsia="Times New Roman"/>
          <w:i/>
          <w:color w:val="auto"/>
          <w:spacing w:val="0"/>
          <w:position w:val="0"/>
          <w:sz w:val="24"/>
          <w:shd w:fill="auto" w:val="clear"/>
        </w:rPr>
        <w:t xml:space="preserve">M. tuberculosis</w:t>
      </w:r>
      <w:r>
        <w:rPr>
          <w:rFonts w:ascii="Times New Roman" w:hAnsi="Times New Roman" w:cs="Times New Roman" w:eastAsia="Times New Roman"/>
          <w:color w:val="auto"/>
          <w:spacing w:val="0"/>
          <w:position w:val="0"/>
          <w:sz w:val="24"/>
          <w:shd w:fill="auto" w:val="clear"/>
        </w:rPr>
        <w:t xml:space="preserve"> H37Rv was exposed to compounds for 7 days under standard replicating conditions or the multi-stress model of non-replication </w:t>
      </w:r>
      <w:r>
        <w:rPr>
          <w:rFonts w:ascii="Times New Roman" w:hAnsi="Times New Roman" w:cs="Times New Roman" w:eastAsia="Times New Roman"/>
          <w:color w:val="auto"/>
          <w:spacing w:val="0"/>
          <w:position w:val="0"/>
          <w:sz w:val="24"/>
          <w:shd w:fill="auto" w:val="clear"/>
          <w:vertAlign w:val="superscript"/>
        </w:rPr>
        <w:t xml:space="preserve">7-9</w:t>
      </w:r>
      <w:r>
        <w:rPr>
          <w:rFonts w:ascii="Times New Roman" w:hAnsi="Times New Roman" w:cs="Times New Roman" w:eastAsia="Times New Roman"/>
          <w:color w:val="auto"/>
          <w:spacing w:val="0"/>
          <w:position w:val="0"/>
          <w:sz w:val="24"/>
          <w:shd w:fill="auto" w:val="clear"/>
        </w:rPr>
        <w:t xml:space="preserve">.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assays and CARA were performed as shown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[Adapted with permission from </w:t>
      </w:r>
      <w:r>
        <w:rPr>
          <w:rFonts w:ascii="Times New Roman" w:hAnsi="Times New Roman" w:cs="Times New Roman" w:eastAsia="Times New Roman"/>
          <w:i/>
          <w:color w:val="auto"/>
          <w:spacing w:val="0"/>
          <w:position w:val="0"/>
          <w:sz w:val="24"/>
          <w:shd w:fill="auto" w:val="clear"/>
        </w:rPr>
        <w:t xml:space="preserve">Gold et al., Antimicrobial Agents and Chemotherapy, 2015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Dose- and time-dependent activity of rifampicin.  The non-pathogenic, fast-growing </w:t>
      </w:r>
      <w:r>
        <w:rPr>
          <w:rFonts w:ascii="Times New Roman" w:hAnsi="Times New Roman" w:cs="Times New Roman" w:eastAsia="Times New Roman"/>
          <w:i/>
          <w:color w:val="auto"/>
          <w:spacing w:val="0"/>
          <w:position w:val="0"/>
          <w:sz w:val="24"/>
          <w:shd w:fill="auto" w:val="clear"/>
        </w:rPr>
        <w:t xml:space="preserve">M. smegmatis</w:t>
      </w:r>
      <w:r>
        <w:rPr>
          <w:rFonts w:ascii="Times New Roman" w:hAnsi="Times New Roman" w:cs="Times New Roman" w:eastAsia="Times New Roman"/>
          <w:color w:val="auto"/>
          <w:spacing w:val="0"/>
          <w:position w:val="0"/>
          <w:sz w:val="24"/>
          <w:shd w:fill="auto" w:val="clear"/>
        </w:rPr>
        <w:t xml:space="preserve"> was exposed to increasing concentrations of rifampicin under replicating conditions and aliquots were sampled for CARA at 1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and 24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hours. [Adapted with permission from </w:t>
      </w:r>
      <w:r>
        <w:rPr>
          <w:rFonts w:ascii="Times New Roman" w:hAnsi="Times New Roman" w:cs="Times New Roman" w:eastAsia="Times New Roman"/>
          <w:i/>
          <w:color w:val="auto"/>
          <w:spacing w:val="0"/>
          <w:position w:val="0"/>
          <w:sz w:val="24"/>
          <w:shd w:fill="auto" w:val="clear"/>
        </w:rPr>
        <w:t xml:space="preserve">Gold et al., Antimicrobial Agents and Chemotherapy, 2015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Summary of anticipated results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[Adapted with permission from </w:t>
      </w:r>
      <w:r>
        <w:rPr>
          <w:rFonts w:ascii="Times New Roman" w:hAnsi="Times New Roman" w:cs="Times New Roman" w:eastAsia="Times New Roman"/>
          <w:i/>
          <w:color w:val="auto"/>
          <w:spacing w:val="0"/>
          <w:position w:val="0"/>
          <w:sz w:val="24"/>
          <w:shd w:fill="auto" w:val="clear"/>
        </w:rPr>
        <w:t xml:space="preserve">Gold et al., Antimicrobial Agents and Chemotherapy, 2015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CARA was originally developed to alleviate a bottleneck in progressing non-replicating- or dual-active molecules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The CARA serves as an intermediate step between concentration-response confirmation of primary screening hits and CFU assays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Since a single CARA plate can replace numerous microtiter plates required to prepare serial dilutions, and agar-containing Petri plates used to enumerate surviving bacteria, the CARA provides a simple means to rapidly assess a molecule’s activity and test multiple variables at once, including compound concentration and time of exposure to the compound.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 CFU assay, in addition to serial dilutions that often range up to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-fold, the agar plate typically dilutes molecules by an additional ~ 800-fold (10 &amp;#956;L onto 8 mL in a tri-style Petri plate). Our two-stage, multi-stress screening assay for compounds active on non-replicating </w:t>
      </w:r>
      <w:r>
        <w:rPr>
          <w:rFonts w:ascii="Times New Roman" w:hAnsi="Times New Roman" w:cs="Times New Roman" w:eastAsia="Times New Roman"/>
          <w:i/>
          <w:color w:val="auto"/>
          <w:spacing w:val="0"/>
          <w:position w:val="0"/>
          <w:sz w:val="24"/>
          <w:shd w:fill="auto" w:val="clear"/>
        </w:rPr>
        <w:t xml:space="preserve">M. tuberculosis</w:t>
      </w:r>
      <w:r>
        <w:rPr>
          <w:rFonts w:ascii="Times New Roman" w:hAnsi="Times New Roman" w:cs="Times New Roman" w:eastAsia="Times New Roman"/>
          <w:color w:val="auto"/>
          <w:spacing w:val="0"/>
          <w:position w:val="0"/>
          <w:sz w:val="24"/>
          <w:shd w:fill="auto" w:val="clear"/>
        </w:rPr>
        <w:t xml:space="preserve"> has a carry-over factor of 5-fold, that is, a compound present in the non-replicating stage of the assay is present at one-fifth the original concentration in the outgrowth (replicating) phase of the  assay </w:t>
      </w:r>
      <w:r>
        <w:rPr>
          <w:rFonts w:ascii="Times New Roman" w:hAnsi="Times New Roman" w:cs="Times New Roman" w:eastAsia="Times New Roman"/>
          <w:color w:val="auto"/>
          <w:spacing w:val="0"/>
          <w:position w:val="0"/>
          <w:sz w:val="24"/>
          <w:shd w:fill="auto" w:val="clear"/>
          <w:vertAlign w:val="superscript"/>
        </w:rPr>
        <w:t xml:space="preserve">6-9</w:t>
      </w:r>
      <w:r>
        <w:rPr>
          <w:rFonts w:ascii="Times New Roman" w:hAnsi="Times New Roman" w:cs="Times New Roman" w:eastAsia="Times New Roman"/>
          <w:color w:val="auto"/>
          <w:spacing w:val="0"/>
          <w:position w:val="0"/>
          <w:sz w:val="24"/>
          <w:shd w:fill="auto" w:val="clear"/>
        </w:rPr>
        <w:t xml:space="preserve">.  The CARA mitigates carry-over effects by sequestering small molecules with activated charcoal.  The majority of tuberculosis drugs and clinical candidates bind activated charcoal rapidly and completely, with the exception of the aminoglycoside streptomycin</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Inclusion of activated charcoal in agar plates for CFU assays prevented bacterial growth inhibition, or bacterial kill, by carried-over TMC207 and PA-824</w:t>
      </w:r>
      <w:r>
        <w:rPr>
          <w:rFonts w:ascii="Times New Roman" w:hAnsi="Times New Roman" w:cs="Times New Roman" w:eastAsia="Times New Roman"/>
          <w:color w:val="auto"/>
          <w:spacing w:val="0"/>
          <w:position w:val="0"/>
          <w:sz w:val="24"/>
          <w:shd w:fill="auto" w:val="clear"/>
          <w:vertAlign w:val="superscript"/>
        </w:rPr>
        <w:t xml:space="preserve">7,21,22</w:t>
      </w:r>
      <w:r>
        <w:rPr>
          <w:rFonts w:ascii="Times New Roman" w:hAnsi="Times New Roman" w:cs="Times New Roman" w:eastAsia="Times New Roman"/>
          <w:color w:val="auto"/>
          <w:spacing w:val="0"/>
          <w:position w:val="0"/>
          <w:sz w:val="24"/>
          <w:shd w:fill="auto" w:val="clear"/>
        </w:rPr>
        <w:t xml:space="preserve">.  Thus, by virtue of incorporating activated charcoal in the bacteriologic agar, the CARA is not dependent on serial dilutions of cells and test agent.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CARA can help predict bacteriostatic or bactericidal impact of replicating actives and bactericidal impact of non-replicating actives.  In general, the CARA is used in parallel with standard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assays.  The predictive power of the CARA comes from comparing MIC</w:t>
      </w:r>
      <w:r>
        <w:rPr>
          <w:rFonts w:ascii="Times New Roman" w:hAnsi="Times New Roman" w:cs="Times New Roman" w:eastAsia="Times New Roman"/>
          <w:color w:val="auto"/>
          <w:spacing w:val="0"/>
          <w:position w:val="0"/>
          <w:sz w:val="24"/>
          <w:shd w:fill="auto" w:val="clear"/>
          <w:vertAlign w:val="subscript"/>
        </w:rPr>
        <w:t xml:space="preserve">90</w:t>
      </w:r>
      <w:r>
        <w:rPr>
          <w:rFonts w:ascii="Times New Roman" w:hAnsi="Times New Roman" w:cs="Times New Roman" w:eastAsia="Times New Roman"/>
          <w:color w:val="auto"/>
          <w:spacing w:val="0"/>
          <w:position w:val="0"/>
          <w:sz w:val="24"/>
          <w:shd w:fill="auto" w:val="clear"/>
        </w:rPr>
        <w:t xml:space="preserve"> and CARA results (</w:t>
      </w: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b/>
          <w:color w:val="auto"/>
          <w:spacing w:val="0"/>
          <w:position w:val="0"/>
          <w:sz w:val="24"/>
          <w:shd w:fill="auto" w:val="clear"/>
        </w:rPr>
        <w:t xml:space="preserve"> Table 1</w:t>
      </w:r>
      <w:r>
        <w:rPr>
          <w:rFonts w:ascii="Times New Roman" w:hAnsi="Times New Roman" w:cs="Times New Roman" w:eastAsia="Times New Roman"/>
          <w:color w:val="auto"/>
          <w:spacing w:val="0"/>
          <w:position w:val="0"/>
          <w:sz w:val="24"/>
          <w:shd w:fill="auto" w:val="clear"/>
        </w:rPr>
        <w:t xml:space="preserve">). When used to study anti-mycobacterial agents, the CARA can accurately predict activity that is replicating bactericidal (</w:t>
      </w:r>
      <w:r>
        <w:rPr>
          <w:rFonts w:ascii="Times New Roman" w:hAnsi="Times New Roman" w:cs="Times New Roman" w:eastAsia="Times New Roman"/>
          <w:b/>
          <w:color w:val="auto"/>
          <w:spacing w:val="0"/>
          <w:position w:val="0"/>
          <w:sz w:val="24"/>
          <w:shd w:fill="auto" w:val="clear"/>
        </w:rPr>
        <w:t xml:space="preserve">Figure 4a</w:t>
      </w:r>
      <w:r>
        <w:rPr>
          <w:rFonts w:ascii="Times New Roman" w:hAnsi="Times New Roman" w:cs="Times New Roman" w:eastAsia="Times New Roman"/>
          <w:color w:val="auto"/>
          <w:spacing w:val="0"/>
          <w:position w:val="0"/>
          <w:sz w:val="24"/>
          <w:shd w:fill="auto" w:val="clear"/>
        </w:rPr>
        <w:t xml:space="preserve">), replicating bacteriostatic (</w:t>
      </w:r>
      <w:r>
        <w:rPr>
          <w:rFonts w:ascii="Times New Roman" w:hAnsi="Times New Roman" w:cs="Times New Roman" w:eastAsia="Times New Roman"/>
          <w:b/>
          <w:color w:val="auto"/>
          <w:spacing w:val="0"/>
          <w:position w:val="0"/>
          <w:sz w:val="24"/>
          <w:shd w:fill="auto" w:val="clear"/>
        </w:rPr>
        <w:t xml:space="preserve">Figure 4b</w:t>
      </w:r>
      <w:r>
        <w:rPr>
          <w:rFonts w:ascii="Times New Roman" w:hAnsi="Times New Roman" w:cs="Times New Roman" w:eastAsia="Times New Roman"/>
          <w:color w:val="auto"/>
          <w:spacing w:val="0"/>
          <w:position w:val="0"/>
          <w:sz w:val="24"/>
          <w:shd w:fill="auto" w:val="clear"/>
        </w:rPr>
        <w:t xml:space="preserve">), non-replicating bactericidal (</w:t>
      </w:r>
      <w:r>
        <w:rPr>
          <w:rFonts w:ascii="Times New Roman" w:hAnsi="Times New Roman" w:cs="Times New Roman" w:eastAsia="Times New Roman"/>
          <w:b/>
          <w:color w:val="auto"/>
          <w:spacing w:val="0"/>
          <w:position w:val="0"/>
          <w:sz w:val="24"/>
          <w:shd w:fill="auto" w:val="clear"/>
        </w:rPr>
        <w:t xml:space="preserve">Figure 4c</w:t>
      </w:r>
      <w:r>
        <w:rPr>
          <w:rFonts w:ascii="Times New Roman" w:hAnsi="Times New Roman" w:cs="Times New Roman" w:eastAsia="Times New Roman"/>
          <w:color w:val="auto"/>
          <w:spacing w:val="0"/>
          <w:position w:val="0"/>
          <w:sz w:val="24"/>
          <w:shd w:fill="auto" w:val="clear"/>
        </w:rPr>
        <w:t xml:space="preserve">), or dual active (</w:t>
      </w:r>
      <w:r>
        <w:rPr>
          <w:rFonts w:ascii="Times New Roman" w:hAnsi="Times New Roman" w:cs="Times New Roman" w:eastAsia="Times New Roman"/>
          <w:b/>
          <w:color w:val="auto"/>
          <w:spacing w:val="0"/>
          <w:position w:val="0"/>
          <w:sz w:val="24"/>
          <w:shd w:fill="auto" w:val="clear"/>
        </w:rPr>
        <w:t xml:space="preserve">Figure 4d</w:t>
      </w:r>
      <w:r>
        <w:rPr>
          <w:rFonts w:ascii="Times New Roman" w:hAnsi="Times New Roman" w:cs="Times New Roman" w:eastAsia="Times New Roman"/>
          <w:color w:val="auto"/>
          <w:spacing w:val="0"/>
          <w:position w:val="0"/>
          <w:sz w:val="24"/>
          <w:shd w:fill="auto" w:val="clear"/>
        </w:rPr>
        <w:t xml:space="preserve">).  The CARA also permits simple evaluation of a compound’s activity across both dose and time.  CFU assays alone require a lot of effort and material to assess activity of a compound over a wide range of doses and times, but the task becomes manageable when CARA results narrow the range of conditions to those in which the compound is demonstrably active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the CARA has utility in studying the action of anti-infectives on mycobacteria, the assay has limitations.  The CARA has a narrow dynamic range (2-3 log</w:t>
      </w:r>
      <w:r>
        <w:rPr>
          <w:rFonts w:ascii="Times New Roman" w:hAnsi="Times New Roman" w:cs="Times New Roman" w:eastAsia="Times New Roman"/>
          <w:color w:val="auto"/>
          <w:spacing w:val="0"/>
          <w:position w:val="0"/>
          <w:sz w:val="24"/>
          <w:shd w:fill="auto" w:val="clear"/>
          <w:vertAlign w:val="subscript"/>
        </w:rPr>
        <w:t xml:space="preserve">10</w:t>
      </w:r>
      <w:r>
        <w:rPr>
          <w:rFonts w:ascii="Times New Roman" w:hAnsi="Times New Roman" w:cs="Times New Roman" w:eastAsia="Times New Roman"/>
          <w:color w:val="auto"/>
          <w:spacing w:val="0"/>
          <w:position w:val="0"/>
          <w:sz w:val="24"/>
          <w:shd w:fill="auto" w:val="clear"/>
        </w:rPr>
        <w:t xml:space="preserve">) and may not be appropriate for conditions in which one anticipates there may not be more than 2 to 3 log</w:t>
      </w:r>
      <w:r>
        <w:rPr>
          <w:rFonts w:ascii="Times New Roman" w:hAnsi="Times New Roman" w:cs="Times New Roman" w:eastAsia="Times New Roman"/>
          <w:color w:val="auto"/>
          <w:spacing w:val="0"/>
          <w:position w:val="0"/>
          <w:sz w:val="24"/>
          <w:shd w:fill="auto" w:val="clear"/>
          <w:vertAlign w:val="subscript"/>
        </w:rPr>
        <w:t xml:space="preserve">10</w:t>
      </w:r>
      <w:r>
        <w:rPr>
          <w:rFonts w:ascii="Times New Roman" w:hAnsi="Times New Roman" w:cs="Times New Roman" w:eastAsia="Times New Roman"/>
          <w:color w:val="auto"/>
          <w:spacing w:val="0"/>
          <w:position w:val="0"/>
          <w:sz w:val="24"/>
          <w:shd w:fill="auto" w:val="clear"/>
        </w:rPr>
        <w:t xml:space="preserve"> bacterial kill.  CARA predictions require further study using a more stringent and accurate method to enumerate bacterial numbers, such as a CFU assay.  The post-antibiotic effect of some anti-infectives, such as PAS, can confound the CARA as a predictive tool to distinguish between compounds with bactericidal and bacteriostatic activity against replicating </w:t>
      </w:r>
      <w:r>
        <w:rPr>
          <w:rFonts w:ascii="Times New Roman" w:hAnsi="Times New Roman" w:cs="Times New Roman" w:eastAsia="Times New Roman"/>
          <w:i/>
          <w:color w:val="auto"/>
          <w:spacing w:val="0"/>
          <w:position w:val="0"/>
          <w:sz w:val="24"/>
          <w:shd w:fill="auto" w:val="clear"/>
        </w:rPr>
        <w:t xml:space="preserve">M. tuberculosis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two recommendations to improve the quality of the CARA.  First, one must pour CARA microplates rapidly before the agar solidifies, while maintaining volumetric accuracy and avoiding splashing outside of microwells.  Regardless of the number of plates required, we recommend making 0.5- to 1-liter batches of medium to help maintain the medium in liquid form for the duration of the time required to pour plates.  Changing tips frequently while filling microplates with medium avoids using partially clogged tips.  Second, one must minimize artifactual variability in fluorescence between replicates.  Mycobacterial microcolonies, in particular for pathogenic mycobacteria such as </w:t>
      </w:r>
      <w:r>
        <w:rPr>
          <w:rFonts w:ascii="Times New Roman" w:hAnsi="Times New Roman" w:cs="Times New Roman" w:eastAsia="Times New Roman"/>
          <w:i/>
          <w:color w:val="auto"/>
          <w:spacing w:val="0"/>
          <w:position w:val="0"/>
          <w:sz w:val="24"/>
          <w:shd w:fill="auto" w:val="clear"/>
        </w:rPr>
        <w:t xml:space="preserve">M. tuberculosis</w:t>
      </w:r>
      <w:r>
        <w:rPr>
          <w:rFonts w:ascii="Times New Roman" w:hAnsi="Times New Roman" w:cs="Times New Roman" w:eastAsia="Times New Roman"/>
          <w:color w:val="auto"/>
          <w:spacing w:val="0"/>
          <w:position w:val="0"/>
          <w:sz w:val="24"/>
          <w:shd w:fill="auto" w:val="clear"/>
        </w:rPr>
        <w:t xml:space="preserve">, often grow erratically.  For example, microcolonies growing on the agar surface may vary in size, shape, height, or may extend up to the interior walls of microplate wells. One challenge is to cover all bacilli uniformly with the developing reagent.  Another hurdle is that after prolonged incubation at 37 &amp;#176;C, the solid bacteriologic medium of the CARA microplates may become dry and prone to absorbing the developing reagent.  Since activated charcoal can bind resazurin and quench fluorescence</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there may be well-to-well variation due to dry wells absorbing the resazurin developing solution and the activated charcoal quenching resazurin fluorescence.  Pre-wetting the surface of all CARA microplate wells with PBS immediately before adding the developing reagent mitigates both of these problems – the developing reagent will reach all mycobacterial colonies equally, and the resazurin remains safely above the activated charcoal. The CARA may have applications in identifying and characterizing phenotypes of mycobacterial mutants, or in medium-throughput drug discovery assays for other bacterial species.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FF9900" w:val="clear"/>
        </w:rPr>
      </w:pPr>
      <w:r>
        <w:rPr>
          <w:rFonts w:ascii="Times New Roman" w:hAnsi="Times New Roman" w:cs="Times New Roman" w:eastAsia="Times New Roman"/>
          <w:b/>
          <w:color w:val="auto"/>
          <w:spacing w:val="0"/>
          <w:position w:val="0"/>
          <w:sz w:val="24"/>
          <w:shd w:fill="auto" w:val="clear"/>
        </w:rPr>
        <w:t xml:space="preserve">ACKNOWLEDGEMENTS:  </w:t>
        <w:br/>
      </w:r>
      <w:r>
        <w:rPr>
          <w:rFonts w:ascii="Times New Roman" w:hAnsi="Times New Roman" w:cs="Times New Roman" w:eastAsia="Times New Roman"/>
          <w:color w:val="auto"/>
          <w:spacing w:val="0"/>
          <w:position w:val="0"/>
          <w:sz w:val="24"/>
          <w:shd w:fill="auto" w:val="clear"/>
        </w:rPr>
        <w:t xml:space="preserve">We are grateful to Kristin Burns-Huang for expert review of the manuscript and J. David Warren (Weill Cornell Medical College) for chemistry assistance while developing the CARA.</w:t>
      </w:r>
      <w:r>
        <w:rPr>
          <w:rFonts w:ascii="Times" w:hAnsi="Times" w:cs="Times" w:eastAsia="Times"/>
          <w:color w:val="auto"/>
          <w:spacing w:val="0"/>
          <w:position w:val="0"/>
          <w:sz w:val="24"/>
          <w:shd w:fill="auto" w:val="clear"/>
        </w:rPr>
        <w:t xml:space="preserve"> This work was supported by the TB Drug Accelerator Program of the Bill and Melinda Gates Foundation, the Abby and Howard P. Milstein Program in Translational Medicine, and an NIH TB Research Unit (U19 AI111143).  The Department of Microbiology and Immunology is supported by the William Randolph Hearst Foundation.  SSK was supported by NIH grant K08AI108799. </w:t>
      </w:r>
      <w:r>
        <w:rPr>
          <w:rFonts w:ascii="Times" w:hAnsi="Times" w:cs="Times" w:eastAsia="Times"/>
          <w:color w:val="auto"/>
          <w:spacing w:val="0"/>
          <w:position w:val="0"/>
          <w:sz w:val="24"/>
          <w:shd w:fill="FF9900"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br/>
      </w:r>
      <w:r>
        <w:rPr>
          <w:rFonts w:ascii="Times New Roman" w:hAnsi="Times New Roman" w:cs="Times New Roman" w:eastAsia="Times New Roman"/>
          <w:color w:val="auto"/>
          <w:spacing w:val="0"/>
          <w:position w:val="0"/>
          <w:sz w:val="24"/>
          <w:shd w:fill="auto" w:val="clear"/>
        </w:rPr>
        <w:t xml:space="preserve">There are no conflicts of interest to disclose.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4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Nathan, C. Fresh approaches to anti-infective therapies. </w:t>
      </w:r>
      <w:r>
        <w:rPr>
          <w:rFonts w:ascii="Times New Roman" w:hAnsi="Times New Roman" w:cs="Times New Roman" w:eastAsia="Times New Roman"/>
          <w:i/>
          <w:color w:val="auto"/>
          <w:spacing w:val="0"/>
          <w:position w:val="0"/>
          <w:sz w:val="24"/>
          <w:shd w:fill="auto" w:val="clear"/>
        </w:rPr>
        <w:t xml:space="preserve">Sci. Transl.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140sr142, doi:10.1126/scitranslmed.3003081 (2012).</w:t>
      </w:r>
    </w:p>
    <w:p>
      <w:pPr>
        <w:spacing w:before="0" w:after="24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Gomez, J. E. &amp;amp; McKinney, J. D. M. tuberculosis persistence, latency, and drug tolerance. </w:t>
      </w:r>
      <w:r>
        <w:rPr>
          <w:rFonts w:ascii="Times New Roman" w:hAnsi="Times New Roman" w:cs="Times New Roman" w:eastAsia="Times New Roman"/>
          <w:i/>
          <w:color w:val="auto"/>
          <w:spacing w:val="0"/>
          <w:position w:val="0"/>
          <w:sz w:val="24"/>
          <w:shd w:fill="auto" w:val="clear"/>
        </w:rPr>
        <w:t xml:space="preserve">Tuberculosis (Edinb)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84</w:t>
      </w:r>
      <w:r>
        <w:rPr>
          <w:rFonts w:ascii="Times New Roman" w:hAnsi="Times New Roman" w:cs="Times New Roman" w:eastAsia="Times New Roman"/>
          <w:color w:val="auto"/>
          <w:spacing w:val="0"/>
          <w:position w:val="0"/>
          <w:sz w:val="24"/>
          <w:shd w:fill="auto" w:val="clear"/>
        </w:rPr>
        <w:t xml:space="preserve">, 29-44, doi:S1472979203000866 [pii] (2004).</w:t>
      </w:r>
    </w:p>
    <w:p>
      <w:pPr>
        <w:spacing w:before="0" w:after="24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Balaban, N. Q., Merrin, J., Chait, R., Kowalik, L. &amp;amp; Leibler, S. Bacterial persistence as a phenotypic switch.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305</w:t>
      </w:r>
      <w:r>
        <w:rPr>
          <w:rFonts w:ascii="Times New Roman" w:hAnsi="Times New Roman" w:cs="Times New Roman" w:eastAsia="Times New Roman"/>
          <w:color w:val="auto"/>
          <w:spacing w:val="0"/>
          <w:position w:val="0"/>
          <w:sz w:val="24"/>
          <w:shd w:fill="auto" w:val="clear"/>
        </w:rPr>
        <w:t xml:space="preserve">, 1622-1625, doi:10.1126/science.1099390 (2004).</w:t>
      </w:r>
    </w:p>
    <w:p>
      <w:pPr>
        <w:spacing w:before="0" w:after="24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Bigger, J. Treatment of staphylococcal infections with penicillin by intermittent sterilisation.</w:t>
      </w:r>
      <w:r>
        <w:rPr>
          <w:rFonts w:ascii="Times New Roman" w:hAnsi="Times New Roman" w:cs="Times New Roman" w:eastAsia="Times New Roman"/>
          <w:i/>
          <w:color w:val="auto"/>
          <w:spacing w:val="0"/>
          <w:position w:val="0"/>
          <w:sz w:val="24"/>
          <w:shd w:fill="auto" w:val="clear"/>
        </w:rPr>
        <w:t xml:space="preserve">Lancet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244</w:t>
      </w:r>
      <w:r>
        <w:rPr>
          <w:rFonts w:ascii="Times New Roman" w:hAnsi="Times New Roman" w:cs="Times New Roman" w:eastAsia="Times New Roman"/>
          <w:color w:val="auto"/>
          <w:spacing w:val="0"/>
          <w:position w:val="0"/>
          <w:sz w:val="24"/>
          <w:shd w:fill="auto" w:val="clear"/>
        </w:rPr>
        <w:t xml:space="preserve">, 497-500 (1944).</w:t>
      </w:r>
    </w:p>
    <w:p>
      <w:pPr>
        <w:spacing w:before="0" w:after="24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Bryk,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Selective killing of nonreplicating mycobacteria. </w:t>
      </w:r>
      <w:r>
        <w:rPr>
          <w:rFonts w:ascii="Times New Roman" w:hAnsi="Times New Roman" w:cs="Times New Roman" w:eastAsia="Times New Roman"/>
          <w:i/>
          <w:color w:val="auto"/>
          <w:spacing w:val="0"/>
          <w:position w:val="0"/>
          <w:sz w:val="24"/>
          <w:shd w:fill="auto" w:val="clear"/>
        </w:rPr>
        <w:t xml:space="preserve">Cell Host Microbe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137-145, doi:10.1016/j.chom.2008.02.003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Gold, B.</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Nonsteroidal anti-inflammatory drug sensitizes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to endogenous and exogenous antimicrobials. </w:t>
      </w:r>
      <w:r>
        <w:rPr>
          <w:rFonts w:ascii="Times New Roman" w:hAnsi="Times New Roman" w:cs="Times New Roman" w:eastAsia="Times New Roman"/>
          <w:i/>
          <w:color w:val="auto"/>
          <w:spacing w:val="0"/>
          <w:position w:val="0"/>
          <w:sz w:val="24"/>
          <w:shd w:fill="auto" w:val="clear"/>
        </w:rPr>
        <w:t xml:space="preserve">Proc. Natl. Acad. Sci. U.S.A.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109</w:t>
      </w:r>
      <w:r>
        <w:rPr>
          <w:rFonts w:ascii="Times New Roman" w:hAnsi="Times New Roman" w:cs="Times New Roman" w:eastAsia="Times New Roman"/>
          <w:color w:val="auto"/>
          <w:spacing w:val="0"/>
          <w:position w:val="0"/>
          <w:sz w:val="24"/>
          <w:shd w:fill="auto" w:val="clear"/>
        </w:rPr>
        <w:t xml:space="preserve">, 16004-16011, doi:10.1073/pnas.1214188109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24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Gold, B.</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Rapid, semi-quantitative assay to discriminate among compounds with activity against replicating or non-replicating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Antimicrob. Agents Chemother.</w:t>
      </w:r>
      <w:r>
        <w:rPr>
          <w:rFonts w:ascii="Times New Roman" w:hAnsi="Times New Roman" w:cs="Times New Roman" w:eastAsia="Times New Roman"/>
          <w:color w:val="auto"/>
          <w:spacing w:val="0"/>
          <w:position w:val="0"/>
          <w:sz w:val="24"/>
          <w:shd w:fill="auto" w:val="clear"/>
        </w:rPr>
        <w:t xml:space="preserve">, 59, 6521-6538, doi:10.1128/AAC.00803-15 (2015).</w:t>
      </w:r>
    </w:p>
    <w:p>
      <w:pPr>
        <w:spacing w:before="0" w:after="24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Gold, B., Warrier, T. &amp;amp; Nathan, C. in </w:t>
      </w:r>
      <w:r>
        <w:rPr>
          <w:rFonts w:ascii="Times New Roman" w:hAnsi="Times New Roman" w:cs="Times New Roman" w:eastAsia="Times New Roman"/>
          <w:i/>
          <w:color w:val="auto"/>
          <w:spacing w:val="0"/>
          <w:position w:val="0"/>
          <w:sz w:val="24"/>
          <w:shd w:fill="auto" w:val="clear"/>
        </w:rPr>
        <w:t xml:space="preserve">Mycobacteria Protocols, Methods in Molecular Biology</w:t>
      </w:r>
      <w:r>
        <w:rPr>
          <w:rFonts w:ascii="Times New Roman" w:hAnsi="Times New Roman" w:cs="Times New Roman" w:eastAsia="Times New Roman"/>
          <w:color w:val="auto"/>
          <w:spacing w:val="0"/>
          <w:position w:val="0"/>
          <w:sz w:val="24"/>
          <w:shd w:fill="auto" w:val="clear"/>
        </w:rPr>
        <w:t xml:space="preserve"> Vol. 1285  eds T. Parish &amp;amp; D. Roberts)  293-315 (Springer, 2015).</w:t>
      </w:r>
    </w:p>
    <w:p>
      <w:pPr>
        <w:spacing w:before="0" w:after="24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Warrier,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Identification of Novel Anti-mycobacterial Compounds by Screening a Pharmaceutical Small-Molecule Library against Nonreplicating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ACS Infect. Dis.</w:t>
      </w:r>
      <w:r>
        <w:rPr>
          <w:rFonts w:ascii="Times New Roman" w:hAnsi="Times New Roman" w:cs="Times New Roman" w:eastAsia="Times New Roman"/>
          <w:color w:val="auto"/>
          <w:spacing w:val="0"/>
          <w:position w:val="0"/>
          <w:sz w:val="24"/>
          <w:shd w:fill="auto" w:val="clear"/>
        </w:rPr>
        <w:t xml:space="preserve">, 580-585, doi:10.1021/acsinfecdis.5b00025 (2015).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Zheng,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Synthetic Calanolides with Bactericidal Activity Against Replicating and Nonreplicating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 Med. Chem.</w:t>
      </w:r>
      <w:r>
        <w:rPr>
          <w:rFonts w:ascii="Times New Roman" w:hAnsi="Times New Roman" w:cs="Times New Roman" w:eastAsia="Times New Roman"/>
          <w:color w:val="auto"/>
          <w:spacing w:val="0"/>
          <w:position w:val="0"/>
          <w:sz w:val="24"/>
          <w:shd w:fill="auto" w:val="clear"/>
        </w:rPr>
        <w:t xml:space="preserve">, doi:10.1021/jm4019228 (2014).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24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Darby, C.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Whole cell screen for inhibitors of pH homeostasis in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e68942, doi:10.1371/journal.pone.0068942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Darby, C. M. &amp;amp; Nathan, C. F. Killing of non-replicating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by 8-hydroxyquinoline. </w:t>
      </w:r>
      <w:r>
        <w:rPr>
          <w:rFonts w:ascii="Times New Roman" w:hAnsi="Times New Roman" w:cs="Times New Roman" w:eastAsia="Times New Roman"/>
          <w:i/>
          <w:color w:val="auto"/>
          <w:spacing w:val="0"/>
          <w:position w:val="0"/>
          <w:sz w:val="24"/>
          <w:shd w:fill="auto" w:val="clear"/>
        </w:rPr>
        <w:t xml:space="preserve">J. Antimicrob. Chemother.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1424-1427, doi:10.1093/jac/dkq145 (2010).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de Carvalho, L. P., Darby, C. M., Rhee, K. Y. &amp;amp; Nathan, C. Nitazoxanide Disrupts Membrane Potential and Intrabacterial pH Homeostasis of</w:t>
      </w:r>
      <w:r>
        <w:rPr>
          <w:rFonts w:ascii="Times New Roman" w:hAnsi="Times New Roman" w:cs="Times New Roman" w:eastAsia="Times New Roman"/>
          <w:i/>
          <w:color w:val="auto"/>
          <w:spacing w:val="0"/>
          <w:position w:val="0"/>
          <w:sz w:val="24"/>
          <w:shd w:fill="auto" w:val="clear"/>
        </w:rPr>
        <w:t xml:space="preserve"> Mycobacterium tuberculosis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ACS Med. Chem. Lett.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849-854, doi:10.1021/ml200157f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Xie, Z., Siddiqi, N. &amp;amp; Rubin, E. J. Differential antibiotic susceptibilities of starved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isolates. </w:t>
      </w:r>
      <w:r>
        <w:rPr>
          <w:rFonts w:ascii="Times New Roman" w:hAnsi="Times New Roman" w:cs="Times New Roman" w:eastAsia="Times New Roman"/>
          <w:i/>
          <w:color w:val="auto"/>
          <w:spacing w:val="0"/>
          <w:position w:val="0"/>
          <w:sz w:val="24"/>
          <w:shd w:fill="auto" w:val="clear"/>
        </w:rPr>
        <w:t xml:space="preserve">Antimicrob. Agents Chemother.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4778-4780, doi:10.1128/AAC.49.11.4778-4780.2005 (2005).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Grant, S.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Identification of novel inhibitors of nonreplicating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using a carbon starvation model. </w:t>
      </w:r>
      <w:r>
        <w:rPr>
          <w:rFonts w:ascii="Times New Roman" w:hAnsi="Times New Roman" w:cs="Times New Roman" w:eastAsia="Times New Roman"/>
          <w:i/>
          <w:color w:val="auto"/>
          <w:spacing w:val="0"/>
          <w:position w:val="0"/>
          <w:sz w:val="24"/>
          <w:shd w:fill="auto" w:val="clear"/>
        </w:rPr>
        <w:t xml:space="preserve">ACS Chem.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2224-2234, doi:10.1021/cb4004817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Zhang,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Streptomycin-starved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18b, a drug discovery tool for latent tuberculosis. </w:t>
      </w:r>
      <w:r>
        <w:rPr>
          <w:rFonts w:ascii="Times New Roman" w:hAnsi="Times New Roman" w:cs="Times New Roman" w:eastAsia="Times New Roman"/>
          <w:i/>
          <w:color w:val="auto"/>
          <w:spacing w:val="0"/>
          <w:position w:val="0"/>
          <w:sz w:val="24"/>
          <w:shd w:fill="auto" w:val="clear"/>
        </w:rPr>
        <w:t xml:space="preserve">Antimicrob. Agents Chemother.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5782-5789, doi:10.1128/AAC.01125-12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Mak, P.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high-throughput screen to identify inhibitors of ATP homeostasis in non-replicating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ACS Chem.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1190-1197, doi:10.1021/cb2004884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Cho, S.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Low-oxygen-recovery assay for high-throughput screening of compounds against nonreplicating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Antimicrob. Agents Chemother.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 1380-1385, doi:10.1128/AAC.00055-06 (2007).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Franzblau, S. 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Comprehensive analysis of methods used for the evaluation of compounds against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Tuberculosis (Edinb)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92</w:t>
      </w:r>
      <w:r>
        <w:rPr>
          <w:rFonts w:ascii="Times New Roman" w:hAnsi="Times New Roman" w:cs="Times New Roman" w:eastAsia="Times New Roman"/>
          <w:color w:val="auto"/>
          <w:spacing w:val="0"/>
          <w:position w:val="0"/>
          <w:sz w:val="24"/>
          <w:shd w:fill="auto" w:val="clear"/>
        </w:rPr>
        <w:t xml:space="preserve">, 453-488, doi:10.1016/j.tube.2012.07.003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Rebollo-Lopez, M.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Release of 50 new, drug-like compounds and their computational target predictions for open source anti-tubercular drug discovery.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e0142293, doi:10.1371/journal.pone.0142293 (2015).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Tasneen,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Contribution of the nitroimidazoles PA-824 and TBA-354 to the activity of novel regimens in murine models of tuberculosis. </w:t>
      </w:r>
      <w:r>
        <w:rPr>
          <w:rFonts w:ascii="Times New Roman" w:hAnsi="Times New Roman" w:cs="Times New Roman" w:eastAsia="Times New Roman"/>
          <w:i/>
          <w:color w:val="auto"/>
          <w:spacing w:val="0"/>
          <w:position w:val="0"/>
          <w:sz w:val="24"/>
          <w:shd w:fill="auto" w:val="clear"/>
        </w:rPr>
        <w:t xml:space="preserve">Antimicrob. Agents Chemother.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59</w:t>
      </w:r>
      <w:r>
        <w:rPr>
          <w:rFonts w:ascii="Times New Roman" w:hAnsi="Times New Roman" w:cs="Times New Roman" w:eastAsia="Times New Roman"/>
          <w:color w:val="auto"/>
          <w:spacing w:val="0"/>
          <w:position w:val="0"/>
          <w:sz w:val="24"/>
          <w:shd w:fill="auto" w:val="clear"/>
        </w:rPr>
        <w:t xml:space="preserve">, 129-135, doi:10.1128/AAC.03822-14 (2015).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Grosset, J.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Assessment of clofazimine activity in a second-line regimen for tuberculosis in mice. </w:t>
      </w:r>
      <w:r>
        <w:rPr>
          <w:rFonts w:ascii="Times New Roman" w:hAnsi="Times New Roman" w:cs="Times New Roman" w:eastAsia="Times New Roman"/>
          <w:i/>
          <w:color w:val="auto"/>
          <w:spacing w:val="0"/>
          <w:position w:val="0"/>
          <w:sz w:val="24"/>
          <w:shd w:fill="auto" w:val="clear"/>
        </w:rPr>
        <w:t xml:space="preserve">Am. J. Respir. Crit. Care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188</w:t>
      </w:r>
      <w:r>
        <w:rPr>
          <w:rFonts w:ascii="Times New Roman" w:hAnsi="Times New Roman" w:cs="Times New Roman" w:eastAsia="Times New Roman"/>
          <w:color w:val="auto"/>
          <w:spacing w:val="0"/>
          <w:position w:val="0"/>
          <w:sz w:val="24"/>
          <w:shd w:fill="auto" w:val="clear"/>
        </w:rPr>
        <w:t xml:space="preserve">, 608-612, doi:10.1164/rccm.201304-0753OC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Shiloh, M. U., Ruan, J. &amp;amp; Nathan, C. Evaluation of bacterial survival and phagocyte function with a fluorescence-based microplate assay. </w:t>
      </w:r>
      <w:r>
        <w:rPr>
          <w:rFonts w:ascii="Times New Roman" w:hAnsi="Times New Roman" w:cs="Times New Roman" w:eastAsia="Times New Roman"/>
          <w:i/>
          <w:color w:val="auto"/>
          <w:spacing w:val="0"/>
          <w:position w:val="0"/>
          <w:sz w:val="24"/>
          <w:shd w:fill="auto" w:val="clear"/>
        </w:rPr>
        <w:t xml:space="preserve">Infect. Immun.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3193-3198 (1997).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24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Wang,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Identification of a small molecule with activity against drug-resistant and persistent tuberculosis. </w:t>
      </w:r>
      <w:r>
        <w:rPr>
          <w:rFonts w:ascii="Times New Roman" w:hAnsi="Times New Roman" w:cs="Times New Roman" w:eastAsia="Times New Roman"/>
          <w:i/>
          <w:color w:val="auto"/>
          <w:spacing w:val="0"/>
          <w:position w:val="0"/>
          <w:sz w:val="24"/>
          <w:shd w:fill="auto" w:val="clear"/>
        </w:rPr>
        <w:t xml:space="preserve">Proc. Natl. Acad. Sci. U.S.A.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110</w:t>
      </w:r>
      <w:r>
        <w:rPr>
          <w:rFonts w:ascii="Times New Roman" w:hAnsi="Times New Roman" w:cs="Times New Roman" w:eastAsia="Times New Roman"/>
          <w:color w:val="auto"/>
          <w:spacing w:val="0"/>
          <w:position w:val="0"/>
          <w:sz w:val="24"/>
          <w:shd w:fill="auto" w:val="clear"/>
        </w:rPr>
        <w:t xml:space="preserve">, E2510-2517, doi:10.1073/pnas.1309171110 (2013).</w:t>
      </w:r>
    </w:p>
    <w:p>
      <w:pPr>
        <w:spacing w:before="0" w:after="24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Wayne, L. G. &amp;amp; Hayes, L. G. An in vitro model for sequential study of shiftdown of </w:t>
      </w:r>
      <w:r>
        <w:rPr>
          <w:rFonts w:ascii="Times New Roman" w:hAnsi="Times New Roman" w:cs="Times New Roman" w:eastAsia="Times New Roman"/>
          <w:i/>
          <w:color w:val="auto"/>
          <w:spacing w:val="0"/>
          <w:position w:val="0"/>
          <w:sz w:val="24"/>
          <w:shd w:fill="auto" w:val="clear"/>
        </w:rPr>
        <w:t xml:space="preserve">Mycobacterium tuberculosis</w:t>
      </w:r>
      <w:r>
        <w:rPr>
          <w:rFonts w:ascii="Times New Roman" w:hAnsi="Times New Roman" w:cs="Times New Roman" w:eastAsia="Times New Roman"/>
          <w:color w:val="auto"/>
          <w:spacing w:val="0"/>
          <w:position w:val="0"/>
          <w:sz w:val="24"/>
          <w:shd w:fill="auto" w:val="clear"/>
        </w:rPr>
        <w:t xml:space="preserve"> through two stages of nonreplicating persistence. </w:t>
      </w:r>
      <w:r>
        <w:rPr>
          <w:rFonts w:ascii="Times New Roman" w:hAnsi="Times New Roman" w:cs="Times New Roman" w:eastAsia="Times New Roman"/>
          <w:i/>
          <w:color w:val="auto"/>
          <w:spacing w:val="0"/>
          <w:position w:val="0"/>
          <w:sz w:val="24"/>
          <w:shd w:fill="auto" w:val="clear"/>
        </w:rPr>
        <w:t xml:space="preserve">Infect. Immun.</w:t>
      </w:r>
      <w:r>
        <w:rPr>
          <w:rFonts w:ascii="Times New Roman" w:hAnsi="Times New Roman" w:cs="Times New Roman" w:eastAsia="Times New Roman"/>
          <w:b/>
          <w:color w:val="auto"/>
          <w:spacing w:val="0"/>
          <w:position w:val="0"/>
          <w:sz w:val="24"/>
          <w:shd w:fill="auto" w:val="clear"/>
        </w:rPr>
        <w:t xml:space="preserve"> 64</w:t>
      </w:r>
      <w:r>
        <w:rPr>
          <w:rFonts w:ascii="Times New Roman" w:hAnsi="Times New Roman" w:cs="Times New Roman" w:eastAsia="Times New Roman"/>
          <w:color w:val="auto"/>
          <w:spacing w:val="0"/>
          <w:position w:val="0"/>
          <w:sz w:val="24"/>
          <w:shd w:fill="auto" w:val="clear"/>
        </w:rPr>
        <w:t xml:space="preserve">, 2062-2069 (1996).</w:t>
      </w:r>
    </w:p>
    <w:p>
      <w:pPr>
        <w:spacing w:before="0" w:after="24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2"/>
          <w:shd w:fill="auto" w:val="clear"/>
        </w:rPr>
        <w:t xml:space="preserve">B</w:t>
      </w:r>
      <w:r>
        <w:rPr>
          <w:rFonts w:ascii="Times New Roman" w:hAnsi="Times New Roman" w:cs="Times New Roman" w:eastAsia="Times New Roman"/>
          <w:color w:val="auto"/>
          <w:spacing w:val="0"/>
          <w:position w:val="0"/>
          <w:sz w:val="24"/>
          <w:shd w:fill="auto" w:val="clear"/>
        </w:rPr>
        <w:t xml:space="preserve">arry, A.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Methods for determining bactericidal activity of antimicrobial agents: approved guideline</w:t>
      </w:r>
      <w:r>
        <w:rPr>
          <w:rFonts w:ascii="Times New Roman" w:hAnsi="Times New Roman" w:cs="Times New Roman" w:eastAsia="Times New Roman"/>
          <w:color w:val="auto"/>
          <w:spacing w:val="0"/>
          <w:position w:val="0"/>
          <w:sz w:val="24"/>
          <w:shd w:fill="auto" w:val="clear"/>
        </w:rPr>
        <w:t xml:space="preserve">. Vol. 19 (National Committee for Clinical Laboratory Standards, 1999).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