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Infection with </w:t>
      </w:r>
      <w:r>
        <w:rPr>
          <w:rFonts w:ascii="Calibri" w:hAnsi="Calibri" w:cs="Calibri" w:eastAsia="Calibri"/>
          <w:b/>
          <w:i/>
          <w:color w:val="auto"/>
          <w:spacing w:val="0"/>
          <w:position w:val="0"/>
          <w:sz w:val="24"/>
          <w:shd w:fill="auto" w:val="clear"/>
        </w:rPr>
        <w:t xml:space="preserve">Listeria Monocytogenes</w:t>
      </w:r>
      <w:r>
        <w:rPr>
          <w:rFonts w:ascii="Calibri" w:hAnsi="Calibri" w:cs="Calibri" w:eastAsia="Calibri"/>
          <w:b/>
          <w:color w:val="auto"/>
          <w:spacing w:val="0"/>
          <w:position w:val="0"/>
          <w:sz w:val="24"/>
          <w:shd w:fill="auto" w:val="clear"/>
        </w:rPr>
        <w:t xml:space="preserve"> as a Model for Studying Host Interferon-&amp;#947; responses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Jeeyoon Jennifer Ahn*, Thirumahal Selvanantham*, Monan Angela Zhang*, Thierry Mallevaey, Shannon E. Dunn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Jeeyoon Jennifer Ahn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Immunology,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jy.ahn@mail.utoronto.ca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Thirumahal Selvanantham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Immunology,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FF"/>
          <w:spacing w:val="0"/>
          <w:position w:val="0"/>
          <w:sz w:val="24"/>
          <w:u w:val="single"/>
          <w:shd w:fill="auto" w:val="clear"/>
        </w:rPr>
        <w:t xml:space="preserve">thirumahal.selvanantham@mail.utoronto.ca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Monan Angela Zhang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Immunology,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monanangela.zhang@mail.utoronto.ca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Thierry Mallevaey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Immunology,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FF"/>
          <w:spacing w:val="0"/>
          <w:position w:val="0"/>
          <w:sz w:val="24"/>
          <w:u w:val="single"/>
          <w:shd w:fill="auto" w:val="clear"/>
        </w:rPr>
        <w:t xml:space="preserve">thierry.mallevaey@utoronto.ca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E. Dunn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General Research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Health Network,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Immunology,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Women’s College Research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sdunn@uhnresearch.ca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the work.</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Dunn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sdunn@uhnresearch.ca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bacteria, infection model, mice,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inoculate C57BL6/J mice with the EGD strain of </w:t>
      </w:r>
      <w:r>
        <w:rPr>
          <w:rFonts w:ascii="Calibri" w:hAnsi="Calibri" w:cs="Calibri" w:eastAsia="Calibri"/>
          <w:i/>
          <w:color w:val="auto"/>
          <w:spacing w:val="0"/>
          <w:position w:val="0"/>
          <w:sz w:val="24"/>
          <w:shd w:fill="auto" w:val="clear"/>
        </w:rPr>
        <w:t xml:space="preserve">Listeria monocytogenes (L. monocytogenes)</w:t>
      </w:r>
      <w:r>
        <w:rPr>
          <w:rFonts w:ascii="Calibri" w:hAnsi="Calibri" w:cs="Calibri" w:eastAsia="Calibri"/>
          <w:color w:val="auto"/>
          <w:spacing w:val="0"/>
          <w:position w:val="0"/>
          <w:sz w:val="24"/>
          <w:shd w:fill="auto" w:val="clear"/>
        </w:rPr>
        <w:t xml:space="preserve"> and to measure interferon-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natural killer (NK) cells, natural killer T (NKT) cells, and adaptive T lymphocytes post-infection. This protocol also describes how to conduct survival studies in mice after infection with a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the pathogen.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is a gram-positive bacterium that is a cause of food borne disease in humans. Experimental infection of mice with this pathogen has been highly informative of the role of innate and adaptive immune cells and specific cytokines in host immunity against intracellular pathogens. Production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by innate cells during sublethal infection with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is important for activating macrophages and early control of the pathogen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memory adaptive lymphocytes is important for priming the activation of innate cells upon reinfection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infection model thus serves as a great tool for investigating whether new therapies that are designed to increase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have an impact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have productive biological effects such as increasing bacterial clearance or improving mouse survival from infection. Described here is a basic protocol for how to conduct intraperitoneal infections of C57BL6/J mice with the EGD strain of </w:t>
      </w:r>
      <w:r>
        <w:rPr>
          <w:rFonts w:ascii="Calibri" w:hAnsi="Calibri" w:cs="Calibri" w:eastAsia="Calibri"/>
          <w:i/>
          <w:color w:val="auto"/>
          <w:spacing w:val="0"/>
          <w:position w:val="0"/>
          <w:sz w:val="24"/>
          <w:shd w:fill="auto" w:val="clear"/>
        </w:rPr>
        <w:t xml:space="preserve">L. monocytogenes </w:t>
      </w:r>
      <w:r>
        <w:rPr>
          <w:rFonts w:ascii="Calibri" w:hAnsi="Calibri" w:cs="Calibri" w:eastAsia="Calibri"/>
          <w:color w:val="auto"/>
          <w:spacing w:val="0"/>
          <w:position w:val="0"/>
          <w:sz w:val="24"/>
          <w:shd w:fill="auto" w:val="clear"/>
        </w:rPr>
        <w:t xml:space="preserve">and to measure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NK cells, NKT cells, and adaptive lymphocytes by flow cytometry. In addition, procedures are described to: (1) grow and prepare the bacteria for inoculation, (2) measure bacterial load in the spleen and liver, and (3) measure animal survival to endpoints. Representative data are also provided to illustrate how this infection model can be used to test the effect of specific agents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to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and survival of mice from this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 cytokine that is crucial for mediating immunity against intracellular pathogens and for controlling tumor growth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importance of this cytokine in bacterial resistance is evident in the observation that humans with mutations in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signaling pathway are highly susceptible to infection with mycobacteria and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Similarly, mice deficient in either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receptor exhibit defects in resistance to mycobacterium</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and other intracellular pathogens including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Leishmania majo</w:t>
      </w: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Salmonella typhimurium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certain viruses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to combatting pathogens,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plays a crucial role in host-defense against tumors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Though higher production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beneficial in the context of infection or cancer, prolonged production of this cytokine has been linked to the development of systemic autoimmunity</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and the acceleration of type I diabetes in the non-obese diabetic mouse model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sources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include NK cells, NKT cells,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 cells, T helper 1 (Th1) cells, and cytotoxic T lymphocytes (CTL)</w:t>
      </w:r>
      <w:r>
        <w:rPr>
          <w:rFonts w:ascii="Calibri" w:hAnsi="Calibri" w:cs="Calibri" w:eastAsia="Calibri"/>
          <w:color w:val="auto"/>
          <w:spacing w:val="0"/>
          <w:position w:val="0"/>
          <w:sz w:val="24"/>
          <w:shd w:fill="auto" w:val="clear"/>
          <w:vertAlign w:val="superscript"/>
        </w:rPr>
        <w:t xml:space="preserve">5,19,20</w:t>
      </w:r>
      <w:r>
        <w:rPr>
          <w:rFonts w:ascii="Calibri" w:hAnsi="Calibri" w:cs="Calibri" w:eastAsia="Calibri"/>
          <w:color w:val="auto"/>
          <w:spacing w:val="0"/>
          <w:position w:val="0"/>
          <w:sz w:val="24"/>
          <w:shd w:fill="auto" w:val="clear"/>
        </w:rPr>
        <w:t xml:space="preserv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enhances both innate and adaptive immunity by: (1) up-regulating major histocompatibility complex (MHC) class I and II expression, (2) increasing the expression of co-stimulatory molecules on antigen presenting cells, (3) enhancing macrophage phagocytosis and the production of pro-inflammatory cytokines and microbicidal factors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nitric oxide and reactive oxygen species), (4) promoting the differentiation of na&amp;#239;ve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into Th1 effector cells, (5) promoting antibody class switching to immunoglobulin (Ig)2a and IgG3 (in mouse), (6) inducing the production of chemokines to recruit immune cells to sites of infection, and (7) enhancing NK cell and CTL responses</w:t>
      </w:r>
      <w:r>
        <w:rPr>
          <w:rFonts w:ascii="Calibri" w:hAnsi="Calibri" w:cs="Calibri" w:eastAsia="Calibri"/>
          <w:color w:val="auto"/>
          <w:spacing w:val="0"/>
          <w:position w:val="0"/>
          <w:sz w:val="24"/>
          <w:shd w:fill="auto" w:val="clear"/>
          <w:vertAlign w:val="superscript"/>
        </w:rPr>
        <w:t xml:space="preserve">5,19</w:t>
      </w:r>
      <w:r>
        <w:rPr>
          <w:rFonts w:ascii="Calibri" w:hAnsi="Calibri" w:cs="Calibri" w:eastAsia="Calibri"/>
          <w:color w:val="auto"/>
          <w:spacing w:val="0"/>
          <w:position w:val="0"/>
          <w:sz w:val="24"/>
          <w:shd w:fill="auto" w:val="clear"/>
        </w:rPr>
        <w:t xml:space="preserve">. Given the crucial importance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host response to pathogens and tumors, recombinant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has been tested as a treatment for various infections and malignancies (reviewed 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because systemic administration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the Th1 promoting cytokine interleukin-12 (IL-12) is associated with side effects and dose-related toxicity</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there is interest in developing alternative strategies to increase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immune cells. Development of new biologics and small molecules requires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screening tools to test whether such agents increase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during an immune response and whether this translates into meaningful biological effects such as increases in animal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4F81BD"/>
          <w:spacing w:val="0"/>
          <w:position w:val="0"/>
          <w:sz w:val="24"/>
          <w:shd w:fill="auto" w:val="clear"/>
        </w:rPr>
      </w:pPr>
      <w:r>
        <w:rPr>
          <w:rFonts w:ascii="Calibri" w:hAnsi="Calibri" w:cs="Calibri" w:eastAsia="Calibri"/>
          <w:color w:val="auto"/>
          <w:spacing w:val="0"/>
          <w:position w:val="0"/>
          <w:sz w:val="24"/>
          <w:shd w:fill="auto" w:val="clear"/>
        </w:rPr>
        <w:t xml:space="preserve">Experimental infection of mice with the gram-positive bacterium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has been an instrumental model for deciphering the role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host-immunity against intracellular pathogens</w:t>
      </w:r>
      <w:r>
        <w:rPr>
          <w:rFonts w:ascii="Calibri" w:hAnsi="Calibri" w:cs="Calibri" w:eastAsia="Calibri"/>
          <w:color w:val="auto"/>
          <w:spacing w:val="0"/>
          <w:position w:val="0"/>
          <w:sz w:val="24"/>
          <w:shd w:fill="auto" w:val="clear"/>
          <w:vertAlign w:val="superscript"/>
        </w:rPr>
        <w:t xml:space="preserve">1,22</w:t>
      </w:r>
      <w:r>
        <w:rPr>
          <w:rFonts w:ascii="Calibri" w:hAnsi="Calibri" w:cs="Calibri" w:eastAsia="Calibri"/>
          <w:color w:val="auto"/>
          <w:spacing w:val="0"/>
          <w:position w:val="0"/>
          <w:sz w:val="24"/>
          <w:shd w:fill="auto" w:val="clear"/>
        </w:rPr>
        <w:t xml:space="preserve">. Infection of mice with the pathogen intravenously or intraperitoneally (i.p.) leads to the rapid dissemination of the bacteria to the spleen and liver, where they become internalized by resident macrophages and hepatocytes with peak bacterial loads in the spleen occurring between 3 and 4 days post-infection</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Production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by NK cells is important for macrophage activation and early resistance against the pathogen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at high infectious doses, production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also be detrimental to pathogen clearance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NKT cells are also a source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spleen and liver during early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2,24</w:t>
      </w:r>
      <w:r>
        <w:rPr>
          <w:rFonts w:ascii="Calibri" w:hAnsi="Calibri" w:cs="Calibri" w:eastAsia="Calibri"/>
          <w:color w:val="auto"/>
          <w:spacing w:val="0"/>
          <w:position w:val="0"/>
          <w:sz w:val="24"/>
          <w:shd w:fill="auto" w:val="clear"/>
        </w:rPr>
        <w:t xml:space="preserve"> and this production has been shown to amplify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production by other cell types including NK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 the other hand, later-acting adaptive T lymphocytes,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particular, are important for mediating the clearance of the pathogen and providing protection against re-infection</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infection model has been attractive to researchers for a number of reasons (reviewed 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First, infection with the pathogen is highly reproducible and induces a strong Th1 and cellular immune response. Secondly, during sublethal infection, bacterial load is concentrated in the liver and spleen where it can be easily measured. Thirdly, the pathogen can be safely handled under Biosafety Level 2 (BSL2) conditions. Fourthly, the organism and the immune response that it generates have been extensively characterized. Finally, a variety of mutant and genetically-modified strains have been developed that are available for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basic protocol for inoculation of C57BL6/J mice with the EGD strain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for measuring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NK, NKT, and adaptive lymphocytes post-infection. Also described is how to measure bacterial load in the spleen and liver after sublethal infection and to carry out survival studies after infection with a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the pathogen. Finally, representative data are shown of how this protocol can be used to screen the effect of new treatments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and mouse survival from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Safety Statement.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infection of mice with live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The pathogen is handled safely under BSL2 conditions by trained personnel who are not immunocompromised. Immunocompromised people include pregnant women, the elderly, individuals who are HIV-infected or have chronic conditions that require treatment with immunosuppressive therapy. Personnel should don a protective lab coat or gown, gloves, mask, and eye protection while handling infected samples. The work described herein was performed under BSL2 conditions under a certificate (#32876) that was issued by the University Health Network (UHN) Biosafety office. Carcasses from infected mice or any unused tissues were double-bagged and disposed of in biohazard waste. Cages from infected mice were also decontaminated by autoclaving.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Ethics Statement.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maintained and infected in a quarantine room within UHN animal facilities and were cared for in accordance with the guidelines set by the Canadian Council on Animal Care. All procedures on mice were carried out under animal use protocol #3214 that was approved by the UHN animal care committee. Due to ethical considerations, death was not used as an endpoint for survival studies.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reported here for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infection was determined to be the dose at which 50% of the mice reached specific endpoints, which consisted of a 20% loss in body weight or showing at least two of the following clinical signs: lethargy, ruffled fur, hunched posture, labored breathing, dull or sunken eyes.  Mice were euthanized when they reached endpoints via exposure to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according to UHN facility guidelines.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Preparation of glycerol stocks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procedure describes how glycerol stocks of the EGD strain of </w:t>
      </w:r>
      <w:r>
        <w:rPr>
          <w:rFonts w:ascii="Calibri" w:hAnsi="Calibri" w:cs="Calibri" w:eastAsia="Calibri"/>
          <w:i/>
          <w:color w:val="auto"/>
          <w:spacing w:val="0"/>
          <w:position w:val="0"/>
          <w:sz w:val="24"/>
          <w:shd w:fill="auto" w:val="clear"/>
        </w:rPr>
        <w:t xml:space="preserve">L. monocytogenes </w:t>
      </w:r>
      <w:r>
        <w:rPr>
          <w:rFonts w:ascii="Calibri" w:hAnsi="Calibri" w:cs="Calibri" w:eastAsia="Calibri"/>
          <w:color w:val="auto"/>
          <w:spacing w:val="0"/>
          <w:position w:val="0"/>
          <w:sz w:val="24"/>
          <w:shd w:fill="auto" w:val="clear"/>
        </w:rPr>
        <w:t xml:space="preserve">are prepared from an original glycerol stock. Steps that have the potential to generate aerosols should be performed within a certified biosafety cabinet (BSC).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brain heart infusion (BHI) agar plates for bacterial growth. For this add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(w/v) BHI broth and 1.5% (w/v) agar to double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Autoclave liquid. Once the agar cools to 50 &amp;#176;C, dispense liquid into bacterial petri dishes (25 ml/dish) and let plates dry (uncovered) in the BSC for 1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Transfer BHI agar into a 50 &amp;#176;C water bath after autoclaving to avoid solidification prior to pouring plates.  Store BHI plates at 4 &amp;#176;C upside down (with media side on top) until ready for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Prepare liquid BHI media. For this, mix 3.8% (w/v) BHI broth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frozen glycerol stock of the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EGD strain from the -80 &amp;#176;C freezer and thaw to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Dip a sterile pipette tip in the thawed glycerol stock and immediately streak the tip back and forth across a section of a BHI plate. This is the primary streak.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Turn the plate by 90 &amp;#176;C and using a fresh pipette tip, drag through the first streak and spread it to the next ¼ of the plate (this is the secondary streak). Repeat once more to make the tertiary streak.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Turn plate upside down and incubate at 37 &amp;#176;C overnight. Single uniform colonies should be obtained in the last set of streaks and visible between 16 and 24 hr.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Dispense 10 ml of sterile BHI broth into a sterile vented 50 ml tube. Pick one colony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from the plate using a sterile pipette tip and inoculate the broth. Incubate the culture in a 37 &amp;#176;C orbital shaking incubator overnight or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=1.0 with settings at 225 rotations per min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Glass or disposable plastic Erlenmeyer flasks can also be used to culture bacteria. Regardless of the type of container used, make sure that it is sterile, vented and that the volume of culture does not exceed 20% of the total volume of the container to ensure appropriate aeration of the bacteria. If using a culture tube, keep it tilted at a 45 &amp;#176; angle during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glycerol stocks by mixing sterile 100% glycerol with overnight bacterial liquid culture at a 1:1 ratio. Distribute the bacterial/glycerol mixture into 2 ml cryogenic vials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l/vial) and transfer vials to -80 &amp;#176;C freezer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Bead stock methods can also be used in place of glycerol stocks to store bacteria. By this method, porous microbeads are inoculated with a pure culture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and are stored at -80 &amp;#176;C. Each bead can be used to inoculate a fresh culture as needed.  See materials list for further information.</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Determination of growth curve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 day culture.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how to generate the growth curve for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that is used to estimate the colony forming units (CFU) for infection studies. All steps that have the potential to generate aerosols should be performed within a certified BSC.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100 &amp;#181;l of overnight culture generated in Step 1.7 to 10 ml BHI media in a vented 50 ml tube and grow at 37 &amp;#176;C in a shaking incubator (225 rpm, tilted at 45 degree angle).  Use a non-inoculated tube as a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Take 0.5 ml samples of the culture at hourly intervals (1, 2, 3, 4, 5, 6 hr, etc.). Dilute each aliquot 1:1 (v/v) with BHI media in a plastic cuvette. Pipette up and down to mix. Measure the optical density (OD)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using a spectrometer. Continue culturing bacteria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 the same time, take a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sample of the culture and dilute with 900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BHI media in a sterile 1.5 ml microcentrifuge tube (this is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dilution).  Centrifuge the bacteria at 6000 x g for 5 min, and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Wash bacteria twice by resuspending the pellet in 1 mL of BHI media, centrifuging for 5 min at 6000 x g, and then aspirating the supernatant. Resuspend the pellet in 1 ml BHI media. Prepare a 10-fold dilution series of this sample in BHI media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Spread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each diluent onto separate BHI agar plates. Incubate plates overnight at 37 &amp;#176;C in an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The next day, pick plates that have between 30-300 colonies. Discard the rest. Count the colonies on these plates. Table 1 shows an example of counts obtained in an aliquot that was taken when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=0.84. In this example, one of the plates (i.e., 10^-6 dilution) had colony counts between 30-300 and was used for the CFU/ml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NOTE:</w:t>
      </w:r>
      <w:r>
        <w:rPr>
          <w:rFonts w:ascii="Calibri" w:hAnsi="Calibri" w:cs="Calibri" w:eastAsia="Calibri"/>
          <w:color w:val="auto"/>
          <w:spacing w:val="0"/>
          <w:position w:val="0"/>
          <w:sz w:val="24"/>
          <w:shd w:fill="FFFFFF" w:val="clear"/>
        </w:rPr>
        <w:t xml:space="preserve"> Plates with greater than 300 colonies are not used, since overcrowding can hinder bacterial growth and also makes it difficult to discern and enumerate individual colonies. Plates with counts &amp;lt; 30 are also not used because small errors in dilution technique or the presence of contaminants can have a large impact on the precision of counts at the lower end of the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Divide the number of colonies by the volume plated and then multiply by the dilution factor to obtain the CFU/ml value for a particular dilution. In the example in Table 1, the count at the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 was 70. Divide this value by 0.1 ml to get the CFU/ml value for the diluted culture. Then multiply this value by the dilution factor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obtain the CFU/ml value of the undiluted culture (7.0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Plot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(y-axis) versus time in h (x-axis) to identify the logarithmic phase of growth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Choose a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reading that is in the logarithmic phase of growth that can be used as a target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for growing day cultures. This growth curve provides an estimate of the CFU/ml of the day culture when grown to a certain OD reading. These data now can be used to estimate the CFU in a culture for preparation of inoculum (Procedure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Preparation of the inoculum for experimental infection with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the preparation of the infectious inoculum from a day culture that was started from an overnight culture (prepared in Procedure 2). All of these steps are performed in the BSC unless otherwise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Calculate the number of CFU required for infection based on the number of mice and experimental design of the study. Add an appropriate volume of BHI media to a sterile vented Erlenmeyer flask or culture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CFU of bacteria prepared will be dependent on the type of experiment performed. For studying NK and NKT cell responses during infection, each mouse is inoculated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bacteria (Procedure 6). If studying adaptive T cell responses to infection or measuring bacterial load, each mouse is inoculated with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of bacteria (Procedure 8). If studying survival to endpoints, each mouse is inoculated with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the pathogen (which is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males and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females, see Procedure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Inoculate the tube containing BHI media with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overnight culture. Incubate the culture in a 37 &amp;#176;C orbital shaking incubator (225 rpm) until target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reached. Transfer culture contents into a sterile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Centrifuge bacteria into a pellet for 5 min at 6000 x g using a centrifuge. Aspirate the supernatant using a vacuum attached to a trap flask containing bleach.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Wash pellet twice with 1 x phosphate buffered saline (PBS), centrifuging (5 min at 6000 x g) in between.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Aspirate the second wash and re-suspend bacteria in a volume of 1 x PBS such that the desired CFU (i.e.,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NK cell experiment) will be delivered to each mouse in a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best to use a commercial source of sterile 1 x PBS for washing bacteria and for preparation of the inoculum, since lab glassware can introduce immunological contaminants such as lipopolysaccharide.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Experimental infection of mice with </w:t>
      </w:r>
      <w:r>
        <w:rPr>
          <w:rFonts w:ascii="Calibri" w:hAnsi="Calibri" w:cs="Calibri" w:eastAsia="Calibri"/>
          <w:i/>
          <w:color w:val="auto"/>
          <w:spacing w:val="0"/>
          <w:position w:val="0"/>
          <w:sz w:val="24"/>
          <w:shd w:fill="auto" w:val="clear"/>
        </w:rPr>
        <w:t xml:space="preserve">L. monocytogenes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how to infect mice with the inoculum prepared in Procedure 3 and how to verify the CFU delivered in the inoculum.  Handling of mice and injections are performed in a BSC.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Order a sufficient number of male or female C57BL6/J mice for your experiment. Also order mice to serve as uninfected controls.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Allow mice to acclimatize for 1 week prior to bacterial inoculation.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is because the stress associated with transport of the animals can trigger a transient increase in stress hormone production and lymphopenia</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On the day of inoculation, obtain a baseline body weight for each mouse and record it in the lab notebook.</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 the BSC, mix the bacterial suspension up and down using a sterile pipette to ensure that the bacteria are evenly distributed and then take up 200 &amp;#181;l of the inoculum into a 1 mL safety engineered syringe fitted with a 25 G needle.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Inject a mouse i.p. with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prepared inoculum (e.g.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NK cell infection, Procedure 6). For this procedure, scruff mice with the less dominant hand by grabbing the loose skin around the mouse’s shoulders. After ensuring that the mouse is well-restrained, inject the mouse in the lower quadrant of the abdomen, just lateral to the midline to avoid the bladder.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Dispose of the needle and syringe in a biohazard sharps container.</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Repeat steps 4.3-4.6 until all mice are injected.  Conduct similar steps with 1 x PBS injected mice (non-infected controls).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Since the CFU is an estimate based on the growth curve, it is also good practice to check the actual CFU in the inoculum. For this, prepare 3-4 different dilutions of the prepared inoculum (using 10-fold dilution series) that you expect will result in countable colonies. Spread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each diluent onto a BHI agar plate and incubate overnight at 37 &amp;#176;C. Count the colonies and calculate the actual CFU/ml as described in Procedure 2.</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Preparing heat-killed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for immune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All steps that have the potential to generate aerosols are performed within the BSC.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Grow day culture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are reached that are within the logarithmic phase. Dispense culture into 1.5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Incubate tubes 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 &amp;#176;C in a water bath for 1 hr to kill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t xml:space="preserve">Wash bacteria twice with 1 x PBS as in Steps 3.3 and 3.4. Resuspend in sterile complete RPMI media containing fetal calf serum (FCS) (see Supplemental File 1 for recipe) at a concentration of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Aliquot killed bacteria into 2 ml sterile cryogenic vials and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Confirm the death of the bacteria by spreading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heat-killed bacteria preparation onto BHI agar plates and incubating overnight at 37 &amp;#176;C.</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heat-killed bacteria should be ready for stimulating lymphocytes in culture in Procedure 8. If there are any colonies growing on the BHI agar plate, repeat heat-killing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 Measurement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NK and NKT cells during infection.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how to measure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NK and NKT cells in mice at 24 hr after infection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the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This dose is used because it induces robust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responses by NK and NKT cells in the spleen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Conduct all steps in the BSC. To help maintain cell viability, keep cells on ice whenever possible and use ice-cold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tab/>
        <w:t xml:space="preserve">Inoculate mice as described in Procedure 4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the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At the same time, inject non-infected control mice i.p. with an equal volume of 1 x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Euthanize mice at 24 hr post-inoculation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according to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tab/>
        <w:t xml:space="preserve">Lie each mouse on its right side and wet down the skin with 70% ethanol using a squeeze bottle.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tab/>
        <w:t xml:space="preserve">Using aseptic or sterile forceps and tough-cut scissors, incise the skin just below the bottom of the rib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Spray down the exposed muscle layer with 70% ethanol. The spleen should be visible underneath the muscle layer (open arrow head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Using aseptic or sterile forceps and fine scissors, incise the muscle layer to reveal the spleen. Gently grab the spleen with the forceps and use fine scissors to cut the spleen away from surrounding connective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Place the spleen in a 15 ml conical tube containing sterile 1 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Half-fill sterile petri dishes with sterile 1 x PBS. Dissociate the spleen through a 70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nylon cell strainer into the petri dish using the flat end of a sterile 3 ml syringe.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Transfer the splenocyte suspension into a clean sterile 15 ml conical tube using a sterile 10 ml serological pipette.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Centrifuge samples at 335 x g for 10 min at 4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Aspirate the supernatant into a trap flask containing bleach.</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Loosen the cell pellet by flicking the tube with a finger or by dragging the bottom tube back and forth along a corrugated surface (e.g. air flow vent in the BSC).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Lyse red blood cells by adding 1.5 ml of Ammonium-Chloride-Potassium (ACK) lysis buffer (see Supplemental File 1 for recipe) to each spleen. After exactly 1 min and 15 seconds, fill the tube with 1 x PBS to stop the cell lysis.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Centrifuge cells as described in step 6.10.</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Aspirate the supernatant and resuspend the cell pellet in 10 ml of fluorescence-activated cell sorting (FACS) Buffer (sterile 1 x PBS containing 2%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Count the cells using a hemocytometer. For this, take two aliquots of cell suspension for counting. Add 15 &amp;#181;l of each cell suspension to an equal volume of Trypan blue (0.04%, made by diluting 0.4% trypan blue solution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Load 15 &amp;#181;l of each cell/Trypan blue suspension into the chamber of the hemocytometer (i.e., one in the top chamber, one in the bottom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Using a microscope, count all non-blue cells in five large squares of the central grid in each chamber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Take this count and divide it by 10 to obtain the number of cells in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the example in Figure 2, the count is 215 cells in the 5 squares; therefore, the cell concentration is 21.5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Average the cell concentrations obtained from the two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Seed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well/stain in a 96-well round-bottom plate for flow cytometry staining. Make sure to also seed cells for unstained and fluorescence minus one (FMO) controls. See recommended flow cytometry staining panel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For the following steps, it is recommended to keep cells on ice or at 4 &amp;#176;C and to protect cells from light with foil when fluorochromes are present. A multichannel pipette can be used to dispense liquids into 96-well staining plates to speed up processing. Be careful not to disturb the cell pellet when aspirating the supernatant from the centrifuged plate. Staining can also be done in FACS tubes if the centrifuge is not fitted with plate adapters. All centrifuge steps from this point on are done at 456 x g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Centrifuge the plate and then wash cells twice with FACS buffer. One wash is done by adding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FACS buffer to each well, centrifuging the plate, and then aspirating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Perform blocking step by adding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l/well of FACS buffer containing anti-mouse CD16/CD32 (purified Fc block) (0.5 &amp;#181;g). Incubate cells at 4 &amp;#176;C for 15 min. Wash cells once in 1 x PBS as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Add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viability dye (fixable viability dye diluted 1:1000 in 1 x PBS) to cells. Stain cells at 4 &amp;#176;C in the dark (in refrigerator) for 30 min. Wash cells twice in FACS buffer as described above.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6.20) </w:t>
        <w:tab/>
        <w:t xml:space="preserve">After a second wash, add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cell surface antibodies or tetramers to respective wells according to the staining panel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Stain cells at 4 &amp;#176;C in the dark (in refrigerator) for 30 min. At this time, also add antibodies for staining single positive and FMO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Regarding single positive controls, it is recommended to either use splenocytes that are stained with various fluorochrome versions of the CD4 antibody or commercial compensation beads that are stained with the antibodies used in the panel. Prior to conducting this staining procedure, all FACS antibodies should be titrated in test studies to determine optimal concentrations for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Wash cells twice in FACS buffer as described above and then fix cells by resuspending them in 50</w:t>
      </w:r>
      <w:r>
        <w:rPr>
          <w:rFonts w:ascii="Cambria" w:hAnsi="Cambria" w:cs="Cambria" w:eastAsia="Cambria"/>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4% paraformaldehyde (16% paraformaldehyde stock diluted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incubating for 10 min at room temperature.  </w:t>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paraformaldehyde is toxic and should only be handled in the fume hood.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Wash cells twice in FACS buffer, centrifuging in between. Resuspend cells in FACS buffer. Continue to next step or store cells in the refrigerator protected from light for up to three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Centrifuge cells, remove the supernatant, and wash cells twice with 150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 x Permeabilization/Wash Buffer (Perm/Wash buffer), centrifuging in between. The Perm/Wash Buffer is prepared from a 10 x stock by diluting 1:9 (v/v)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After the second wash, resuspend the cells in 150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Perm/Wash Buffer and incubate for 15 min at 4 &amp;#176;C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Centrifuge cells again and then aspirate the supernatant. Resuspend cells in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 x Perm/Wash buffer containing anti-IFN-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incubate for 1 hr at 4 &amp;#176;C in the dark.</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Wash cells twice with 1 x Perm/Wash buffer, centrifuging in between. Resuspend cells in 250 &amp;#181;l of FACS buffer and then transfer cells to FACS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t xml:space="preserve">Proceed to flow cytometry acquisition using a flow cytometer that has an appropriate laser configuration and filter set to discriminate fluorochromes used in the staining panel described in Table 2</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Collect at least 200,000 events per sample and 10,000 events for compensation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6.28)   Apply compensation matrix and analyze data using flow cytometric analysis software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Measurement of bacterial load in the spleen and liver at the time of peak infection.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All steps are performed within a BSC unless otherwise noted.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Inoculate mice i.p. with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of the pathogen using procedures described in Procedure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On day 3 post-infection, prepare sterile 1.5 ml microcentrifuge tubes, each containing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ice-cold sterile 0.1% Triton X-100 in 1 x PBS and 0.2-0.3 g of 1.5-2 mm acid-washed sterile glass beads. Weigh each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Glass beads are acid washed by incubating in 10% acetic acid in a beaker on a magnetic stirrer for 1 hr. These beads are then extensively washed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to remove acid, are air-dried, and then autoclaved prior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Euthanize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For dissection of organs, lay the animal on its back on a dissecting board and pin the limbs of the mouse to the board using 25 G needles. Disinfect skin by wetting with 70 %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Using sterile tough cut scissors, make a midline incision in the skin from the groin to the mid chest and then from the mid groin towards each knee and from the mid chest towards each elbow. Blunt dissect and reflect back the skin, pinning it open using 25 G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Disinfect muscle layer by wetting it with 70 % ethanol and then using sterile fine scissors make a midline incision in the peritoneal wall. Grab the xiphoid process with forceps. Then, using the same fine scissors, make cuts in the peritoneal wall from the xiphoid process laterally on each side, following the rib cage, just below the diaphragm to reveal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Cut out a ~100 mg piece of the liver (use the same lobe for all mice) using sterile scissors and place it in a pre-weighed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Use forceps to gently push aside the organs on the left side of the peritoneal cavity to visualize the spleen. Gently grab the spleen with a pair of forceps and release it from the peritoneal cavity by cutting away the surrounding connective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Place the spleen in the pre-weighed 1.5 ml microcentrifuge tube containing beads. Transport tissues to the laboratory in a leak-proof container containing ice. Re-weigh the tubes containing the organs to determine the tissue weights in mg.</w:t>
      </w:r>
    </w:p>
    <w:p>
      <w:pPr>
        <w:spacing w:before="0" w:after="0" w:line="240"/>
        <w:ind w:right="0" w:left="28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Homogenize the tissues by shaking the tubes using a bead mill homogenizer for 3 min at frequency of 30 hertz.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bead mill method is preferred for homogenization as it is amenable for processing a large number of samples and creates less mess and potential exposure to the pathogen. However, automatic homogenizers or autoclaved 2 ml manual glass tissue homogenizers could be used as an alternative.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Prepare a 10-fold dilution series of the homogenates in 0.1% Triton-X-100 in 1 x PBS with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volume per dilution (ranging from undiluted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Spread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each diluted homogenate onto a BHI agar plate (in duplicate) using a sterile spreader. Transfer plates to a 37 &amp;#176;C incubator and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Keep the plates that contain up to 300 colonies/plate, discard the rest. Count colonies on each plate and determine the mean number of colonies for duplicate spreads.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Calculate the CFU/mg according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CFU/mg = CFU/ml in the homogenate, multiplied by the ml of homogenate prepared, divided by the mg weight of the tissue homogenized.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example, if a mean of 30 colonies were counted after plating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diluted homogenate prepared from a 120 mg piece of liver that was homogenized in 0.5 ml, the calculations would be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CFU/ml=30 colonies x 100 (dilution factor)/0.1 ml (volume spread)=30000 CFU/mL.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CFU/mg=30000 CFU/ml x 0.5 ml homogenate / 120 mg tissue= 125 CFU/mg.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Effects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how to measure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splenic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effector cells harvested at the time of the peak of the adaptive immune response (~ 7 d post-infection) using two methods: (1) flow cytometry to measure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intracellular cytokine staining, and (2) ELISA to measure total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levels produced by splenocytes (includes all T cells). Procedures are performed within the BSC.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Infect mice by injecting i.p. with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of the pathogen using procedures described in Procedure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On day 7 post-infection, euthanize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according to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Dissect the spleen (as described above) and place in a 15 ml conical tube containing sterile 1 x PBS. Transport the tubes to the laboratory in a leak-proof container containing 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Process the spleens into a single cell suspension, lyse red blood cells as described in section 6, and then resuspend cells in complete RPMI media containing 10% FCS. Count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Set up cultures for measurement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For this dispense cells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1 ml/well) into 24-well plates together with and equal number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1 ml/well) of thawed heat-killed</w:t>
      </w:r>
      <w:r>
        <w:rPr>
          <w:rFonts w:ascii="Calibri" w:hAnsi="Calibri" w:cs="Calibri" w:eastAsia="Calibri"/>
          <w:i/>
          <w:color w:val="auto"/>
          <w:spacing w:val="0"/>
          <w:position w:val="0"/>
          <w:sz w:val="24"/>
          <w:shd w:fill="auto" w:val="clear"/>
        </w:rPr>
        <w:t xml:space="preserve"> L. monocytogenes </w:t>
      </w:r>
      <w:r>
        <w:rPr>
          <w:rFonts w:ascii="Calibri" w:hAnsi="Calibri" w:cs="Calibri" w:eastAsia="Calibri"/>
          <w:color w:val="auto"/>
          <w:spacing w:val="0"/>
          <w:position w:val="0"/>
          <w:sz w:val="24"/>
          <w:shd w:fill="auto" w:val="clear"/>
        </w:rPr>
        <w:t xml:space="preserve">(prepared in Procedure 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Transfer cells to a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After 20 h of incubation, add 0.66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l/ml of protein transport inhibitor to wells and continue incubations.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Four hr later, transfer plate to BSC and collect 500 &amp;#181;l of culture supernatant and freeze (at -80 &amp;#176;C) for the later measurement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levels using a commercial enzyme-linked immunosorbent assay (ELISA) kit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Then collect cells into a sterile 15 ml tube. Wash wells with 1 x PBS and pool this wash together with collected cells.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Conduct cell-surface staining and intracellular staining for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described in Procedure 6 except use the staining panel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Proceed to flow cytometer acquisition (collecting 200,000 events/sample) and analyze data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using flow cytometry analysis software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Measuring mouse survival to endpoints after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procedure describes the effect of an agent on mouse survival to endpoints post-infection with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the pathogen. All these procedures are conducted in the BSC in the animal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Inject mice i.p. with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as described in Procedure 4. This was determined to be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male) or 1.5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CFU (for female)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Follow mice twice daily for clinical signs and record these signs and animal body weights in a lab notebook. Euthanize mice if they show a 20% loss in body weight or two clinical signs of listeriosis (lethargy, ruffled fur, hunched posture, labored breathing, dull or sunken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After 14 days, euthanize surviving mice via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Prepare Kaplan-Meier plots of the data by plotting the percent survival of each group against time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mice succumb to infection (meet endpoints described in Ethics Statement), this usually occurs by day 5 post-infection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some typical flow cytometry staining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splenic NK and NKT cells at 24 hr post-infection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the pathogen. This figure also illustrates the gating strategy for the staining panel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some representative data that were obtained in one experiment where male mice were treated with the PPAR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antagonist IS001 or vehicle control, infected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and then analyzed for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NK and NKT cells after 24 hr. This figure shows that treatment with IS001 boosted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NKT cells, but not NK cells after infection with the pathogen.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staining for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splenic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at 7 days post-infection after re-stimulation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with heat-killed pathogen. This figure also shows the gating strategy for the staining panel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representative data that were obtained in one experiment where male mice were treated daily with the PPAR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antagonist IS001 or vehicle control, infected with a sublethal dose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and analyzed at 7 days post-infection. This experiment shows that treatment with IS001 enhanced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lymphocytes.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representative data from a study that investigated the effect of the PPAR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antagonist IS001 on mouse survival to endpoints after infection with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dose of the pathogen.  Plotted is the percent survival of mice against time post-infection. This figure shows that treatment with IS001 increased the survival of male mice to endpoints. Together these data illustrate how this model can be applied to investigate the effects of new drugs or treatments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to explore how these immune changes impact animal survival from infection.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Dissecting the spleens from infected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series of photos shows how to dissect the spleen from a dead mouse. (a) Lie the mouse on its right side and spray down the skin with 70% ethanol. (b) Using aseptic or sterile forceps and tough-cut scissors, incise the skin just below the bottom of the rib cage. (c) Spray down the exposed muscle layer with 70% ethanol. The spleen should be visible underneath the muscle layer (open arrow head). (d) Using aseptic or sterile forceps and fine scissors, incise the muscle layer to reveal the spleen. (e) Gently grab the spleen with the forceps and use fine scissors to cut the spleen away from surrounding the connective tissue. (f) Place the spleen in a 15 ml conical tube containing sterile 1 x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Counting splenocytes using a hemocytometer.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shows the central grid of the hemocytometer. (b) shows an enlarged view of the central grid that contains 25 large squares (that each contain 16 smaller squares). The five large squares used for counting are highlighted in grey (4 corner squares plus the center square in the central grid). (c) shows an enlarged view of one of the large grey squares. To determine the cell volume in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first count all the viable cells within the five large grey squares. In the example shown, this count is 215. When counting, make sure to only count all of the clear (non-blue) cells, including those that are touching the double lines on the right and bottom of the grid. Do not count the cells touching the double lines on the left and top of the grid. Take the total five square count and divide it by 10 to obtain the number of cells in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the example, 215 divided by 10 is 21.5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Note that these calculations only work if you are counting 5 of the large squares as highlighted and dilute your cells 1:1 in trypan blue.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Gating strategy for detection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production in NK and NKT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gate on lymphocytes on FSC-A by SSC-A plot. Then gate on those events that are on the diagonal on the FSC-H/FSC-A plot. These are the singlets. Then gate on live (AmCyan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Then plot the tetramer staining against TCR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NKT cells are within the double positive population and the NK cells are within the double negative population. Gate on the double positive cells, and plot NKp46 versus FSC. Gate on the NKp46 negative population, which are the NKT cells (this gate can be set by finding the point of division in the two populations from the NK cell plot). The NK cells are the tetramer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TCR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NKp46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Within NK and NKT cell gates,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PE channel are identified after setting a gate based on the FMO control.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obtained for the frequencies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NK and NKT cells at 24 h post-infection.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male C57BL6/J mice (N=3-4/group) were infected i.p.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or were left un-infected. Mice were also administered the drug IS001 or vehicle (0.5% carboxymethyl cellulose) at the same time of inoculation and 12 h later. Twenty-four hours after inoculation, mice were euthanized and the spleens were removed and were processed individually and stained for flow cytometry. Shown are the mean +/- SEM frequency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NK (a) or NKT cell gates (b) in uninfected or infected mice after treatment with a vehicle or the drug IS001. *Indicates a difference (P&amp;lt;0.05) from vehicle control by two-tailed T-test. Data are re-printed from</w:t>
      </w:r>
      <w:r>
        <w:rPr>
          <w:rFonts w:ascii="Calibri" w:hAnsi="Calibri" w:cs="Calibri" w:eastAsia="Calibri"/>
          <w:color w:val="auto"/>
          <w:spacing w:val="0"/>
          <w:position w:val="0"/>
          <w:sz w:val="24"/>
          <w:shd w:fill="auto" w:val="clear"/>
          <w:vertAlign w:val="superscript"/>
        </w:rPr>
        <w:t xml:space="preserve">31 </w:t>
      </w:r>
      <w:r>
        <w:rPr>
          <w:rFonts w:ascii="Calibri" w:hAnsi="Calibri" w:cs="Calibri" w:eastAsia="Calibri"/>
          <w:color w:val="auto"/>
          <w:spacing w:val="0"/>
          <w:position w:val="0"/>
          <w:sz w:val="24"/>
          <w:shd w:fill="auto" w:val="clear"/>
        </w:rPr>
        <w:t xml:space="preserve">with permission from the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(volume 195, pp. 5189-5202, 2015).</w:t>
      </w:r>
      <w:r>
        <w:rPr>
          <w:rFonts w:ascii="Times" w:hAnsi="Times" w:cs="Times" w:eastAsia="Times"/>
          <w:color w:val="auto"/>
          <w:spacing w:val="0"/>
          <w:position w:val="0"/>
          <w:sz w:val="32"/>
          <w:shd w:fill="auto" w:val="clear"/>
        </w:rPr>
        <w:t xml:space="preserve"> </w:t>
      </w:r>
      <w:r>
        <w:rPr>
          <w:rFonts w:ascii="Calibri" w:hAnsi="Calibri" w:cs="Calibri" w:eastAsia="Calibri"/>
          <w:color w:val="auto"/>
          <w:spacing w:val="0"/>
          <w:position w:val="0"/>
          <w:sz w:val="24"/>
          <w:shd w:fill="auto" w:val="clear"/>
        </w:rPr>
        <w:t xml:space="preserve">Copyright 2015. The American Association of Immunologists, Inc.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Gating strategy for detection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production in CD4 and CD8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gate on lymphocytes on FSC-A by SSC-A plots. Then gate on those events that are on the diagonal on the FSC-H/FSC-A plot. These are the singlets. Within this gate, gate on live (AmCyan-)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Then gate on either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Within each gate,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PE channel are identified by comparing the staining to the FMO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obtained for the frequencies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and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at 7 days post-infection with </w:t>
      </w:r>
      <w:r>
        <w:rPr>
          <w:rFonts w:ascii="Calibri" w:hAnsi="Calibri" w:cs="Calibri" w:eastAsia="Calibri"/>
          <w:b/>
          <w:i/>
          <w:color w:val="auto"/>
          <w:spacing w:val="0"/>
          <w:position w:val="0"/>
          <w:sz w:val="24"/>
          <w:shd w:fill="auto" w:val="clear"/>
        </w:rPr>
        <w:t xml:space="preserve">L. monocytogenes </w:t>
      </w:r>
      <w:r>
        <w:rPr>
          <w:rFonts w:ascii="Calibri" w:hAnsi="Calibri" w:cs="Calibri" w:eastAsia="Calibri"/>
          <w:b/>
          <w:color w:val="auto"/>
          <w:spacing w:val="0"/>
          <w:position w:val="0"/>
          <w:sz w:val="24"/>
          <w:shd w:fill="auto" w:val="clear"/>
        </w:rPr>
        <w:t xml:space="preserve">(EGD strain)</w:t>
      </w:r>
      <w:r>
        <w:rPr>
          <w:rFonts w:ascii="Calibri" w:hAnsi="Calibri" w:cs="Calibri" w:eastAsia="Calibri"/>
          <w:b/>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male C57BL6/J mice were infected i.p. with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(N=7/group) or were left uninfected (N=3/group). Mice were also administered the drug IS001 or vehicle (0.5% carboxymethyl cellulose) twice daily starting on the day of inoculation. Seven days later, mice were euthanized and the spleens were removed and were processed individually for cell culture. Splenocyte mononuclear cells were stimulated for 24 hr with heat-killed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with protein transport inhibitor added for the final 4 hr of culture. Cells were then stained for flow cytometry. Shown are the mean +/- SEM frequency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gates (b) in uninfected or infected mice after treatment with a vehicle (0.5% carboxymethyl cellulose) or the drug IS001. * indicates a difference (P&amp;lt;0.05) from the vehicle control counterpart as determined by two-tailed T test. Data are re-printed from</w:t>
      </w:r>
      <w:r>
        <w:rPr>
          <w:rFonts w:ascii="Calibri" w:hAnsi="Calibri" w:cs="Calibri" w:eastAsia="Calibri"/>
          <w:color w:val="auto"/>
          <w:spacing w:val="0"/>
          <w:position w:val="0"/>
          <w:sz w:val="24"/>
          <w:shd w:fill="auto" w:val="clear"/>
          <w:vertAlign w:val="superscript"/>
        </w:rPr>
        <w:t xml:space="preserve">31 </w:t>
      </w:r>
      <w:r>
        <w:rPr>
          <w:rFonts w:ascii="Calibri" w:hAnsi="Calibri" w:cs="Calibri" w:eastAsia="Calibri"/>
          <w:color w:val="auto"/>
          <w:spacing w:val="0"/>
          <w:position w:val="0"/>
          <w:sz w:val="24"/>
          <w:shd w:fill="auto" w:val="clear"/>
        </w:rPr>
        <w:t xml:space="preserve">with permission from the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(volume 195, pp. 5189-5202, 2015).</w:t>
      </w:r>
      <w:r>
        <w:rPr>
          <w:rFonts w:ascii="Times" w:hAnsi="Times" w:cs="Times" w:eastAsia="Times"/>
          <w:color w:val="auto"/>
          <w:spacing w:val="0"/>
          <w:position w:val="0"/>
          <w:sz w:val="32"/>
          <w:shd w:fill="auto" w:val="clear"/>
        </w:rPr>
        <w:t xml:space="preserve"> </w:t>
      </w:r>
      <w:r>
        <w:rPr>
          <w:rFonts w:ascii="Calibri" w:hAnsi="Calibri" w:cs="Calibri" w:eastAsia="Calibri"/>
          <w:color w:val="auto"/>
          <w:spacing w:val="0"/>
          <w:position w:val="0"/>
          <w:sz w:val="24"/>
          <w:shd w:fill="auto" w:val="clear"/>
        </w:rPr>
        <w:t xml:space="preserve">Copyright 2015. The American Association of Immunologists, Inc.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data obtained during an experiment that compared the effect of a PPAR</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antagonist 1S001 on mouse survival to endpoints after infection of male C57BL6/J mice with </w:t>
      </w:r>
      <w:r>
        <w:rPr>
          <w:rFonts w:ascii="Calibri" w:hAnsi="Calibri" w:cs="Calibri" w:eastAsia="Calibri"/>
          <w:b/>
          <w:i/>
          <w:color w:val="auto"/>
          <w:spacing w:val="0"/>
          <w:position w:val="0"/>
          <w:sz w:val="24"/>
          <w:shd w:fill="auto" w:val="clear"/>
        </w:rPr>
        <w:t xml:space="preserve">L. monocytogenes</w:t>
      </w:r>
      <w:r>
        <w:rPr>
          <w:rFonts w:ascii="Calibri" w:hAnsi="Calibri" w:cs="Calibri" w:eastAsia="Calibri"/>
          <w:b/>
          <w:color w:val="auto"/>
          <w:spacing w:val="0"/>
          <w:position w:val="0"/>
          <w:sz w:val="24"/>
          <w:shd w:fill="auto" w:val="clear"/>
        </w:rPr>
        <w:t xml:space="preserve"> (EGD strain)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male C57BL6/J mice (N=10 mice/group) were infected i.p. with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of the pathogen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Mice were also administered the drug IS001 or vehicle (0.5% carboxymethyl cellulose) twice daily starting on the day of inoculation.  Mice were followed daily for clinical signs and were euthanized if humane endpoints were met. Shown is the percent survival of mice to endpoints over time * indicates a difference in the survival between groups as determined by log-rank test (P&amp;lt;0.05). Data are re-printed from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 permission from the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(volume 195, pp. 5189-5202, 2015).</w:t>
      </w:r>
      <w:r>
        <w:rPr>
          <w:rFonts w:ascii="Times" w:hAnsi="Times" w:cs="Times" w:eastAsia="Times"/>
          <w:color w:val="auto"/>
          <w:spacing w:val="0"/>
          <w:position w:val="0"/>
          <w:sz w:val="32"/>
          <w:shd w:fill="auto" w:val="clear"/>
        </w:rPr>
        <w:t xml:space="preserve"> </w:t>
      </w:r>
      <w:r>
        <w:rPr>
          <w:rFonts w:ascii="Calibri" w:hAnsi="Calibri" w:cs="Calibri" w:eastAsia="Calibri"/>
          <w:color w:val="auto"/>
          <w:spacing w:val="0"/>
          <w:position w:val="0"/>
          <w:sz w:val="24"/>
          <w:shd w:fill="auto" w:val="clear"/>
        </w:rPr>
        <w:t xml:space="preserve">Copyright 2015. The American Association of Immunologists, Inc.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Shows some representative calculations for determining CFU in an aliquot of day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example, an aliquot of day culture was taken and was diluted 1:1 with BHI media.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this diluted sample was determined to be 0.84. In addition, a 100 &amp;#181;l aliquot was taken for CFU determination. This sample was diluted with 900 &amp;#181;l of BHI media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was washed and resuspended in 1 ml BHI. A 10-fold dilution series of this sample was prepared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diluted samples were plated on BHI agar plates (only values for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are shown). The next day colonies were counted. Only those plates that had colony numbers between 30-300 were considered for the calculation (i.e., 10^-6 plate, highlighted in yellow). The number of colonies on this plate (70) was then divided by 0.1 (volume in ml plated) to get the CFU/ml of the diluted sample. This value was then multiplied by the dilution factor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obtain the CFU/ml reading of the undiluted culture. TMTC=too many to 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Staining panel for detection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in NK and NKT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either compensation beads stained with the flow antibodies used in the panel or splenocytes stained with various fluorochrome versions of CD4 antibody clone GK1.1 can be used as single positive controls.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Staining panel for detection of IFN-</w:t>
      </w:r>
      <w:r>
        <w:rPr>
          <w:rFonts w:ascii="Symbol" w:hAnsi="Symbol" w:cs="Symbol" w:eastAsia="Symbol"/>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in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and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either compensation beads stained with the flow antibodies used in the panel or splenocytes stained with various fluorochrome versions of CD4 antibody clone GK1.1 can be used as single positive controls.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of how to carry out a basic experimental infection with the EGD strain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male or female C57BL6/J mice. This protocol was set up for the purpose of studying the effect of a novel small molecule IS001 on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innate and adaptive lymphocytes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By monitoring bacterial clearance and survival post-infection, insights were gained into how these changes in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impacted the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ability to control the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Critical considerations in the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consideration in the design of this type of study is that each experiment be adequately powered and appropriately controlled. Due to biological variation in the immune response to infection (see </w:t>
      </w:r>
      <w:r>
        <w:rPr>
          <w:rFonts w:ascii="Calibri" w:hAnsi="Calibri" w:cs="Calibri" w:eastAsia="Calibri"/>
          <w:b/>
          <w:color w:val="auto"/>
          <w:spacing w:val="0"/>
          <w:position w:val="0"/>
          <w:sz w:val="24"/>
          <w:shd w:fill="auto" w:val="clear"/>
        </w:rPr>
        <w:t xml:space="preserve">Figures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and 6</w:t>
      </w:r>
      <w:r>
        <w:rPr>
          <w:rFonts w:ascii="Calibri" w:hAnsi="Calibri" w:cs="Calibri" w:eastAsia="Calibri"/>
          <w:color w:val="auto"/>
          <w:spacing w:val="0"/>
          <w:position w:val="0"/>
          <w:sz w:val="24"/>
          <w:shd w:fill="auto" w:val="clear"/>
        </w:rPr>
        <w:t xml:space="preserve">), it is recommended that N=4-5 mice per group be used for the initial immune studies. If after these studies there is a trend in the data, but no significant difference apparent between groups, a power calculation could be done to determine the least number of animals required in subsequent studies to achieve statistical significance. Regarding controls, it is important to include uninfected controls for determination of baseline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for immune studies and vehicle controls to help distinguish the effect of the treatment from the stress associated with administering the treatment. Another important consideration is the timing of treatment. Since the innate response to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is very rapid, it is recommended that the first treatment be administered on the day prior to, or at the same time as, inoculation in order to ensure that therapeutic levels of the reagent be achieved prior to the initiation of the innate immune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another important consideration is the dose of the pathogen to be used for infection. A sublethal dose is recommended for measurement of bacterial load, since it increases the chance that the pathogen will be concentrated within the spleen and liver, allowing for the more accurate enumeration of the bacteria. A sublethal dose is also recommended for enumerating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by adaptive lymphocytes to ensure that animals do not succumb to listeriosis prior to the time of peak T cell expansion. In contrast, it is recommended that a higher infectious dose be used for measurement of the early NK and NKT cell response at 24 hr in order to maximize the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these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classical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is the dose of pathogen that results in 50% lethality of mice. Since death was not an acceptable endpoint at our institution and since many symptoms of listeriosis can predict whether an animal is likely to succumb to an infection, we used a defined list of clinical signs instead of death as an endpoint in our studies. Using this method, it was determined that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was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for 8 week-old male and 1.5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CFU for 8 week-old female C57BL6/J mice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doses were determined by measuring the percent survival of mice to endpoints in step-wise dose-escalation studies (N=5 studies in total) that each contained N=8 mice per group (e.g., mice were infected first with 10000 CFU, then a second batch with 20000 CFU, etc.).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 was determined from a regression plot of the log (CFU) (x-axis) versus the probit of the percent survival values (y-axis) (website: userwww.sfsu.edu/efc/classes/biol710/probit/ProbitAnalysis.pdf).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modified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determined in our lab may differ from that in another lab even when infecting mice with the same strain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Part of this variability may relate to the subjective nature of monitoring clinical signs of listeriosis compared to the more absolute endpoint of death. Additional variability can result from differences in environmental factors such as mouse diet or the microbiota or differences in the preparation of inoculum between labs. Thus, it is recommended that prior to embarking on any survival studies, a pilot study be performed where female mice (N=8 mice/group) are infected with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 of the same strain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as used in this study and symptoms monitored to determine if this dose indeed results in 50% survival to endpoints. If survival is lower or higher than 50% at this CFU, step-wise dose escalation or dose de-escalation studies could be performed to quickly narrow in on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consideration is the strain or substrain of mice used for infection studies. This protocol describes infection of the commonly-used inbred mouse strain C57BL6/J. This strain is well-suited for measurement of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since this mouse is considered to be a Th1-prone strain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as a result, is relatively resistant to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infection (compared to Th2-prone mouse strains such as BALB/c)</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Adapting this protocol to other mouse strains will require knowledge of the infectious dose of the pathogen for the particular strain. It is also recommended to use mice of the same age, sex and vendor as outlined in this protocol in order to reduce the amount of trouble-shooting involved in setting up the model. For example, C57BL6 mice ordered from one vendor (e.g., C57BL6/J) can exhibit genetic differences than C67BL6 mice ordered from another vendor (e.g., C57BL6/NTac)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addition, the intestinal microbiota differs between C57BL6 substrains obtained from different vendors, which can influence the balance of Th1 and Th17 responses in the mouse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Potential modifications to technique.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are most commonly inoculated i.p. or intravenously as opposed to the natural route of infection in humans, which is through the gastrointestinal tract. Oral infections are less common because standard strains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inefficiently infect the intestinal epithelium of mice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because there is a single amino acid change in the sequence of mouse E-cadherin from human E-cadherin that results in loss of recognition of E-cadherin by the listerial invasion protein, internalin A (InIA)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overcome this barrier, researchers use mice that are transgenic for human E-cadherin protein or use listeria that have been engineered to express a mutated sequence of InIA (InIA</w:t>
      </w:r>
      <w:r>
        <w:rPr>
          <w:rFonts w:ascii="Calibri" w:hAnsi="Calibri" w:cs="Calibri" w:eastAsia="Calibri"/>
          <w:color w:val="auto"/>
          <w:spacing w:val="0"/>
          <w:position w:val="0"/>
          <w:sz w:val="24"/>
          <w:shd w:fill="auto" w:val="clear"/>
          <w:vertAlign w:val="superscript"/>
        </w:rPr>
        <w:t xml:space="preserve">mut</w:t>
      </w:r>
      <w:r>
        <w:rPr>
          <w:rFonts w:ascii="Calibri" w:hAnsi="Calibri" w:cs="Calibri" w:eastAsia="Calibri"/>
          <w:color w:val="auto"/>
          <w:spacing w:val="0"/>
          <w:position w:val="0"/>
          <w:sz w:val="24"/>
          <w:shd w:fill="auto" w:val="clear"/>
        </w:rPr>
        <w:t xml:space="preserve">) that binds to mouse E-cadherin with the same affinity as WT EGD for human E-cadherin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Thus, one potential modification of this technique is to infect mice via the oral route. The reader is referred to another JoVE publication that describes oral inoculation methods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Note that altering the mode of infection will affect the infectious dose as well as the kinetics of dissemination of the pathogen.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using heat-killed listeria to elicit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by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Heat-killed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was chosen as a stimulus in our studies, because this antigen is inexpensive and because our lab was primarily interested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responses to the pathogen. One limitation is that heat-killed bacteria does not efficiently prime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responses either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infection. Thus, the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that we observed by splenocytes harvested at the peak of infection (i.e.,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likely is in response to the residual live bacteria present in the splenocyte cultures or was elicited as a result of cytokine-induced cytokine release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an alternative to heat-killed listeria, one could also elicit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responses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by exposing T cells to peptides encoding epitopes on listerial proteins. Indeed, immunodominant MHC Class II-restricted epitopes for listeriolysin O and the p60 hydrolase and have been described for C57BL6 and BALB/C mice and immunodominant MHC Class I epitopes have been described for BALB/c</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Yet another approach is to infect mice with strains of </w:t>
      </w:r>
      <w:r>
        <w:rPr>
          <w:rFonts w:ascii="Calibri" w:hAnsi="Calibri" w:cs="Calibri" w:eastAsia="Calibri"/>
          <w:i/>
          <w:color w:val="auto"/>
          <w:spacing w:val="0"/>
          <w:position w:val="0"/>
          <w:sz w:val="24"/>
          <w:shd w:fill="auto" w:val="clear"/>
        </w:rPr>
        <w:t xml:space="preserve">L. monocytogenes </w:t>
      </w:r>
      <w:r>
        <w:rPr>
          <w:rFonts w:ascii="Calibri" w:hAnsi="Calibri" w:cs="Calibri" w:eastAsia="Calibri"/>
          <w:color w:val="auto"/>
          <w:spacing w:val="0"/>
          <w:position w:val="0"/>
          <w:sz w:val="24"/>
          <w:shd w:fill="auto" w:val="clear"/>
        </w:rPr>
        <w:t xml:space="preserve">that have been engineered to express model antigens such as ovalbumin or viral antigens in order to take advantage of existing MHC Class I- and MHC Class II-tetramer reagents to enumerate antigen-specific T cells in infected mice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Other limitations of the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model is that it only measures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production by immune cells in the spleen. In addition to the use of tetramers to enumerate antigen specific T cells (of ovalbumin-expressing variants of </w:t>
      </w:r>
      <w:r>
        <w:rPr>
          <w:rFonts w:ascii="Calibri" w:hAnsi="Calibri" w:cs="Calibri" w:eastAsia="Calibri"/>
          <w:i/>
          <w:color w:val="auto"/>
          <w:spacing w:val="0"/>
          <w:position w:val="0"/>
          <w:sz w:val="24"/>
          <w:shd w:fill="auto" w:val="clear"/>
        </w:rPr>
        <w:t xml:space="preserve">L. monocytogenes</w:t>
      </w:r>
      <w:r>
        <w:rPr>
          <w:rFonts w:ascii="Calibri" w:hAnsi="Calibri" w:cs="Calibri" w:eastAsia="Calibri"/>
          <w:color w:val="auto"/>
          <w:spacing w:val="0"/>
          <w:position w:val="0"/>
          <w:sz w:val="24"/>
          <w:shd w:fill="auto" w:val="clear"/>
        </w:rPr>
        <w:t xml:space="preserve">), flow cytometry staining panels described here could be easily modified to measure the production of other cytokines such as TNF or IL-2 or effector molecules that participate in CD8 T cell or NK-mediated killing of the pathogen such as perforin or granzyme B. In addition, this protocol could also be adapted to examine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produced by immune cells in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Future applications.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this protocol is mastered, it can serve as a simple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to screen the effects of various agents or genes on Th1 and cellular immunity.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this protocol was supported by an operating grant from CIHR (MOP97807) to 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Pamer, E. G. Immune responses to Listeria monocytogenes.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812-823, doi:10.1038/nri1461 nri1461 [pii],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Ranson,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Invariant V alpha 14+ NKT cells participate in the early response to enteric Listeria monocytogenes infection.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(2), 1137-1144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Bancroft, G. J., Schreiber, R. D. &amp;amp; Unanue, E. R. Natural immunity: a T-cell-independent pathway of macrophage activation, defined in the scid mouse. </w:t>
      </w:r>
      <w:r>
        <w:rPr>
          <w:rFonts w:ascii="Calibri" w:hAnsi="Calibri" w:cs="Calibri" w:eastAsia="Calibri"/>
          <w:i/>
          <w:color w:val="auto"/>
          <w:spacing w:val="0"/>
          <w:position w:val="0"/>
          <w:sz w:val="24"/>
          <w:shd w:fill="auto" w:val="clear"/>
        </w:rPr>
        <w:t xml:space="preserve">Immunol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5-24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Soudja,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Memory-T-cell-derived interferon-gamma instructs potent innate cell activation for protective immunity.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974-988, doi:10.1016/j.immuni.2014.05.005,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Schoenborn, J. R. &amp;amp; Wilson, C. B. Regulation of interferon-gamma during innate and adaptive immune responses. </w:t>
      </w:r>
      <w:r>
        <w:rPr>
          <w:rFonts w:ascii="Calibri" w:hAnsi="Calibri" w:cs="Calibri" w:eastAsia="Calibri"/>
          <w:i/>
          <w:color w:val="auto"/>
          <w:spacing w:val="0"/>
          <w:position w:val="0"/>
          <w:sz w:val="24"/>
          <w:shd w:fill="auto" w:val="clear"/>
        </w:rPr>
        <w:t xml:space="preserve">Adv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41-101, doi:10.1016/S0065-2776(07)96002-2,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Filipe-Santos,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Inborn errors of IL-12/23- and IFN-gamma-mediated immunity: molecular, cellular, and clinical features. </w:t>
      </w:r>
      <w:r>
        <w:rPr>
          <w:rFonts w:ascii="Calibri" w:hAnsi="Calibri" w:cs="Calibri" w:eastAsia="Calibri"/>
          <w:i/>
          <w:color w:val="auto"/>
          <w:spacing w:val="0"/>
          <w:position w:val="0"/>
          <w:sz w:val="24"/>
          <w:shd w:fill="auto" w:val="clear"/>
        </w:rPr>
        <w:t xml:space="preserve">Semin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347-361, doi:10.1016/j.smim.2006.07.010,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Flynn,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essential role for interferon gamma in resistance to Mycobacterium tuberculosis infection.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(6), 2249-2254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Cooper,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Disseminated tuberculosis in interferon gamma gene-disrupted mice.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(6), 2243-2247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Dalton, D.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defects of immune cell function in mice with disrupted interferon-gamma genes.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(5102), 1739-1742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Harty, J. T. &amp;amp; Bevan, M. J. Specific immunity to Listeria monocytogenes in the absence of IFN gamma.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109-117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Immune response in mice that lack the interferon-gamma receptor.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(5102), 1742-1745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Z. E., Reiner, S. L., Zheng, S., Dalton, D. K. &amp;amp; Locksley, R. M. CD4+ effector cells default to the Th2 pathway in interferon gamma-deficient mice infected with Leishmania major.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(4), 1367-1371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Hess, J., Ladel, C., Miko, D. &amp;amp; Kaufmann, S. H. Salmonella typhimurium aroA- infection in gene-targeted immunodeficient mice: major role of CD4+ TCR-alpha beta cells and IFN-gamma in bacterial clearance independent of intracellular location.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(9), 3321-3326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Ikeda, H., Old, L. J. &amp;amp; Schreiber, R. D. The roles of IFN gamma in protection against tumor development and cancer immunoediting. </w:t>
      </w:r>
      <w:r>
        <w:rPr>
          <w:rFonts w:ascii="Calibri" w:hAnsi="Calibri" w:cs="Calibri" w:eastAsia="Calibri"/>
          <w:i/>
          <w:color w:val="auto"/>
          <w:spacing w:val="0"/>
          <w:position w:val="0"/>
          <w:sz w:val="24"/>
          <w:shd w:fill="auto" w:val="clear"/>
        </w:rPr>
        <w:t xml:space="preserve">Cytokine Growth Factor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95-109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Hodge, D.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IFN-gamma AU-rich element removal promotes chronic IFN-gamma expression and autoimmunity in mice. </w:t>
      </w:r>
      <w:r>
        <w:rPr>
          <w:rFonts w:ascii="Calibri" w:hAnsi="Calibri" w:cs="Calibri" w:eastAsia="Calibri"/>
          <w:i/>
          <w:color w:val="auto"/>
          <w:spacing w:val="0"/>
          <w:position w:val="0"/>
          <w:sz w:val="24"/>
          <w:shd w:fill="auto" w:val="clear"/>
        </w:rPr>
        <w:t xml:space="preserve">J Autoimmun.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33-45, doi:10.1016/j.jaut.2014.02.003,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Seery, J. P., Carroll, J. M., Cattell, V. &amp;amp; Watt, F. M. Antinuclear autoantibodies and lupus nephritis in transgenic mice expressing interferon gamma in the epidermis.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(9), 1451-1459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Peng, S. L., Moslehi, J. &amp;amp; Craft, J. Roles of interferon-gamma and interleukin-4 in murine lupus.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(8), 1936-1946, doi:10.1172/JCI119361,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Savinov, A. Y., Wong, F. S. &amp;amp; Chervonsky, A. V. IFN-gamma affects homing of diabetogenic T cells.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(11), 6637-6643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Miller, C. H., Maher, S. G. &amp;amp; Young, H. A. Clinical Use of Interferon-gamma.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1182</w:t>
      </w:r>
      <w:r>
        <w:rPr>
          <w:rFonts w:ascii="Calibri" w:hAnsi="Calibri" w:cs="Calibri" w:eastAsia="Calibri"/>
          <w:color w:val="auto"/>
          <w:spacing w:val="0"/>
          <w:position w:val="0"/>
          <w:sz w:val="24"/>
          <w:shd w:fill="auto" w:val="clear"/>
        </w:rPr>
        <w:t xml:space="preserve"> 69-79, doi:10.1111/j.1749-6632.2009.05069.x,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Paget, C., Chow, M. T., Duret, H., Mattarollo, S. R. &amp;amp; Smyth, M. J. Role of gammadelta T cells in alpha-galactosylceramide-mediated immunity.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(8), 3928-3939, doi:10.4049/jimmunol.1103582,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Leonard,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single-dose interleukin-12 exposure on interleukin-12-associated toxicity and interferon-gamma production.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(7), 2541-2548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Zenewicz, L. A. &amp;amp; Shen, H. Innate and adaptive immune responses to Listeria monocytogenes: a short overview. </w:t>
      </w:r>
      <w:r>
        <w:rPr>
          <w:rFonts w:ascii="Calibri" w:hAnsi="Calibri" w:cs="Calibri" w:eastAsia="Calibri"/>
          <w:i/>
          <w:color w:val="auto"/>
          <w:spacing w:val="0"/>
          <w:position w:val="0"/>
          <w:sz w:val="24"/>
          <w:shd w:fill="auto" w:val="clear"/>
        </w:rPr>
        <w:t xml:space="preserve">Microbes Infect.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1208-1215, doi:10.1016/j.micinf.2007.05.008,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Viegas,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IFN-gamma production by CD27(+) NK cells exacerbates Listeria monocytogenes infection in mice by inhibiting granulocyte mobilization. </w:t>
      </w:r>
      <w:r>
        <w:rPr>
          <w:rFonts w:ascii="Calibri" w:hAnsi="Calibri" w:cs="Calibri" w:eastAsia="Calibri"/>
          <w:i/>
          <w:color w:val="auto"/>
          <w:spacing w:val="0"/>
          <w:position w:val="0"/>
          <w:sz w:val="24"/>
          <w:shd w:fill="auto" w:val="clear"/>
        </w:rPr>
        <w:t xml:space="preserve">Eur 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2626-2637, doi:10.1002/eji.201242937,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Selvanantham,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Nod1 and Nod2 enhance TLR-mediated invariant NKT cell activation during bacterial infection.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(11), 5646-5654, doi:jimmunol.1301412 [pii] 10.4049/jimmunol.1301412,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Becavin,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widely used Listeria monocytogenes strains EGD, 10403S, and EGD-e highlights genomic variations underlying differences in pathogenicity.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e00969-00914, doi:10.1128/mBio.00969-14,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Jones, G.S. &amp;amp; D'Orazio, S.E.F. Unit 9B.2 Listeria monocytogenes: cultivation and laboratory maintenance. </w:t>
      </w:r>
      <w:r>
        <w:rPr>
          <w:rFonts w:ascii="Calibri" w:hAnsi="Calibri" w:cs="Calibri" w:eastAsia="Calibri"/>
          <w:i/>
          <w:color w:val="auto"/>
          <w:spacing w:val="0"/>
          <w:position w:val="0"/>
          <w:sz w:val="24"/>
          <w:shd w:fill="auto" w:val="clear"/>
        </w:rPr>
        <w:t xml:space="preserve">Curr Protoc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31B</w:t>
      </w:r>
      <w:r>
        <w:rPr>
          <w:rFonts w:ascii="Calibri" w:hAnsi="Calibri" w:cs="Calibri" w:eastAsia="Calibri"/>
          <w:color w:val="auto"/>
          <w:spacing w:val="0"/>
          <w:position w:val="0"/>
          <w:sz w:val="24"/>
          <w:shd w:fill="auto" w:val="clear"/>
        </w:rPr>
        <w:t xml:space="preserve"> Unit 9B.2 9B.2.1-9.B.2.1.7, doi: </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10.1002/9780471729259.mc09b02s31.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Conour, L. A., Murray, K. A. &amp;amp; Brown, M. J. Preparation of animals for research--issues to consider for rodents and rabbits. </w:t>
      </w:r>
      <w:r>
        <w:rPr>
          <w:rFonts w:ascii="Calibri" w:hAnsi="Calibri" w:cs="Calibri" w:eastAsia="Calibri"/>
          <w:i/>
          <w:color w:val="auto"/>
          <w:spacing w:val="0"/>
          <w:position w:val="0"/>
          <w:sz w:val="24"/>
          <w:shd w:fill="auto" w:val="clear"/>
        </w:rPr>
        <w:t xml:space="preserve">ILAR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283-293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Obernier, J. A. &amp;amp; Baldwin, R. L. Establishing an appropriate period of acclimatization following transportation of laboratory animals. </w:t>
      </w:r>
      <w:r>
        <w:rPr>
          <w:rFonts w:ascii="Calibri" w:hAnsi="Calibri" w:cs="Calibri" w:eastAsia="Calibri"/>
          <w:i/>
          <w:color w:val="auto"/>
          <w:spacing w:val="0"/>
          <w:position w:val="0"/>
          <w:sz w:val="24"/>
          <w:shd w:fill="auto" w:val="clear"/>
        </w:rPr>
        <w:t xml:space="preserve">ILAR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364-369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BD LSR II User's Guide (download from bdbiosciences.com.</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http://www.flowjo.com/tutorials/</w:t>
        </w:r>
      </w:hyperlink>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M. A., Ahn, J.J., Zhao, F.L., Selvanantham, T., Mallevaey, T., Stock, N., Correa, L., Clark, R., Spaner, D., and Dunn,  S.E. Antagonizing peroxisome proliferator-activated receptor alpha (PPARalpha) activity enhances Th1 immunity in male mice.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Kaplan, E.L. &amp;amp; Meier, P. Nonparametric estimation from incomplete observations. </w:t>
      </w:r>
      <w:r>
        <w:rPr>
          <w:rFonts w:ascii="Calibri" w:hAnsi="Calibri" w:cs="Calibri" w:eastAsia="Calibri"/>
          <w:i/>
          <w:color w:val="auto"/>
          <w:spacing w:val="0"/>
          <w:position w:val="0"/>
          <w:sz w:val="24"/>
          <w:shd w:fill="auto" w:val="clear"/>
        </w:rPr>
        <w:t xml:space="preserve">J Amer Stat Assoc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457-481 (1958).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Brown,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Limited role of CD28-mediated signals in T helper subset differentiation.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 803-810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Czuprynski, C. J. &amp;amp; Brown, J. F. The relative difference in anti-Listeria resistance of C57BL/6 and A/J mice is not eliminated by active immunization or by transfer of Listeria-immune T cells.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437-443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Busch, D. H., Vijh, S. &amp;amp; Pamer, E. G. Animal model for infection with Listeria monocytogenes. </w:t>
      </w:r>
      <w:r>
        <w:rPr>
          <w:rFonts w:ascii="Calibri" w:hAnsi="Calibri" w:cs="Calibri" w:eastAsia="Calibri"/>
          <w:i/>
          <w:color w:val="auto"/>
          <w:spacing w:val="0"/>
          <w:position w:val="0"/>
          <w:sz w:val="24"/>
          <w:shd w:fill="auto" w:val="clear"/>
        </w:rPr>
        <w:t xml:space="preserve">Curr Protoc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19</w:t>
      </w:r>
      <w:r>
        <w:rPr>
          <w:rFonts w:ascii="Calibri" w:hAnsi="Calibri" w:cs="Calibri" w:eastAsia="Calibri"/>
          <w:color w:val="auto"/>
          <w:spacing w:val="0"/>
          <w:position w:val="0"/>
          <w:sz w:val="24"/>
          <w:shd w:fill="auto" w:val="clear"/>
        </w:rPr>
        <w:t xml:space="preserve"> Unit 19.9 19.9.1-19.9.9, doi:10.1002/0471142735.im1909s36,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Mekada,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differences among C57BL/6 substrains. </w:t>
      </w:r>
      <w:r>
        <w:rPr>
          <w:rFonts w:ascii="Calibri" w:hAnsi="Calibri" w:cs="Calibri" w:eastAsia="Calibri"/>
          <w:i/>
          <w:color w:val="auto"/>
          <w:spacing w:val="0"/>
          <w:position w:val="0"/>
          <w:sz w:val="24"/>
          <w:shd w:fill="auto" w:val="clear"/>
        </w:rPr>
        <w:t xml:space="preserve">Exp Anim.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141-149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Ivanov, II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Specific microbiota direct the differentiation of IL-17-producing T-helper cells in the mucosa of the small intestine.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337-349, doi:10.1016/j.chom.2008.09.009,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Bou Ghanem, E. N., Myers-Morales, T., Jones, G. S. &amp;amp; D'Orazio, S. E. Oral transmission of Listeria monocytogenes in mice via ingestion of contaminated food.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(75), e50381, doi:10.3791/50381,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Lecuit, M., Dramsi, S., Gottardi, C., Fedor-Chaiken, M., Gumbiner, B. &amp;amp; Cossart, P. A single amino acid in E-cadherin responsible for host specificity towards the human pathogen Listeria monocytogenes. </w:t>
      </w:r>
      <w:r>
        <w:rPr>
          <w:rFonts w:ascii="Calibri" w:hAnsi="Calibri" w:cs="Calibri" w:eastAsia="Calibri"/>
          <w:i/>
          <w:color w:val="auto"/>
          <w:spacing w:val="0"/>
          <w:position w:val="0"/>
          <w:sz w:val="24"/>
          <w:shd w:fill="auto" w:val="clear"/>
        </w:rPr>
        <w:t xml:space="preserve">Embo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(14), 3956-3963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Wollert,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Extending the host range of Listeria monocytogenes by rational protein design.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891-902, doi:10.1016/j.cell.2007.03.049,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Brunt, L. M., Portnoy, D. A. &amp;amp; Unanue, E. R. Presentation of Listeria monocytogenes to CD8+ T cells requires secretion of hemolysin and intracellular bacterial growth.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(11), 3540-3546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Muraille,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in vivo dendritic cell activation by live versus killed Listeria monocytogenes. </w:t>
      </w:r>
      <w:r>
        <w:rPr>
          <w:rFonts w:ascii="Calibri" w:hAnsi="Calibri" w:cs="Calibri" w:eastAsia="Calibri"/>
          <w:i/>
          <w:color w:val="auto"/>
          <w:spacing w:val="0"/>
          <w:position w:val="0"/>
          <w:sz w:val="24"/>
          <w:shd w:fill="auto" w:val="clear"/>
        </w:rPr>
        <w:t xml:space="preserve">Eur 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1463-1471, doi:10.1002/eji.200526024,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Datta, 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Vaccination with irradiated Listeria induces protective T cell immunity.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143-152, doi:10.1016/j.immuni.2006.05.013,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Geginat, G., Schenk, S., Skoberne, M., Goebel, W. &amp;amp; Hof, H. A novel approach of direct ex vivo epitope mapping identifies dominant and subdominant CD4 and CD8 T cell epitopes from Listeria monocytogenes.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1877-1884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Shen,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Recombinant Listeria monocytogenes as a live vaccine vehicle for the induction of protective anti-viral cell-mediated immunity.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(9), 3987-3991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Foulds, 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Cutting edge: CD4 and CD8 T cells are intrinsically different in their proliferative responses.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(4), 1528-1532 (2002).</w:t>
      </w:r>
    </w:p>
    <w:p>
      <w:pPr>
        <w:spacing w:before="0" w:after="264" w:line="270"/>
        <w:ind w:right="48" w:left="0" w:firstLine="0"/>
        <w:jc w:val="both"/>
        <w:rPr>
          <w:rFonts w:ascii="Times" w:hAnsi="Times" w:cs="Times" w:eastAsia="Times"/>
          <w:b/>
          <w:color w:val="auto"/>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lowjo.com/tutorial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