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High Throughput, Multiplexed and Targeted Proteomic CSF Assay to Quantify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Neurodegenerative Biomarkers and Apolioprotein E Isoform Status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Heywood, Wendy 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Baud, Anna,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Bliss, Emily,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Sirka, Ernestas,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Schott, Jonathan M,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Zetterberg, Henrik,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Galimberti, Daniela,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Sebire, Neil J and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Mills, Kevin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first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 AFFILIATION: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Heywood Wendy 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 Translational Omics,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Genetics and Genomic Medicine Dept,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UCL Institute of Child Health,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Guilford Street, London, WC1N 1EH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wendy.heywood@ucl.ac.uk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Baud Anna,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 Translational Omics,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Genetics and Genomic Medicine Dept,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UCL Institute of Child Health,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Guilford Street, London, WC1N 1EH UK</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a.baud@ucl.ac.uk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Bliss Emily,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 Translational Omics,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Genetics and Genomic Medicine Dept,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UCL Institute of Child Health,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Guilford Street, London, WC1N 1EH UK</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emily.bliss.10@ucl.ac.uk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Sirka Ernestas,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 Translational Omics,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Genetics and Genomic Medicine Dept,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UCL Institute of Child Health,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Guilford Street, London, WC1N 1EH UK</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e.sirka@ucl.ac.uk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Schott Jonathan 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Dementia Research Centre,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Neurology,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Queen Square, UCL, London, UK</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j.schott@ucl.ac.uk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Zetterberg Henrik,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Clinical Neurochemistry Laboratory,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Neuroscience and Physiology,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Psychiatry and Neurochemistry,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Sahlgrenska Academy,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Gothenburg, 431 80 M&amp;#246;lndal, Sweden</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h.zetterberg@ucl.ac.uk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Galimberti Daniela,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Neurology Unit, Dept. of Pathophysiology and Transplantation,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Milan, Fondazione Cà Granda,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IRCCS Ospedale Policlinico,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Via F.Sforza 35 20122 Milan, Italy</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daniela.galimberti@unimi.it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Sebire Neil J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Great Ormond Street Hospital for Children,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London WC1N 3JH, UK</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Neil.Sebire@gosh.nhs.uk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Mills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 Translational Omics,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Genetics and Genomic Medicine Dept,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UCL Institute of Child Health,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Guilford Street, London, WC1N 1EH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kevin.mills@ucl.ac.uk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Kevin Mills,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 Translational Omics,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Genetics and Genomic Medicine Dept,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UCL Institute of Child Health,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Guilford Street, London, WC1N 1EH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kevin.mills@ucl.ac.uk, Tel +44(0)207 905 2873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CSF, targeted proteomics, Multiple Reaction Monitoring, Apolipoprotein E isoform, dementia, biomarker, tandem mass spectrometry, multiplex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high-throughput, multiplex and targeted proteomic cerebrospinal fluid (CSF) assay developed with potential for clinical translation. The test can quantitate potential markers and risk factors for neurodegeneration as well as phenotype patients for apolipoprotein E variants (E3, E2 and E4) and measure the quantitative allelic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no effective treatments for many neurodegenerative diseases. Reliable biomarkers for identifying and stratifying these diseases will be important in the development of future novel therapies. Often potential new biomarkers are not further investigated or developed and translated into clinical practice due to limitations and costs in their development into robust clinical assays. However targeted proteomics using multiple reaction monitoring liquid chromatography-tandem mass spectrometry (MRM LC-MS/MS) specifically using triple quadrupole mass spectrometers, is one method that can be used to rapidly evaluate biomarker validation for clinical translation to diagnostic laboratories. Traditionally this platform has been used extensively for measurement of small molecule analysis in clinical laboratories, but it is the potential to analyze proteins that makes it an attractive alternative to ELISA-based methods. We describe here how targeted proteomics can be used to  measure multiplexed markers of dementia including the detection and quantitation of known risk factor apolipoprotein E isoform E4 (ApoE).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make the assay suitable for translation, it is designed to be rapid, simple in sample preparation, highly specific and cost effective. To achieve this, every step in the development of the assay must be optimized for the individual proteins and tissues they are analyzed in. This method describes a typical workflow including various tips and tricks of developing a targeted proteomics MRM LC-MS/MS for translation.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 development is preferred using custom synthesized versions of tryptic quantotypic peptides. These peptides are needed to optimize the MS for detection and then spiked into CSF to determine correct identification of the endogenous peptide in the chromatographic separation prior to analysis in the mass spectrometer. To achieve absolute quantitation stable isotope labelled internal standard versions of the peptides with short amino acid sequence tags and containing a trypsin cleavage site are included in the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growing impact of neurodegenerative diseases such as Alzheimer’s, Lewy Body Dementia and Parkinson’s disease is becoming a socioeconomic issue for many countries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 is a need for further biomarkers that can be used to identify and stratify patients earlier and to monitor any potential new treatments. The overall goal of this method is to create a generic pipeline for a streamlined, economic and faster way of validating potential CSF markers of neurodegeneration. The rationale is to use targeted proteomics or peptide MRM LC-MS/MS as an easily amendable method to assess multiple potential protein biomarkers from biomarker discovery experiments. These can be multiplexed over a rapid chromatographic separation (&amp;lt;10 mins) and assessed. Within this multiplex screen for neurodegenerative markers we have included the known dementia risk factor apolipoprotein isoform E4 (ApoE) so we can determine simultaneously the isoform status and level of expression eliminating the need for separate genotyping tests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LC MS/MS is routinely used as the method of choice for accurately quantitating small molecules over other methods such as ELISA or radioimmunoassay (RIA). This shift in the use of MS technology to analyzing proteins has been driven mainly by issues with immuno-based technologies. These include cross-specificity, batch to batch variation, limited shelf life and cost. Therefore targeted proteomics is rapidly becoming a growing alternative to antibody based methods such as Western blotting, RIA and ELISA. However the ability to multiplex many markers into one assay is the major advantage over immuno-based technologies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technique is applicable to many tissues and has been used as a validation strategy for many proteomics studies including plasma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urine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can be applied to any laboratory that has access and expertise in using triple quadrupole mass spectrometers. Peptide design is relatively simple with use of open source databases. There is a competitive market in synthesis of custom peptides which makes purchasing these affordable. Heavy peptides however are expensive and the markers should ideally be assessed on small cohorts for use before investing in these. There is growing potential for the technique to be used in the clinical diagnostic setting with most large hospitals having triple quadrupole based platforms used for small molecule diagnostics and which can easily be adapted to run targeted proteomic assays. One such application of the method making it into the routine diagnostic setting is its recent application to newborn blood spot screening for sickle cell disease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of the overall protocol described here is given in figure 1. All samples used of the development of this method are surplus clinical diagnostic samples and have ethical approval from the London Bloomsbury Ethics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illustrating the overall process of creating a targeted CSF MRM LC-MS/MS assay. </w:t>
      </w:r>
      <w:r>
        <w:rPr>
          <w:rFonts w:ascii="Calibri" w:hAnsi="Calibri" w:cs="Calibri" w:eastAsia="Calibri"/>
          <w:color w:val="auto"/>
          <w:spacing w:val="0"/>
          <w:position w:val="0"/>
          <w:sz w:val="24"/>
          <w:shd w:fill="auto" w:val="clear"/>
        </w:rPr>
        <w:t xml:space="preserve">Candidate marker peptides for evaluation are selected from protein targets. Through the use of custom synthesized peptides a targeted LC-MS/MS multiplex method is created. After evaluation the assay can be used to assess the efficacy of potential markers of neurodegeneration.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Peptide selection and design.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Criteria for a marker peptide is that it must be unique (</w:t>
      </w:r>
      <w:r>
        <w:rPr>
          <w:rFonts w:ascii="Calibri" w:hAnsi="Calibri" w:cs="Calibri" w:eastAsia="Calibri"/>
          <w:b/>
          <w:color w:val="auto"/>
          <w:spacing w:val="0"/>
          <w:position w:val="0"/>
          <w:sz w:val="24"/>
          <w:shd w:fill="auto" w:val="clear"/>
        </w:rPr>
        <w:t xml:space="preserve">proteotypic</w:t>
      </w:r>
      <w:r>
        <w:rPr>
          <w:rFonts w:ascii="Calibri" w:hAnsi="Calibri" w:cs="Calibri" w:eastAsia="Calibri"/>
          <w:color w:val="auto"/>
          <w:spacing w:val="0"/>
          <w:position w:val="0"/>
          <w:sz w:val="24"/>
          <w:shd w:fill="auto" w:val="clear"/>
        </w:rPr>
        <w:t xml:space="preserve">) and represent the quantitative abundance of the protein (</w:t>
      </w:r>
      <w:r>
        <w:rPr>
          <w:rFonts w:ascii="Calibri" w:hAnsi="Calibri" w:cs="Calibri" w:eastAsia="Calibri"/>
          <w:b/>
          <w:color w:val="auto"/>
          <w:spacing w:val="0"/>
          <w:position w:val="0"/>
          <w:sz w:val="24"/>
          <w:shd w:fill="auto" w:val="clear"/>
        </w:rPr>
        <w:t xml:space="preserve">quantotypic</w:t>
      </w:r>
      <w:r>
        <w:rPr>
          <w:rFonts w:ascii="Calibri" w:hAnsi="Calibri" w:cs="Calibri" w:eastAsia="Calibri"/>
          <w:color w:val="auto"/>
          <w:spacing w:val="0"/>
          <w:position w:val="0"/>
          <w:sz w:val="24"/>
          <w:shd w:fill="auto" w:val="clear"/>
        </w:rPr>
        <w:t xml:space="preserve">). To determine if a peptide is unique the ‘blast’ search tool on the Uniprot 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http://www.uniprot.org/blast/</w:t>
        </w:r>
      </w:hyperlink>
      <w:r>
        <w:rPr>
          <w:rFonts w:ascii="Calibri" w:hAnsi="Calibri" w:cs="Calibri" w:eastAsia="Calibri"/>
          <w:color w:val="auto"/>
          <w:spacing w:val="0"/>
          <w:position w:val="0"/>
          <w:sz w:val="24"/>
          <w:shd w:fill="auto" w:val="clear"/>
        </w:rPr>
        <w:t xml:space="preserve">) can be used.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Define a list of target proteins (markers),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ApoE (see table 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marker has been identified from previous proteomic profiling experiments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then select the peptide that gives the best response from that data set.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If this information is unavailable then use the open source websites such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www.thegpm.org</w:t>
        </w:r>
      </w:hyperlink>
      <w:r>
        <w:rPr>
          <w:rFonts w:ascii="Calibri" w:hAnsi="Calibri" w:cs="Calibri" w:eastAsia="Calibri"/>
          <w:color w:val="auto"/>
          <w:spacing w:val="0"/>
          <w:position w:val="0"/>
          <w:sz w:val="24"/>
          <w:shd w:fill="auto" w:val="clear"/>
        </w:rPr>
        <w:t xml:space="preserve"> to select appropriate peptides. Alternatively, perform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trypsin digestion of target proteins using a software tool such as MS-Digest.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Choose the peptide which is tryptic and not susceptible to post translational modifications.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information can be checked on the Uniprot website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www.uniprot.org</w:t>
        </w:r>
      </w:hyperlink>
      <w:r>
        <w:rPr>
          <w:rFonts w:ascii="Calibri" w:hAnsi="Calibri" w:cs="Calibri" w:eastAsia="Calibri"/>
          <w:color w:val="auto"/>
          <w:spacing w:val="0"/>
          <w:position w:val="0"/>
          <w:sz w:val="24"/>
          <w:shd w:fill="auto" w:val="clear"/>
        </w:rPr>
        <w:t xml:space="preserve">. Avoid peptides prone to chemical modification during LC-MS sample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Order the custom synthesis of chosen peptides.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Marker peptides can be custom synthesized by various commercial companies. For ApoE the quantotypic peptide used to measure total ApoE levels was determined to be AATVGSLAGQPLQER. The proteotypic peptide sequences used to determine the E2, E3 and E4 variants are the tryptic peptides for position 112 LGADMEDVCGR and LGADMEDVR (E4) and position 158 RLAVYQAGAR and CLAVYQAGAR (E2) are selected.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standard peptides.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best quantitative transitions need to be selected which can only be determined when optimizing the detection in the matrix (CSF). The most efficient way of optimizing multiplexed peptides is to create pools of the peptides at known concentrations. These pools can then be used for method development and standard curves.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Resuspend synthetic peptides (peptide details are given in Table 2) to 1 mg/ml stock concentration according to manufactures instructions. By default if instructions are not available, resuspend peptides in 50:50 (v:v) acetonitrile (ACN)/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Prepare the 1:10 dilutions of the peptide from the stock concentration and pool 1000 pmoles of each peptide into a low binding microcentrifuge tube. Dry down in a speed-vac concentrator the final pool and store at -20 &amp;#176;C. Prepare several pools for future use.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Aliquot 100 &amp;#181;l of CSF into low binding tubes. Freeze-dry the CSF.</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Resuspend an aliquot of pooled 1000 pmol peptides in digestion buffer (100 mM Tris HCl, pH 7.8, 6 M Urea, 2 M Thiourea, 2% ASB14) to obtain concentrations of 10 and 1 pmol/&amp;#181;l.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Spike the pooled peptides into the freeze-dried 100 &amp;#181;l aliquots of CSF at 0, 1, 2, 5, 10 and 15 pmol concentrations. Add 20 ng of intact unrelated protein such as yeast enolase to act as an internal standard and control for digestion efficiency of trypsin.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Top up the CSF aliquots with digest buffer to a final amount of 20 &amp;#181;l. Vortex.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Add 1.5 &amp;#181;l of dithiothreitol (30 mg in 1 ml of 100 mM Tris pH 7.8) and shake at room temperature for 1 hour.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Add 3 &amp;#181;l of iodoacetamide (35 mg in 1 ml of 100 mM Tris pH 7.8) and shake at room temperature for 45 min in the dark.</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Add 165 &amp;#181;l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Calibri" w:hAnsi="Calibri" w:cs="Calibri" w:eastAsia="Calibri"/>
          <w:color w:val="auto"/>
          <w:spacing w:val="0"/>
          <w:position w:val="0"/>
          <w:sz w:val="24"/>
          <w:shd w:fill="FFFF00" w:val="clear"/>
        </w:rPr>
        <w:t xml:space="preserve">Add 10 &amp;#181;l of 0.1 &amp;#181;g/&amp;#181;l sequencing grade modified trypsin solution re-suspended in 50 mM ammonium bicarbonate buffer pH 7.8.</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Incubate in a water bath at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overnight and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stop the digestion by freezing samples.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Store digests at -20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until ready to analyze.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Optimization of MS peptide detection.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Copy and paste the sequence of the peptide to be optimized in to appropriate software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Skyline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Click on the peptide sequence to obtain the information of expected precursor ion mass and product 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Dilute the peptides from stock concentration (see section 2.1) further to 1 ng/ml concentration for MS method development.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Directly infuse the peptides in the mass spectrometer at optimized flow rate (usually 0.1-0.8 ml/min) and with 0-5% collision energy.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Acquire MS spectrum in order to identify the experimental multiply charged precursor 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Choose the precursor ion (m/z) that gives the most intensity (precursor ions doubly or triply charged are advised).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Re-infuse the peptide and apply collision energy to fragment the peptide by collision-induced-dissociation (CID).  Optimize the cone and collision energies to obtain the best fragmentation pattern (fragment ions singly or doubly charged and mass of fragment ion preferably bigger than parent ion are advised).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Verify that the experimentally obtained transitions match transitions generated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(as described in step 3.1). Save the transition list in the MRM method file using at least 2 most intense transitions per precursor ion. Include 2 transitions: 1 for quantitation and 1 for confirmation in the final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MS manufacturers have a function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Waters Intellistart) for automated MRM or SRM analysis optimization. If possible infuse peptides with combined mobile phases at 50-70% ACN with 0.1% 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LC-MRM method development.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Analyze the mixture of synthetic peptides by a UPLC system coupled to triple quadrupole mass spectrometer. Ensure the source is clean. Solvent A is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with 0.1% FA; Solvent B is ACN with 0.1% 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Use the LC-MS system equipped with a UPLC column packed with C-18 phase (1.6 &amp;#181;m diameter, 90 Å pores, 2.1 mm x 50 mm length) and attached to a pre-column of the same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Defrost CSF digests on ice, centrifuge at 16,000 g for 10 min and transfer 60 &amp;#181;l into 300 </w:t>
      </w:r>
      <w:r>
        <w:rPr>
          <w:rFonts w:ascii="Arial" w:hAnsi="Arial" w:cs="Arial" w:eastAsia="Arial"/>
          <w:color w:val="auto"/>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glass insert vials and store the rest back at -20</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Inject the highest concentration from standard curve point using 10 min 1-40 % ACN linear gradient (see table 1 for gradient settings)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Open the resulting chromatogram and note retention time and top two most intense (quantitative) transitions per peptide with all transitions created in step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Based on this information update a 10 min MRM method (created in step 3.6) with timed channels to measure peptides (see figure 2 for an example). To maintain sensitivity keep each channel with points per peak greater than 8 and dwell time greater than 0.01 sec for at least one transition for each peptide.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Include ‘solvent delays’ in the MRM method: one at the beginning until 10 sec before peak first elution and another at the end of the method 20 sec after the last peak elution. Do this  by selecting “solvent delays” in method events in MS method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Run the standard curve through the timed MRM method and  ensure there are no interfering nonspecific peaks with transitions (generated in step 3.6) by checking for linearity.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Determine if the peptides are detectable by running non-spiked pooled control and disease CSF through the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Remove the peptides that are below the limit of detection from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 dynamic MRM MS method.</w:t>
      </w:r>
      <w:r>
        <w:rPr>
          <w:rFonts w:ascii="Calibri" w:hAnsi="Calibri" w:cs="Calibri" w:eastAsia="Calibri"/>
          <w:color w:val="auto"/>
          <w:spacing w:val="0"/>
          <w:position w:val="0"/>
          <w:sz w:val="24"/>
          <w:shd w:fill="auto" w:val="clear"/>
        </w:rPr>
        <w:t xml:space="preserve"> Timed channels of peptide transitions can be grouped according to established retention times. By enabling MRMs to be incorporated into a timed fashion as the selected marker peptides elute from the chromatography column minimizes the number of transitions over a time period and increases the sensitivity of the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Addition of internal standards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described previously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stable isotope labelled internal standards can be included in the assay. Due to the expense of these standards it is advised to first assess the peptides in the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Determine the ideal peptides optimized for detection in CSF: choose the peptides which are the most recurrent, with the highest intensity and without interference peaks.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Design corresponding peptides to include heavy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amino acid labels that increase the mass of the peptide by a least &amp;gt;6 Da relative to endogenous peptide. Also add a tag of 4-6 additional amino acids to either the N- or C-terminus of the heavy peptide to control for tryptic digestion.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Dilute stable isotope labelled internal standards in digestion buffer (see step 2.4). Determine the ideal amount of stable isotope labelled internal standard which will be spiked in CSF by spiking in various levels depending on the abundancies previously observed during development. Aim to achieve approximately 1:1 ratio of stable isotope labelled standard to endogenous peptide.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Stable isotope labelled internal standards can be synthesized by various commercial companies.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LC-MRM Assay of CSF Patient Samples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Spike optimized amount of stable isotope labelled  standards into 100 &amp;#181;l of CSF and freeze-dry the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Resuspend the CSF in 20 &amp;#181;l of digest buffer and perform the digestion as described in points 2.7-2.10).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Analyze the samples using LC-MRM method developed in step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For quantitative analysis, run the standard peptides in concentrations 0-15 pmols in a standard curve. See step 2.5 for the preparation of standard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Quantitative data is based on the intensity ratio of baseline peak internal standard (heavy labeled peptides). Detailed information regarding SRM/MRM data analysis was previously described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Ratio data can then be used in a standard curve to determine absolute levels or calculated from the added concentration of heavy labelled peptide.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Analyze LC-MRM data using the mass spectrometers manufacturers’ standard software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Alternatively use Skyline software to analyze quantitative MRM data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Check the sensitivity of the run by checking the response of an internal standard such as the spiked yeast enolase or a stable isotope labelled standard in each run. Ensure that the coefficient of variation (CV) is not &amp;gt;25%.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Manually review the data annotation to ensure accuracy. Analyze each peptide and ratio to an appropriate stable isotope labelled internal standard.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use the stable isotope labelled version of the peptide if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To obtain absolute values of pmol per 100 &amp;#181;l of CSF run the ratio data through appropriate standard curves that were run at the same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Calculate the coefficient of variation (CV). CV for each peptide should be &amp;lt;25% and &amp;lt;15% for high abundant peptides. NOTE: Absolute value pmol per 100 </w:t>
      </w:r>
      <w:r>
        <w:rPr>
          <w:rFonts w:ascii="Arial" w:hAnsi="Arial" w:cs="Arial" w:eastAsia="Arial"/>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CSF values can used in subsequent downstream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Apolipoprotein E isoform status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determine ApoE isoform status the presence of the corresponding peptides can be performed by determining the presence of each isoform.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Consider the ApoE in 100 </w:t>
      </w:r>
      <w:r>
        <w:rPr>
          <w:rFonts w:ascii="Arial" w:hAnsi="Arial" w:cs="Arial" w:eastAsia="Arial"/>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CSF threshold of &amp;gt; 1000 signal to noise as positive for that peptide. See figure 5 for the peptides required/absent to determine a patient’s isoform status. Determine the allelic expression by % of each isoform to total ApoE expression.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method described above, a high throughput 10 min multiplex assay consisting of 74 peptides from 54 proteins was developed as an assay for markers of the neurodegenerative disorders Alzheimer’s disease and Lewy Body Dementia (LBD)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Figure 3 shows a multiplex chromatogram published previously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ofthe significant peptide markers from the assay. The peptides included in the assay and their quantitative transitions are given in table 2. The data generated by this method gives standardized ratios to the relevant stable isotope labelled internal standard. These values can then be put through a standard curve to determine absolute pmol/100 </w:t>
      </w:r>
      <w:r>
        <w:rPr>
          <w:rFonts w:ascii="Arial" w:hAnsi="Arial" w:cs="Arial" w:eastAsia="Arial"/>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CSF concentrations. These values can then be statistically analyzed for changes in clinical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described previously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quantitation of the 74 peptides included in this CSF assay revealed that 25 of these markers were altered significantly in the CSF of dementia patients. To illustrate the effectiveness of this assay results from previously described dementia markers pro-orexin and YKL chitnase 3 like protein (YKL-40)</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are given in figure 4. The integrated ApoE assay identifies the ApoE isoform/allele status of the patient as well. Apo E4 is a known risk factor for Alzheimer’s disease therefore integrating this into the assay also will provide valuable information. The detection of the ApoE isoforms is explained in figure 5 and is based on the detection of the corresponding peptides for the amino acid changes for isoforms E2 (R158C) and E4 (C112R). Figure 5A shows the peak pattern expected for each isoform combination and figure 5B shows the result of a CSF tested with the assay on patient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overlaid MRM chromatograms.</w:t>
      </w:r>
      <w:r>
        <w:rPr>
          <w:rFonts w:ascii="Calibri" w:hAnsi="Calibri" w:cs="Calibri" w:eastAsia="Calibri"/>
          <w:color w:val="auto"/>
          <w:spacing w:val="0"/>
          <w:position w:val="0"/>
          <w:sz w:val="24"/>
          <w:shd w:fill="auto" w:val="clear"/>
        </w:rPr>
        <w:t xml:space="preserve"> Reprint from Heywood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Biomarkers significant for the neurodegenerative disorders Lewy Body Dementia and Alzheimer’s disease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are shown over a 10 min LC gradient.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data.</w:t>
      </w:r>
      <w:r>
        <w:rPr>
          <w:rFonts w:ascii="Calibri" w:hAnsi="Calibri" w:cs="Calibri" w:eastAsia="Calibri"/>
          <w:color w:val="auto"/>
          <w:spacing w:val="0"/>
          <w:position w:val="0"/>
          <w:sz w:val="24"/>
          <w:shd w:fill="auto" w:val="clear"/>
        </w:rPr>
        <w:t xml:space="preserve"> Reprint from Heywood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Graphs show of how the described MRM LC-MS/MS method can reliably quantitate and discriminate from controls the known neurodegenerative markers such as YKL chitinase 3 like protein (YKL-40)</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the AD marker orexin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AD = Alzheimer’s disease, LBD = lewy body dementia and PD = Parkinson disease. Data previously published.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Illustration of how the Apo E isoform status of a patient can be determined.</w:t>
      </w:r>
      <w:r>
        <w:rPr>
          <w:rFonts w:ascii="Calibri" w:hAnsi="Calibri" w:cs="Calibri" w:eastAsia="Calibri"/>
          <w:color w:val="auto"/>
          <w:spacing w:val="0"/>
          <w:position w:val="0"/>
          <w:sz w:val="24"/>
          <w:shd w:fill="auto" w:val="clear"/>
        </w:rPr>
        <w:t xml:space="preserve"> A. Indicates the peptides covering the 112 amino acid sequence LGADMEDVCGR for neutral (E3a) or LGADMEDVR for presence of E4 and for position 158 to detect RLAVYQAGAR the neutral (E3b) or CLAVYQAGAR for the E2 isoform. B. Peptides from the ApoE sequence are shown in the left hand panels. The different combinations of the peptides detected in CSF can indicate the ApoE isoform status.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UPLC gradient settings for a 10 min method</w:t>
      </w:r>
      <w:r>
        <w:rPr>
          <w:rFonts w:ascii="Calibri" w:hAnsi="Calibri" w:cs="Calibri" w:eastAsia="Calibri"/>
          <w:color w:val="auto"/>
          <w:spacing w:val="0"/>
          <w:position w:val="0"/>
          <w:sz w:val="24"/>
          <w:shd w:fill="auto" w:val="clear"/>
        </w:rPr>
        <w:t xml:space="preserve">. A =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0.1% FA, B= ACN, 0.1% 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Peptides Included in the CSF MRM LC MS/MS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2 describes all included peptides used in the method described and published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Indication of whether the marker was reliably detected in 100 &amp;#181;l of CSF is indicated.  Transitions labelled in bold are the ones used for quantitative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all MS based assays the critical steps in the method are the determination of the appropriate and accurate amounts of internal standard. If absolute quantitation is being used, then the correct amounts of spiked peptides in the standard curve are also critical.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assay does not require the precipitation of the CSF or the use of any type of clean up or desalting steps prior to MS analysis., it is entirely a one pot reaction method. Due to the small volume of CSF and its limited complexity (compared to plasma) it has been found that these steps can be removed from the final protocol; thereby simplifying the assay making it more suitable for translation to a diagnostic setting.  The inclusion of a pre-column to the main analytical column and inclusion of solvent delays in the MS method appears to be sufficient to maintain sensitivity during the MS run for more than 500 sample runs. As the assay is over a short UPLC run time it is important to unequivocally identify the correct peak in the CSF digest matrix.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can only be achieved with the use of spiked synthesized peptides and a standard curve. If there is an uncertainty of a peptide matched to the correct chromatographic peak then it may be useful to check to run the sample through multiple transitions and check the transition intensity pattern with the synthetic standards. All our assays developed contain at least 2 peptides transitions to confirm the identity of peptide.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has been developed for markers detected in up to 100 &amp;#181;l of CSF. For some other markers of dementia a larger volume of CSF maybe needed. Another limitation of the assay is the issue of dynamic range of protein expression. Some abundant markers need to be injected on the mass spectrometer in a smaller amount whilst some low abundant markers require a larger injection volume, therefore the sample may have to be injected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this technique is the ability to multiplex and the increased specificity of the 3 levels of identification over antibodies (retention time, precursor and product m/z).  From the perspective of clinical translation the biggest advantage is the potential cost saving on antibodies though an initial outlay for mass spectrometry equipment and trained personnel is necessary. Another asset is the speed in which the method can be translated onto the triple quadrupole based systems. This speeds up the ability to translate and validate an assay significantly compared to all immuno-based technologies. Finally as this platform and expertise has been routinely used to measure small molecules clinically, many large hospital centers already have this infrastructure in place.  In the field of neurodegeneration there is a lot of focus and need for new biomarkers in CSF and serum. This method provides a platform for a high-throughput assay where future markers can be added (and removed) to be assessed for efficacy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This technique has further application to other tissues for ApoE isoform identification such as plasma which has already been described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even bloodspots.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and facilitated through the GOSomics research initiative by the National Institute for Health Research, Biomedical Research Centre at Great Ormond Street Hospital and the UCL Biological Mass Spectrometry Centre at the UCL Institute of Child Health with kind donations from the Szeban Peto Foundation. The Dementia Research Centre is an Alzheimer’s Research UK coordinating centre. The authors acknowledge the support of Alzheimer’s Research UK, the NIHR Queen Square Dementia Biomedical Research Unit, UCL/H Biomedical Research Centre, and Leonard Wolfson Experimental Neurology Centre.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Prince, P. M., Guerchet, D. M., Prina, D. M. &amp;amp; International, A. s. D. Policy Brief: The Global Impact of Dementia 2013-2050. (Alzheimers Disease International,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http://www.alz.co.uk/research/G8-policy-brief</w:t>
        </w:r>
      </w:hyperlink>
      <w:r>
        <w:rPr>
          <w:rFonts w:ascii="Calibri" w:hAnsi="Calibri" w:cs="Calibri" w:eastAsia="Calibri"/>
          <w:color w:val="000000"/>
          <w:spacing w:val="0"/>
          <w:position w:val="0"/>
          <w:sz w:val="24"/>
          <w:shd w:fill="auto" w:val="clear"/>
        </w:rPr>
        <w:t xml:space="preserve">,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Hirtz,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new quantitative mass spectrometry and semi-automatic isofocusing methods for the determination of Apolipoprotein E typing. </w:t>
      </w:r>
      <w:r>
        <w:rPr>
          <w:rFonts w:ascii="Calibri" w:hAnsi="Calibri" w:cs="Calibri" w:eastAsia="Calibri"/>
          <w:i/>
          <w:color w:val="000000"/>
          <w:spacing w:val="0"/>
          <w:position w:val="0"/>
          <w:sz w:val="24"/>
          <w:shd w:fill="auto" w:val="clear"/>
        </w:rPr>
        <w:t xml:space="preserve">Clin 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454</w:t>
      </w:r>
      <w:r>
        <w:rPr>
          <w:rFonts w:ascii="Calibri" w:hAnsi="Calibri" w:cs="Calibri" w:eastAsia="Calibri"/>
          <w:color w:val="000000"/>
          <w:spacing w:val="0"/>
          <w:position w:val="0"/>
          <w:sz w:val="24"/>
          <w:shd w:fill="auto" w:val="clear"/>
        </w:rPr>
        <w:t xml:space="preserve"> 33-38, doi:10.1016/j.cca.2015.12.020,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Marx, V. Targeted proteomics.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19-22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Heywood,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development of a peptide SRM-based tandem mass spectrometry assay for prenatal screening of Down syndrome. </w:t>
      </w:r>
      <w:r>
        <w:rPr>
          <w:rFonts w:ascii="Calibri" w:hAnsi="Calibri" w:cs="Calibri" w:eastAsia="Calibri"/>
          <w:i/>
          <w:color w:val="000000"/>
          <w:spacing w:val="0"/>
          <w:position w:val="0"/>
          <w:sz w:val="24"/>
          <w:shd w:fill="auto" w:val="clear"/>
        </w:rPr>
        <w:t xml:space="preserve">J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(11), 3248-3257, doi:10.1016/j.jprot.2012.03.037,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Heywood, W.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Proteomic Discovery and Development of a Multiplexed Targeted MRM-LC-MS/MS Assay for Urine Biomarkers of Extracellular Matrix Disruption in Mucopolysaccharidoses I, II, and VI. </w:t>
      </w:r>
      <w:r>
        <w:rPr>
          <w:rFonts w:ascii="Calibri" w:hAnsi="Calibri" w:cs="Calibri" w:eastAsia="Calibri"/>
          <w:i/>
          <w:color w:val="000000"/>
          <w:spacing w:val="0"/>
          <w:position w:val="0"/>
          <w:sz w:val="24"/>
          <w:shd w:fill="auto" w:val="clear"/>
        </w:rPr>
        <w:t xml:space="preserve">Anal Chem.</w:t>
      </w:r>
      <w:r>
        <w:rPr>
          <w:rFonts w:ascii="Calibri" w:hAnsi="Calibri" w:cs="Calibri" w:eastAsia="Calibri"/>
          <w:color w:val="000000"/>
          <w:spacing w:val="0"/>
          <w:position w:val="0"/>
          <w:sz w:val="24"/>
          <w:shd w:fill="auto" w:val="clear"/>
        </w:rPr>
        <w:t xml:space="preserve"> doi:10.1021/acs.analchem.5b03232,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Manwaring,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identification of new biomarkers for identifying and monitoring kidney disease and their translation into a rapid mass spectrometry-based test: evidence of presymptomatic kidney disease in pediatric Fabry and type-I diabetic patients. </w:t>
      </w:r>
      <w:r>
        <w:rPr>
          <w:rFonts w:ascii="Calibri" w:hAnsi="Calibri" w:cs="Calibri" w:eastAsia="Calibri"/>
          <w:i/>
          <w:color w:val="000000"/>
          <w:spacing w:val="0"/>
          <w:position w:val="0"/>
          <w:sz w:val="24"/>
          <w:shd w:fill="auto" w:val="clear"/>
        </w:rPr>
        <w:t xml:space="preserve">J Proteome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2013-2021, doi:10.1021/pr301200e,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Moat, S.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Newborn blood spot screening for sickle cell disease by using tandem mass spectrometry: implementation of a protocol to identify only the disease states of sickle cell disease. </w:t>
      </w:r>
      <w:r>
        <w:rPr>
          <w:rFonts w:ascii="Calibri" w:hAnsi="Calibri" w:cs="Calibri" w:eastAsia="Calibri"/>
          <w:i/>
          <w:color w:val="000000"/>
          <w:spacing w:val="0"/>
          <w:position w:val="0"/>
          <w:sz w:val="24"/>
          <w:shd w:fill="auto" w:val="clear"/>
        </w:rPr>
        <w:t xml:space="preserve">Clin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(2), 373-380, doi:10.1373/clinchem.2013.210948,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Heywood, W.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novel CSF biomarkers for neurodegeneration and their validation by a high-throughput multiplexed targeted proteomic assay. </w:t>
      </w:r>
      <w:r>
        <w:rPr>
          <w:rFonts w:ascii="Calibri" w:hAnsi="Calibri" w:cs="Calibri" w:eastAsia="Calibri"/>
          <w:i/>
          <w:color w:val="000000"/>
          <w:spacing w:val="0"/>
          <w:position w:val="0"/>
          <w:sz w:val="24"/>
          <w:shd w:fill="auto" w:val="clear"/>
        </w:rPr>
        <w:t xml:space="preserve">Mol Neurodegener.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64, doi:10.1186/s13024-015-0059-y,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MacLean,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Skyline: an open source document editor for creating and analyzing targeted proteomics experiments.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966-968, doi:10.1093/bioinformatics/btq054,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Manes, N. P., Mann, J. M. &amp;amp; Nita-Lazar, A. Selected Reaction Monitoring Mass Spectrometry for Absolute Protein Quantification.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(102), e52959, doi:10.3791/52959,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Craig-Schapiro,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YKL-40: a novel prognostic fluid biomarker for preclinical Alzheimer's disease. </w:t>
      </w:r>
      <w:r>
        <w:rPr>
          <w:rFonts w:ascii="Calibri" w:hAnsi="Calibri" w:cs="Calibri" w:eastAsia="Calibri"/>
          <w:i/>
          <w:color w:val="000000"/>
          <w:spacing w:val="0"/>
          <w:position w:val="0"/>
          <w:sz w:val="24"/>
          <w:shd w:fill="auto" w:val="clear"/>
        </w:rPr>
        <w:t xml:space="preserve">Biol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(10), 903-912, doi:10.1016/j.biopsych.2010.08.025,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Perrin, 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and validation of novel cerebrospinal fluid biomarkers for staging early Alzheimer's disease.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e16032, doi:10.1371/journal.pone.0016032,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Liguori,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Orexinergic system dysregulation, sleep impairment, and cognitive decline in Alzheimer disease. </w:t>
      </w:r>
      <w:r>
        <w:rPr>
          <w:rFonts w:ascii="Calibri" w:hAnsi="Calibri" w:cs="Calibri" w:eastAsia="Calibri"/>
          <w:i/>
          <w:color w:val="000000"/>
          <w:spacing w:val="0"/>
          <w:position w:val="0"/>
          <w:sz w:val="24"/>
          <w:shd w:fill="auto" w:val="clear"/>
        </w:rPr>
        <w:t xml:space="preserve">JAMA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(12), 1498-1505, doi:10.1001/jamaneurol.2014.2510,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thegpm.org/" Id="docRId1" Type="http://schemas.openxmlformats.org/officeDocument/2006/relationships/hyperlink"/><Relationship TargetMode="External" Target="http://www.alz.co.uk/research/G8-policy-brief" Id="docRId3" Type="http://schemas.openxmlformats.org/officeDocument/2006/relationships/hyperlink"/><Relationship Target="styles.xml" Id="docRId5" Type="http://schemas.openxmlformats.org/officeDocument/2006/relationships/styles"/><Relationship TargetMode="External" Target="http://www.uniprot.org/blast/" Id="docRId0" Type="http://schemas.openxmlformats.org/officeDocument/2006/relationships/hyperlink"/><Relationship TargetMode="External" Target="http://www.uniprot.org/" Id="docRId2" Type="http://schemas.openxmlformats.org/officeDocument/2006/relationships/hyperlink"/><Relationship Target="numbering.xml" Id="docRId4" Type="http://schemas.openxmlformats.org/officeDocument/2006/relationships/numbering"/></Relationships>
</file>