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F42" w:rsidRDefault="00DB56BE">
      <w:pPr>
        <w:pStyle w:val="NormalWeb"/>
        <w:spacing w:before="0" w:beforeAutospacing="0" w:after="0" w:afterAutospacing="0"/>
        <w:rPr>
          <w:color w:val="auto"/>
        </w:rPr>
      </w:pPr>
      <w:r>
        <w:rPr>
          <w:b/>
          <w:bCs/>
          <w:color w:val="auto"/>
        </w:rPr>
        <w:t>TITLE:</w:t>
      </w:r>
      <w:r>
        <w:rPr>
          <w:color w:val="auto"/>
        </w:rPr>
        <w:t xml:space="preserve"> </w:t>
      </w:r>
    </w:p>
    <w:p w:rsidR="00165F42" w:rsidRDefault="00165F42">
      <w:pPr>
        <w:pStyle w:val="NormalWeb"/>
        <w:spacing w:before="0" w:beforeAutospacing="0" w:after="0" w:afterAutospacing="0"/>
        <w:rPr>
          <w:color w:val="auto"/>
        </w:rPr>
      </w:pPr>
    </w:p>
    <w:p w:rsidR="003759ED" w:rsidRDefault="00DB56BE">
      <w:pPr>
        <w:pStyle w:val="NormalWeb"/>
        <w:spacing w:before="0" w:beforeAutospacing="0" w:after="0" w:afterAutospacing="0"/>
      </w:pPr>
      <w:bookmarkStart w:id="0" w:name="_GoBack"/>
      <w:bookmarkEnd w:id="0"/>
      <w:r>
        <w:rPr>
          <w:color w:val="auto"/>
        </w:rPr>
        <w:t xml:space="preserve">Genome editing in </w:t>
      </w:r>
      <w:r>
        <w:rPr>
          <w:i/>
          <w:iCs/>
          <w:color w:val="auto"/>
        </w:rPr>
        <w:t>Astyanax mexicanus</w:t>
      </w:r>
      <w:r>
        <w:rPr>
          <w:color w:val="auto"/>
        </w:rPr>
        <w:t xml:space="preserve"> using transcription activator-like effector nucleases (TALENs) </w:t>
      </w:r>
    </w:p>
    <w:p w:rsidR="003759ED" w:rsidRDefault="003759ED">
      <w:pPr>
        <w:pStyle w:val="NormalWeb"/>
        <w:spacing w:before="0" w:beforeAutospacing="0" w:after="0" w:afterAutospacing="0"/>
      </w:pPr>
    </w:p>
    <w:p w:rsidR="003759ED" w:rsidRDefault="00DB56BE">
      <w:r>
        <w:rPr>
          <w:b/>
          <w:bCs/>
          <w:color w:val="auto"/>
        </w:rPr>
        <w:t xml:space="preserve">AUTHORS: </w:t>
      </w:r>
    </w:p>
    <w:p w:rsidR="003759ED" w:rsidRDefault="003759ED"/>
    <w:p w:rsidR="00C86A92" w:rsidRDefault="00DB56BE">
      <w:r>
        <w:rPr>
          <w:color w:val="auto"/>
        </w:rPr>
        <w:t>Kowalko, Johanna E</w:t>
      </w:r>
    </w:p>
    <w:p w:rsidR="00C86A92" w:rsidRDefault="00DB56BE">
      <w:r>
        <w:rPr>
          <w:color w:val="auto"/>
        </w:rPr>
        <w:t>Genetics, Development and Cell Biology</w:t>
      </w:r>
    </w:p>
    <w:p w:rsidR="00C86A92" w:rsidRDefault="00DB56BE">
      <w:r>
        <w:rPr>
          <w:color w:val="auto"/>
        </w:rPr>
        <w:t>Iowa State University</w:t>
      </w:r>
    </w:p>
    <w:p w:rsidR="00C86A92" w:rsidRDefault="00DB56BE">
      <w:r>
        <w:rPr>
          <w:color w:val="auto"/>
        </w:rPr>
        <w:t>Ames, IA USA</w:t>
      </w:r>
    </w:p>
    <w:p w:rsidR="003759ED" w:rsidRDefault="00DB56BE">
      <w:r>
        <w:t>jkowalko@iastate.edu</w:t>
      </w:r>
    </w:p>
    <w:p w:rsidR="003759ED" w:rsidRDefault="003759ED"/>
    <w:p w:rsidR="00C86A92" w:rsidRDefault="00DB56BE">
      <w:pPr>
        <w:pStyle w:val="NormalWeb"/>
        <w:spacing w:before="0" w:beforeAutospacing="0" w:after="0" w:afterAutospacing="0"/>
      </w:pPr>
      <w:r>
        <w:rPr>
          <w:color w:val="auto"/>
        </w:rPr>
        <w:t>Ma, Li</w:t>
      </w:r>
    </w:p>
    <w:p w:rsidR="00C86A92" w:rsidRDefault="00DB56BE">
      <w:pPr>
        <w:pStyle w:val="NormalWeb"/>
        <w:spacing w:before="0" w:beforeAutospacing="0" w:after="0" w:afterAutospacing="0"/>
      </w:pPr>
      <w:r>
        <w:rPr>
          <w:color w:val="auto"/>
        </w:rPr>
        <w:t>Department of Biological Sciences</w:t>
      </w:r>
    </w:p>
    <w:p w:rsidR="00C86A92" w:rsidRDefault="00DB56BE">
      <w:pPr>
        <w:pStyle w:val="NormalWeb"/>
        <w:spacing w:before="0" w:beforeAutospacing="0" w:after="0" w:afterAutospacing="0"/>
      </w:pPr>
      <w:r>
        <w:rPr>
          <w:color w:val="auto"/>
        </w:rPr>
        <w:t>University of Cincinnati</w:t>
      </w:r>
    </w:p>
    <w:p w:rsidR="00C86A92" w:rsidRDefault="00DB56BE">
      <w:pPr>
        <w:pStyle w:val="NormalWeb"/>
        <w:spacing w:before="0" w:beforeAutospacing="0" w:after="0" w:afterAutospacing="0"/>
      </w:pPr>
      <w:r>
        <w:rPr>
          <w:color w:val="auto"/>
        </w:rPr>
        <w:t>Cincinnati, OH USA</w:t>
      </w:r>
    </w:p>
    <w:p w:rsidR="003759ED" w:rsidRDefault="00DB56BE">
      <w:pPr>
        <w:pStyle w:val="NormalWeb"/>
        <w:spacing w:before="0" w:beforeAutospacing="0" w:after="0" w:afterAutospacing="0"/>
      </w:pPr>
      <w:r>
        <w:rPr>
          <w:color w:val="auto"/>
        </w:rPr>
        <w:t>mal2@ucmail.uc.edu</w:t>
      </w:r>
    </w:p>
    <w:p w:rsidR="003759ED" w:rsidRDefault="003759ED">
      <w:pPr>
        <w:pStyle w:val="NormalWeb"/>
        <w:spacing w:before="0" w:beforeAutospacing="0" w:after="0" w:afterAutospacing="0"/>
      </w:pPr>
    </w:p>
    <w:p w:rsidR="00C86A92" w:rsidRDefault="00DB56BE">
      <w:pPr>
        <w:pStyle w:val="NormalWeb"/>
        <w:spacing w:before="0" w:beforeAutospacing="0" w:after="0" w:afterAutospacing="0"/>
      </w:pPr>
      <w:r>
        <w:rPr>
          <w:color w:val="auto"/>
        </w:rPr>
        <w:t>Jeffery, William R</w:t>
      </w:r>
    </w:p>
    <w:p w:rsidR="00C86A92" w:rsidRDefault="00DB56BE">
      <w:pPr>
        <w:pStyle w:val="NormalWeb"/>
        <w:spacing w:before="0" w:beforeAutospacing="0" w:after="0" w:afterAutospacing="0"/>
      </w:pPr>
      <w:r>
        <w:rPr>
          <w:color w:val="auto"/>
        </w:rPr>
        <w:t>Department of Biology</w:t>
      </w:r>
    </w:p>
    <w:p w:rsidR="00C86A92" w:rsidRDefault="00DB56BE">
      <w:pPr>
        <w:pStyle w:val="NormalWeb"/>
        <w:spacing w:before="0" w:beforeAutospacing="0" w:after="0" w:afterAutospacing="0"/>
      </w:pPr>
      <w:r>
        <w:rPr>
          <w:color w:val="auto"/>
        </w:rPr>
        <w:t>University of Maryland</w:t>
      </w:r>
    </w:p>
    <w:p w:rsidR="00C86A92" w:rsidRDefault="00DB56BE">
      <w:pPr>
        <w:pStyle w:val="NormalWeb"/>
        <w:spacing w:before="0" w:beforeAutospacing="0" w:after="0" w:afterAutospacing="0"/>
      </w:pPr>
      <w:r>
        <w:rPr>
          <w:color w:val="auto"/>
        </w:rPr>
        <w:t>College Park, MD USA</w:t>
      </w:r>
    </w:p>
    <w:p w:rsidR="003759ED" w:rsidRDefault="00DB56BE">
      <w:pPr>
        <w:pStyle w:val="NormalWeb"/>
        <w:spacing w:before="0" w:beforeAutospacing="0" w:after="0" w:afterAutospacing="0"/>
      </w:pPr>
      <w:r>
        <w:rPr>
          <w:color w:val="auto"/>
        </w:rPr>
        <w:t>jeffery@umd.edu</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b/>
          <w:bCs/>
          <w:color w:val="auto"/>
        </w:rPr>
        <w:t>CORRESPONDING AUTHOR:</w:t>
      </w:r>
      <w:r>
        <w:rPr>
          <w:color w:val="auto"/>
        </w:rPr>
        <w:t xml:space="preserve"> </w:t>
      </w:r>
    </w:p>
    <w:p w:rsidR="003759ED" w:rsidRDefault="003759ED">
      <w:pPr>
        <w:pStyle w:val="NormalWeb"/>
        <w:spacing w:before="0" w:beforeAutospacing="0" w:after="0" w:afterAutospacing="0"/>
      </w:pPr>
    </w:p>
    <w:p w:rsidR="00C86A92" w:rsidRDefault="00DB56BE">
      <w:r>
        <w:rPr>
          <w:color w:val="auto"/>
        </w:rPr>
        <w:t>Kowalko, Johanna E</w:t>
      </w:r>
    </w:p>
    <w:p w:rsidR="00C86A92" w:rsidRDefault="00DB56BE">
      <w:r>
        <w:rPr>
          <w:color w:val="auto"/>
        </w:rPr>
        <w:t>Genetics, Development and Cell Biology</w:t>
      </w:r>
    </w:p>
    <w:p w:rsidR="00C86A92" w:rsidRDefault="00DB56BE">
      <w:r>
        <w:rPr>
          <w:color w:val="auto"/>
        </w:rPr>
        <w:t>Iowa State University</w:t>
      </w:r>
    </w:p>
    <w:p w:rsidR="00C86A92" w:rsidRDefault="00DB56BE">
      <w:r>
        <w:rPr>
          <w:color w:val="auto"/>
        </w:rPr>
        <w:t>Ames, IA USA</w:t>
      </w:r>
    </w:p>
    <w:p w:rsidR="003759ED" w:rsidRDefault="00DB56BE">
      <w:r>
        <w:t>jkowalko@iastate.edu</w:t>
      </w:r>
    </w:p>
    <w:p w:rsidR="003759ED" w:rsidRDefault="003759ED"/>
    <w:p w:rsidR="003759ED" w:rsidRDefault="00DB56BE">
      <w:pPr>
        <w:pStyle w:val="NormalWeb"/>
        <w:spacing w:before="0" w:beforeAutospacing="0" w:after="0" w:afterAutospacing="0"/>
      </w:pPr>
      <w:r>
        <w:rPr>
          <w:b/>
          <w:bCs/>
          <w:color w:val="auto"/>
        </w:rPr>
        <w:t>KEYWORDS:</w:t>
      </w:r>
      <w:r>
        <w:rPr>
          <w:color w:val="auto"/>
        </w:rPr>
        <w:t xml:space="preserve">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i/>
          <w:iCs/>
          <w:color w:val="auto"/>
        </w:rPr>
        <w:t>Astyanax mexicanus</w:t>
      </w:r>
      <w:r>
        <w:rPr>
          <w:color w:val="auto"/>
        </w:rPr>
        <w:t xml:space="preserve">, </w:t>
      </w:r>
      <w:r>
        <w:rPr>
          <w:i/>
          <w:iCs/>
          <w:color w:val="auto"/>
        </w:rPr>
        <w:t>Astyanax</w:t>
      </w:r>
      <w:r>
        <w:rPr>
          <w:color w:val="auto"/>
        </w:rPr>
        <w:t>, cavefish, TALENs, TALEN, genome editing</w:t>
      </w:r>
    </w:p>
    <w:p w:rsidR="003759ED" w:rsidRDefault="003759ED">
      <w:pPr>
        <w:pStyle w:val="NormalWeb"/>
        <w:spacing w:before="0" w:beforeAutospacing="0" w:after="0" w:afterAutospacing="0"/>
      </w:pPr>
    </w:p>
    <w:p w:rsidR="003759ED" w:rsidRDefault="00DB56BE">
      <w:r>
        <w:rPr>
          <w:b/>
          <w:bCs/>
          <w:color w:val="auto"/>
        </w:rPr>
        <w:t>SHORT ABSTRACT:</w:t>
      </w:r>
      <w:r>
        <w:rPr>
          <w:color w:val="auto"/>
        </w:rPr>
        <w:t xml:space="preserve"> </w:t>
      </w:r>
    </w:p>
    <w:p w:rsidR="003759ED" w:rsidRDefault="003759ED"/>
    <w:p w:rsidR="003759ED" w:rsidRDefault="00DB56BE">
      <w:r>
        <w:rPr>
          <w:color w:val="auto"/>
        </w:rPr>
        <w:t xml:space="preserve">Gene-targeting mutagenesis is now possible in a wide range of organisms using genome editing techniques.  Here, we demonstrate a protocol for targeted gene mutagenesis using transcription activator like effector nucleases (TALENs) in </w:t>
      </w:r>
      <w:r>
        <w:rPr>
          <w:i/>
          <w:iCs/>
          <w:color w:val="auto"/>
        </w:rPr>
        <w:t>Astyanax mexicanus</w:t>
      </w:r>
      <w:r>
        <w:rPr>
          <w:color w:val="auto"/>
        </w:rPr>
        <w:t>, a species of fish that includes surface fish and cavefish.</w:t>
      </w:r>
    </w:p>
    <w:p w:rsidR="003759ED" w:rsidRDefault="003759ED"/>
    <w:p w:rsidR="003759ED" w:rsidRDefault="00DB56BE">
      <w:r>
        <w:rPr>
          <w:b/>
          <w:bCs/>
          <w:color w:val="auto"/>
        </w:rPr>
        <w:t>LONG ABSTRACT:</w:t>
      </w:r>
    </w:p>
    <w:p w:rsidR="003759ED" w:rsidRDefault="003759ED"/>
    <w:p w:rsidR="003759ED" w:rsidRDefault="00DB56BE">
      <w:r>
        <w:rPr>
          <w:color w:val="auto"/>
        </w:rPr>
        <w:t xml:space="preserve">Identifying alleles of genes underlying evolutionary change is essential to understanding how and why evolution occurs.  Towards this end, much recent work has focused on identifying candidate genes for the evolution of traits in a variety of species.  However, until recently it has been challenging to functionally validate interesting candidate genes.  Recently developed tools for genetic engineering make it possible to manipulate specific genes in a wide range of organisms.  Application of this technology in evolutionarily relevant organisms will allow for unprecedented insight into the role of candidate genes in evolution.  </w:t>
      </w:r>
      <w:r>
        <w:rPr>
          <w:i/>
          <w:iCs/>
          <w:color w:val="auto"/>
        </w:rPr>
        <w:t>Astyanax mexicanus</w:t>
      </w:r>
      <w:r>
        <w:rPr>
          <w:color w:val="auto"/>
        </w:rPr>
        <w:t xml:space="preserve"> (</w:t>
      </w:r>
      <w:r>
        <w:rPr>
          <w:i/>
          <w:iCs/>
          <w:color w:val="auto"/>
        </w:rPr>
        <w:t>A. mexicanus</w:t>
      </w:r>
      <w:r>
        <w:rPr>
          <w:color w:val="auto"/>
        </w:rPr>
        <w:t xml:space="preserve">) is a species of fish with both surface-dwelling and cave-dwelling forms.  Multiple independent lines of cave-dwelling forms have evolved from ancestral surface fish, which are interfertile with one another and with surface fish, allowing elucidation of the genetic basis of cave traits.  </w:t>
      </w:r>
      <w:r>
        <w:rPr>
          <w:i/>
          <w:iCs/>
          <w:color w:val="auto"/>
        </w:rPr>
        <w:t xml:space="preserve">A. mexicanus </w:t>
      </w:r>
      <w:r>
        <w:rPr>
          <w:color w:val="auto"/>
        </w:rPr>
        <w:t xml:space="preserve">has been used for a number of evolutionary studies, including linkage analysis to identify candidate genes responsible for a number of traits.  Thus, </w:t>
      </w:r>
      <w:r>
        <w:rPr>
          <w:i/>
          <w:iCs/>
          <w:color w:val="auto"/>
        </w:rPr>
        <w:t>A. mexicanus</w:t>
      </w:r>
      <w:r>
        <w:rPr>
          <w:color w:val="auto"/>
        </w:rPr>
        <w:t xml:space="preserve"> is an ideal system for the application of genome editing to test the role of candidate genes.  Here we report a method for using transcription activator-like effector nucleases (TALENs) to mutate genes in surface </w:t>
      </w:r>
      <w:r>
        <w:rPr>
          <w:i/>
          <w:iCs/>
          <w:color w:val="auto"/>
        </w:rPr>
        <w:t>A. mexicanus</w:t>
      </w:r>
      <w:r>
        <w:rPr>
          <w:color w:val="auto"/>
        </w:rPr>
        <w:t xml:space="preserve">.  Genome editing using TALENs in </w:t>
      </w:r>
      <w:r>
        <w:rPr>
          <w:i/>
          <w:iCs/>
          <w:color w:val="auto"/>
        </w:rPr>
        <w:t>A. mexicanus</w:t>
      </w:r>
      <w:r>
        <w:rPr>
          <w:color w:val="auto"/>
        </w:rPr>
        <w:t xml:space="preserve"> has been utilized to generate mutations in pigmentation genes.  This technique can also be utilized to evaluate the role of candidate genes for a number of other traits that have evolved in cave forms of </w:t>
      </w:r>
      <w:r>
        <w:rPr>
          <w:i/>
          <w:iCs/>
          <w:color w:val="auto"/>
        </w:rPr>
        <w:t>A. mexicanus</w:t>
      </w:r>
      <w:r>
        <w:rPr>
          <w:color w:val="auto"/>
        </w:rPr>
        <w:t xml:space="preserve">.  </w:t>
      </w:r>
    </w:p>
    <w:p w:rsidR="003759ED" w:rsidRDefault="003759ED"/>
    <w:p w:rsidR="003759ED" w:rsidRDefault="00DB56BE">
      <w:r>
        <w:rPr>
          <w:b/>
          <w:bCs/>
          <w:color w:val="auto"/>
        </w:rPr>
        <w:t>INTRODUCTION:</w:t>
      </w:r>
      <w:r>
        <w:rPr>
          <w:color w:val="auto"/>
        </w:rPr>
        <w:t xml:space="preserve"> </w:t>
      </w:r>
    </w:p>
    <w:p w:rsidR="003759ED" w:rsidRDefault="003759ED"/>
    <w:p w:rsidR="003759ED" w:rsidRDefault="00DB56BE">
      <w:r>
        <w:rPr>
          <w:color w:val="auto"/>
        </w:rPr>
        <w:t>Understanding the genetic basis of trait evolution is a critical research goal of evolutionary biologists.  Considerable progress has been made in identifying loci underlying the evolution of traits and pinpointing candidate genes within these loci (for example</w:t>
      </w:r>
      <w:r>
        <w:rPr>
          <w:color w:val="auto"/>
          <w:vertAlign w:val="superscript"/>
        </w:rPr>
        <w:t>1-3</w:t>
      </w:r>
      <w:r>
        <w:rPr>
          <w:color w:val="auto"/>
        </w:rPr>
        <w:t>).  However, functionally testing the role of these genes has remained challenging as many organisms used for studying the evolution of traits are not currently genetically tractable.  The advent of genome editing technologies has greatly increased genetic manipulability of a wide range of organisms.  Transcription activator-like effector nucleases (TALENs) and clustered regularly interspaced short palindromic repeats (CRISPRs) have been used to generate targeted mutations in genes in a number of organisms (for example</w:t>
      </w:r>
      <w:r>
        <w:rPr>
          <w:color w:val="auto"/>
          <w:vertAlign w:val="superscript"/>
        </w:rPr>
        <w:t>4-11</w:t>
      </w:r>
      <w:r>
        <w:rPr>
          <w:color w:val="auto"/>
        </w:rPr>
        <w:t>).  These tools, applied to an evolutionarily relevant system, have the potential to revolutionize the way evolutionary biologists study the genetic basis of evolution.</w:t>
      </w:r>
    </w:p>
    <w:p w:rsidR="003759ED" w:rsidRDefault="003759ED"/>
    <w:p w:rsidR="003759ED" w:rsidRDefault="00DB56BE">
      <w:r>
        <w:rPr>
          <w:i/>
          <w:iCs/>
          <w:color w:val="auto"/>
        </w:rPr>
        <w:t xml:space="preserve">Astyanax mexicanus </w:t>
      </w:r>
      <w:r>
        <w:rPr>
          <w:color w:val="auto"/>
        </w:rPr>
        <w:t xml:space="preserve">is a species of fish that exists in two forms: a river-dwelling surface form (surface fish) and multiple cave-dwelling forms (cavefish).  </w:t>
      </w:r>
      <w:r>
        <w:rPr>
          <w:i/>
          <w:iCs/>
          <w:color w:val="auto"/>
        </w:rPr>
        <w:t>A. mexicanus</w:t>
      </w:r>
      <w:r>
        <w:rPr>
          <w:color w:val="auto"/>
        </w:rPr>
        <w:t xml:space="preserve"> cavefish evolved from surface fish ancestors (reviewed in</w:t>
      </w:r>
      <w:r>
        <w:rPr>
          <w:color w:val="auto"/>
          <w:vertAlign w:val="superscript"/>
        </w:rPr>
        <w:t>12</w:t>
      </w:r>
      <w:r>
        <w:rPr>
          <w:color w:val="auto"/>
        </w:rPr>
        <w:t>).  Populations of cavefish have evolved a number of traits including loss of eyes, decrease or loss of pigmentation, increased numbers of taste buds and cranial neuromasts, and changes in behavior such as loss of schooling behavior, increased aggression, changes in feeding posture and hyperphagia</w:t>
      </w:r>
      <w:r>
        <w:rPr>
          <w:color w:val="auto"/>
          <w:vertAlign w:val="superscript"/>
        </w:rPr>
        <w:t>13-19</w:t>
      </w:r>
      <w:r>
        <w:rPr>
          <w:color w:val="auto"/>
        </w:rPr>
        <w:t>.  Cavefish and surface fish are interfertile, and genetic mapping experiments have been performed to identify loci and candidate genes for cave traits</w:t>
      </w:r>
      <w:r>
        <w:rPr>
          <w:color w:val="auto"/>
          <w:vertAlign w:val="superscript"/>
        </w:rPr>
        <w:t>1,20-26</w:t>
      </w:r>
      <w:r>
        <w:rPr>
          <w:color w:val="auto"/>
        </w:rPr>
        <w:t>. Some candidate genes have been tested for a functional role in contributing to cave traits in cell culture</w:t>
      </w:r>
      <w:r>
        <w:rPr>
          <w:color w:val="auto"/>
          <w:vertAlign w:val="superscript"/>
        </w:rPr>
        <w:t>1,19</w:t>
      </w:r>
      <w:r>
        <w:rPr>
          <w:color w:val="auto"/>
        </w:rPr>
        <w:t>, in model organisms of other species</w:t>
      </w:r>
      <w:r>
        <w:rPr>
          <w:color w:val="auto"/>
          <w:vertAlign w:val="superscript"/>
        </w:rPr>
        <w:t>21</w:t>
      </w:r>
      <w:r>
        <w:rPr>
          <w:color w:val="auto"/>
        </w:rPr>
        <w:t xml:space="preserve"> or by overexpression</w:t>
      </w:r>
      <w:r>
        <w:rPr>
          <w:color w:val="auto"/>
          <w:vertAlign w:val="superscript"/>
        </w:rPr>
        <w:t>27</w:t>
      </w:r>
      <w:r>
        <w:rPr>
          <w:color w:val="auto"/>
        </w:rPr>
        <w:t xml:space="preserve"> or transient knockdown using morpholinos</w:t>
      </w:r>
      <w:r>
        <w:rPr>
          <w:color w:val="auto"/>
          <w:vertAlign w:val="superscript"/>
        </w:rPr>
        <w:t>28</w:t>
      </w:r>
      <w:r>
        <w:rPr>
          <w:color w:val="auto"/>
        </w:rPr>
        <w:t xml:space="preserve"> in </w:t>
      </w:r>
      <w:r>
        <w:rPr>
          <w:i/>
          <w:iCs/>
          <w:color w:val="auto"/>
        </w:rPr>
        <w:t>A. mexicanus</w:t>
      </w:r>
      <w:r>
        <w:rPr>
          <w:color w:val="auto"/>
        </w:rPr>
        <w:t xml:space="preserve">.  However, each of these methods has limitations.  The ability to generate mutant alleles of these genes in </w:t>
      </w:r>
      <w:r>
        <w:rPr>
          <w:i/>
          <w:iCs/>
          <w:color w:val="auto"/>
        </w:rPr>
        <w:t xml:space="preserve">A. mexicanus </w:t>
      </w:r>
      <w:r>
        <w:rPr>
          <w:color w:val="auto"/>
        </w:rPr>
        <w:t xml:space="preserve">is critical for understanding their function in the evolution of cavefish.  Thus, </w:t>
      </w:r>
      <w:r>
        <w:rPr>
          <w:i/>
          <w:iCs/>
          <w:color w:val="auto"/>
        </w:rPr>
        <w:t xml:space="preserve">A. mexicanus </w:t>
      </w:r>
      <w:r>
        <w:rPr>
          <w:color w:val="auto"/>
        </w:rPr>
        <w:t xml:space="preserve">is an ideal candidate organism for application of genome editing technologies.  </w:t>
      </w:r>
    </w:p>
    <w:p w:rsidR="003759ED" w:rsidRDefault="003759ED"/>
    <w:p w:rsidR="003759ED" w:rsidRDefault="00DB56BE">
      <w:r>
        <w:rPr>
          <w:color w:val="auto"/>
        </w:rPr>
        <w:t xml:space="preserve">Here we outline a method for genome editing in </w:t>
      </w:r>
      <w:r>
        <w:rPr>
          <w:i/>
          <w:iCs/>
          <w:color w:val="auto"/>
        </w:rPr>
        <w:t xml:space="preserve">A. mexicanus </w:t>
      </w:r>
      <w:r>
        <w:rPr>
          <w:color w:val="auto"/>
        </w:rPr>
        <w:t>using TALENs.  This method can be used to evaluate mosaic injected founder fish for phenotypes and for isolating lines of fish with stable mutations in genes of interest</w:t>
      </w:r>
      <w:r>
        <w:rPr>
          <w:color w:val="auto"/>
          <w:vertAlign w:val="superscript"/>
        </w:rPr>
        <w:t>29</w:t>
      </w:r>
      <w:r>
        <w:rPr>
          <w:color w:val="auto"/>
        </w:rPr>
        <w:t xml:space="preserve">.  </w:t>
      </w:r>
    </w:p>
    <w:p w:rsidR="003759ED" w:rsidRDefault="003759ED"/>
    <w:p w:rsidR="003759ED" w:rsidRDefault="00DB56BE">
      <w:r>
        <w:rPr>
          <w:b/>
          <w:bCs/>
          <w:color w:val="auto"/>
        </w:rPr>
        <w:t>PROTOCOL:</w:t>
      </w:r>
      <w:r>
        <w:rPr>
          <w:color w:val="auto"/>
        </w:rPr>
        <w:t xml:space="preserve"> </w:t>
      </w:r>
    </w:p>
    <w:p w:rsidR="003759ED" w:rsidRDefault="003759ED"/>
    <w:p w:rsidR="003759ED" w:rsidRDefault="00DB56BE">
      <w:r>
        <w:rPr>
          <w:color w:val="auto"/>
        </w:rPr>
        <w:t>All animal procedures were in accordance with the guidelines of the National Institutes of Health and were approved by the Institutional Animal Care and Use Committee at Iowa State University and the University of Maryland.</w:t>
      </w:r>
    </w:p>
    <w:p w:rsidR="003759ED" w:rsidRDefault="003759ED"/>
    <w:p w:rsidR="003759ED" w:rsidRDefault="00DB56BE">
      <w:pPr>
        <w:pStyle w:val="NormalWeb"/>
        <w:spacing w:before="0" w:beforeAutospacing="0" w:after="0" w:afterAutospacing="0"/>
        <w:ind w:left="360" w:hanging="360"/>
      </w:pPr>
      <w:r>
        <w:rPr>
          <w:b/>
          <w:bCs/>
          <w:color w:val="auto"/>
        </w:rPr>
        <w:t>1.   TALEN Design</w:t>
      </w:r>
    </w:p>
    <w:p w:rsidR="003759ED" w:rsidRDefault="003759ED">
      <w:pPr>
        <w:pStyle w:val="NormalWeb"/>
        <w:spacing w:before="0" w:beforeAutospacing="0" w:after="0" w:afterAutospacing="0"/>
        <w:ind w:left="360" w:hanging="360"/>
      </w:pPr>
    </w:p>
    <w:p w:rsidR="003759ED" w:rsidRDefault="00DB56BE">
      <w:pPr>
        <w:pStyle w:val="NormalWeb"/>
        <w:spacing w:before="0" w:beforeAutospacing="0" w:after="0" w:afterAutospacing="0"/>
      </w:pPr>
      <w:r>
        <w:rPr>
          <w:color w:val="auto"/>
        </w:rPr>
        <w:t xml:space="preserve">1.1.      Input desired target sequence to a TALEN design website.  (For example: https://tale-nt.cac.cornell.edu/node/add/talen).  Input chosen spacer/repeat array lengths.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1.1.1.   Copy the genomic sequence into the box labeled “Sequence.”</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1.1.2.   Within the “Provide Custom Spacer/RVD Lengths” tab select the spacer length and array length. Note: Spacer lengths of 15 base pairs and repeat array lengths of 15-17 work well and make assembly less complex.</w:t>
      </w:r>
    </w:p>
    <w:p w:rsidR="003759ED" w:rsidRDefault="003759ED">
      <w:pPr>
        <w:pStyle w:val="NormalWeb"/>
        <w:spacing w:before="0" w:beforeAutospacing="0" w:after="0" w:afterAutospacing="0"/>
      </w:pPr>
    </w:p>
    <w:p w:rsidR="00C86A92" w:rsidRDefault="00DB56BE">
      <w:pPr>
        <w:pStyle w:val="NormalWeb"/>
        <w:spacing w:before="0" w:beforeAutospacing="0" w:after="0" w:afterAutospacing="0"/>
      </w:pPr>
      <w:r>
        <w:rPr>
          <w:color w:val="auto"/>
        </w:rPr>
        <w:t xml:space="preserve">1.2.      Select a TALEN pair.  TALEN pairs designed around a unique restriction enzyme site allow for genotyping by restriction enzyme digesting a PCR product. </w:t>
      </w:r>
    </w:p>
    <w:p w:rsidR="00C86A92" w:rsidRDefault="00DB56BE">
      <w:pPr>
        <w:pStyle w:val="NormalWeb"/>
        <w:spacing w:before="0" w:beforeAutospacing="0" w:after="0" w:afterAutospacing="0"/>
      </w:pPr>
      <w:r>
        <w:rPr>
          <w:color w:val="auto"/>
        </w:rPr>
        <w:t xml:space="preserve">                                                              </w:t>
      </w:r>
    </w:p>
    <w:p w:rsidR="003759ED" w:rsidRDefault="00DB56BE">
      <w:pPr>
        <w:pStyle w:val="NormalWeb"/>
        <w:spacing w:before="0" w:beforeAutospacing="0" w:after="0" w:afterAutospacing="0"/>
      </w:pPr>
      <w:r>
        <w:rPr>
          <w:color w:val="auto"/>
        </w:rPr>
        <w:t>1.3.      Design primers to amplify the genomic region surrounding the TALEN target site using a website such as Primer3</w:t>
      </w:r>
      <w:r>
        <w:rPr>
          <w:color w:val="auto"/>
          <w:vertAlign w:val="superscript"/>
        </w:rPr>
        <w:t>30-32</w:t>
      </w:r>
      <w:r>
        <w:rPr>
          <w:color w:val="auto"/>
        </w:rPr>
        <w:t xml:space="preserve">.  When genotyping with a restriction enzyme, design primers to amplify a region that contains the restriction enzyme site only once.  It is recommended that this region is amplified and sequenced prior to TALEN construction to identify any polymorphisms present in the </w:t>
      </w:r>
      <w:r>
        <w:rPr>
          <w:i/>
          <w:iCs/>
          <w:color w:val="auto"/>
        </w:rPr>
        <w:t xml:space="preserve">A. mexicanus </w:t>
      </w:r>
      <w:r>
        <w:rPr>
          <w:color w:val="auto"/>
        </w:rPr>
        <w:t>lab population to be used for microinjection.</w:t>
      </w:r>
    </w:p>
    <w:p w:rsidR="003759ED" w:rsidRDefault="003759ED">
      <w:pPr>
        <w:pStyle w:val="NormalWeb"/>
        <w:spacing w:before="0" w:beforeAutospacing="0" w:after="0" w:afterAutospacing="0"/>
      </w:pPr>
    </w:p>
    <w:p w:rsidR="00C86A92" w:rsidRDefault="00DB56BE">
      <w:pPr>
        <w:pStyle w:val="NormalWeb"/>
        <w:spacing w:before="0" w:beforeAutospacing="0" w:after="0" w:afterAutospacing="0"/>
      </w:pPr>
      <w:r>
        <w:rPr>
          <w:color w:val="auto"/>
        </w:rPr>
        <w:t xml:space="preserve">2.         </w:t>
      </w:r>
      <w:r>
        <w:rPr>
          <w:b/>
          <w:bCs/>
          <w:color w:val="auto"/>
        </w:rPr>
        <w:t>TALEN assembly (Modified from the TALEN kit protocol)</w:t>
      </w:r>
      <w:r>
        <w:rPr>
          <w:b/>
          <w:bCs/>
          <w:color w:val="auto"/>
          <w:vertAlign w:val="superscript"/>
        </w:rPr>
        <w:t>33</w:t>
      </w:r>
      <w:r>
        <w:rPr>
          <w:b/>
          <w:bCs/>
          <w:color w:val="auto"/>
        </w:rPr>
        <w:t xml:space="preserve">.  </w:t>
      </w:r>
    </w:p>
    <w:p w:rsidR="003759ED" w:rsidRDefault="00DB56BE">
      <w:pPr>
        <w:pStyle w:val="NormalWeb"/>
        <w:spacing w:before="0" w:beforeAutospacing="0" w:after="0" w:afterAutospacing="0"/>
      </w:pPr>
      <w:r>
        <w:rPr>
          <w:color w:val="auto"/>
        </w:rPr>
        <w:t>For additional details and troubleshooting, see the protocol</w:t>
      </w:r>
      <w:r>
        <w:rPr>
          <w:color w:val="auto"/>
          <w:vertAlign w:val="superscript"/>
        </w:rPr>
        <w:t>34</w:t>
      </w:r>
      <w:r>
        <w:rPr>
          <w:color w:val="auto"/>
        </w:rPr>
        <w:t>.</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2.1.      Prepare and sequence necessary plasmids from the TALEN kit according to the manufacturer’s instructions.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2.2.      Set up the #1 reactions for reactions A and B. Include repeat-variable diresidues (RVDs) 1-10 and the destination vector pFUS_A in Reaction A. Include RVDs 11-(N-1) and the destination vector pFUS_B(N-1) in Reaction B where N is the total number of RVDs in the TALEN.</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 xml:space="preserve">2.2.1.   Add to each reaction: 1 &amp;#181;L of each plasmid containing each RVD (100 ng/&amp;#181;L), the destination vector (100 ng/&amp;#181;L), 1 &amp;#181;L </w:t>
      </w:r>
      <w:r>
        <w:rPr>
          <w:i/>
          <w:iCs/>
          <w:color w:val="auto"/>
        </w:rPr>
        <w:t>Bsa</w:t>
      </w:r>
      <w:r>
        <w:rPr>
          <w:color w:val="auto"/>
        </w:rPr>
        <w:t xml:space="preserve">I restriction enzyme, 1 &amp;#181;L Bovine Serum Albumin (BSA) (2 mg/mL), 1 &amp;#181;L ligase, 2 &amp;#181;L of 10x ligase buffer and X &amp;#181;L of water for a total volume of 20 &amp;#181;L.  For example, see Table 1. Note:  Half reactions can also be used.  </w:t>
      </w:r>
    </w:p>
    <w:p w:rsidR="003759ED" w:rsidRDefault="003759ED">
      <w:pPr>
        <w:pStyle w:val="NormalWeb"/>
        <w:spacing w:before="0" w:beforeAutospacing="0" w:after="0" w:afterAutospacing="0"/>
      </w:pPr>
    </w:p>
    <w:p w:rsidR="003759ED" w:rsidRDefault="00DB56BE">
      <w:r>
        <w:rPr>
          <w:color w:val="auto"/>
        </w:rPr>
        <w:t>2.2.2.   Place reactions in a thermocycler and run the cycle: 10x(37&amp;#176;C/5 min + 16&amp;#176;C/10 min) + 50&amp;#176;C/5 min + 80&amp;#176;C/5 min.</w:t>
      </w:r>
    </w:p>
    <w:p w:rsidR="003759ED" w:rsidRDefault="003759ED"/>
    <w:p w:rsidR="003759ED" w:rsidRDefault="00DB56BE">
      <w:pPr>
        <w:pStyle w:val="NormalWeb"/>
        <w:spacing w:before="0" w:beforeAutospacing="0" w:after="0" w:afterAutospacing="0"/>
      </w:pPr>
      <w:r>
        <w:rPr>
          <w:color w:val="auto"/>
        </w:rPr>
        <w:t>2.3.      Incubate the reactions with nuclease.  To each reaction add 1 &amp;#181;L 25 mM ATP and 1 &amp;#181;L nuclease.  Incubate reactions at 37&amp;#176;C for 1 hour.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2.4.      Transform reactions.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2.4.1.   Transform 2.5 &amp;#181;L of each reaction into 25 &amp;#181;L chemically competent cells.  Note: Homemade competent cells can be used.  However, cells with low competence can result in lack of colonies.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2.4.1.1.            Mix 2.5 &amp;#181;L of the reaction with 25 &amp;#181;L of chemically competent cells. Incubate on ice for five minutes. Incubate the cells for 30 seconds at 42&amp;#176;C.</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2.4.1.2.            Place the tubes on ice for 2 minutes. Add 125 &amp;#181;L of Super Optimal broth with Catabolite repression (SOC). Shake the tubes at 37&amp;#176;C for 1 hour.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2.4.2.   Plate 100 &amp;#181;L of the transformed cells onto LB plates with spectinomycin (50 &amp;#181;g/mL), X-gal and Isopropyl &amp;#946;-D-1-thiogalactopyranoside (IPTG). Grow overnight at 37&amp;#176;C.</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 xml:space="preserve">2.5.      Pick 2-3 white colonies for each reaction and check by colony PCR using primers pCR8_F1 and pCR8_R1 (Table 2).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2.5.1.   Make a master mix of the reagents.  For example, see Table 3.</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2.5.2.   Pick a colony and smear it into the bottom of a PCR tube, and then put the remains of the colony into 2 mL LB with spectinomycin (50 &amp;#181;g/mL).  Place 15 &amp;#181;L of the master mix into the tube with the colony.</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2.5.3.   Run the following PCR program (Table 4)</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2.5.4.   Check the PCR (run the entire volume) on a 1.5% agarose gel by electrophoresis.  The correct clones will have a band at the expected size as well as a smear and a ladder of bands. For an example of the appropriate smear, see</w:t>
      </w:r>
      <w:r>
        <w:rPr>
          <w:color w:val="auto"/>
          <w:vertAlign w:val="superscript"/>
        </w:rPr>
        <w:t>34,33</w:t>
      </w:r>
      <w:r>
        <w:rPr>
          <w:color w:val="auto"/>
        </w:rPr>
        <w:t xml:space="preserve">.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2.5.5.   Grow 2 mL cultures of the correct clones in LB media overnight at 37&amp;#176;C in a shaking incubator.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2.6.      Miniprep the plasmids according to the manufacturer’s instructions.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2.7.      Sequence to check TALEN sequence with pCR8_F1 and pCR8_R1.  Follow previously described methods</w:t>
      </w:r>
      <w:r>
        <w:rPr>
          <w:color w:val="auto"/>
          <w:vertAlign w:val="superscript"/>
        </w:rPr>
        <w:t>35</w:t>
      </w:r>
      <w:r>
        <w:rPr>
          <w:color w:val="auto"/>
        </w:rPr>
        <w:t>.</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2.8.      Using the correct clones verified by sequencing, set up the reaction #2 (TALEN kit), which will place the RVDs from the A and B vectors and the final RVD into the destination vector.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2.8.1.   Prepare mix for reaction 2 (Table 5).  Note: Half reactions can be used.</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2.8.2.   Place the reactions in a thermocycler and run the following program: 37&amp;#176;C/10 min + 16&amp;#176;C/15 min + 37&amp;#176;C/15 min + 80&amp;#176;C/5 min.</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2.9.      Transform reactions.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2.9.1.   Transform 2.5 &amp;#181;L of each reaction into 25 &amp;#181;L chemically competent cells.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2.9.1.1.            Mix 2.5 &amp;#181;L of the reaction with 25 &amp;#181;L of chemically competent cells. Incubate on ice for five minutes. Heat shock the cells for 30 seconds at 42&amp;#176;C.</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2.9.1.2.            Place the tubes on ice. Add 125 &amp;#181;L of SOC. Place the tubes in a shaking incubator at 37&amp;#176;C for 1 hour.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2.9.2.   Plate 100 &amp;#181;L of the transformed cells onto LB plates with ampicillin (100 &amp;#181;g/mL), X-gal and IPTG. Grow overnight at 37&amp;#176;C.</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 xml:space="preserve">2.10.    Pick 1-3 white colonies for each reaction and check by colony PCR using primers TAL_F1 and TAL_R2 (Table 2).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2.10.1. Make a solution of the polymerase mastermix, water and primers as described in Table 3.  Pick a colony and smear it into the bottom of a PCR tube, and then put the remains of the colony into 2 mL LB with ampicillin (100 &amp;#181;g/mL).  Place 15 &amp;#181;L of the solution into the tube with the colony.</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2.10.2. Run the PCR program (Table 6).</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2.10.3. Check the PCR on a 1.5% agarose gel by electrophoresis.  The correct clones will have a smearing and a ladder of bands. For an example of the appropriate smear, see</w:t>
      </w:r>
      <w:r>
        <w:rPr>
          <w:color w:val="auto"/>
          <w:vertAlign w:val="superscript"/>
        </w:rPr>
        <w:t>34,33</w:t>
      </w:r>
      <w:r>
        <w:rPr>
          <w:color w:val="auto"/>
        </w:rPr>
        <w:t>.</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2.10.4. Grow 2 mL cultures of the correct clones in LB media overnight at 37&amp;#176;C in a shaking incubator.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2.11.    Miniprep the plasmids according to the manufacturer’s instructions.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2.12.    Sequence to check TALEN sequence with TAL_F1 and TAL_R2 following previously described methods</w:t>
      </w:r>
      <w:r>
        <w:rPr>
          <w:color w:val="auto"/>
          <w:vertAlign w:val="superscript"/>
        </w:rPr>
        <w:t>35</w:t>
      </w:r>
      <w:r>
        <w:rPr>
          <w:color w:val="auto"/>
        </w:rPr>
        <w:t>.</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ind w:left="360" w:hanging="360"/>
      </w:pPr>
      <w:r>
        <w:rPr>
          <w:b/>
          <w:bCs/>
          <w:color w:val="auto"/>
          <w:shd w:val="clear" w:color="auto" w:fill="FFFF00"/>
        </w:rPr>
        <w:t>3.   mRNA transcription of TALENs</w:t>
      </w:r>
    </w:p>
    <w:p w:rsidR="003759ED" w:rsidRDefault="003759ED">
      <w:pPr>
        <w:pStyle w:val="NormalWeb"/>
        <w:spacing w:before="0" w:beforeAutospacing="0" w:after="0" w:afterAutospacing="0"/>
        <w:ind w:left="360" w:hanging="360"/>
      </w:pPr>
    </w:p>
    <w:p w:rsidR="003759ED" w:rsidRDefault="00DB56BE">
      <w:pPr>
        <w:pStyle w:val="NormalWeb"/>
        <w:spacing w:before="0" w:beforeAutospacing="0" w:after="0" w:afterAutospacing="0"/>
      </w:pPr>
      <w:r>
        <w:rPr>
          <w:color w:val="auto"/>
          <w:shd w:val="clear" w:color="auto" w:fill="FFFF00"/>
        </w:rPr>
        <w:t xml:space="preserve">3.1.      Digest 4 &amp;#181;g of sequence-verified template with 2 &amp;#181;L </w:t>
      </w:r>
      <w:r>
        <w:rPr>
          <w:i/>
          <w:iCs/>
          <w:color w:val="auto"/>
          <w:shd w:val="clear" w:color="auto" w:fill="FFFF00"/>
        </w:rPr>
        <w:t>Sac</w:t>
      </w:r>
      <w:r>
        <w:rPr>
          <w:color w:val="auto"/>
          <w:shd w:val="clear" w:color="auto" w:fill="FFFF00"/>
        </w:rPr>
        <w:t>I for 2 hours at 37&amp;#176;C.</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 xml:space="preserve">3.2.      Run 2 &amp;#181;L of the </w:t>
      </w:r>
      <w:r>
        <w:rPr>
          <w:i/>
          <w:iCs/>
          <w:color w:val="auto"/>
          <w:shd w:val="clear" w:color="auto" w:fill="FFFF00"/>
        </w:rPr>
        <w:t>Sac</w:t>
      </w:r>
      <w:r>
        <w:rPr>
          <w:color w:val="auto"/>
          <w:shd w:val="clear" w:color="auto" w:fill="FFFF00"/>
        </w:rPr>
        <w:t>I-digested plasmid on a 1.5% agarose gel by electrophoresis.  Plasmids that are correctly digested will display a single band.</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 xml:space="preserve">3.3.      Purify the remaining </w:t>
      </w:r>
      <w:r>
        <w:rPr>
          <w:i/>
          <w:iCs/>
          <w:color w:val="auto"/>
        </w:rPr>
        <w:t>Sac</w:t>
      </w:r>
      <w:r>
        <w:rPr>
          <w:color w:val="auto"/>
        </w:rPr>
        <w:t>I-digested plasmid following the PCR purification kit protocol.  Wash twice with the wash solution prior to elution.  Elute into 30 &amp;#181;L of nuclease-free water.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3.4.      Follow the standard protocol for T3 mRNA production.</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3.4.1.   Set up half reactions using 0.5 &amp;#181;g of linearized template (prepared above).  Incubate at 37&amp;#176;C for 2 hours.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3.4.2.   Add 0.5 &amp;#181;L of DNase (included in kit) and incubate at 37&amp;#176;C for 15 minutes.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3.5.      Purify the mRNA, following the manufacturer’s instructions.  Elute into 30 &amp;#181;L nuclease-free water.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3.6.      Run a 1.5% agarose gel by electrophoresis to check the mRNA.</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3.6.1.   Clean the gel apparatus with a product to eliminate RNase contamination and prepare a 1.2% gel.</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3.6.2.   Mix 1 &amp;#181;L mRNA + 4 &amp;#181;L nuclease-free water + 5 &amp;#181;L glyoxyl loading dye.  Incubate samples at 50&amp;#176;C for 30 minutes.  Centrifuge the tubes briefly and place on ice before running the gel.</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 xml:space="preserve">3.7.      </w:t>
      </w:r>
      <w:r>
        <w:rPr>
          <w:color w:val="auto"/>
          <w:shd w:val="clear" w:color="auto" w:fill="FFFF00"/>
        </w:rPr>
        <w:t>Check the concentration using a method of quantifying nucleic acid concentrations and store the RNA in aliquots at -80&amp;#176;C.  Choose an aliquot size such that RNA is not frozen/thawed more than once.</w:t>
      </w:r>
      <w:r>
        <w:rPr>
          <w:color w:val="auto"/>
        </w:rPr>
        <w:t xml:space="preserve">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Note: Concentrations of 500-1000 ng/nL are typically obtained.  RNA with a lower concentration can be used as long as RNA integrity is maintained (as assessed by a band rather than a smear on the gel).</w:t>
      </w:r>
      <w:r>
        <w:rPr>
          <w:color w:val="auto"/>
        </w:rPr>
        <w:t xml:space="preserve">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ind w:left="360" w:hanging="360"/>
      </w:pPr>
      <w:r>
        <w:rPr>
          <w:b/>
          <w:bCs/>
          <w:color w:val="auto"/>
          <w:shd w:val="clear" w:color="auto" w:fill="FFFF00"/>
        </w:rPr>
        <w:t xml:space="preserve">4.   Inject </w:t>
      </w:r>
      <w:r>
        <w:rPr>
          <w:b/>
          <w:bCs/>
          <w:i/>
          <w:iCs/>
          <w:color w:val="auto"/>
          <w:shd w:val="clear" w:color="auto" w:fill="FFFF00"/>
        </w:rPr>
        <w:t xml:space="preserve">Astyanax mexicanus </w:t>
      </w:r>
      <w:r>
        <w:rPr>
          <w:b/>
          <w:bCs/>
          <w:color w:val="auto"/>
          <w:shd w:val="clear" w:color="auto" w:fill="FFFF00"/>
        </w:rPr>
        <w:t>embryos with TALEN mRNA</w:t>
      </w:r>
    </w:p>
    <w:p w:rsidR="003759ED" w:rsidRDefault="003759ED">
      <w:pPr>
        <w:pStyle w:val="NormalWeb"/>
        <w:spacing w:before="0" w:beforeAutospacing="0" w:after="0" w:afterAutospacing="0"/>
        <w:ind w:left="360" w:hanging="360"/>
      </w:pPr>
    </w:p>
    <w:p w:rsidR="003759ED" w:rsidRDefault="00DB56BE">
      <w:pPr>
        <w:pStyle w:val="NormalWeb"/>
        <w:spacing w:before="0" w:beforeAutospacing="0" w:after="0" w:afterAutospacing="0"/>
      </w:pPr>
      <w:r>
        <w:rPr>
          <w:color w:val="auto"/>
        </w:rPr>
        <w:t>4.1.      Prepare tools for injection.</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4.1.1.   Pour injection plates by pouring 1.2% agarose in fish water (water conditioned with sodium bicarbonate and sea salt to pH 7.4 and conductivity 700 &amp;#181;S) into a petri dish.  Place a mold (plastic piece with projections to make wells for fish eggs) inside the dish.  Remove the mold when the agarose has hardened and store at 4&amp;#176;C.  For details on the mold see</w:t>
      </w:r>
      <w:r>
        <w:rPr>
          <w:color w:val="auto"/>
          <w:vertAlign w:val="superscript"/>
        </w:rPr>
        <w:t>36</w:t>
      </w:r>
      <w:r>
        <w:rPr>
          <w:color w:val="auto"/>
        </w:rPr>
        <w:t>.</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4.1.2.   Pull needles for injection using a needle puller according to manufacturer’s instructions.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Note: Appropriate needle length is important for injections.  Needles that are too long will be too flexible for injections.  The protocol for pulling needles will vary with the equipment used to pull needles.  An example of an appropriate needle is shown in Figure 1. For our equipment, we pull needles that are 5-6 cm in length, and have an outer diameter of approximately 0.011 mm when broken. However, needles should be calibrated (step 4.3.4) to determine opening width. An example program for pulling needles can be found in Table 7.</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 xml:space="preserve">4.1.3.   Prepare glass pipettes for embryo transfer by breaking the pipette so that the opening is large enough for an egg to pass through.  Flame the broken end until it is no longer sharp. Note: It is important to use glass pipettes and glass bowls when working with </w:t>
      </w:r>
      <w:r>
        <w:rPr>
          <w:i/>
          <w:iCs/>
          <w:color w:val="auto"/>
        </w:rPr>
        <w:t xml:space="preserve">A. mexicanus </w:t>
      </w:r>
      <w:r>
        <w:rPr>
          <w:color w:val="auto"/>
        </w:rPr>
        <w:t>eggs and embryos as they are sticky and will adhere to plastic.</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 xml:space="preserve">4.2.      Collect 1-cell stage eggs.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 xml:space="preserve">4.2.1    Breed </w:t>
      </w:r>
      <w:r>
        <w:rPr>
          <w:i/>
          <w:iCs/>
          <w:color w:val="auto"/>
        </w:rPr>
        <w:t xml:space="preserve">A. mexicanus </w:t>
      </w:r>
      <w:r>
        <w:rPr>
          <w:color w:val="auto"/>
        </w:rPr>
        <w:t>following standard protocols</w:t>
      </w:r>
      <w:r>
        <w:rPr>
          <w:color w:val="auto"/>
          <w:vertAlign w:val="superscript"/>
        </w:rPr>
        <w:t>37</w:t>
      </w:r>
      <w:r>
        <w:rPr>
          <w:color w:val="auto"/>
        </w:rPr>
        <w:t>.  Note: For example, if fish are maintained on a 14 light:10 dark cycle and using Zeitgerber time (ZT) with ZT0 as lights on and ZT14 as lights off, our surface fish spawn between ZT15 and ZT19. Exact spawning time must be determined for each individual lab.</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 xml:space="preserve">4.2.2    Induce spawning by overfeeding fish for 3-4 days prior to mating and placing fish into fresh water. Raise the temperature 2&amp;#176;F. Note: Our initial water temperature is approximately 72&amp;#176;F.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4.2.3    Collect surface fish eggs in the dark, checking every 15 minutes to obtain eggs at the 1 cell stage.  Hundreds of eggs can be obtained from a single pair of surface fish.</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 xml:space="preserve">4.2.4    Collect eggs in glass bowls to prevent sticking to plastic surfaces and sort to isolate embryos at the 1 cell stage prior to injection by observing eggs under the microscope and collecting eggs that are a single cell.  Keep eggs in fresh system water </w:t>
      </w:r>
      <w:r>
        <w:rPr>
          <w:color w:val="auto"/>
        </w:rPr>
        <w:t>(tank water in which adult fish are housed, which has been treated for pH and conductivity).</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4.3.      Inject TALEN mRNA.</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4.3.1.   Inject different amounts of total mRNA (equal amounts of each TALEN in the pair) to determine the optimal concentration for injection as toxicity and efficiency vary by TALEN pair.  Start by injecting concentrations of total mRNA that are 400-800 pg.  Dilute and combine mRNA to desired concentrations for injecting 1.5 nL.</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4.3.2.   Load diluted mRNA into the back of the needle and attach the needle to a micro-injector.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4.3.3.   Break the needle using forceps.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4.3.4.   Calibrate the needle.  For example, eject 10 times and collect the resulting drop in a micro capillary.  For 10x100 disposable 1.0 &amp;#181;L, 32 mm micro capillary, the drop should fill the micro capillary to 0.5 millimeters for 1.5 nL/1 injection.  Adjust the injection time and pressure as needed.</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4.3.5.   Insert the needle into the single cell and inject the mRNA.  Inject the mRNA directly into the cell, not into the yolk.</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 xml:space="preserve">4.3.6.   Collect injected embryos in glass bowls.  Keep embryos at 23-25&amp;#176;C. Remove dead embryos (embryos that become cloudy and irregularly shaped) regularly for the first few days following injection.  Record numbers of dead and deformed embryos from control (uninjected) and injected plates.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Note: Increased mRNA concentration can lead to increased toxicity and deformity/death of embryos.  Thus, toxicity versus efficiency must be balanced to determine the best concentration of mRNA to inject.</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ind w:left="360" w:hanging="360"/>
      </w:pPr>
      <w:r>
        <w:rPr>
          <w:b/>
          <w:bCs/>
          <w:color w:val="auto"/>
        </w:rPr>
        <w:t xml:space="preserve">5.   </w:t>
      </w:r>
      <w:r>
        <w:rPr>
          <w:b/>
          <w:bCs/>
          <w:color w:val="auto"/>
          <w:shd w:val="clear" w:color="auto" w:fill="FFFF00"/>
        </w:rPr>
        <w:t>Phenotype founder fish and evaluate TALEN efficiency</w:t>
      </w:r>
    </w:p>
    <w:p w:rsidR="003759ED" w:rsidRDefault="003759ED">
      <w:pPr>
        <w:pStyle w:val="NormalWeb"/>
        <w:spacing w:before="0" w:beforeAutospacing="0" w:after="0" w:afterAutospacing="0"/>
        <w:ind w:left="360" w:hanging="360"/>
      </w:pPr>
    </w:p>
    <w:p w:rsidR="00C86A92" w:rsidRDefault="00DB56BE">
      <w:pPr>
        <w:pStyle w:val="NormalWeb"/>
        <w:spacing w:before="0" w:beforeAutospacing="0" w:after="240" w:afterAutospacing="0"/>
        <w:jc w:val="left"/>
      </w:pPr>
      <w:r>
        <w:rPr>
          <w:color w:val="auto"/>
        </w:rPr>
        <w:t xml:space="preserve">5.1.      Sacrifice embryos according to institutional animal protocol.  Note: We euthanize embryos by rapid chilling on ice. </w:t>
      </w:r>
    </w:p>
    <w:p w:rsidR="003759ED" w:rsidRDefault="00DB56BE">
      <w:pPr>
        <w:pStyle w:val="NormalWeb"/>
        <w:spacing w:before="0" w:beforeAutospacing="0" w:after="0" w:afterAutospacing="0"/>
      </w:pPr>
      <w:r>
        <w:rPr>
          <w:color w:val="auto"/>
          <w:shd w:val="clear" w:color="auto" w:fill="FFFF00"/>
        </w:rPr>
        <w:t xml:space="preserve">5.2.      Collect embryos into 0.8 &amp;#181;L PCR strip tubes using a transfer pipette.  Note: Genotyping can be performed on individual embryos or pools of embryos.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5.3.      Extract DNA.</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5.3.1.       Place embryos into 100 &amp;#181;L 50 mM sodium hydroxide (NaOH) and incubate at 95&amp;#176;C for 30 minutes, then cool to 4&amp;#176;C.</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5.3.2.   Add 1/10</w:t>
      </w:r>
      <w:r>
        <w:rPr>
          <w:color w:val="auto"/>
          <w:shd w:val="clear" w:color="auto" w:fill="FFFF00"/>
          <w:vertAlign w:val="superscript"/>
        </w:rPr>
        <w:t>th</w:t>
      </w:r>
      <w:r>
        <w:rPr>
          <w:color w:val="auto"/>
          <w:shd w:val="clear" w:color="auto" w:fill="FFFF00"/>
        </w:rPr>
        <w:t xml:space="preserve"> volume (10 &amp;#181;L) of 1 M Tris-HCl pH 8.</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5.4.      Perform a PCR on the region using the primers designed in step 1.3 (see Tables 8 and 9 for sample protocols).  For individual embryos 1 &amp;#181;L of DNA is sufficient for the PCR reaction.</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 xml:space="preserve">5.5.      Digest the resulting PCR product with the appropriate restriction enzyme and run a 1.5% agarose gel by electrophoresis.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shd w:val="clear" w:color="auto" w:fill="FFFF00"/>
        </w:rPr>
        <w:t xml:space="preserve">5.5.1    For example, for genotyping the </w:t>
      </w:r>
      <w:r>
        <w:rPr>
          <w:i/>
          <w:iCs/>
          <w:color w:val="auto"/>
          <w:shd w:val="clear" w:color="auto" w:fill="FFFF00"/>
        </w:rPr>
        <w:t xml:space="preserve">oculocutaneous albinism 2 (oca2) </w:t>
      </w:r>
      <w:r>
        <w:rPr>
          <w:color w:val="auto"/>
          <w:shd w:val="clear" w:color="auto" w:fill="FFFF00"/>
        </w:rPr>
        <w:t xml:space="preserve">locus in injected embryos digest the PCR product using the restriction enzyme </w:t>
      </w:r>
      <w:r>
        <w:rPr>
          <w:i/>
          <w:iCs/>
          <w:color w:val="auto"/>
          <w:shd w:val="clear" w:color="auto" w:fill="FFFF00"/>
        </w:rPr>
        <w:t>Bsr</w:t>
      </w:r>
      <w:r>
        <w:rPr>
          <w:color w:val="auto"/>
          <w:shd w:val="clear" w:color="auto" w:fill="FFFF00"/>
        </w:rPr>
        <w:t xml:space="preserve">I by adding 0.5 &amp;#181;L of </w:t>
      </w:r>
      <w:r>
        <w:rPr>
          <w:i/>
          <w:iCs/>
          <w:color w:val="auto"/>
          <w:shd w:val="clear" w:color="auto" w:fill="FFFF00"/>
        </w:rPr>
        <w:t>Bsr</w:t>
      </w:r>
      <w:r>
        <w:rPr>
          <w:color w:val="auto"/>
          <w:shd w:val="clear" w:color="auto" w:fill="FFFF00"/>
        </w:rPr>
        <w:t>I directly to 12.5 &amp;#181;L of the completed PCR reaction, incubating at 65&amp;#176;C for 2 hours. Run the undigested and the digested product on a gel.  Restriction enzyme resistant bands (i.e., bands that do not digest) indicate that TALEN-induced mutations are present (Figure 2).</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5.6.      (Optional) Calculate percentage mutation rate by determining the percentage of uncut product by analyzing images of gels in Fiji</w:t>
      </w:r>
      <w:r>
        <w:rPr>
          <w:color w:val="auto"/>
          <w:vertAlign w:val="superscript"/>
        </w:rPr>
        <w:t>38</w:t>
      </w:r>
      <w:r>
        <w:rPr>
          <w:color w:val="auto"/>
        </w:rPr>
        <w:t xml:space="preserve"> using the gel analysis tool to calculate the intensity value of each band as described previously</w:t>
      </w:r>
      <w:r>
        <w:rPr>
          <w:color w:val="auto"/>
          <w:vertAlign w:val="superscript"/>
        </w:rPr>
        <w:t>29</w:t>
      </w:r>
      <w:r>
        <w:rPr>
          <w:color w:val="auto"/>
        </w:rPr>
        <w:t>.</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5.7.      Determine the sequence of mutant alleles by TA cloning the gel purified restriction enzyme resistant mutant band and sequencing clones.</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5.7.1.   Gel purify the restriction enzyme resistant mutant band following the manufacturer’s instructions. TA clone the band following the manufacturer’s instructions.  Pick colonies and grow in 1.5 mL LB overnight at 37&amp;#176;C in a shaking incubator.</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 xml:space="preserve">5.7.2.   Miniprep cultures following the manufacturer’s instructions. Send the DNA for sequencing.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5.7.3.   Using a program such as ApE, align the mutant sequences to the wildtype sequence.</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5.7.3.1.            Copy and paste both sequences into ApE files. Choose the “Align Two Sequences” tool from the “Tools” menu.</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5.7.3.2.            Specify the two DNA sequences using the dropdown menus.  Note: The reverse complement of the cloned sequence may need to be used depending on the direction the PCR went into the cloning vector.  If the sequences do not align, repeat steps checking the “Rev-Com” box in the “Align DNA” box.</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5.8.      Evaluate founder fish for phenotypes at appropriate stage and using appropriate methods for the expected phenotype</w:t>
      </w:r>
      <w:r>
        <w:rPr>
          <w:color w:val="auto"/>
          <w:vertAlign w:val="superscript"/>
        </w:rPr>
        <w:t>29</w:t>
      </w:r>
      <w:r>
        <w:rPr>
          <w:color w:val="auto"/>
        </w:rPr>
        <w:t xml:space="preserve"> (For example, Figure 3). Methods of phenotyping will be based on the expected phenotype for the gene targeted by the researcher using the protocol.</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ind w:left="360" w:hanging="360"/>
      </w:pPr>
      <w:r>
        <w:rPr>
          <w:b/>
          <w:bCs/>
          <w:color w:val="auto"/>
        </w:rPr>
        <w:t>6.   Screen for germline transmission</w:t>
      </w:r>
    </w:p>
    <w:p w:rsidR="003759ED" w:rsidRDefault="003759ED">
      <w:pPr>
        <w:pStyle w:val="NormalWeb"/>
        <w:spacing w:before="0" w:beforeAutospacing="0" w:after="0" w:afterAutospacing="0"/>
        <w:ind w:left="360" w:hanging="360"/>
      </w:pPr>
    </w:p>
    <w:p w:rsidR="00C86A92" w:rsidRDefault="00DB56BE">
      <w:pPr>
        <w:pStyle w:val="NormalWeb"/>
        <w:spacing w:before="0" w:beforeAutospacing="0" w:after="0" w:afterAutospacing="0"/>
      </w:pPr>
      <w:r>
        <w:rPr>
          <w:b/>
          <w:bCs/>
          <w:color w:val="auto"/>
        </w:rPr>
        <w:t xml:space="preserve">Note: </w:t>
      </w:r>
      <w:r>
        <w:rPr>
          <w:i/>
          <w:iCs/>
          <w:color w:val="auto"/>
        </w:rPr>
        <w:t xml:space="preserve">A. mexicanus </w:t>
      </w:r>
      <w:r>
        <w:rPr>
          <w:color w:val="auto"/>
        </w:rPr>
        <w:t>reach sexual maturity at 4-8 months.</w:t>
      </w:r>
    </w:p>
    <w:p w:rsidR="00C86A92" w:rsidRDefault="00DB56BE">
      <w:pPr>
        <w:pStyle w:val="NormalWeb"/>
        <w:spacing w:before="0" w:beforeAutospacing="0" w:after="0" w:afterAutospacing="0"/>
      </w:pPr>
      <w:r>
        <w:rPr>
          <w:color w:val="auto"/>
        </w:rPr>
        <w:t xml:space="preserve">  </w:t>
      </w:r>
    </w:p>
    <w:p w:rsidR="003759ED" w:rsidRDefault="00DB56BE">
      <w:pPr>
        <w:pStyle w:val="NormalWeb"/>
        <w:spacing w:before="0" w:beforeAutospacing="0" w:after="0" w:afterAutospacing="0"/>
      </w:pPr>
      <w:r>
        <w:rPr>
          <w:color w:val="auto"/>
        </w:rPr>
        <w:t>6.1.      Cross sexually mature founder fish to wild type fish.</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 xml:space="preserve">6.2.      Screen embryos or adult fish using methods in steps 5.1-5.7 (Figure 4).  For adult fish, a piece of the tail can be clipped following anesthetization.  </w:t>
      </w:r>
    </w:p>
    <w:p w:rsidR="003759ED" w:rsidRDefault="003759ED">
      <w:pPr>
        <w:pStyle w:val="NormalWeb"/>
        <w:spacing w:before="0" w:beforeAutospacing="0" w:after="0" w:afterAutospacing="0"/>
      </w:pPr>
    </w:p>
    <w:p w:rsidR="003759ED" w:rsidRDefault="00DB56BE">
      <w:pPr>
        <w:pStyle w:val="NormalWeb"/>
        <w:spacing w:before="0" w:beforeAutospacing="0" w:after="0" w:afterAutospacing="0"/>
      </w:pPr>
      <w:r>
        <w:rPr>
          <w:color w:val="auto"/>
        </w:rPr>
        <w:t>6.2.1    Anesthetize fish by submerging fish in a solution of tricaine (3-aminobenzoic acid ethyl ester) to reduce stress during fin clipping.  Following fin clipping, allow fish to recover in fresh water.  Fish recover rapidly; observe until they have recovered (are swimming normally).</w:t>
      </w:r>
    </w:p>
    <w:p w:rsidR="003759ED" w:rsidRDefault="003759ED">
      <w:pPr>
        <w:pStyle w:val="NormalWeb"/>
        <w:spacing w:before="0" w:beforeAutospacing="0" w:after="0" w:afterAutospacing="0"/>
      </w:pPr>
    </w:p>
    <w:p w:rsidR="003759ED" w:rsidRDefault="00DB56BE">
      <w:r>
        <w:rPr>
          <w:b/>
          <w:bCs/>
          <w:color w:val="auto"/>
        </w:rPr>
        <w:t xml:space="preserve">REPRESENTATIVE RESULTS: </w:t>
      </w:r>
    </w:p>
    <w:p w:rsidR="003759ED" w:rsidRDefault="003759ED"/>
    <w:p w:rsidR="003759ED" w:rsidRDefault="00DB56BE">
      <w:r>
        <w:rPr>
          <w:color w:val="auto"/>
        </w:rPr>
        <w:t xml:space="preserve">TALEN pair injections result in binding of the RVDs to specific DNA nucleotides and thus dimerization of </w:t>
      </w:r>
      <w:r>
        <w:rPr>
          <w:i/>
          <w:iCs/>
          <w:color w:val="auto"/>
        </w:rPr>
        <w:t xml:space="preserve">FokI </w:t>
      </w:r>
      <w:r>
        <w:rPr>
          <w:color w:val="auto"/>
        </w:rPr>
        <w:t>domains, resulting in double stranded breaks</w:t>
      </w:r>
      <w:r>
        <w:rPr>
          <w:color w:val="auto"/>
          <w:vertAlign w:val="superscript"/>
        </w:rPr>
        <w:t>39</w:t>
      </w:r>
      <w:r>
        <w:rPr>
          <w:color w:val="auto"/>
        </w:rPr>
        <w:t xml:space="preserve"> which can be repaired through non-homologous end joining (NHEJ).  NHEJ often introduces errors that result in insertions or deletions (indels).  Indels can be identified by amplifying the region surrounding the TALEN target site and digesting the resulting amplicon with a restriction enzyme that cuts within the TALEN spacer region.  Alleles without an indel will digest while alleles containing indels that change the restriction enzyme target sequence will not digest, producing a restriction enzyme resistant band (Figure 2).</w:t>
      </w:r>
    </w:p>
    <w:p w:rsidR="003759ED" w:rsidRDefault="003759ED"/>
    <w:p w:rsidR="003759ED" w:rsidRDefault="00DB56BE">
      <w:r>
        <w:rPr>
          <w:color w:val="auto"/>
        </w:rPr>
        <w:t xml:space="preserve">TALEN injections can likely result in biallelic gene mutations in </w:t>
      </w:r>
      <w:r>
        <w:rPr>
          <w:i/>
          <w:iCs/>
          <w:color w:val="auto"/>
        </w:rPr>
        <w:t>A. mexicanus</w:t>
      </w:r>
      <w:r>
        <w:rPr>
          <w:color w:val="auto"/>
          <w:vertAlign w:val="superscript"/>
        </w:rPr>
        <w:t>29</w:t>
      </w:r>
      <w:r>
        <w:rPr>
          <w:color w:val="auto"/>
        </w:rPr>
        <w:t xml:space="preserve">.  Thus, some phenotypes may be assessed in founder fish.  For example, we evaluated pigmentation in surface fish injected with TALENs targeting </w:t>
      </w:r>
      <w:r>
        <w:rPr>
          <w:i/>
          <w:iCs/>
          <w:color w:val="auto"/>
        </w:rPr>
        <w:t>oca2</w:t>
      </w:r>
      <w:r>
        <w:rPr>
          <w:color w:val="auto"/>
        </w:rPr>
        <w:t>, the gene hypothesized to be responsible for albinism in multiple albino populations of cavefish</w:t>
      </w:r>
      <w:r>
        <w:rPr>
          <w:color w:val="auto"/>
          <w:vertAlign w:val="superscript"/>
        </w:rPr>
        <w:t>1,28</w:t>
      </w:r>
      <w:r>
        <w:rPr>
          <w:color w:val="auto"/>
        </w:rPr>
        <w:t xml:space="preserve">.  We found albino patches in </w:t>
      </w:r>
      <w:r>
        <w:rPr>
          <w:i/>
          <w:iCs/>
          <w:color w:val="auto"/>
        </w:rPr>
        <w:t xml:space="preserve">oca2 </w:t>
      </w:r>
      <w:r>
        <w:rPr>
          <w:color w:val="auto"/>
        </w:rPr>
        <w:t>TALEN-injected fish not present in uninjected fish</w:t>
      </w:r>
      <w:r>
        <w:rPr>
          <w:color w:val="auto"/>
          <w:vertAlign w:val="superscript"/>
        </w:rPr>
        <w:t>29</w:t>
      </w:r>
      <w:r>
        <w:rPr>
          <w:color w:val="auto"/>
        </w:rPr>
        <w:t xml:space="preserve"> (Figure 3).  </w:t>
      </w:r>
    </w:p>
    <w:p w:rsidR="003759ED" w:rsidRDefault="003759ED"/>
    <w:p w:rsidR="003759ED" w:rsidRDefault="00DB56BE">
      <w:r>
        <w:rPr>
          <w:color w:val="auto"/>
        </w:rPr>
        <w:t xml:space="preserve">For many experiments, it is desirable to have mutant lines of fish for evaluating phenotypes.  Founder fish with transmitted mutant alleles can be identified by genotyping progeny from crosses of founder fish to wild type fish (Figure 4). </w:t>
      </w:r>
    </w:p>
    <w:p w:rsidR="003759ED" w:rsidRDefault="003759ED"/>
    <w:p w:rsidR="003759ED" w:rsidRDefault="00DB56BE">
      <w:r>
        <w:rPr>
          <w:b/>
          <w:bCs/>
          <w:color w:val="auto"/>
        </w:rPr>
        <w:t>Figure and Table Legends:</w:t>
      </w:r>
      <w:r>
        <w:rPr>
          <w:i/>
          <w:iCs/>
          <w:color w:val="auto"/>
        </w:rPr>
        <w:t xml:space="preserve"> </w:t>
      </w:r>
    </w:p>
    <w:p w:rsidR="003759ED" w:rsidRDefault="003759ED"/>
    <w:p w:rsidR="00C86A92" w:rsidRDefault="00DB56BE">
      <w:r>
        <w:rPr>
          <w:b/>
          <w:bCs/>
          <w:color w:val="auto"/>
        </w:rPr>
        <w:t>Figure 1:  Needle for injecting mRNA</w:t>
      </w:r>
    </w:p>
    <w:p w:rsidR="003759ED" w:rsidRDefault="00DB56BE">
      <w:r>
        <w:rPr>
          <w:color w:val="auto"/>
        </w:rPr>
        <w:t>Photograph of a micropipette prior to being broken used for injecting TALEN mRNA into single celled embryos.</w:t>
      </w:r>
    </w:p>
    <w:p w:rsidR="003759ED" w:rsidRDefault="003759ED"/>
    <w:p w:rsidR="00C86A92" w:rsidRDefault="00DB56BE">
      <w:r>
        <w:rPr>
          <w:b/>
          <w:bCs/>
          <w:color w:val="auto"/>
        </w:rPr>
        <w:t>Figure 2: TALEN efficiency for Oca2</w:t>
      </w:r>
    </w:p>
    <w:p w:rsidR="003759ED" w:rsidRDefault="00DB56BE">
      <w:r>
        <w:rPr>
          <w:color w:val="auto"/>
        </w:rPr>
        <w:t xml:space="preserve">306 bp PCR products from exon 9 of </w:t>
      </w:r>
      <w:r>
        <w:rPr>
          <w:i/>
          <w:iCs/>
          <w:color w:val="auto"/>
        </w:rPr>
        <w:t>oca2</w:t>
      </w:r>
      <w:r>
        <w:rPr>
          <w:color w:val="auto"/>
        </w:rPr>
        <w:t xml:space="preserve"> in </w:t>
      </w:r>
      <w:r>
        <w:rPr>
          <w:i/>
          <w:iCs/>
          <w:color w:val="auto"/>
        </w:rPr>
        <w:t>Astyanax mexicanus</w:t>
      </w:r>
      <w:r>
        <w:rPr>
          <w:color w:val="auto"/>
        </w:rPr>
        <w:t xml:space="preserve"> were examined for loss of the restriction enzyme site when different amounts of TALEN mRNA were injected</w:t>
      </w:r>
      <w:r>
        <w:rPr>
          <w:color w:val="auto"/>
          <w:vertAlign w:val="superscript"/>
        </w:rPr>
        <w:t>29</w:t>
      </w:r>
      <w:r>
        <w:rPr>
          <w:color w:val="auto"/>
        </w:rPr>
        <w:t xml:space="preserve">.  The amplicon from a control embryo was digested while a portion of the amplicon was resistant to restriction digest in the pools of 10 TALEN injected embryos.  Restriction enzyme digest resistant bands from embryos injected with TALEN mRNA targeted </w:t>
      </w:r>
      <w:r>
        <w:rPr>
          <w:i/>
          <w:iCs/>
          <w:color w:val="auto"/>
        </w:rPr>
        <w:t xml:space="preserve">oca2 </w:t>
      </w:r>
      <w:r>
        <w:rPr>
          <w:color w:val="auto"/>
        </w:rPr>
        <w:t>have been shown to contain indels</w:t>
      </w:r>
      <w:r>
        <w:rPr>
          <w:color w:val="auto"/>
          <w:vertAlign w:val="superscript"/>
        </w:rPr>
        <w:t>29</w:t>
      </w:r>
      <w:r>
        <w:rPr>
          <w:color w:val="auto"/>
        </w:rPr>
        <w:t>.  Note that increasing concentrations of mRNA injected results in increased TALEN efficiency (more undigested DNA).  Lanes with “-“ are undigested, lanes with “+” are digested with restriction enzyme.</w:t>
      </w:r>
    </w:p>
    <w:p w:rsidR="003759ED" w:rsidRDefault="003759ED"/>
    <w:p w:rsidR="00C86A92" w:rsidRDefault="00DB56BE">
      <w:r>
        <w:rPr>
          <w:b/>
          <w:bCs/>
          <w:color w:val="auto"/>
        </w:rPr>
        <w:t>Figure 3:  Phenotyping founder fish for changes in pigmentation</w:t>
      </w:r>
    </w:p>
    <w:p w:rsidR="003759ED" w:rsidRDefault="00DB56BE">
      <w:r>
        <w:rPr>
          <w:color w:val="auto"/>
        </w:rPr>
        <w:t xml:space="preserve">A.  Control uninjected surface </w:t>
      </w:r>
      <w:r>
        <w:rPr>
          <w:i/>
          <w:iCs/>
          <w:color w:val="auto"/>
        </w:rPr>
        <w:t>A. mexicanus</w:t>
      </w:r>
      <w:r>
        <w:rPr>
          <w:color w:val="auto"/>
        </w:rPr>
        <w:t xml:space="preserve">.  B.  Patch lacking melanophores in a founder surface fish injected with 400 pg TALEN mRNA targeting </w:t>
      </w:r>
      <w:r>
        <w:rPr>
          <w:i/>
          <w:iCs/>
          <w:color w:val="auto"/>
        </w:rPr>
        <w:t xml:space="preserve">oca2 </w:t>
      </w:r>
      <w:r>
        <w:rPr>
          <w:color w:val="auto"/>
        </w:rPr>
        <w:t>(arrow).</w:t>
      </w:r>
    </w:p>
    <w:p w:rsidR="003759ED" w:rsidRDefault="003759ED"/>
    <w:p w:rsidR="00C86A92" w:rsidRDefault="00DB56BE">
      <w:r>
        <w:rPr>
          <w:b/>
          <w:bCs/>
          <w:color w:val="auto"/>
        </w:rPr>
        <w:t>Figure 4:  Germline transmission of TALEN induced mutations</w:t>
      </w:r>
    </w:p>
    <w:p w:rsidR="003759ED" w:rsidRDefault="00DB56BE">
      <w:r>
        <w:rPr>
          <w:color w:val="auto"/>
        </w:rPr>
        <w:t xml:space="preserve">306 bp PCR products from exon 9 of </w:t>
      </w:r>
      <w:r>
        <w:rPr>
          <w:i/>
          <w:iCs/>
          <w:color w:val="auto"/>
        </w:rPr>
        <w:t>oca2</w:t>
      </w:r>
      <w:r>
        <w:rPr>
          <w:color w:val="auto"/>
        </w:rPr>
        <w:t xml:space="preserve"> in </w:t>
      </w:r>
      <w:r>
        <w:rPr>
          <w:i/>
          <w:iCs/>
          <w:color w:val="auto"/>
        </w:rPr>
        <w:t>A. mexicanus</w:t>
      </w:r>
      <w:r>
        <w:rPr>
          <w:color w:val="auto"/>
        </w:rPr>
        <w:t xml:space="preserve"> were examined for loss of the restriction enzyme site in pools of 10 F</w:t>
      </w:r>
      <w:r>
        <w:rPr>
          <w:color w:val="auto"/>
          <w:vertAlign w:val="subscript"/>
        </w:rPr>
        <w:t>1</w:t>
      </w:r>
      <w:r>
        <w:rPr>
          <w:color w:val="auto"/>
        </w:rPr>
        <w:t xml:space="preserve"> fish from an injected founder fish.  The amplicon from a control embryo was digested while a portion of the amplicon was resistant to restriction digest in the pools of 10 F</w:t>
      </w:r>
      <w:r>
        <w:rPr>
          <w:color w:val="auto"/>
          <w:vertAlign w:val="subscript"/>
        </w:rPr>
        <w:t>1</w:t>
      </w:r>
      <w:r>
        <w:rPr>
          <w:color w:val="auto"/>
        </w:rPr>
        <w:t xml:space="preserve"> embryos. Restriction enzyme digest resistant bands from </w:t>
      </w:r>
      <w:r>
        <w:rPr>
          <w:i/>
          <w:iCs/>
          <w:color w:val="auto"/>
        </w:rPr>
        <w:t xml:space="preserve">oca2 </w:t>
      </w:r>
      <w:r>
        <w:rPr>
          <w:color w:val="auto"/>
        </w:rPr>
        <w:t>F</w:t>
      </w:r>
      <w:r>
        <w:rPr>
          <w:color w:val="auto"/>
          <w:vertAlign w:val="subscript"/>
        </w:rPr>
        <w:t>1</w:t>
      </w:r>
      <w:r>
        <w:rPr>
          <w:color w:val="auto"/>
        </w:rPr>
        <w:t>s have been shown to contain indels</w:t>
      </w:r>
      <w:r>
        <w:rPr>
          <w:color w:val="auto"/>
          <w:vertAlign w:val="superscript"/>
        </w:rPr>
        <w:t>29</w:t>
      </w:r>
      <w:r>
        <w:rPr>
          <w:color w:val="auto"/>
        </w:rPr>
        <w:t>.  Lanes with “-” are undigested, lanes with “+” are digested with restriction enzyme.</w:t>
      </w:r>
    </w:p>
    <w:p w:rsidR="003759ED" w:rsidRDefault="003759ED"/>
    <w:p w:rsidR="003759ED" w:rsidRDefault="00DB56BE">
      <w:r>
        <w:rPr>
          <w:b/>
          <w:bCs/>
          <w:color w:val="auto"/>
        </w:rPr>
        <w:t xml:space="preserve">Table 1:  </w:t>
      </w:r>
      <w:r>
        <w:rPr>
          <w:color w:val="auto"/>
        </w:rPr>
        <w:t>Example reaction assembly A and B for a TALEN containing RVDs NH-NH-NG-HD-HD-HD-NG-HD-NG-HD-NG-HD-NH-NI-NG.</w:t>
      </w:r>
    </w:p>
    <w:p w:rsidR="003759ED" w:rsidRDefault="003759ED"/>
    <w:p w:rsidR="003759ED" w:rsidRDefault="00DB56BE">
      <w:r>
        <w:rPr>
          <w:b/>
          <w:bCs/>
          <w:color w:val="auto"/>
        </w:rPr>
        <w:t xml:space="preserve">Table 2:  </w:t>
      </w:r>
      <w:r>
        <w:rPr>
          <w:color w:val="auto"/>
        </w:rPr>
        <w:t>PCR primers for colony PCR, from</w:t>
      </w:r>
      <w:r>
        <w:rPr>
          <w:b/>
          <w:bCs/>
          <w:color w:val="auto"/>
          <w:vertAlign w:val="superscript"/>
        </w:rPr>
        <w:t>34</w:t>
      </w:r>
      <w:r>
        <w:rPr>
          <w:b/>
          <w:bCs/>
          <w:color w:val="auto"/>
        </w:rPr>
        <w:t>.</w:t>
      </w:r>
    </w:p>
    <w:p w:rsidR="003759ED" w:rsidRDefault="003759ED"/>
    <w:p w:rsidR="003759ED" w:rsidRDefault="00DB56BE">
      <w:r>
        <w:rPr>
          <w:b/>
          <w:bCs/>
          <w:color w:val="auto"/>
        </w:rPr>
        <w:t xml:space="preserve">Table 3:  </w:t>
      </w:r>
      <w:r>
        <w:rPr>
          <w:color w:val="auto"/>
        </w:rPr>
        <w:t>Master mix for 100 &amp;#181;L (15 &amp;#181;L/reaction) for colony PCR 1.</w:t>
      </w:r>
    </w:p>
    <w:p w:rsidR="003759ED" w:rsidRDefault="003759ED"/>
    <w:p w:rsidR="003759ED" w:rsidRDefault="00DB56BE">
      <w:r>
        <w:rPr>
          <w:b/>
          <w:bCs/>
          <w:color w:val="auto"/>
        </w:rPr>
        <w:t>Table 4:</w:t>
      </w:r>
      <w:r>
        <w:rPr>
          <w:color w:val="auto"/>
        </w:rPr>
        <w:t>  PCR program for colony PCR 1.</w:t>
      </w:r>
    </w:p>
    <w:p w:rsidR="003759ED" w:rsidRDefault="003759ED"/>
    <w:p w:rsidR="003759ED" w:rsidRDefault="00DB56BE">
      <w:r>
        <w:rPr>
          <w:b/>
          <w:bCs/>
          <w:color w:val="auto"/>
        </w:rPr>
        <w:t>Table 5:</w:t>
      </w:r>
      <w:r>
        <w:rPr>
          <w:color w:val="auto"/>
        </w:rPr>
        <w:t>  Protocol for second assembly reactions.</w:t>
      </w:r>
    </w:p>
    <w:p w:rsidR="003759ED" w:rsidRDefault="003759ED"/>
    <w:p w:rsidR="003759ED" w:rsidRDefault="00DB56BE">
      <w:r>
        <w:rPr>
          <w:b/>
          <w:bCs/>
          <w:color w:val="auto"/>
        </w:rPr>
        <w:t>Table 6:</w:t>
      </w:r>
      <w:r>
        <w:rPr>
          <w:color w:val="auto"/>
        </w:rPr>
        <w:t>  PCR program for colony PCR 2.</w:t>
      </w:r>
    </w:p>
    <w:p w:rsidR="003759ED" w:rsidRDefault="003759ED"/>
    <w:p w:rsidR="003759ED" w:rsidRDefault="00DB56BE">
      <w:r>
        <w:rPr>
          <w:b/>
          <w:bCs/>
          <w:color w:val="auto"/>
        </w:rPr>
        <w:t xml:space="preserve">Table 7: </w:t>
      </w:r>
      <w:r>
        <w:rPr>
          <w:color w:val="auto"/>
        </w:rPr>
        <w:t>Sample needle pulling program.</w:t>
      </w:r>
    </w:p>
    <w:p w:rsidR="003759ED" w:rsidRDefault="003759ED"/>
    <w:p w:rsidR="003759ED" w:rsidRDefault="00DB56BE">
      <w:r>
        <w:rPr>
          <w:b/>
          <w:bCs/>
          <w:color w:val="auto"/>
        </w:rPr>
        <w:t>Table 8:</w:t>
      </w:r>
      <w:r>
        <w:rPr>
          <w:color w:val="auto"/>
        </w:rPr>
        <w:t>  Sample protocol for gene specific PCR.</w:t>
      </w:r>
    </w:p>
    <w:p w:rsidR="003759ED" w:rsidRDefault="003759ED"/>
    <w:p w:rsidR="003759ED" w:rsidRDefault="00DB56BE">
      <w:r>
        <w:rPr>
          <w:b/>
          <w:bCs/>
          <w:color w:val="auto"/>
        </w:rPr>
        <w:t>Table 9:</w:t>
      </w:r>
      <w:r>
        <w:rPr>
          <w:color w:val="auto"/>
        </w:rPr>
        <w:t>  Sample PCR program for gene specific PCR.</w:t>
      </w:r>
    </w:p>
    <w:p w:rsidR="003759ED" w:rsidRDefault="003759ED"/>
    <w:p w:rsidR="003759ED" w:rsidRDefault="00DB56BE">
      <w:r>
        <w:rPr>
          <w:b/>
          <w:bCs/>
          <w:color w:val="auto"/>
        </w:rPr>
        <w:t xml:space="preserve">DISCUSSION: </w:t>
      </w:r>
    </w:p>
    <w:p w:rsidR="003759ED" w:rsidRDefault="003759ED"/>
    <w:p w:rsidR="003759ED" w:rsidRDefault="00DB56BE">
      <w:r>
        <w:rPr>
          <w:color w:val="auto"/>
        </w:rPr>
        <w:t xml:space="preserve">Great strides have been made in recent years towards understanding the genetic basis of the evolution of traits.  While candidate genes underlying the evolution of a number of traits have been identified, it has remained challenging to test these genes </w:t>
      </w:r>
      <w:r>
        <w:rPr>
          <w:i/>
          <w:iCs/>
          <w:color w:val="auto"/>
        </w:rPr>
        <w:t xml:space="preserve">in vivo </w:t>
      </w:r>
      <w:r>
        <w:rPr>
          <w:color w:val="auto"/>
        </w:rPr>
        <w:t xml:space="preserve">due to the lack of genetic tractability of most evolutionarily interesting species.  Here we report a method for genome editing in </w:t>
      </w:r>
      <w:r>
        <w:rPr>
          <w:i/>
          <w:iCs/>
          <w:color w:val="auto"/>
        </w:rPr>
        <w:t>A. mexicanus</w:t>
      </w:r>
      <w:r>
        <w:rPr>
          <w:color w:val="auto"/>
        </w:rPr>
        <w:t>, a species used to study the evolution of cave animals.  Genetic mapping studies</w:t>
      </w:r>
      <w:r>
        <w:rPr>
          <w:color w:val="auto"/>
          <w:vertAlign w:val="superscript"/>
        </w:rPr>
        <w:t>1,21,23</w:t>
      </w:r>
      <w:r>
        <w:rPr>
          <w:color w:val="auto"/>
        </w:rPr>
        <w:t xml:space="preserve"> and candidate gene approaches</w:t>
      </w:r>
      <w:r>
        <w:rPr>
          <w:color w:val="auto"/>
          <w:vertAlign w:val="superscript"/>
        </w:rPr>
        <w:t>19,40</w:t>
      </w:r>
      <w:r>
        <w:rPr>
          <w:color w:val="auto"/>
        </w:rPr>
        <w:t xml:space="preserve"> have identified a number of candidate genes for the evolution of traits in the cave form of </w:t>
      </w:r>
      <w:r>
        <w:rPr>
          <w:i/>
          <w:iCs/>
          <w:color w:val="auto"/>
        </w:rPr>
        <w:t>A. mexicanus</w:t>
      </w:r>
      <w:r>
        <w:rPr>
          <w:color w:val="auto"/>
        </w:rPr>
        <w:t>. The recent publication of the cavefish genome</w:t>
      </w:r>
      <w:r>
        <w:rPr>
          <w:color w:val="auto"/>
          <w:vertAlign w:val="superscript"/>
        </w:rPr>
        <w:t>41</w:t>
      </w:r>
      <w:r>
        <w:rPr>
          <w:color w:val="auto"/>
        </w:rPr>
        <w:t xml:space="preserve"> provides an additional powerful tool for identifying candidate genes for the evolution of cave traits. Testing the function of many of these candidate genes requires techniques to reduce gene expression.  The only current option for studying reduced gene expression in </w:t>
      </w:r>
      <w:r>
        <w:rPr>
          <w:i/>
          <w:iCs/>
          <w:color w:val="auto"/>
        </w:rPr>
        <w:t xml:space="preserve">A. mexicanus </w:t>
      </w:r>
      <w:r>
        <w:rPr>
          <w:color w:val="auto"/>
        </w:rPr>
        <w:t>is by the use of morpholinos. However, morpholino gene knockdown is transient, limited to a few days post fertilization, and is not useful for studying traits in adult animals, such as behavioral differences between adult cave and surface fish like schooling</w:t>
      </w:r>
      <w:r>
        <w:rPr>
          <w:color w:val="auto"/>
          <w:vertAlign w:val="superscript"/>
        </w:rPr>
        <w:t>17</w:t>
      </w:r>
      <w:r>
        <w:rPr>
          <w:color w:val="auto"/>
        </w:rPr>
        <w:t>, hyperphagia</w:t>
      </w:r>
      <w:r>
        <w:rPr>
          <w:color w:val="auto"/>
          <w:vertAlign w:val="superscript"/>
        </w:rPr>
        <w:t>19</w:t>
      </w:r>
      <w:r>
        <w:rPr>
          <w:color w:val="auto"/>
        </w:rPr>
        <w:t xml:space="preserve"> and vibration attraction behavior</w:t>
      </w:r>
      <w:r>
        <w:rPr>
          <w:color w:val="auto"/>
          <w:vertAlign w:val="superscript"/>
        </w:rPr>
        <w:t>42</w:t>
      </w:r>
      <w:r>
        <w:rPr>
          <w:color w:val="auto"/>
        </w:rPr>
        <w:t>.  Generation of loss of function alleles of genes, such as those that can be made using TALENs, will be critical for testing the role of candidate genes for these traits.</w:t>
      </w:r>
    </w:p>
    <w:p w:rsidR="003759ED" w:rsidRDefault="003759ED"/>
    <w:p w:rsidR="003759ED" w:rsidRDefault="00DB56BE">
      <w:r>
        <w:rPr>
          <w:color w:val="auto"/>
        </w:rPr>
        <w:t>Methods have been developed for easy assembly of TALEN pairs</w:t>
      </w:r>
      <w:r>
        <w:rPr>
          <w:color w:val="auto"/>
          <w:vertAlign w:val="superscript"/>
        </w:rPr>
        <w:t>33</w:t>
      </w:r>
      <w:r>
        <w:rPr>
          <w:color w:val="auto"/>
        </w:rPr>
        <w:t xml:space="preserve"> and the detailed protocol for this method is available</w:t>
      </w:r>
      <w:r>
        <w:rPr>
          <w:color w:val="auto"/>
          <w:vertAlign w:val="superscript"/>
        </w:rPr>
        <w:t>34</w:t>
      </w:r>
      <w:r>
        <w:rPr>
          <w:color w:val="auto"/>
        </w:rPr>
        <w:t xml:space="preserve">.  This protocol was optimized for zebrafish use by Bedell </w:t>
      </w:r>
      <w:r>
        <w:rPr>
          <w:i/>
          <w:iCs/>
          <w:color w:val="auto"/>
        </w:rPr>
        <w:t>et al.</w:t>
      </w:r>
      <w:r>
        <w:rPr>
          <w:color w:val="auto"/>
          <w:vertAlign w:val="superscript"/>
        </w:rPr>
        <w:t>7</w:t>
      </w:r>
      <w:r>
        <w:rPr>
          <w:color w:val="auto"/>
        </w:rPr>
        <w:t xml:space="preserve">, using a different final destination vector, pT3Ts-goldyTALEN (pT3TS-gT).  This vector allows for transcription of TALEN mRNA for injection into single celled zebrafish embryos. We have used this modified assembly method, explained in detail here, to assemble and transcribe TALENs for injection into </w:t>
      </w:r>
      <w:r>
        <w:rPr>
          <w:i/>
          <w:iCs/>
          <w:color w:val="auto"/>
        </w:rPr>
        <w:t>A. mexicanus</w:t>
      </w:r>
      <w:r>
        <w:rPr>
          <w:color w:val="auto"/>
        </w:rPr>
        <w:t xml:space="preserve">.  We found that when injected into single-celled surface </w:t>
      </w:r>
      <w:r>
        <w:rPr>
          <w:i/>
          <w:iCs/>
          <w:color w:val="auto"/>
        </w:rPr>
        <w:t xml:space="preserve">A. mexicanus </w:t>
      </w:r>
      <w:r>
        <w:rPr>
          <w:color w:val="auto"/>
        </w:rPr>
        <w:t xml:space="preserve">embryos, as described within this protocol, we could mutate </w:t>
      </w:r>
      <w:r>
        <w:rPr>
          <w:i/>
          <w:iCs/>
          <w:color w:val="auto"/>
        </w:rPr>
        <w:t xml:space="preserve">A. mexicanus </w:t>
      </w:r>
      <w:r>
        <w:rPr>
          <w:color w:val="auto"/>
        </w:rPr>
        <w:t>genes</w:t>
      </w:r>
      <w:r>
        <w:rPr>
          <w:color w:val="auto"/>
          <w:vertAlign w:val="superscript"/>
        </w:rPr>
        <w:t>29</w:t>
      </w:r>
      <w:r>
        <w:rPr>
          <w:color w:val="auto"/>
        </w:rPr>
        <w:t>.  For future research on candidate genes not described in this protocol, sequences can be found in the cavefish genome</w:t>
      </w:r>
      <w:r>
        <w:rPr>
          <w:color w:val="auto"/>
          <w:vertAlign w:val="superscript"/>
        </w:rPr>
        <w:t>41</w:t>
      </w:r>
      <w:r>
        <w:rPr>
          <w:color w:val="auto"/>
        </w:rPr>
        <w:t xml:space="preserve"> and used to identify TALEN target sites.</w:t>
      </w:r>
    </w:p>
    <w:p w:rsidR="003759ED" w:rsidRDefault="003759ED"/>
    <w:p w:rsidR="003759ED" w:rsidRDefault="00DB56BE">
      <w:r>
        <w:rPr>
          <w:color w:val="auto"/>
        </w:rPr>
        <w:t>Critical for successful injections is high quality TALEN mRNA.  Thus, checking for RNA quality by running a small amount of RNA on a gel prior to injection is important (Step 3.6).  Other precautions for maintaining RNA integrity, such as freezing aliquots to avoid freeze thaws (Step 3.7), and maintaining sterile conditions by using clean water and RNAse-free tubes and tips during injections (Step 4), should be taken.  An additional critical step to raising injected fish is cleaning out dead embryos following injection, as dead embryos can rapidly affect water quality.  Thus, we remove dead embryos the morning following injections, and periodically for the next few days following injections to maintain healthy live embryos (Step 4.3.6).</w:t>
      </w:r>
    </w:p>
    <w:p w:rsidR="003759ED" w:rsidRDefault="003759ED"/>
    <w:p w:rsidR="003759ED" w:rsidRDefault="00DB56BE">
      <w:r>
        <w:rPr>
          <w:color w:val="auto"/>
        </w:rPr>
        <w:t xml:space="preserve">TALEN mutagenesis in </w:t>
      </w:r>
      <w:r>
        <w:rPr>
          <w:i/>
          <w:iCs/>
          <w:color w:val="auto"/>
        </w:rPr>
        <w:t>Astyanax mexicanus</w:t>
      </w:r>
      <w:r>
        <w:rPr>
          <w:color w:val="auto"/>
        </w:rPr>
        <w:t xml:space="preserve"> can be highly efficient; however, efficiency varies depending on the TALEN pair injected</w:t>
      </w:r>
      <w:r>
        <w:rPr>
          <w:color w:val="auto"/>
          <w:vertAlign w:val="superscript"/>
        </w:rPr>
        <w:t>29</w:t>
      </w:r>
      <w:r>
        <w:rPr>
          <w:color w:val="auto"/>
        </w:rPr>
        <w:t xml:space="preserve">.  Increased mRNA concentrations can lead to increased toxicity and deformity and death of injected embryos.  Thus, toxicity versus efficiency must be tested and balanced to determine the optimal concentration of mRNA to inject.  For highly efficient TALEN pairs, phenotypes may be assessed in injected founder fish.  For example, injection of TALENs targeting </w:t>
      </w:r>
      <w:r>
        <w:rPr>
          <w:i/>
          <w:iCs/>
          <w:color w:val="auto"/>
        </w:rPr>
        <w:t>oca2</w:t>
      </w:r>
      <w:r>
        <w:rPr>
          <w:color w:val="auto"/>
        </w:rPr>
        <w:t xml:space="preserve"> resulted in albino patches in surface fish</w:t>
      </w:r>
      <w:r>
        <w:rPr>
          <w:color w:val="auto"/>
          <w:vertAlign w:val="superscript"/>
        </w:rPr>
        <w:t>29</w:t>
      </w:r>
      <w:r>
        <w:rPr>
          <w:color w:val="auto"/>
        </w:rPr>
        <w:t xml:space="preserve"> (Figure 3).  For other traits or genes, however, assessment of phenotypes in founder fish may be challenging due to subtly of the phenotype or low efficiency of the TALEN pair injected.  Thus, for many applications it will be desirable to generate germline mutations in a gene of interest for analysis of the role of a candidate gene in a non-mosaic animal.  Obtaining germline transmission of TALEN-induced mutations in </w:t>
      </w:r>
      <w:r>
        <w:rPr>
          <w:i/>
          <w:iCs/>
          <w:color w:val="auto"/>
        </w:rPr>
        <w:t xml:space="preserve">A. mexicanus </w:t>
      </w:r>
      <w:r>
        <w:rPr>
          <w:color w:val="auto"/>
        </w:rPr>
        <w:t>is possible</w:t>
      </w:r>
      <w:r>
        <w:rPr>
          <w:color w:val="auto"/>
          <w:vertAlign w:val="superscript"/>
        </w:rPr>
        <w:t>29</w:t>
      </w:r>
      <w:r>
        <w:rPr>
          <w:color w:val="auto"/>
        </w:rPr>
        <w:t xml:space="preserve"> (Figure 4).  Thus, this technique can be applied to evaluate other candidate genes.</w:t>
      </w:r>
    </w:p>
    <w:p w:rsidR="003759ED" w:rsidRDefault="003759ED"/>
    <w:p w:rsidR="003759ED" w:rsidRDefault="00DB56BE">
      <w:r>
        <w:rPr>
          <w:color w:val="auto"/>
        </w:rPr>
        <w:t xml:space="preserve">A few limitations to performing genetic manipulations in </w:t>
      </w:r>
      <w:r>
        <w:rPr>
          <w:i/>
          <w:iCs/>
          <w:color w:val="auto"/>
        </w:rPr>
        <w:t xml:space="preserve">Astyanax mexicanus </w:t>
      </w:r>
      <w:r>
        <w:rPr>
          <w:color w:val="auto"/>
        </w:rPr>
        <w:t xml:space="preserve">exist at this time.  Surface and cavefish breed in the dark, late in the night.  In a laboratory where it is not possible to reverse the light dark cycle, researchers must come in late at night to perform injections, as it is critical to inject immediately after spawning.  Additionally, it is important to collect surface fish embryos in the dark, as light will affect spawning.  </w:t>
      </w:r>
    </w:p>
    <w:p w:rsidR="003759ED" w:rsidRDefault="003759ED"/>
    <w:p w:rsidR="003759ED" w:rsidRDefault="00DB56BE">
      <w:r>
        <w:rPr>
          <w:color w:val="auto"/>
        </w:rPr>
        <w:t>Other techniques, in particular the CRISPR/Cas system (reviewed in</w:t>
      </w:r>
      <w:r>
        <w:rPr>
          <w:color w:val="auto"/>
          <w:vertAlign w:val="superscript"/>
        </w:rPr>
        <w:t>43</w:t>
      </w:r>
      <w:r>
        <w:rPr>
          <w:color w:val="auto"/>
        </w:rPr>
        <w:t xml:space="preserve">), exist for genome editing and will likely be applicable to </w:t>
      </w:r>
      <w:r>
        <w:rPr>
          <w:i/>
          <w:iCs/>
          <w:color w:val="auto"/>
        </w:rPr>
        <w:t xml:space="preserve">A. mexicanus.  </w:t>
      </w:r>
      <w:r>
        <w:rPr>
          <w:color w:val="auto"/>
        </w:rPr>
        <w:t>Indeed, protocols for guide RNA assembly exist that are rapid and easy</w:t>
      </w:r>
      <w:r>
        <w:rPr>
          <w:color w:val="auto"/>
          <w:vertAlign w:val="superscript"/>
        </w:rPr>
        <w:t>44</w:t>
      </w:r>
      <w:r>
        <w:rPr>
          <w:color w:val="auto"/>
        </w:rPr>
        <w:t xml:space="preserve"> and the protocol reported here can be modified for CRISPR/Cas injection.  Additionally, new applications for genome editing are rapidly being developed, and many of these may prove useful for </w:t>
      </w:r>
      <w:r>
        <w:rPr>
          <w:i/>
          <w:iCs/>
          <w:color w:val="auto"/>
        </w:rPr>
        <w:t xml:space="preserve">A. mexicanus </w:t>
      </w:r>
      <w:r>
        <w:rPr>
          <w:color w:val="auto"/>
        </w:rPr>
        <w:t>researchers.  For example, in zebrafish precise mutations have been made in a gene of interest by coinjecting TALENs with a single stranded oligo containing a mutation</w:t>
      </w:r>
      <w:r>
        <w:rPr>
          <w:color w:val="auto"/>
          <w:vertAlign w:val="superscript"/>
        </w:rPr>
        <w:t>7</w:t>
      </w:r>
      <w:r>
        <w:rPr>
          <w:color w:val="auto"/>
        </w:rPr>
        <w:t xml:space="preserve">.  This technique could be useful for evaluating the role of cave alleles in generating cave phenotypes, such as the role of a missense mutation in certain cave alleles of </w:t>
      </w:r>
      <w:r>
        <w:rPr>
          <w:i/>
          <w:iCs/>
          <w:color w:val="auto"/>
        </w:rPr>
        <w:t>mc4r</w:t>
      </w:r>
      <w:r>
        <w:rPr>
          <w:color w:val="auto"/>
        </w:rPr>
        <w:t xml:space="preserve"> in differences in metabolism observed between cavefish and surface fish</w:t>
      </w:r>
      <w:r>
        <w:rPr>
          <w:color w:val="auto"/>
          <w:vertAlign w:val="superscript"/>
        </w:rPr>
        <w:t>19</w:t>
      </w:r>
      <w:r>
        <w:rPr>
          <w:color w:val="auto"/>
        </w:rPr>
        <w:t>.  TALENs have also been used to generate alleles of genes via homologous recombination that express fluorescent markers in patterns similar to the endogenous loci</w:t>
      </w:r>
      <w:r>
        <w:rPr>
          <w:color w:val="auto"/>
          <w:vertAlign w:val="superscript"/>
        </w:rPr>
        <w:t>45</w:t>
      </w:r>
      <w:r>
        <w:rPr>
          <w:color w:val="auto"/>
        </w:rPr>
        <w:t xml:space="preserve">.  These methods could be used in </w:t>
      </w:r>
      <w:r>
        <w:rPr>
          <w:i/>
          <w:iCs/>
          <w:color w:val="auto"/>
        </w:rPr>
        <w:t>A. mexicanus</w:t>
      </w:r>
      <w:r>
        <w:rPr>
          <w:color w:val="auto"/>
        </w:rPr>
        <w:t xml:space="preserve"> to evaluate subsets of cells or expression of candidate genes.  The CRISPR/Cas system has been used in zebrafish to obtain tissue-specific gene knockout</w:t>
      </w:r>
      <w:r>
        <w:rPr>
          <w:color w:val="auto"/>
          <w:vertAlign w:val="superscript"/>
        </w:rPr>
        <w:t>46</w:t>
      </w:r>
      <w:r>
        <w:rPr>
          <w:color w:val="auto"/>
        </w:rPr>
        <w:t xml:space="preserve">.  These techniques, applied to </w:t>
      </w:r>
      <w:r>
        <w:rPr>
          <w:i/>
          <w:iCs/>
          <w:color w:val="auto"/>
        </w:rPr>
        <w:t>A. mexicanus</w:t>
      </w:r>
      <w:r>
        <w:rPr>
          <w:color w:val="auto"/>
        </w:rPr>
        <w:t>, could be useful to evaluate the genetic basis of processes such as eye loss in cavefish.  The lens plays a critical role in the process of eye loss in cavefish</w:t>
      </w:r>
      <w:r>
        <w:rPr>
          <w:color w:val="auto"/>
          <w:vertAlign w:val="superscript"/>
        </w:rPr>
        <w:t>47</w:t>
      </w:r>
      <w:r>
        <w:rPr>
          <w:color w:val="auto"/>
        </w:rPr>
        <w:t xml:space="preserve"> and the tissue-specific CRISPR/Cas system could be used to evaluate the role of candidate genes for eye loss specifically in the lens versus other tissues of the eye.  These and other genome-editing techniques can be utilized in </w:t>
      </w:r>
      <w:r>
        <w:rPr>
          <w:i/>
          <w:iCs/>
          <w:color w:val="auto"/>
        </w:rPr>
        <w:t>A. mexicanus</w:t>
      </w:r>
      <w:r>
        <w:rPr>
          <w:color w:val="auto"/>
        </w:rPr>
        <w:t xml:space="preserve"> in future studies to answer critical questions about the evolution of cave traits. </w:t>
      </w:r>
    </w:p>
    <w:p w:rsidR="003759ED" w:rsidRDefault="003759ED"/>
    <w:p w:rsidR="003759ED" w:rsidRDefault="00DB56BE">
      <w:r>
        <w:rPr>
          <w:b/>
          <w:bCs/>
          <w:color w:val="auto"/>
        </w:rPr>
        <w:t xml:space="preserve">DISCLOSURES: </w:t>
      </w:r>
    </w:p>
    <w:p w:rsidR="003759ED" w:rsidRDefault="003759ED"/>
    <w:p w:rsidR="003759ED" w:rsidRDefault="00DB56BE">
      <w:r>
        <w:rPr>
          <w:color w:val="auto"/>
        </w:rPr>
        <w:t>The authors have nothing to disclose.</w:t>
      </w:r>
    </w:p>
    <w:p w:rsidR="003759ED" w:rsidRDefault="003759ED"/>
    <w:p w:rsidR="003759ED" w:rsidRDefault="00DB56BE">
      <w:r>
        <w:rPr>
          <w:b/>
          <w:bCs/>
          <w:color w:val="auto"/>
        </w:rPr>
        <w:t>ACKNOWLEDGEMENTS:</w:t>
      </w:r>
      <w:r>
        <w:rPr>
          <w:color w:val="auto"/>
        </w:rPr>
        <w:t xml:space="preserve"> </w:t>
      </w:r>
    </w:p>
    <w:p w:rsidR="003759ED" w:rsidRDefault="003759ED"/>
    <w:p w:rsidR="003759ED" w:rsidRDefault="00DB56BE">
      <w:r>
        <w:rPr>
          <w:color w:val="auto"/>
        </w:rPr>
        <w:t>This work was funded by the Department of Genetics, Development and Cell Biology and Iowa State University and by NIH grant EY024941 (WJ).</w:t>
      </w:r>
      <w:r>
        <w:t xml:space="preserve"> </w:t>
      </w:r>
      <w:r>
        <w:rPr>
          <w:color w:val="auto"/>
        </w:rPr>
        <w:t>Dr. Jeffrey Essner provided comments on the manuscript.</w:t>
      </w:r>
    </w:p>
    <w:p w:rsidR="003759ED" w:rsidRDefault="003759ED"/>
    <w:p w:rsidR="003759ED" w:rsidRDefault="00DB56BE">
      <w:r>
        <w:rPr>
          <w:b/>
          <w:bCs/>
          <w:color w:val="auto"/>
        </w:rPr>
        <w:t>REFERENCES</w:t>
      </w:r>
      <w:r>
        <w:rPr>
          <w:color w:val="auto"/>
        </w:rPr>
        <w:t xml:space="preserve"> </w:t>
      </w:r>
    </w:p>
    <w:p w:rsidR="003759ED" w:rsidRDefault="003759ED"/>
    <w:p w:rsidR="00C86A92" w:rsidRDefault="00DB56BE">
      <w:pPr>
        <w:pStyle w:val="EndNoteBibliography"/>
        <w:ind w:left="720" w:hanging="720"/>
      </w:pPr>
      <w:bookmarkStart w:id="1" w:name="_ENREF_1"/>
      <w:r>
        <w:t>1          Protas, M. E.</w:t>
      </w:r>
      <w:r>
        <w:rPr>
          <w:i/>
          <w:iCs/>
        </w:rPr>
        <w:t xml:space="preserve"> et al.</w:t>
      </w:r>
      <w:r>
        <w:t xml:space="preserve"> Genetic analysis of cavefish reveals molecular convergence in the evolution of albinism. </w:t>
      </w:r>
      <w:r>
        <w:rPr>
          <w:i/>
          <w:iCs/>
        </w:rPr>
        <w:t>Nat Genet.</w:t>
      </w:r>
      <w:r>
        <w:t xml:space="preserve"> </w:t>
      </w:r>
      <w:r>
        <w:rPr>
          <w:b/>
          <w:bCs/>
        </w:rPr>
        <w:t>38</w:t>
      </w:r>
      <w:r>
        <w:t xml:space="preserve"> (1), 107-111, doi:10.1038/ng1700, (2006).</w:t>
      </w:r>
      <w:bookmarkEnd w:id="1"/>
    </w:p>
    <w:p w:rsidR="00C86A92" w:rsidRDefault="00DB56BE">
      <w:pPr>
        <w:pStyle w:val="EndNoteBibliography"/>
        <w:ind w:left="720" w:hanging="720"/>
      </w:pPr>
      <w:bookmarkStart w:id="2" w:name="_ENREF_2"/>
      <w:r>
        <w:t xml:space="preserve">2          Hoekstra, H. E., Hirschmann, R. J., Bundey, R. A., Insel, P. A. &amp;amp; Crossland, J. P. A single amino acid mutation contributes to adaptive beach mouse color pattern. </w:t>
      </w:r>
      <w:r>
        <w:rPr>
          <w:i/>
          <w:iCs/>
        </w:rPr>
        <w:t>Science.</w:t>
      </w:r>
      <w:r>
        <w:t xml:space="preserve"> </w:t>
      </w:r>
      <w:r>
        <w:rPr>
          <w:b/>
          <w:bCs/>
        </w:rPr>
        <w:t>313</w:t>
      </w:r>
      <w:r>
        <w:t xml:space="preserve"> (5783), 101-104, doi:10.1126/science.1126121, (2006).</w:t>
      </w:r>
      <w:bookmarkEnd w:id="2"/>
    </w:p>
    <w:p w:rsidR="00C86A92" w:rsidRDefault="00DB56BE">
      <w:pPr>
        <w:pStyle w:val="EndNoteBibliography"/>
        <w:ind w:left="720" w:hanging="720"/>
      </w:pPr>
      <w:bookmarkStart w:id="3" w:name="_ENREF_3"/>
      <w:r>
        <w:t>3          Chan, Y. F.</w:t>
      </w:r>
      <w:r>
        <w:rPr>
          <w:i/>
          <w:iCs/>
        </w:rPr>
        <w:t xml:space="preserve"> et al.</w:t>
      </w:r>
      <w:r>
        <w:t xml:space="preserve"> Adaptive evolution of pelvic reduction in sticklebacks by recurrent deletion of a Pitx1 enhancer. </w:t>
      </w:r>
      <w:r>
        <w:rPr>
          <w:i/>
          <w:iCs/>
        </w:rPr>
        <w:t>Science.</w:t>
      </w:r>
      <w:r>
        <w:t xml:space="preserve"> </w:t>
      </w:r>
      <w:r>
        <w:rPr>
          <w:b/>
          <w:bCs/>
        </w:rPr>
        <w:t>327</w:t>
      </w:r>
      <w:r>
        <w:t xml:space="preserve"> (5963), 302-305, doi:10.1126/science.1182213, (2010).</w:t>
      </w:r>
      <w:bookmarkEnd w:id="3"/>
    </w:p>
    <w:p w:rsidR="00C86A92" w:rsidRDefault="00DB56BE">
      <w:pPr>
        <w:pStyle w:val="EndNoteBibliography"/>
        <w:ind w:left="720" w:hanging="720"/>
      </w:pPr>
      <w:bookmarkStart w:id="4" w:name="_ENREF_4"/>
      <w:r>
        <w:t>4          Liu, J.</w:t>
      </w:r>
      <w:r>
        <w:rPr>
          <w:i/>
          <w:iCs/>
        </w:rPr>
        <w:t xml:space="preserve"> et al.</w:t>
      </w:r>
      <w:r>
        <w:t xml:space="preserve"> Efficient and specific modifications of the Drosophila genome by means of an easy TALEN strategy. </w:t>
      </w:r>
      <w:r>
        <w:rPr>
          <w:i/>
          <w:iCs/>
        </w:rPr>
        <w:t>J Genet Genomics.</w:t>
      </w:r>
      <w:r>
        <w:t xml:space="preserve"> </w:t>
      </w:r>
      <w:r>
        <w:rPr>
          <w:b/>
          <w:bCs/>
        </w:rPr>
        <w:t>39</w:t>
      </w:r>
      <w:r>
        <w:t xml:space="preserve"> (5), 209-215, doi:10.1016/j.jgg.2012.04.003, (2012).</w:t>
      </w:r>
      <w:bookmarkEnd w:id="4"/>
    </w:p>
    <w:p w:rsidR="00C86A92" w:rsidRDefault="00DB56BE">
      <w:pPr>
        <w:pStyle w:val="EndNoteBibliography"/>
        <w:ind w:left="720" w:hanging="720"/>
      </w:pPr>
      <w:bookmarkStart w:id="5" w:name="_ENREF_5"/>
      <w:r>
        <w:t>5          Bannister, S.</w:t>
      </w:r>
      <w:r>
        <w:rPr>
          <w:i/>
          <w:iCs/>
        </w:rPr>
        <w:t xml:space="preserve"> et al.</w:t>
      </w:r>
      <w:r>
        <w:t xml:space="preserve"> TALENs mediate efficient and heritable mutation of endogenous genes in the marine annelid Platynereis dumerilii. </w:t>
      </w:r>
      <w:r>
        <w:rPr>
          <w:i/>
          <w:iCs/>
        </w:rPr>
        <w:t>Genetics.</w:t>
      </w:r>
      <w:r>
        <w:t xml:space="preserve"> </w:t>
      </w:r>
      <w:r>
        <w:rPr>
          <w:b/>
          <w:bCs/>
        </w:rPr>
        <w:t>197</w:t>
      </w:r>
      <w:r>
        <w:t xml:space="preserve"> (1), 77-89, doi:10.1534/genetics.113.161091, (2014).</w:t>
      </w:r>
      <w:bookmarkEnd w:id="5"/>
    </w:p>
    <w:p w:rsidR="00C86A92" w:rsidRDefault="00DB56BE">
      <w:pPr>
        <w:pStyle w:val="EndNoteBibliography"/>
        <w:ind w:left="720" w:hanging="720"/>
      </w:pPr>
      <w:bookmarkStart w:id="6" w:name="_ENREF_6"/>
      <w:r>
        <w:t>6          Lei, Y.</w:t>
      </w:r>
      <w:r>
        <w:rPr>
          <w:i/>
          <w:iCs/>
        </w:rPr>
        <w:t xml:space="preserve"> et al.</w:t>
      </w:r>
      <w:r>
        <w:t xml:space="preserve"> Efficient targeted gene disruption in Xenopus embryos using engineered transcription activator-like effector nucleases (TALENs). </w:t>
      </w:r>
      <w:r>
        <w:rPr>
          <w:i/>
          <w:iCs/>
        </w:rPr>
        <w:t>Proc Natl Acad Sci U S A.</w:t>
      </w:r>
      <w:r>
        <w:t xml:space="preserve"> </w:t>
      </w:r>
      <w:r>
        <w:rPr>
          <w:b/>
          <w:bCs/>
        </w:rPr>
        <w:t>109</w:t>
      </w:r>
      <w:r>
        <w:t xml:space="preserve"> (43), 17484-17489, doi:10.1073/pnas.1215421109, (2012).</w:t>
      </w:r>
      <w:bookmarkEnd w:id="6"/>
    </w:p>
    <w:p w:rsidR="00C86A92" w:rsidRDefault="00DB56BE">
      <w:pPr>
        <w:pStyle w:val="EndNoteBibliography"/>
        <w:ind w:left="720" w:hanging="720"/>
      </w:pPr>
      <w:bookmarkStart w:id="7" w:name="_ENREF_7"/>
      <w:r>
        <w:t>7          Bedell, V. M.</w:t>
      </w:r>
      <w:r>
        <w:rPr>
          <w:i/>
          <w:iCs/>
        </w:rPr>
        <w:t xml:space="preserve"> et al.</w:t>
      </w:r>
      <w:r>
        <w:t xml:space="preserve"> In vivo genome editing using a high-efficiency TALEN system. </w:t>
      </w:r>
      <w:r>
        <w:rPr>
          <w:i/>
          <w:iCs/>
        </w:rPr>
        <w:t>Nature.</w:t>
      </w:r>
      <w:r>
        <w:t xml:space="preserve"> </w:t>
      </w:r>
      <w:r>
        <w:rPr>
          <w:b/>
          <w:bCs/>
        </w:rPr>
        <w:t>491</w:t>
      </w:r>
      <w:r>
        <w:t xml:space="preserve"> (7422), 114-118, doi:10.1038/nature11537, (2012).</w:t>
      </w:r>
      <w:bookmarkEnd w:id="7"/>
    </w:p>
    <w:p w:rsidR="00C86A92" w:rsidRDefault="00DB56BE">
      <w:pPr>
        <w:pStyle w:val="EndNoteBibliography"/>
        <w:ind w:left="720" w:hanging="720"/>
      </w:pPr>
      <w:bookmarkStart w:id="8" w:name="_ENREF_8"/>
      <w:r>
        <w:t>8          Huang, P.</w:t>
      </w:r>
      <w:r>
        <w:rPr>
          <w:i/>
          <w:iCs/>
        </w:rPr>
        <w:t xml:space="preserve"> et al.</w:t>
      </w:r>
      <w:r>
        <w:t xml:space="preserve"> Heritable gene targeting in zebrafish using customized TALENs. </w:t>
      </w:r>
      <w:r>
        <w:rPr>
          <w:i/>
          <w:iCs/>
        </w:rPr>
        <w:t>Nat Biotechnol.</w:t>
      </w:r>
      <w:r>
        <w:t xml:space="preserve"> </w:t>
      </w:r>
      <w:r>
        <w:rPr>
          <w:b/>
          <w:bCs/>
        </w:rPr>
        <w:t>29</w:t>
      </w:r>
      <w:r>
        <w:t xml:space="preserve"> (8), 699-700, doi:10.1038/nbt.1939, (2011).</w:t>
      </w:r>
      <w:bookmarkEnd w:id="8"/>
    </w:p>
    <w:p w:rsidR="00C86A92" w:rsidRDefault="00DB56BE">
      <w:pPr>
        <w:pStyle w:val="EndNoteBibliography"/>
        <w:ind w:left="720" w:hanging="720"/>
      </w:pPr>
      <w:bookmarkStart w:id="9" w:name="_ENREF_9"/>
      <w:r>
        <w:t>9          Ansai, S.</w:t>
      </w:r>
      <w:r>
        <w:rPr>
          <w:i/>
          <w:iCs/>
        </w:rPr>
        <w:t xml:space="preserve"> et al.</w:t>
      </w:r>
      <w:r>
        <w:t xml:space="preserve"> Efficient targeted mutagenesis in medaka using custom-designed transcription activator-like effector nucleases. </w:t>
      </w:r>
      <w:r>
        <w:rPr>
          <w:i/>
          <w:iCs/>
        </w:rPr>
        <w:t>Genetics.</w:t>
      </w:r>
      <w:r>
        <w:t xml:space="preserve"> </w:t>
      </w:r>
      <w:r>
        <w:rPr>
          <w:b/>
          <w:bCs/>
        </w:rPr>
        <w:t>193</w:t>
      </w:r>
      <w:r>
        <w:t xml:space="preserve"> (3), 739-749, doi:10.1534/genetics.112.147645, (2013).</w:t>
      </w:r>
      <w:bookmarkEnd w:id="9"/>
    </w:p>
    <w:p w:rsidR="00C86A92" w:rsidRDefault="00DB56BE">
      <w:pPr>
        <w:pStyle w:val="EndNoteBibliography"/>
        <w:ind w:left="720" w:hanging="720"/>
      </w:pPr>
      <w:bookmarkStart w:id="10" w:name="_ENREF_10"/>
      <w:r>
        <w:t>10        Zhang, X.</w:t>
      </w:r>
      <w:r>
        <w:rPr>
          <w:i/>
          <w:iCs/>
        </w:rPr>
        <w:t xml:space="preserve"> et al.</w:t>
      </w:r>
      <w:r>
        <w:t xml:space="preserve"> Isolation of doublesex- and mab-3-related transcription factor 6 and its involvement in spermatogenesis in tilapia. </w:t>
      </w:r>
      <w:r>
        <w:rPr>
          <w:i/>
          <w:iCs/>
        </w:rPr>
        <w:t>Biol Reprod.</w:t>
      </w:r>
      <w:r>
        <w:t xml:space="preserve"> </w:t>
      </w:r>
      <w:r>
        <w:rPr>
          <w:b/>
          <w:bCs/>
        </w:rPr>
        <w:t>91</w:t>
      </w:r>
      <w:r>
        <w:t xml:space="preserve"> (6), 136, doi:10.1095/biolreprod.114.121418, (2014).</w:t>
      </w:r>
      <w:bookmarkEnd w:id="10"/>
    </w:p>
    <w:p w:rsidR="00C86A92" w:rsidRDefault="00DB56BE">
      <w:pPr>
        <w:pStyle w:val="EndNoteBibliography"/>
        <w:ind w:left="720" w:hanging="720"/>
      </w:pPr>
      <w:bookmarkStart w:id="11" w:name="_ENREF_11"/>
      <w:r>
        <w:t>11        Wang, H.</w:t>
      </w:r>
      <w:r>
        <w:rPr>
          <w:i/>
          <w:iCs/>
        </w:rPr>
        <w:t xml:space="preserve"> et al.</w:t>
      </w:r>
      <w:r>
        <w:t xml:space="preserve"> One-step generation of mice carrying mutations in multiple genes by CRISPR/Cas-mediated genome engineering. </w:t>
      </w:r>
      <w:r>
        <w:rPr>
          <w:i/>
          <w:iCs/>
        </w:rPr>
        <w:t>Cell.</w:t>
      </w:r>
      <w:r>
        <w:t xml:space="preserve"> </w:t>
      </w:r>
      <w:r>
        <w:rPr>
          <w:b/>
          <w:bCs/>
        </w:rPr>
        <w:t>153</w:t>
      </w:r>
      <w:r>
        <w:t xml:space="preserve"> (4), 910-918, doi:10.1016/j.cell.2013.04.025, (2013).</w:t>
      </w:r>
      <w:bookmarkEnd w:id="11"/>
    </w:p>
    <w:p w:rsidR="00C86A92" w:rsidRDefault="00DB56BE">
      <w:pPr>
        <w:pStyle w:val="EndNoteBibliography"/>
        <w:ind w:left="720" w:hanging="720"/>
      </w:pPr>
      <w:bookmarkStart w:id="12" w:name="_ENREF_12"/>
      <w:r>
        <w:t xml:space="preserve">12        Gross, J. B. The complex origin of Astyanax cavefish. </w:t>
      </w:r>
      <w:r>
        <w:rPr>
          <w:i/>
          <w:iCs/>
        </w:rPr>
        <w:t>BMC Evol Biol.</w:t>
      </w:r>
      <w:r>
        <w:t xml:space="preserve"> </w:t>
      </w:r>
      <w:r>
        <w:rPr>
          <w:b/>
          <w:bCs/>
        </w:rPr>
        <w:t>12</w:t>
      </w:r>
      <w:r>
        <w:t xml:space="preserve"> 105, doi:10.1186/1471-2148-12-105, (2012).</w:t>
      </w:r>
      <w:bookmarkEnd w:id="12"/>
    </w:p>
    <w:p w:rsidR="00C86A92" w:rsidRDefault="00DB56BE">
      <w:pPr>
        <w:pStyle w:val="EndNoteBibliography"/>
        <w:ind w:left="720" w:hanging="720"/>
      </w:pPr>
      <w:bookmarkStart w:id="13" w:name="_ENREF_13"/>
      <w:r>
        <w:t xml:space="preserve">13        Wilkens, H. Evolution and genetics of epigean and cave Astyanax fasciatus (Characidae, Pisces) - support for the neutral mutation theory. </w:t>
      </w:r>
      <w:r>
        <w:rPr>
          <w:i/>
          <w:iCs/>
        </w:rPr>
        <w:t>Evolutionary Biology.</w:t>
      </w:r>
      <w:r>
        <w:t xml:space="preserve"> </w:t>
      </w:r>
      <w:r>
        <w:rPr>
          <w:b/>
          <w:bCs/>
        </w:rPr>
        <w:t>23</w:t>
      </w:r>
      <w:r>
        <w:t xml:space="preserve"> 271-367 (1988).</w:t>
      </w:r>
      <w:bookmarkEnd w:id="13"/>
    </w:p>
    <w:p w:rsidR="00C86A92" w:rsidRDefault="00DB56BE">
      <w:pPr>
        <w:pStyle w:val="EndNoteBibliography"/>
        <w:ind w:left="720" w:hanging="720"/>
      </w:pPr>
      <w:bookmarkStart w:id="14" w:name="_ENREF_14"/>
      <w:r>
        <w:t xml:space="preserve">14        Teyke, T. Morphological differences in neuromasts of the blind cave fish Astyanax hubbsi and the sighted river fish Astyanax mexicanus. </w:t>
      </w:r>
      <w:r>
        <w:rPr>
          <w:i/>
          <w:iCs/>
        </w:rPr>
        <w:t>Brain Behav Evol.</w:t>
      </w:r>
      <w:r>
        <w:t xml:space="preserve"> </w:t>
      </w:r>
      <w:r>
        <w:rPr>
          <w:b/>
          <w:bCs/>
        </w:rPr>
        <w:t>35</w:t>
      </w:r>
      <w:r>
        <w:t xml:space="preserve"> (1), 23-30 (1990).</w:t>
      </w:r>
      <w:bookmarkEnd w:id="14"/>
    </w:p>
    <w:p w:rsidR="00C86A92" w:rsidRDefault="00DB56BE">
      <w:pPr>
        <w:pStyle w:val="EndNoteBibliography"/>
        <w:ind w:left="720" w:hanging="720"/>
      </w:pPr>
      <w:bookmarkStart w:id="15" w:name="_ENREF_15"/>
      <w:r>
        <w:t xml:space="preserve">15        Schemmel, C. Genetische Untersuchungen zur Evolution des Geschmacksapparates bei cavernicolen Fischen. </w:t>
      </w:r>
      <w:r>
        <w:rPr>
          <w:i/>
          <w:iCs/>
        </w:rPr>
        <w:t>Z Zool Syst Evolutionforsch.</w:t>
      </w:r>
      <w:r>
        <w:t xml:space="preserve"> </w:t>
      </w:r>
      <w:r>
        <w:rPr>
          <w:b/>
          <w:bCs/>
        </w:rPr>
        <w:t>12</w:t>
      </w:r>
      <w:r>
        <w:t xml:space="preserve"> 196-215 (1974).</w:t>
      </w:r>
      <w:bookmarkEnd w:id="15"/>
    </w:p>
    <w:p w:rsidR="00C86A92" w:rsidRDefault="00DB56BE">
      <w:pPr>
        <w:pStyle w:val="EndNoteBibliography"/>
        <w:ind w:left="720" w:hanging="720"/>
      </w:pPr>
      <w:bookmarkStart w:id="16" w:name="_ENREF_16"/>
      <w:r>
        <w:t xml:space="preserve">16        Burchards, H., Dolle, A. &amp;amp; Parzefall, J. Aggressive behavior of an epigean population of Astyanax mexicanus (Characidae, Pisces) and some observations of three subterranean populations. </w:t>
      </w:r>
      <w:r>
        <w:rPr>
          <w:i/>
          <w:iCs/>
        </w:rPr>
        <w:t>Behavioral Processes.</w:t>
      </w:r>
      <w:r>
        <w:t xml:space="preserve"> </w:t>
      </w:r>
      <w:r>
        <w:rPr>
          <w:b/>
          <w:bCs/>
        </w:rPr>
        <w:t>11</w:t>
      </w:r>
      <w:r>
        <w:t xml:space="preserve"> 225-235 (1985).</w:t>
      </w:r>
      <w:bookmarkEnd w:id="16"/>
    </w:p>
    <w:p w:rsidR="00C86A92" w:rsidRDefault="00DB56BE">
      <w:pPr>
        <w:pStyle w:val="EndNoteBibliography"/>
        <w:ind w:left="720" w:hanging="720"/>
      </w:pPr>
      <w:bookmarkStart w:id="17" w:name="_ENREF_17"/>
      <w:r>
        <w:t xml:space="preserve">17        Parzefall, J. &amp;amp; Fricke, D. Alarm reaction and schooling in population hybrids of </w:t>
      </w:r>
      <w:r>
        <w:rPr>
          <w:i/>
          <w:iCs/>
        </w:rPr>
        <w:t xml:space="preserve">Astyanax fasciatus </w:t>
      </w:r>
      <w:r>
        <w:t xml:space="preserve">(Pisces, Characidae). </w:t>
      </w:r>
      <w:r>
        <w:rPr>
          <w:i/>
          <w:iCs/>
        </w:rPr>
        <w:t>Memoires e Biospeologie.</w:t>
      </w:r>
      <w:r>
        <w:t xml:space="preserve"> 29-32 (1991).</w:t>
      </w:r>
      <w:bookmarkEnd w:id="17"/>
    </w:p>
    <w:p w:rsidR="00C86A92" w:rsidRDefault="00DB56BE">
      <w:pPr>
        <w:pStyle w:val="EndNoteBibliography"/>
        <w:ind w:left="720" w:hanging="720"/>
      </w:pPr>
      <w:bookmarkStart w:id="18" w:name="_ENREF_18"/>
      <w:r>
        <w:t xml:space="preserve">18        Schemmel, C. Studies on the Genetics of Feeding Behavior in the Cave Fish </w:t>
      </w:r>
      <w:r>
        <w:rPr>
          <w:i/>
          <w:iCs/>
        </w:rPr>
        <w:t>Astyanax mexicanus F. anoptichthys</w:t>
      </w:r>
      <w:r>
        <w:t xml:space="preserve">. </w:t>
      </w:r>
      <w:r>
        <w:rPr>
          <w:i/>
          <w:iCs/>
        </w:rPr>
        <w:t>Z. Tierpsychol.</w:t>
      </w:r>
      <w:r>
        <w:t xml:space="preserve"> </w:t>
      </w:r>
      <w:r>
        <w:rPr>
          <w:b/>
          <w:bCs/>
        </w:rPr>
        <w:t>53</w:t>
      </w:r>
      <w:r>
        <w:t xml:space="preserve"> 9-22 (1980).</w:t>
      </w:r>
      <w:bookmarkEnd w:id="18"/>
    </w:p>
    <w:p w:rsidR="00C86A92" w:rsidRDefault="00DB56BE">
      <w:pPr>
        <w:pStyle w:val="EndNoteBibliography"/>
        <w:ind w:left="720" w:hanging="720"/>
      </w:pPr>
      <w:bookmarkStart w:id="19" w:name="_ENREF_19"/>
      <w:r>
        <w:t xml:space="preserve">19        Aspiras, A. C., Rohner, N., Martineau, B., Borowsky, R. L. &amp;amp; Tabin, C. J. Melanocortin 4 receptor mutations contribute to the adaptation of cavefish to nutrient-poor conditions. </w:t>
      </w:r>
      <w:r>
        <w:rPr>
          <w:i/>
          <w:iCs/>
        </w:rPr>
        <w:t>Proc Natl Acad Sci U S A.</w:t>
      </w:r>
      <w:r>
        <w:t xml:space="preserve"> </w:t>
      </w:r>
      <w:r>
        <w:rPr>
          <w:b/>
          <w:bCs/>
        </w:rPr>
        <w:t>112</w:t>
      </w:r>
      <w:r>
        <w:t xml:space="preserve"> (31), 9668-9673, doi:10.1073/pnas.1510802112, (2015).</w:t>
      </w:r>
      <w:bookmarkEnd w:id="19"/>
    </w:p>
    <w:p w:rsidR="00C86A92" w:rsidRDefault="00DB56BE">
      <w:pPr>
        <w:pStyle w:val="EndNoteBibliography"/>
        <w:ind w:left="720" w:hanging="720"/>
      </w:pPr>
      <w:bookmarkStart w:id="20" w:name="_ENREF_20"/>
      <w:r>
        <w:t>20        Protas, M.</w:t>
      </w:r>
      <w:r>
        <w:rPr>
          <w:i/>
          <w:iCs/>
        </w:rPr>
        <w:t xml:space="preserve"> et al.</w:t>
      </w:r>
      <w:r>
        <w:t xml:space="preserve"> Multi-trait evolution in a cave fish, Astyanax mexicanus. </w:t>
      </w:r>
      <w:r>
        <w:rPr>
          <w:i/>
          <w:iCs/>
        </w:rPr>
        <w:t>Evol Dev.</w:t>
      </w:r>
      <w:r>
        <w:t xml:space="preserve"> </w:t>
      </w:r>
      <w:r>
        <w:rPr>
          <w:b/>
          <w:bCs/>
        </w:rPr>
        <w:t>10</w:t>
      </w:r>
      <w:r>
        <w:t xml:space="preserve"> (2), 196-209, doi:10.1111/j.1525-142X.2008.00227.x, (2008).</w:t>
      </w:r>
      <w:bookmarkEnd w:id="20"/>
    </w:p>
    <w:p w:rsidR="00C86A92" w:rsidRDefault="00DB56BE">
      <w:pPr>
        <w:pStyle w:val="EndNoteBibliography"/>
        <w:ind w:left="720" w:hanging="720"/>
      </w:pPr>
      <w:bookmarkStart w:id="21" w:name="_ENREF_21"/>
      <w:r>
        <w:t xml:space="preserve">21        Gross, J. B., Borowsky, R. &amp;amp; Tabin, C. J. A novel role for Mc1r in the parallel evolution of depigmentation in independent populations of the cavefish Astyanax mexicanus. </w:t>
      </w:r>
      <w:r>
        <w:rPr>
          <w:i/>
          <w:iCs/>
        </w:rPr>
        <w:t>PLoS Genet.</w:t>
      </w:r>
      <w:r>
        <w:t xml:space="preserve"> </w:t>
      </w:r>
      <w:r>
        <w:rPr>
          <w:b/>
          <w:bCs/>
        </w:rPr>
        <w:t>5</w:t>
      </w:r>
      <w:r>
        <w:t xml:space="preserve"> (1), e1000326, doi:10.1371/journal.pgen.1000326, (2009).</w:t>
      </w:r>
      <w:bookmarkEnd w:id="21"/>
    </w:p>
    <w:p w:rsidR="00C86A92" w:rsidRDefault="00DB56BE">
      <w:pPr>
        <w:pStyle w:val="EndNoteBibliography"/>
        <w:ind w:left="720" w:hanging="720"/>
      </w:pPr>
      <w:bookmarkStart w:id="22" w:name="_ENREF_22"/>
      <w:r>
        <w:t xml:space="preserve">22        Yoshizawa, M., Yamamoto, Y., O'Quin, K. E. &amp;amp; Jeffery, W. R. Evolution of an adaptive behavior and its sensory receptors promotes eye regression in blind cavefish. </w:t>
      </w:r>
      <w:r>
        <w:rPr>
          <w:i/>
          <w:iCs/>
        </w:rPr>
        <w:t>BMC Biol.</w:t>
      </w:r>
      <w:r>
        <w:t xml:space="preserve"> </w:t>
      </w:r>
      <w:r>
        <w:rPr>
          <w:b/>
          <w:bCs/>
        </w:rPr>
        <w:t>10</w:t>
      </w:r>
      <w:r>
        <w:t xml:space="preserve"> 108, doi:10.1186/1741-7007-10-108, (2012).</w:t>
      </w:r>
      <w:bookmarkEnd w:id="22"/>
    </w:p>
    <w:p w:rsidR="00C86A92" w:rsidRDefault="00DB56BE">
      <w:pPr>
        <w:pStyle w:val="EndNoteBibliography"/>
        <w:ind w:left="720" w:hanging="720"/>
      </w:pPr>
      <w:bookmarkStart w:id="23" w:name="_ENREF_23"/>
      <w:r>
        <w:t xml:space="preserve">23        O'Quin, K. E., Yoshizawa, M., Doshi, P. &amp;amp; Jeffery, W. R. Quantitative genetic analysis of retinal degeneration in the blind cavefish Astyanax mexicanus. </w:t>
      </w:r>
      <w:r>
        <w:rPr>
          <w:i/>
          <w:iCs/>
        </w:rPr>
        <w:t>PLoS One.</w:t>
      </w:r>
      <w:r>
        <w:t xml:space="preserve"> </w:t>
      </w:r>
      <w:r>
        <w:rPr>
          <w:b/>
          <w:bCs/>
        </w:rPr>
        <w:t>8</w:t>
      </w:r>
      <w:r>
        <w:t xml:space="preserve"> (2), e57281, doi:10.1371/journal.pone.0057281, (2013).</w:t>
      </w:r>
      <w:bookmarkEnd w:id="23"/>
    </w:p>
    <w:p w:rsidR="00C86A92" w:rsidRDefault="00DB56BE">
      <w:pPr>
        <w:pStyle w:val="EndNoteBibliography"/>
        <w:ind w:left="720" w:hanging="720"/>
      </w:pPr>
      <w:bookmarkStart w:id="24" w:name="_ENREF_24"/>
      <w:r>
        <w:t>24        Kowalko, J. E.</w:t>
      </w:r>
      <w:r>
        <w:rPr>
          <w:i/>
          <w:iCs/>
        </w:rPr>
        <w:t xml:space="preserve"> et al.</w:t>
      </w:r>
      <w:r>
        <w:t xml:space="preserve"> Convergence in feeding posture occurs through different genetic loci in independently evolved cave populations of Astyanax mexicanus. </w:t>
      </w:r>
      <w:r>
        <w:rPr>
          <w:i/>
          <w:iCs/>
        </w:rPr>
        <w:t>Proc Natl Acad Sci U S A.</w:t>
      </w:r>
      <w:r>
        <w:t xml:space="preserve"> </w:t>
      </w:r>
      <w:r>
        <w:rPr>
          <w:b/>
          <w:bCs/>
        </w:rPr>
        <w:t>110</w:t>
      </w:r>
      <w:r>
        <w:t xml:space="preserve"> (42), 16933-16938, doi:10.1073/pnas.1317192110, (2013).</w:t>
      </w:r>
      <w:bookmarkEnd w:id="24"/>
    </w:p>
    <w:p w:rsidR="00C86A92" w:rsidRDefault="00DB56BE">
      <w:pPr>
        <w:pStyle w:val="EndNoteBibliography"/>
        <w:ind w:left="720" w:hanging="720"/>
      </w:pPr>
      <w:bookmarkStart w:id="25" w:name="_ENREF_25"/>
      <w:r>
        <w:t>25        Kowalko, J. E.</w:t>
      </w:r>
      <w:r>
        <w:rPr>
          <w:i/>
          <w:iCs/>
        </w:rPr>
        <w:t xml:space="preserve"> et al.</w:t>
      </w:r>
      <w:r>
        <w:t xml:space="preserve"> Loss of Schooling Behavior in Cavefish through Sight-Dependent and Sight-Independent Mechanisms. </w:t>
      </w:r>
      <w:r>
        <w:rPr>
          <w:i/>
          <w:iCs/>
        </w:rPr>
        <w:t>Curr Biol.</w:t>
      </w:r>
      <w:r>
        <w:t xml:space="preserve"> doi:10.1016/j.cub.2013.07.056, (2013).</w:t>
      </w:r>
      <w:bookmarkEnd w:id="25"/>
    </w:p>
    <w:p w:rsidR="00C86A92" w:rsidRDefault="00DB56BE">
      <w:pPr>
        <w:pStyle w:val="EndNoteBibliography"/>
        <w:ind w:left="720" w:hanging="720"/>
      </w:pPr>
      <w:bookmarkStart w:id="26" w:name="_ENREF_26"/>
      <w:r>
        <w:t xml:space="preserve">26        Gross, J. B., Krutzler, A. J. &amp;amp; Carlson, B. M. Complex craniofacial changes in blind cave-dwelling fish are mediated by genetically symmetric and asymmetric loci. </w:t>
      </w:r>
      <w:r>
        <w:rPr>
          <w:i/>
          <w:iCs/>
        </w:rPr>
        <w:t>Genetics.</w:t>
      </w:r>
      <w:r>
        <w:t xml:space="preserve"> </w:t>
      </w:r>
      <w:r>
        <w:rPr>
          <w:b/>
          <w:bCs/>
        </w:rPr>
        <w:t>196</w:t>
      </w:r>
      <w:r>
        <w:t xml:space="preserve"> (4), 1303-1319, doi:10.1534/genetics.114.161661, (2014).</w:t>
      </w:r>
      <w:bookmarkEnd w:id="26"/>
    </w:p>
    <w:p w:rsidR="00C86A92" w:rsidRDefault="00DB56BE">
      <w:pPr>
        <w:pStyle w:val="EndNoteBibliography"/>
        <w:ind w:left="720" w:hanging="720"/>
      </w:pPr>
      <w:bookmarkStart w:id="27" w:name="_ENREF_27"/>
      <w:r>
        <w:t xml:space="preserve">27        Yamamoto, Y., Stock, D. W. &amp;amp; Jeffery, W. R. Hedgehog signalling controls eye degeneration in blind cavefish. </w:t>
      </w:r>
      <w:r>
        <w:rPr>
          <w:i/>
          <w:iCs/>
        </w:rPr>
        <w:t>Nature.</w:t>
      </w:r>
      <w:r>
        <w:t xml:space="preserve"> </w:t>
      </w:r>
      <w:r>
        <w:rPr>
          <w:b/>
          <w:bCs/>
        </w:rPr>
        <w:t>431</w:t>
      </w:r>
      <w:r>
        <w:t xml:space="preserve"> (7010), 844-847, doi:10.1038/nature02864, (2004).</w:t>
      </w:r>
      <w:bookmarkEnd w:id="27"/>
    </w:p>
    <w:p w:rsidR="00C86A92" w:rsidRDefault="00DB56BE">
      <w:pPr>
        <w:pStyle w:val="EndNoteBibliography"/>
        <w:ind w:left="720" w:hanging="720"/>
      </w:pPr>
      <w:bookmarkStart w:id="28" w:name="_ENREF_28"/>
      <w:r>
        <w:t xml:space="preserve">28        Bilandzija, H., Ma, L., Parkhurst, A. &amp;amp; Jeffery, W. R. A potential benefit of albinism in Astyanax cavefish: downregulation of the oca2 gene increases tyrosine and catecholamine levels as an alternative to melanin synthesis. </w:t>
      </w:r>
      <w:r>
        <w:rPr>
          <w:i/>
          <w:iCs/>
        </w:rPr>
        <w:t>PLoS One.</w:t>
      </w:r>
      <w:r>
        <w:t xml:space="preserve"> </w:t>
      </w:r>
      <w:r>
        <w:rPr>
          <w:b/>
          <w:bCs/>
        </w:rPr>
        <w:t>8</w:t>
      </w:r>
      <w:r>
        <w:t xml:space="preserve"> (11), e80823, doi:10.1371/journal.pone.0080823, (2013).</w:t>
      </w:r>
      <w:bookmarkEnd w:id="28"/>
    </w:p>
    <w:p w:rsidR="00C86A92" w:rsidRDefault="00DB56BE">
      <w:pPr>
        <w:pStyle w:val="EndNoteBibliography"/>
        <w:ind w:left="720" w:hanging="720"/>
      </w:pPr>
      <w:bookmarkStart w:id="29" w:name="_ENREF_29"/>
      <w:r>
        <w:t xml:space="preserve">29        Ma, L., Jeffery, W. R., Essner, J. J. &amp;amp; Kowalko, J. E. Genome editing using TALENs in blind Mexican Cavefish, Astyanax mexicanus. </w:t>
      </w:r>
      <w:r>
        <w:rPr>
          <w:i/>
          <w:iCs/>
        </w:rPr>
        <w:t>PLoS One.</w:t>
      </w:r>
      <w:r>
        <w:t xml:space="preserve"> </w:t>
      </w:r>
      <w:r>
        <w:rPr>
          <w:b/>
          <w:bCs/>
        </w:rPr>
        <w:t>10</w:t>
      </w:r>
      <w:r>
        <w:t xml:space="preserve"> (3), e0119370, doi:10.1371/journal.pone.0119370, (2015).</w:t>
      </w:r>
      <w:bookmarkEnd w:id="29"/>
    </w:p>
    <w:p w:rsidR="00C86A92" w:rsidRDefault="00DB56BE">
      <w:pPr>
        <w:pStyle w:val="EndNoteBibliography"/>
        <w:ind w:left="720" w:hanging="720"/>
      </w:pPr>
      <w:bookmarkStart w:id="30" w:name="_ENREF_30"/>
      <w:r>
        <w:t>30        primer3. &amp;lt;bioinfo.ut.ee/primer3-0.4.0/&amp;gt; (</w:t>
      </w:r>
      <w:bookmarkEnd w:id="30"/>
    </w:p>
    <w:p w:rsidR="00C86A92" w:rsidRDefault="00DB56BE">
      <w:pPr>
        <w:pStyle w:val="EndNoteBibliography"/>
        <w:ind w:left="720" w:hanging="720"/>
      </w:pPr>
      <w:bookmarkStart w:id="31" w:name="_ENREF_31"/>
      <w:r>
        <w:t xml:space="preserve">31        Untergrasser A, C. I., Koressaar T, Ye J, Faircloth BC, Remm M, Rozen SG. Primer3- new capabilities and interfaces. </w:t>
      </w:r>
      <w:r>
        <w:rPr>
          <w:i/>
          <w:iCs/>
        </w:rPr>
        <w:t>Nucleic Acids Res.</w:t>
      </w:r>
      <w:r>
        <w:t xml:space="preserve"> </w:t>
      </w:r>
      <w:r>
        <w:rPr>
          <w:b/>
          <w:bCs/>
        </w:rPr>
        <w:t>40</w:t>
      </w:r>
      <w:r>
        <w:t xml:space="preserve"> (15), e115 (2012).</w:t>
      </w:r>
      <w:bookmarkEnd w:id="31"/>
    </w:p>
    <w:p w:rsidR="00C86A92" w:rsidRDefault="00DB56BE">
      <w:pPr>
        <w:pStyle w:val="EndNoteBibliography"/>
        <w:ind w:left="720" w:hanging="720"/>
      </w:pPr>
      <w:bookmarkStart w:id="32" w:name="_ENREF_32"/>
      <w:r>
        <w:t xml:space="preserve">32        Koressaar T, R. M. Enhancements and modifications of primer design program Primer3. </w:t>
      </w:r>
      <w:r>
        <w:rPr>
          <w:i/>
          <w:iCs/>
        </w:rPr>
        <w:t>Bioinformatics.</w:t>
      </w:r>
      <w:r>
        <w:t xml:space="preserve"> </w:t>
      </w:r>
      <w:r>
        <w:rPr>
          <w:b/>
          <w:bCs/>
        </w:rPr>
        <w:t>23</w:t>
      </w:r>
      <w:r>
        <w:t xml:space="preserve"> (10), 1289-1291 (2007).</w:t>
      </w:r>
      <w:bookmarkEnd w:id="32"/>
    </w:p>
    <w:p w:rsidR="00C86A92" w:rsidRDefault="00DB56BE">
      <w:pPr>
        <w:pStyle w:val="EndNoteBibliography"/>
        <w:ind w:left="720" w:hanging="720"/>
      </w:pPr>
      <w:bookmarkStart w:id="33" w:name="_ENREF_33"/>
      <w:r>
        <w:t>33        Cermak, T.</w:t>
      </w:r>
      <w:r>
        <w:rPr>
          <w:i/>
          <w:iCs/>
        </w:rPr>
        <w:t xml:space="preserve"> et al.</w:t>
      </w:r>
      <w:r>
        <w:t xml:space="preserve"> Efficient design and assembly of custom TALEN and other TAL effector-based constructs for DNA targeting. </w:t>
      </w:r>
      <w:r>
        <w:rPr>
          <w:i/>
          <w:iCs/>
        </w:rPr>
        <w:t>Nucleic Acids Res.</w:t>
      </w:r>
      <w:r>
        <w:t xml:space="preserve"> </w:t>
      </w:r>
      <w:r>
        <w:rPr>
          <w:b/>
          <w:bCs/>
        </w:rPr>
        <w:t>39</w:t>
      </w:r>
      <w:r>
        <w:t xml:space="preserve"> (12), e82, doi:10.1093/nar/gkr218, (2011).</w:t>
      </w:r>
      <w:bookmarkEnd w:id="33"/>
    </w:p>
    <w:p w:rsidR="00C86A92" w:rsidRDefault="00DB56BE">
      <w:pPr>
        <w:pStyle w:val="EndNoteBibliography"/>
        <w:ind w:left="720" w:hanging="720"/>
        <w:jc w:val="left"/>
      </w:pPr>
      <w:bookmarkStart w:id="34" w:name="_ENREF_34"/>
      <w:r>
        <w:t>34        Addgene. Golden Gate TALEN assembly. https://www.addgene.org/static/cms/filer_public/98/5a/985a6117-7490-4001-8f6a-24b2cf7b005b/golden_gate_talen_assembly_v7.</w:t>
      </w:r>
      <w:r w:rsidRPr="00DB56BE">
        <w:t>pdf</w:t>
      </w:r>
      <w:bookmarkEnd w:id="34"/>
      <w:r w:rsidRPr="00DB56BE">
        <w:rPr>
          <w:rStyle w:val="Hyperlink"/>
          <w:color w:val="auto"/>
          <w:u w:val="none"/>
        </w:rPr>
        <w:t xml:space="preserve"> (2011).</w:t>
      </w:r>
    </w:p>
    <w:p w:rsidR="00C86A92" w:rsidRDefault="00DB56BE">
      <w:pPr>
        <w:pStyle w:val="EndNoteBibliography"/>
        <w:ind w:left="720" w:hanging="720"/>
        <w:jc w:val="left"/>
      </w:pPr>
      <w:bookmarkStart w:id="35" w:name="_ENREF_35"/>
      <w:r>
        <w:t>35        Addgene. Sequencing TALENs. http://www.addgene.org/static/cms/filer_public/eb/d2/ebd246f3-db1e-499c-85ce-f79c023a726f/sequencing_talens.</w:t>
      </w:r>
      <w:r w:rsidRPr="00DB56BE">
        <w:rPr>
          <w:color w:val="auto"/>
        </w:rPr>
        <w:t>pdf</w:t>
      </w:r>
      <w:bookmarkEnd w:id="35"/>
      <w:r w:rsidRPr="00DB56BE">
        <w:rPr>
          <w:rStyle w:val="Hyperlink"/>
          <w:color w:val="auto"/>
          <w:u w:val="none"/>
        </w:rPr>
        <w:t xml:space="preserve"> (2012).</w:t>
      </w:r>
    </w:p>
    <w:p w:rsidR="00C86A92" w:rsidRDefault="00DB56BE">
      <w:pPr>
        <w:pStyle w:val="EndNoteBibliography"/>
        <w:ind w:left="720" w:hanging="720"/>
      </w:pPr>
      <w:r>
        <w:t>36https://wiki.zfin.org/display/prot/A+Device+To+Hold+Zebrafish+Embryos+During+Microinjection.</w:t>
      </w:r>
    </w:p>
    <w:p w:rsidR="00C86A92" w:rsidRDefault="00DB56BE">
      <w:pPr>
        <w:pStyle w:val="EndNoteBibliography"/>
        <w:ind w:left="720" w:hanging="720"/>
      </w:pPr>
      <w:bookmarkStart w:id="36" w:name="_ENREF_37"/>
      <w:r>
        <w:t>37        Hinaux, H.</w:t>
      </w:r>
      <w:r>
        <w:rPr>
          <w:i/>
          <w:iCs/>
        </w:rPr>
        <w:t xml:space="preserve"> et al.</w:t>
      </w:r>
      <w:r>
        <w:t xml:space="preserve"> A developmental staging table for Astyanax mexicanus surface fish and Pachon cavefish. </w:t>
      </w:r>
      <w:r>
        <w:rPr>
          <w:i/>
          <w:iCs/>
        </w:rPr>
        <w:t>Zebrafish.</w:t>
      </w:r>
      <w:r>
        <w:t xml:space="preserve"> </w:t>
      </w:r>
      <w:r>
        <w:rPr>
          <w:b/>
          <w:bCs/>
        </w:rPr>
        <w:t>8</w:t>
      </w:r>
      <w:r>
        <w:t xml:space="preserve"> (4), 155-165, doi:10.1089/zeb.2011.0713, (2011).</w:t>
      </w:r>
      <w:bookmarkEnd w:id="36"/>
    </w:p>
    <w:p w:rsidR="00C86A92" w:rsidRDefault="00DB56BE">
      <w:pPr>
        <w:pStyle w:val="EndNoteBibliography"/>
        <w:ind w:left="720" w:hanging="720"/>
      </w:pPr>
      <w:bookmarkStart w:id="37" w:name="_ENREF_38"/>
      <w:r>
        <w:t>38        Schindelin, J.</w:t>
      </w:r>
      <w:r>
        <w:rPr>
          <w:i/>
          <w:iCs/>
        </w:rPr>
        <w:t xml:space="preserve"> et al.</w:t>
      </w:r>
      <w:r>
        <w:t xml:space="preserve"> Fiji: an open-source platform for biological-image analysis. </w:t>
      </w:r>
      <w:r>
        <w:rPr>
          <w:i/>
          <w:iCs/>
        </w:rPr>
        <w:t>Nat Methods.</w:t>
      </w:r>
      <w:r>
        <w:t xml:space="preserve"> </w:t>
      </w:r>
      <w:r>
        <w:rPr>
          <w:b/>
          <w:bCs/>
        </w:rPr>
        <w:t>9</w:t>
      </w:r>
      <w:r>
        <w:t xml:space="preserve"> (7), 676-682, doi:10.1038/nmeth.2019, (2012).</w:t>
      </w:r>
      <w:bookmarkEnd w:id="37"/>
    </w:p>
    <w:p w:rsidR="00C86A92" w:rsidRDefault="00DB56BE">
      <w:pPr>
        <w:pStyle w:val="EndNoteBibliography"/>
        <w:ind w:left="720" w:hanging="720"/>
      </w:pPr>
      <w:bookmarkStart w:id="38" w:name="_ENREF_39"/>
      <w:r>
        <w:t xml:space="preserve">39        Bitinaite, J., Wah, D. A., Aggarwal, A. K. &amp;amp; Schildkraut, I. FokI dimerization is required for DNA cleavage. </w:t>
      </w:r>
      <w:r>
        <w:rPr>
          <w:i/>
          <w:iCs/>
        </w:rPr>
        <w:t>Proc Natl Acad Sci U S A.</w:t>
      </w:r>
      <w:r>
        <w:t xml:space="preserve"> </w:t>
      </w:r>
      <w:r>
        <w:rPr>
          <w:b/>
          <w:bCs/>
        </w:rPr>
        <w:t>95</w:t>
      </w:r>
      <w:r>
        <w:t xml:space="preserve"> (18), 10570-10575 (1998).</w:t>
      </w:r>
      <w:bookmarkEnd w:id="38"/>
    </w:p>
    <w:p w:rsidR="00C86A92" w:rsidRDefault="00DB56BE">
      <w:pPr>
        <w:pStyle w:val="EndNoteBibliography"/>
        <w:ind w:left="720" w:hanging="720"/>
      </w:pPr>
      <w:bookmarkStart w:id="39" w:name="_ENREF_40"/>
      <w:r>
        <w:t>40        Elipot, Y.</w:t>
      </w:r>
      <w:r>
        <w:rPr>
          <w:i/>
          <w:iCs/>
        </w:rPr>
        <w:t xml:space="preserve"> et al.</w:t>
      </w:r>
      <w:r>
        <w:t xml:space="preserve"> A mutation in the enzyme monoamine oxidase explains part of the Astyanax cavefish behavioural syndrome. </w:t>
      </w:r>
      <w:r>
        <w:rPr>
          <w:i/>
          <w:iCs/>
        </w:rPr>
        <w:t>Nat Commun.</w:t>
      </w:r>
      <w:r>
        <w:t xml:space="preserve"> </w:t>
      </w:r>
      <w:r>
        <w:rPr>
          <w:b/>
          <w:bCs/>
        </w:rPr>
        <w:t>5</w:t>
      </w:r>
      <w:r>
        <w:t xml:space="preserve"> 3647, doi:10.1038/ncomms4647, (2014).</w:t>
      </w:r>
      <w:bookmarkEnd w:id="39"/>
    </w:p>
    <w:p w:rsidR="00C86A92" w:rsidRDefault="00DB56BE">
      <w:pPr>
        <w:pStyle w:val="EndNoteBibliography"/>
        <w:ind w:left="720" w:hanging="720"/>
      </w:pPr>
      <w:bookmarkStart w:id="40" w:name="_ENREF_41"/>
      <w:r>
        <w:t>41        McGaugh, S. E.</w:t>
      </w:r>
      <w:r>
        <w:rPr>
          <w:i/>
          <w:iCs/>
        </w:rPr>
        <w:t xml:space="preserve"> et al.</w:t>
      </w:r>
      <w:r>
        <w:t xml:space="preserve"> The cavefish genome reveals candidate genes for eye loss. </w:t>
      </w:r>
      <w:r>
        <w:rPr>
          <w:i/>
          <w:iCs/>
        </w:rPr>
        <w:t>Nat Commun.</w:t>
      </w:r>
      <w:r>
        <w:t xml:space="preserve"> </w:t>
      </w:r>
      <w:r>
        <w:rPr>
          <w:b/>
          <w:bCs/>
        </w:rPr>
        <w:t>5</w:t>
      </w:r>
      <w:r>
        <w:t xml:space="preserve"> 5307, doi:10.1038/ncomms6307, (2014).</w:t>
      </w:r>
      <w:bookmarkEnd w:id="40"/>
    </w:p>
    <w:p w:rsidR="00C86A92" w:rsidRDefault="00DB56BE">
      <w:pPr>
        <w:pStyle w:val="EndNoteBibliography"/>
        <w:ind w:left="720" w:hanging="720"/>
      </w:pPr>
      <w:bookmarkStart w:id="41" w:name="_ENREF_42"/>
      <w:r>
        <w:t xml:space="preserve">42        Yoshizawa, M., Goricki, S., Soares, D. &amp;amp; Jeffery, W. R. Evolution of a behavioral shift mediated by superficial neuromasts helps cavefish find food in darkness. </w:t>
      </w:r>
      <w:r>
        <w:rPr>
          <w:i/>
          <w:iCs/>
        </w:rPr>
        <w:t>Curr Biol.</w:t>
      </w:r>
      <w:r>
        <w:t xml:space="preserve"> </w:t>
      </w:r>
      <w:r>
        <w:rPr>
          <w:b/>
          <w:bCs/>
        </w:rPr>
        <w:t>20</w:t>
      </w:r>
      <w:r>
        <w:t xml:space="preserve"> (18), 1631-1636, doi:10.1016/j.cub.2010.07.017, (2010).</w:t>
      </w:r>
      <w:bookmarkEnd w:id="41"/>
    </w:p>
    <w:p w:rsidR="00C86A92" w:rsidRDefault="00DB56BE">
      <w:pPr>
        <w:pStyle w:val="EndNoteBibliography"/>
        <w:ind w:left="720" w:hanging="720"/>
      </w:pPr>
      <w:bookmarkStart w:id="42" w:name="_ENREF_43"/>
      <w:r>
        <w:t xml:space="preserve">43        Blackburn, P. R., Campbell, J. M., Clark, K. J. &amp;amp; Ekker, S. C. The CRISPR system--keeping zebrafish gene targeting fresh. </w:t>
      </w:r>
      <w:r>
        <w:rPr>
          <w:i/>
          <w:iCs/>
        </w:rPr>
        <w:t>Zebrafish.</w:t>
      </w:r>
      <w:r>
        <w:t xml:space="preserve"> </w:t>
      </w:r>
      <w:r>
        <w:rPr>
          <w:b/>
          <w:bCs/>
        </w:rPr>
        <w:t>10</w:t>
      </w:r>
      <w:r>
        <w:t xml:space="preserve"> (1), 116-118, doi:10.1089/zeb.2013.9999, (2013).</w:t>
      </w:r>
      <w:bookmarkEnd w:id="42"/>
    </w:p>
    <w:p w:rsidR="00C86A92" w:rsidRDefault="00DB56BE">
      <w:pPr>
        <w:pStyle w:val="EndNoteBibliography"/>
        <w:ind w:left="720" w:hanging="720"/>
      </w:pPr>
      <w:bookmarkStart w:id="43" w:name="_ENREF_44"/>
      <w:r>
        <w:t>44        Varshney, G. K.</w:t>
      </w:r>
      <w:r>
        <w:rPr>
          <w:i/>
          <w:iCs/>
        </w:rPr>
        <w:t xml:space="preserve"> et al.</w:t>
      </w:r>
      <w:r>
        <w:t xml:space="preserve"> High-throughput gene targeting and phenotyping in zebrafish using CRISPR/Cas9. </w:t>
      </w:r>
      <w:r>
        <w:rPr>
          <w:i/>
          <w:iCs/>
        </w:rPr>
        <w:t>Genome Res.</w:t>
      </w:r>
      <w:r>
        <w:t xml:space="preserve"> </w:t>
      </w:r>
      <w:r>
        <w:rPr>
          <w:b/>
          <w:bCs/>
        </w:rPr>
        <w:t>25</w:t>
      </w:r>
      <w:r>
        <w:t xml:space="preserve"> (7), 1030-1042, doi:10.1101/gr.186379.114, (2015).</w:t>
      </w:r>
      <w:bookmarkEnd w:id="43"/>
    </w:p>
    <w:p w:rsidR="00C86A92" w:rsidRDefault="00DB56BE">
      <w:pPr>
        <w:pStyle w:val="EndNoteBibliography"/>
        <w:ind w:left="720" w:hanging="720"/>
      </w:pPr>
      <w:bookmarkStart w:id="44" w:name="_ENREF_45"/>
      <w:r>
        <w:t xml:space="preserve">45        Shin, J., Chen, J. &amp;amp; Solnica-Krezel, L. Efficient homologous recombination-mediated genome engineering in zebrafish using TALE nucleases. </w:t>
      </w:r>
      <w:r>
        <w:rPr>
          <w:i/>
          <w:iCs/>
        </w:rPr>
        <w:t>Development.</w:t>
      </w:r>
      <w:r>
        <w:t xml:space="preserve"> </w:t>
      </w:r>
      <w:r>
        <w:rPr>
          <w:b/>
          <w:bCs/>
        </w:rPr>
        <w:t>141</w:t>
      </w:r>
      <w:r>
        <w:t xml:space="preserve"> (19), 3807-3818, doi:10.1242/dev.108019, (2014).</w:t>
      </w:r>
      <w:bookmarkEnd w:id="44"/>
    </w:p>
    <w:p w:rsidR="00C86A92" w:rsidRDefault="00DB56BE">
      <w:pPr>
        <w:pStyle w:val="EndNoteBibliography"/>
        <w:ind w:left="720" w:hanging="720"/>
      </w:pPr>
      <w:bookmarkStart w:id="45" w:name="_ENREF_46"/>
      <w:r>
        <w:t xml:space="preserve">46        Ablain, J., Durand, E. M., Yang, S., Zhou, Y. &amp;amp; Zon, L. I. A CRISPR/Cas9 vector system for tissue-specific gene disruption in zebrafish. </w:t>
      </w:r>
      <w:r>
        <w:rPr>
          <w:i/>
          <w:iCs/>
        </w:rPr>
        <w:t>Dev Cell.</w:t>
      </w:r>
      <w:r>
        <w:t xml:space="preserve"> </w:t>
      </w:r>
      <w:r>
        <w:rPr>
          <w:b/>
          <w:bCs/>
        </w:rPr>
        <w:t>32</w:t>
      </w:r>
      <w:r>
        <w:t xml:space="preserve"> (6), 756-764, doi:10.1016/j.devcel.2015.01.032, (2015).</w:t>
      </w:r>
      <w:bookmarkEnd w:id="45"/>
    </w:p>
    <w:p w:rsidR="003759ED" w:rsidRDefault="00DB56BE">
      <w:pPr>
        <w:pStyle w:val="EndNoteBibliography"/>
        <w:ind w:left="720" w:hanging="720"/>
      </w:pPr>
      <w:bookmarkStart w:id="46" w:name="_ENREF_47"/>
      <w:r>
        <w:t xml:space="preserve">47        Yamamoto, Y. &amp;amp; Jeffery, W. R. Central role for the lens in cave fish eye degeneration. </w:t>
      </w:r>
      <w:r>
        <w:rPr>
          <w:i/>
          <w:iCs/>
        </w:rPr>
        <w:t>Science.</w:t>
      </w:r>
      <w:r>
        <w:t xml:space="preserve"> </w:t>
      </w:r>
      <w:r>
        <w:rPr>
          <w:b/>
          <w:bCs/>
        </w:rPr>
        <w:t>289</w:t>
      </w:r>
      <w:r>
        <w:t xml:space="preserve"> (5479), 631-633 (2000).</w:t>
      </w:r>
      <w:bookmarkEnd w:id="46"/>
    </w:p>
    <w:p w:rsidR="003759ED" w:rsidRDefault="003759ED">
      <w:pPr>
        <w:pStyle w:val="EndNoteBibliography"/>
        <w:ind w:left="720" w:hanging="720"/>
      </w:pPr>
    </w:p>
    <w:p w:rsidR="00C86A92" w:rsidRDefault="00C86A92"/>
    <w:sectPr w:rsidR="00C86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BE"/>
    <w:rsid w:val="00165F42"/>
    <w:rsid w:val="003759ED"/>
    <w:rsid w:val="00C86A92"/>
    <w:rsid w:val="00DB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FCF95-29B6-4299-8D8D-FFA2FF2F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jc w:val="both"/>
    </w:pPr>
    <w:rPr>
      <w:rFonts w:ascii="Calibri" w:eastAsiaTheme="minorEastAsia" w:hAnsi="Calibri"/>
      <w:color w:val="000000"/>
      <w:sz w:val="24"/>
      <w:szCs w:val="24"/>
    </w:rPr>
  </w:style>
  <w:style w:type="paragraph" w:styleId="Heading1">
    <w:name w:val="heading 1"/>
    <w:basedOn w:val="Normal"/>
    <w:link w:val="Heading1Char"/>
    <w:uiPriority w:val="9"/>
    <w:qFormat/>
    <w:pPr>
      <w:keepNext/>
      <w:spacing w:before="240" w:after="60"/>
      <w:outlineLvl w:val="0"/>
    </w:pPr>
    <w:rPr>
      <w:b/>
      <w:bCs/>
      <w:kern w:val="36"/>
      <w:sz w:val="28"/>
      <w:szCs w:val="28"/>
    </w:rPr>
  </w:style>
  <w:style w:type="paragraph" w:styleId="Heading2">
    <w:name w:val="heading 2"/>
    <w:basedOn w:val="Normal"/>
    <w:link w:val="Heading2Char"/>
    <w:uiPriority w:val="9"/>
    <w:qFormat/>
    <w:pPr>
      <w:keepNext/>
      <w:outlineLvl w:val="1"/>
    </w:pPr>
    <w:rPr>
      <w:b/>
      <w:bCs/>
    </w:rPr>
  </w:style>
  <w:style w:type="paragraph" w:styleId="Heading3">
    <w:name w:val="heading 3"/>
    <w:basedOn w:val="Normal"/>
    <w:link w:val="Heading3Char"/>
    <w:uiPriority w:val="9"/>
    <w:qFormat/>
    <w:pPr>
      <w:keepNext/>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Calibri" w:hAnsi="Calibri" w:hint="default"/>
      <w:b/>
      <w:bCs/>
    </w:rPr>
  </w:style>
  <w:style w:type="character" w:customStyle="1" w:styleId="Heading2Char">
    <w:name w:val="Heading 2 Char"/>
    <w:basedOn w:val="DefaultParagraphFont"/>
    <w:link w:val="Heading2"/>
    <w:uiPriority w:val="9"/>
    <w:semiHidden/>
    <w:rPr>
      <w:rFonts w:ascii="Calibri" w:hAnsi="Calibri" w:hint="default"/>
      <w:b/>
      <w:bCs/>
    </w:rPr>
  </w:style>
  <w:style w:type="character" w:customStyle="1" w:styleId="Heading3Char">
    <w:name w:val="Heading 3 Char"/>
    <w:basedOn w:val="DefaultParagraphFont"/>
    <w:link w:val="Heading3"/>
    <w:uiPriority w:val="9"/>
    <w:semiHidden/>
    <w:rPr>
      <w:rFonts w:ascii="Cambria" w:hAnsi="Cambria" w:hint="default"/>
      <w:b/>
      <w:bCs/>
      <w:color w:val="4F81BD"/>
    </w:rPr>
  </w:style>
  <w:style w:type="paragraph" w:styleId="NormalWeb">
    <w:name w:val="Normal (Web)"/>
    <w:basedOn w:val="Normal"/>
    <w:uiPriority w:val="99"/>
    <w:semiHidden/>
    <w:unhideWhenUsed/>
    <w:pPr>
      <w:spacing w:before="100" w:beforeAutospacing="1" w:after="100" w:afterAutospacing="1"/>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style>
  <w:style w:type="paragraph" w:styleId="CommentSubject">
    <w:name w:val="annotation subject"/>
    <w:basedOn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b/>
      <w:bCs/>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hint="default"/>
    </w:rPr>
  </w:style>
  <w:style w:type="paragraph" w:styleId="Revision">
    <w:name w:val="Revision"/>
    <w:basedOn w:val="Normal"/>
    <w:uiPriority w:val="99"/>
    <w:semiHidden/>
    <w:pPr>
      <w:autoSpaceDE/>
      <w:jc w:val="left"/>
    </w:pPr>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character" w:customStyle="1" w:styleId="ExampletextChar">
    <w:name w:val="Example text Char"/>
    <w:basedOn w:val="DefaultParagraphFont"/>
    <w:link w:val="Exampletext"/>
    <w:rPr>
      <w:rFonts w:ascii="Calibri" w:hAnsi="Calibri" w:hint="default"/>
      <w:color w:val="7F7F7F"/>
    </w:rPr>
  </w:style>
  <w:style w:type="paragraph" w:customStyle="1" w:styleId="Exampletext">
    <w:name w:val="Example text"/>
    <w:basedOn w:val="Normal"/>
    <w:link w:val="ExampletextChar"/>
    <w:pPr>
      <w:spacing w:after="240"/>
    </w:pPr>
    <w:rPr>
      <w:color w:val="7F7F7F"/>
    </w:rPr>
  </w:style>
  <w:style w:type="paragraph" w:customStyle="1" w:styleId="EndNoteBibliographyTitle">
    <w:name w:val="EndNote Bibliography Title"/>
    <w:basedOn w:val="Normal"/>
    <w:pPr>
      <w:jc w:val="center"/>
    </w:pPr>
  </w:style>
  <w:style w:type="paragraph" w:customStyle="1" w:styleId="EndNoteBibliography">
    <w:name w:val="EndNote Bibliography"/>
    <w:basedOn w:val="Normal"/>
  </w:style>
  <w:style w:type="paragraph" w:customStyle="1" w:styleId="msochpdefault">
    <w:name w:val="msochpdefault"/>
    <w:basedOn w:val="Normal"/>
    <w:pPr>
      <w:spacing w:before="100" w:beforeAutospacing="1" w:after="100" w:afterAutospacing="1"/>
    </w:pPr>
    <w:rPr>
      <w:sz w:val="20"/>
      <w:szCs w:val="20"/>
    </w:rPr>
  </w:style>
  <w:style w:type="character" w:styleId="IntenseEmphasis">
    <w:name w:val="Intense Emphasis"/>
    <w:basedOn w:val="DefaultParagraphFont"/>
    <w:uiPriority w:val="21"/>
    <w:qFormat/>
    <w:rPr>
      <w:b/>
      <w:bCs/>
      <w:i/>
      <w:iCs/>
      <w:color w:val="4F81BD"/>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6FDF-9BDD-48E6-B69F-928E5AA7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5950</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Joel Sullivan</dc:creator>
  <cp:keywords/>
  <dc:description/>
  <cp:lastModifiedBy>Joel Sullivan</cp:lastModifiedBy>
  <cp:revision>4</cp:revision>
  <dcterms:created xsi:type="dcterms:W3CDTF">2016-03-15T19:24:00Z</dcterms:created>
  <dcterms:modified xsi:type="dcterms:W3CDTF">2016-03-15T19:55:00Z</dcterms:modified>
</cp:coreProperties>
</file>