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Genome editing in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using transcription activator-like effector nucleases (TALENs)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Kowalko, Johanna 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Genetics, Development and Cell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Iowa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Ames, 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jkowalko@iastate.edu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 Li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University of Cincinnati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Cincinnati,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mal2@ucmail.uc.edu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Jeffery, William 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University of Maryland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College Park,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jeffery@umd.edu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Kowalko, Johanna 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Genetics, Development and Cell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Iowa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Ames, 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jkowalko@iastate.edu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cavefish, TALENs, TALEN, genome editing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Gene-targeting mutagenesis is now possible in a wide range of organisms using genome editing techniques.  Here, we demonstrate a protocol for targeted gene mutagenesis using transcription activator like effector nucleases (TALENs) in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a species of fish that includes surface fish and cavefish.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Identifying alleles of genes underlying evolutionary change is essential to understanding how and why evolution occurs.  Towards this end, much recent work has focused on identifying candidate genes for the evolution of traits in a variety of species.  However, until recently it has been challenging to functionally validate interesting candidate genes.  Recently developed tools for genetic engineering make it possible to manipulate specific genes in a wide range of organisms.  Application of this technology in evolutionarily relevant organisms will allow for unprecedented insight into the role of candidate genes in evolution.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is a species of fish with both surface-dwelling and cave-dwelling forms.  Multiple independent lines of cave-dwelling forms have evolved from ancestral surface fish, which are interfertile with one another and with surface fish, allowing elucidation of the genetic basis of cave traits.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has been used for a number of evolutionary studies, including linkage analysis to identify candidate genes responsible for a number of traits.  Thus,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is an ideal system for the application of genome editing to test the role of candidate genes.  Here we report a method for using transcription activator-like effector nucleases (TALENs) to mutate genes in surface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Genome editing using TALENs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has been utilized to generate mutations in pigmentation genes.  This technique can also be utilized to evaluate the role of candidate genes for a number of other traits that have evolved in cave forms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Understanding the genetic basis of trait evolution is a critical research goal of evolutionary biologists.  Considerable progress has been made in identifying loci underlying the evolution of traits and pinpointing candidate genes within these loci (for example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functionally testing the role of these genes has remained challenging as many organisms used for studying the evolution of traits are not currently genetically tractable.  The advent of genome editing technologies has greatly increased genetic manipulability of a wide range of organisms.  Transcription activator-like effector nucleases (TALENs) and clustered regularly interspaced short palindromic repeats (CRISPRs) have been used to generate targeted mutations in genes in a number of organisms (for example</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These tools, applied to an evolutionarily relevant system, have the potential to revolutionize the way evolutionary biologists study the genetic basis of evolution.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Astyanax mexicanus </w:t>
      </w:r>
      <w:r>
        <w:rPr>
          <w:rFonts w:ascii="Calibri" w:hAnsi="Calibri" w:cs="Calibri" w:eastAsia="Calibri"/>
          <w:color w:val="auto"/>
          <w:spacing w:val="0"/>
          <w:position w:val="0"/>
          <w:sz w:val="24"/>
          <w:shd w:fill="auto" w:val="clear"/>
        </w:rPr>
        <w:t xml:space="preserve">is a species of fish that exists in two forms: a river-dwelling surface form (surface fish) and multiple cave-dwelling forms (cavefish).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cavefish evolved from surface fish ancestors (reviewed 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Populations of cavefish have evolved a number of traits including loss of eyes, decrease or loss of pigmentation, increased numbers of taste buds and cranial neuromasts, and changes in behavior such as loss of schooling behavior, increased aggression, changes in feeding posture and hyperphagia</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Cavefish and surface fish are interfertile, and genetic mapping experiments have been performed to identify loci and candidate genes for cave traits</w:t>
      </w:r>
      <w:r>
        <w:rPr>
          <w:rFonts w:ascii="Calibri" w:hAnsi="Calibri" w:cs="Calibri" w:eastAsia="Calibri"/>
          <w:color w:val="auto"/>
          <w:spacing w:val="0"/>
          <w:position w:val="0"/>
          <w:sz w:val="24"/>
          <w:shd w:fill="auto" w:val="clear"/>
          <w:vertAlign w:val="superscript"/>
        </w:rPr>
        <w:t xml:space="preserve">1,20-26</w:t>
      </w:r>
      <w:r>
        <w:rPr>
          <w:rFonts w:ascii="Calibri" w:hAnsi="Calibri" w:cs="Calibri" w:eastAsia="Calibri"/>
          <w:color w:val="auto"/>
          <w:spacing w:val="0"/>
          <w:position w:val="0"/>
          <w:sz w:val="24"/>
          <w:shd w:fill="auto" w:val="clear"/>
        </w:rPr>
        <w:t xml:space="preserve">. Some candidate genes have been tested for a functional role in contributing to cave traits in cell culture</w:t>
      </w:r>
      <w:r>
        <w:rPr>
          <w:rFonts w:ascii="Calibri" w:hAnsi="Calibri" w:cs="Calibri" w:eastAsia="Calibri"/>
          <w:color w:val="auto"/>
          <w:spacing w:val="0"/>
          <w:position w:val="0"/>
          <w:sz w:val="24"/>
          <w:shd w:fill="auto" w:val="clear"/>
          <w:vertAlign w:val="superscript"/>
        </w:rPr>
        <w:t xml:space="preserve">1,19</w:t>
      </w:r>
      <w:r>
        <w:rPr>
          <w:rFonts w:ascii="Calibri" w:hAnsi="Calibri" w:cs="Calibri" w:eastAsia="Calibri"/>
          <w:color w:val="auto"/>
          <w:spacing w:val="0"/>
          <w:position w:val="0"/>
          <w:sz w:val="24"/>
          <w:shd w:fill="auto" w:val="clear"/>
        </w:rPr>
        <w:t xml:space="preserve">, in model organisms of other species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by overexpression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transient knockdown using morpholinos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However, each of these methods has limitations.  The ability to generate mutant alleles of these genes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critical for understanding their function in the evolution of cavefish.  Thus,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an ideal candidate organism for application of genome editing technologies.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outline a method for genome editing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using TALENs.  This method can be used to evaluate mosaic injected founder fish for phenotypes and for isolating lines of fish with stable mutations in genes of interest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in accordance with the guidelines of the National Institutes of Health and were approved by the Institutional Animal Care and Use Committee at Iowa State University and the University of Maryland.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1.   TALEN Design</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Input desired target sequence to a TALEN design website.  (For example: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https://tale-nt.cac.cornell.edu/node/add/talen</w:t>
        </w:r>
      </w:hyperlink>
      <w:r>
        <w:rPr>
          <w:rFonts w:ascii="Calibri" w:hAnsi="Calibri" w:cs="Calibri" w:eastAsia="Calibri"/>
          <w:color w:val="auto"/>
          <w:spacing w:val="0"/>
          <w:position w:val="0"/>
          <w:sz w:val="24"/>
          <w:shd w:fill="auto" w:val="clear"/>
        </w:rPr>
        <w:t xml:space="preserve">).  Input chosen spacer/repeat array lengths.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Copy the genomic sequence into the box labeled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Within the “Provide Custom Spacer/RVD Lengths” tab select the spacer length and array length. Note: Spacer lengths of 15 base pairs and repeat array lengths of 15-17 work well and make assembly less complex.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Select a TALEN pair.  TALEN pairs designed around a unique restriction enzyme site allow for genotyping by restriction enzyme digesting a PCR product.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      Design primers to amplify the genomic region surrounding the TALEN target site using a website such as Primer3</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When genotyping with a restriction enzyme, design primers to amplify a region that contains the restriction enzyme site only once.  It is recommended that this region is amplified and sequenced prior to TALEN construction to identify any polymorphisms present in the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lab population to be used for microinjection.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TALEN assembly (Modified from the TALEN kit protocol)</w:t>
      </w:r>
      <w:r>
        <w:rPr>
          <w:rFonts w:ascii="Calibri" w:hAnsi="Calibri" w:cs="Calibri" w:eastAsia="Calibri"/>
          <w:b/>
          <w:color w:val="auto"/>
          <w:spacing w:val="0"/>
          <w:position w:val="0"/>
          <w:sz w:val="24"/>
          <w:shd w:fill="auto" w:val="clear"/>
          <w:vertAlign w:val="superscript"/>
        </w:rPr>
        <w:t xml:space="preserve">33</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additional details and troubleshooting, see the protocol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Prepare and sequence necessary plasmids from the TALEN kit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      Set up the #1 reactions for reactions A and B. Include repeat-variable diresidues (RVDs) 1-10 and the destination vector pFUS_A in Reaction A. Include RVDs 11-(N-1) and the destination vector pFUS_B(N-1) in Reaction B where N is the total number of RVDs in the TALEN.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   Add to each reaction: 1 &amp;#181;L of each plasmid containing each RVD (100 ng/&amp;#181;L), the destination vector (100 ng/&amp;#181;L), 1 &amp;#181;L </w:t>
      </w:r>
      <w:r>
        <w:rPr>
          <w:rFonts w:ascii="Calibri" w:hAnsi="Calibri" w:cs="Calibri" w:eastAsia="Calibri"/>
          <w:i/>
          <w:color w:val="auto"/>
          <w:spacing w:val="0"/>
          <w:position w:val="0"/>
          <w:sz w:val="24"/>
          <w:shd w:fill="auto" w:val="clear"/>
        </w:rPr>
        <w:t xml:space="preserve">Bsa</w:t>
      </w:r>
      <w:r>
        <w:rPr>
          <w:rFonts w:ascii="Calibri" w:hAnsi="Calibri" w:cs="Calibri" w:eastAsia="Calibri"/>
          <w:color w:val="auto"/>
          <w:spacing w:val="0"/>
          <w:position w:val="0"/>
          <w:sz w:val="24"/>
          <w:shd w:fill="auto" w:val="clear"/>
        </w:rPr>
        <w:t xml:space="preserve">I restriction enzyme, 1 &amp;#181;L Bovine Serum Albumin (BSA) (2 mg/mL), 1 &amp;#181;L ligase, 2 &amp;#181;L of 10x ligase buffer and X &amp;#181;L of water for a total volume of 20 &amp;#181;L.  For example, see Table 1. Note:  Half reactions can also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2.2.2.   Place reactions in a thermocycler and run the cycle: 10x(37&amp;#176;C/5 min + 16&amp;#176;C/10 min) + 50&amp;#176;C/5 min + 80&amp;#176;C/5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      Incubate the reactions with nuclease.  To each reaction add 1 &amp;#181;L 25 mM ATP and 1 &amp;#181;L nuclease.  Incubate reactions at 37&amp;#176;C for 1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      Transform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2.4.1.   Transform 2.5 &amp;#181;L of each reaction into 25 &amp;#181;L chemically competent cells.  Note: Homemade competent cells can be used.  However, cells with low competence can result in lack of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2.4.1.1.            Mix 2.5 &amp;#181;L of the reaction with 25 &amp;#181;L of chemically competent cells. Incubate on ice for five minutes. Incubate the cells for 30 seconds at 42&amp;#176;C.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2.4.1.2.            Place the tubes on ice for 2 minutes. Add 125 &amp;#181;L of Super Optimal broth with Catabolite repression (SOC). Shake the tubes at 37&amp;#176;C for 1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2.4.2.   Plate 100 &amp;#181;L of the transformed cells onto LB plates with spectinomycin (50 &amp;#181;g/mL), X-gal and Isopropyl &amp;#946;-D-1-thiogalactopyranoside (IPTG). Grow overnight at 37&amp;#176;C.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      Pick 2-3 white colonies for each reaction and check by colony PCR using primers pCR8_F1 and pCR8_R1 (Table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2.5.1.   Make a master mix of the reagents.  For example, see Table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2.5.2.   Pick a colony and smear it into the bottom of a PCR tube, and then put the remains of the colony into 2 mL LB with spectinomycin (50 &amp;#181;g/mL).  Place 15 &amp;#181;L of the master mix into the tube with the colony.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2.5.3.   Run the following PCR program (Table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2.5.4.   Check the PCR (run the entire volume) on a 1.5% agarose gel by electrophoresis.  The correct clones will have a band at the expected size as well as a smear and a ladder of bands. For an example of the appropriate smear, see</w:t>
      </w:r>
      <w:r>
        <w:rPr>
          <w:rFonts w:ascii="Calibri" w:hAnsi="Calibri" w:cs="Calibri" w:eastAsia="Calibri"/>
          <w:color w:val="auto"/>
          <w:spacing w:val="0"/>
          <w:position w:val="0"/>
          <w:sz w:val="24"/>
          <w:shd w:fill="auto" w:val="clear"/>
          <w:vertAlign w:val="superscript"/>
        </w:rPr>
        <w:t xml:space="preserve">34,33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2.5.5.   Grow 2 mL cultures of the correct clones in LB media overnight at 37&amp;#176;C in a shaking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      Miniprep the plasmids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      Sequence to check TALEN sequence with pCR8_F1 and pCR8_R1.  Follow previously described methods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      Using the correct clones verified by sequencing, set up the reaction #2 (TALEN kit), which will place the RVDs from the A and B vectors and the final RVD into the destination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2.8.1.   Prepare mix for reaction 2 (Table 5).  Note: Half reactions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2.8.2.   Place the reactions in a thermocycler and run the following program: 37&amp;#176;C/10 min + 16&amp;#176;C/15 min + 37&amp;#176;C/15 min + 80&amp;#176;C/5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      Transform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2.9.1.   Transform 2.5 &amp;#181;L of each reaction into 25 &amp;#181;L chemically competent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2.9.1.1.            Mix 2.5 &amp;#181;L of the reaction with 25 &amp;#181;L of chemically competent cells. Incubate on ice for five minutes. Heat shock the cells for 30 seconds at 42&amp;#176;C.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2.9.1.2.            Place the tubes on ice. Add 125 &amp;#181;L of SOC. Place the tubes in a shaking incubator at 37&amp;#176;C for 1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2.9.2.   Plate 100 &amp;#181;L of the transformed cells onto LB plates with ampicillin (100 &amp;#181;g/mL), X-gal and IPTG. Grow overnight at 37&amp;#176;C.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    Pick 1-3 white colonies for each reaction and check by colony PCR using primers TAL_F1 and TAL_R2 (Table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2.10.1. Make a solution of the polymerase mastermix, water and primers as described in Table 3.  Pick a colony and smear it into the bottom of a PCR tube, and then put the remains of the colony into 2 mL LB with ampicillin (100 &amp;#181;g/mL).  Place 15 &amp;#181;L of the solution into the tube with the colony.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2.10.2. Run the PCR program (Table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2.10.3. Check the PCR on a 1.5% agarose gel by electrophoresis.  The correct clones will have a smearing and a ladder of bands. For an example of the appropriate smear, see</w:t>
      </w:r>
      <w:r>
        <w:rPr>
          <w:rFonts w:ascii="Calibri" w:hAnsi="Calibri" w:cs="Calibri" w:eastAsia="Calibri"/>
          <w:color w:val="auto"/>
          <w:spacing w:val="0"/>
          <w:position w:val="0"/>
          <w:sz w:val="24"/>
          <w:shd w:fill="auto" w:val="clear"/>
          <w:vertAlign w:val="superscript"/>
        </w:rPr>
        <w:t xml:space="preserve">34,33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2.10.4. Grow 2 mL cultures of the correct clones in LB media overnight at 37&amp;#176;C in a shaking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    Miniprep the plasmids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    Sequence to check TALEN sequence with TAL_F1 and TAL_R2 following previously described methods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FFFF00" w:val="clear"/>
        </w:rPr>
        <w:t xml:space="preserve">3.   mRNA transcription of TALENs</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3.1.      Digest 4 &amp;#181;g of sequence-verified template with 2 &amp;#181;L </w:t>
      </w:r>
      <w:r>
        <w:rPr>
          <w:rFonts w:ascii="Calibri" w:hAnsi="Calibri" w:cs="Calibri" w:eastAsia="Calibri"/>
          <w:i/>
          <w:color w:val="auto"/>
          <w:spacing w:val="0"/>
          <w:position w:val="0"/>
          <w:sz w:val="24"/>
          <w:shd w:fill="FFFF00" w:val="clear"/>
        </w:rPr>
        <w:t xml:space="preserve">Sac</w:t>
      </w:r>
      <w:r>
        <w:rPr>
          <w:rFonts w:ascii="Calibri" w:hAnsi="Calibri" w:cs="Calibri" w:eastAsia="Calibri"/>
          <w:color w:val="auto"/>
          <w:spacing w:val="0"/>
          <w:position w:val="0"/>
          <w:sz w:val="24"/>
          <w:shd w:fill="FFFF00" w:val="clear"/>
        </w:rPr>
        <w:t xml:space="preserve">I for 2 hours at 37&amp;#176;C.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3.2.      Run 2 &amp;#181;L of the </w:t>
      </w:r>
      <w:r>
        <w:rPr>
          <w:rFonts w:ascii="Calibri" w:hAnsi="Calibri" w:cs="Calibri" w:eastAsia="Calibri"/>
          <w:i/>
          <w:color w:val="auto"/>
          <w:spacing w:val="0"/>
          <w:position w:val="0"/>
          <w:sz w:val="24"/>
          <w:shd w:fill="FFFF00" w:val="clear"/>
        </w:rPr>
        <w:t xml:space="preserve">Sac</w:t>
      </w:r>
      <w:r>
        <w:rPr>
          <w:rFonts w:ascii="Calibri" w:hAnsi="Calibri" w:cs="Calibri" w:eastAsia="Calibri"/>
          <w:color w:val="auto"/>
          <w:spacing w:val="0"/>
          <w:position w:val="0"/>
          <w:sz w:val="24"/>
          <w:shd w:fill="FFFF00" w:val="clear"/>
        </w:rPr>
        <w:t xml:space="preserve">I-digested plasmid on a 1.5% agarose gel by electrophoresis.  Plasmids that are correctly digested will display a single band.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Purify the remaining </w:t>
      </w:r>
      <w:r>
        <w:rPr>
          <w:rFonts w:ascii="Calibri" w:hAnsi="Calibri" w:cs="Calibri" w:eastAsia="Calibri"/>
          <w:i/>
          <w:color w:val="auto"/>
          <w:spacing w:val="0"/>
          <w:position w:val="0"/>
          <w:sz w:val="24"/>
          <w:shd w:fill="auto" w:val="clear"/>
        </w:rPr>
        <w:t xml:space="preserve">Sac</w:t>
      </w:r>
      <w:r>
        <w:rPr>
          <w:rFonts w:ascii="Calibri" w:hAnsi="Calibri" w:cs="Calibri" w:eastAsia="Calibri"/>
          <w:color w:val="auto"/>
          <w:spacing w:val="0"/>
          <w:position w:val="0"/>
          <w:sz w:val="24"/>
          <w:shd w:fill="auto" w:val="clear"/>
        </w:rPr>
        <w:t xml:space="preserve">I-digested plasmid following the PCR purification kit protocol.  Wash twice with the wash solution prior to elution.  Elute into 30 &amp;#181;L of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3.4.      Follow the standard protocol for T3 mRNA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3.4.1.   Set up half reactions using 0.5 &amp;#181;g of linearized template (prepared above).  Incubate at 37&amp;#176;C for 2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3.4.2.   Add 0.5 &amp;#181;L of DNase (included in kit) and incubate at 37&amp;#176;C for 15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Purify the mRNA, following the manufacturer’s instructions.  Elute into 30 &amp;#181;L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3.6.      Run a 1.5% agarose gel by electrophoresis to check the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3.6.1.   Clean the gel apparatus with a product to eliminate RNase contamination and prepare a 1.2%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3.6.2.   Mix 1 &amp;#181;L mRNA + 4 &amp;#181;L nuclease-free water + 5 &amp;#181;L glyoxyl loading dye.  Incubate samples at 50&amp;#176;C for 30 minutes.  Centrifuge the tubes briefly and place on ice before running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Check the concentration using a method of quantifying nucleic acid concentrations and store the RNA in aliquots at -80&amp;#176;C.  Choose an aliquot size such that RNA is not frozen/thawed more than once.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Note: Concentrations of 500-1000 ng/nL are typically obtained.  RNA with a lower concentration can be used as long as RNA integrity is maintained (as assessed by a band rather than a smear on the 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FFFF00" w:val="clear"/>
        </w:rPr>
        <w:t xml:space="preserve">4.   Inject </w:t>
      </w:r>
      <w:r>
        <w:rPr>
          <w:rFonts w:ascii="Calibri" w:hAnsi="Calibri" w:cs="Calibri" w:eastAsia="Calibri"/>
          <w:b/>
          <w:i/>
          <w:color w:val="auto"/>
          <w:spacing w:val="0"/>
          <w:position w:val="0"/>
          <w:sz w:val="24"/>
          <w:shd w:fill="FFFF00" w:val="clear"/>
        </w:rPr>
        <w:t xml:space="preserve">Astyanax mexicanus </w:t>
      </w:r>
      <w:r>
        <w:rPr>
          <w:rFonts w:ascii="Calibri" w:hAnsi="Calibri" w:cs="Calibri" w:eastAsia="Calibri"/>
          <w:b/>
          <w:color w:val="auto"/>
          <w:spacing w:val="0"/>
          <w:position w:val="0"/>
          <w:sz w:val="24"/>
          <w:shd w:fill="FFFF00" w:val="clear"/>
        </w:rPr>
        <w:t xml:space="preserve">embryos with TALEN mRNA</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      Prepare tools for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4.1.1.   Pour injection plates by pouring 1.2% agarose in fish water (water conditioned with sodium bicarbonate and sea salt to pH 7.4 and conductivity 700 &amp;#181;S) into a petri dish.  Place a mold (plastic piece with projections to make wells for fish eggs) inside the dish.  Remove the mold when the agarose has hardened and store at 4&amp;#176;C.  For details on the mold see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4.1.2.   Pull needles for injection using a needle puller according to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Appropriate needle length is important for injections.  Needles that are too long will be too flexible for injections.  The protocol for pulling needles will vary with the equipment used to pull needles.  An example of an appropriate needle is shown in Figure 1. For our equipment, we pull needles that are 5-6 cm in length, and have an outer diameter of approximately 0.011 mm when broken. However, needles should be calibrated (step 4.3.4) to determine opening width. An example program for pulling needles can be found in Table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4.1.3.   Prepare glass pipettes for embryo transfer by breaking the pipette so that the opening is large enough for an egg to pass through.  Flame the broken end until it is no longer sharp. Note: It is important to use glass pipettes and glass bowls when working with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eggs and embryos as they are sticky and will adhere to plastic.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4.2.      Collect 1-cell stage eggs.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    Breed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following standard protocols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Note: For example, if fish are maintained on a 14 light:10 dark cycle and using Zeitgerber time (ZT) with ZT0 as lights on and ZT14 as lights off, our surface fish spawn between ZT15 and ZT19. Exact spawning time must be determined for each individual 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4.2.2    Induce spawning by overfeeding fish for 3-4 days prior to mating and placing fish into fresh water. Raise the temperature 2&amp;#176;F. Note: Our initial water temperature is approximately 72&amp;#176;F.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4.2.3    Collect surface fish eggs in the dark, checking every 15 minutes to obtain eggs at the 1 cell stage.  Hundreds of eggs can be obtained from a single pair of surface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4.2.4    Collect eggs in glass bowls to prevent sticking to plastic surfaces and sort to isolate embryos at the 1 cell stage prior to injection by observing eggs under the microscope and collecting eggs that are a single cell.  Keep eggs in fresh system water </w:t>
      </w:r>
      <w:r>
        <w:rPr>
          <w:rFonts w:ascii="Calibri" w:hAnsi="Calibri" w:cs="Calibri" w:eastAsia="Calibri"/>
          <w:color w:val="auto"/>
          <w:spacing w:val="0"/>
          <w:position w:val="0"/>
          <w:sz w:val="24"/>
          <w:shd w:fill="auto" w:val="clear"/>
        </w:rPr>
        <w:t xml:space="preserve">(tank water in which adult fish are housed, which has been treated for pH and conductivity).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      Inject TALEN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4.3.1.   Inject different amounts of total mRNA (equal amounts of each TALEN in the pair) to determine the optimal concentration for injection as toxicity and efficiency vary by TALEN pair.  Start by injecting concentrations of total mRNA that are 400-800 pg.  Dilute and combine mRNA to desired concentrations for injecting 1.5 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4.3.2.   Load diluted mRNA into the back of the needle and attach the needle to a micro-injector.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4.3.3.   Break the needle using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4.3.4.   Calibrate the needle.  For example, eject 10 times and collect the resulting drop in a micro capillary.  For 10x100 disposable 1.0 &amp;#181;L, 32 mm micro capillary, the drop should fill the micro capillary to 0.5 millimeters for 1.5 nL/1 injection.  Adjust the injection time and pressure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4.3.5.   Insert the needle into the single cell and inject the mRNA.  Inject the mRNA directly into the cell, not into the yolk.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4.3.6.   Collect injected embryos in glass bowls.  Keep embryos at 23-25&amp;#176;C. Remove dead embryos (embryos that become cloudy and irregularly shaped) regularly for the first few days following injection.  Record numbers of dead and deformed embryos from control (uninjected) and injected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Note: Increased mRNA concentration can lead to increased toxicity and deformity/death of embryos.  Thus, toxicity versus efficiency must be balanced to determine the best concentration of mRNA to inject.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Phenotype founder fish and evaluate TALEN efficiency</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24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      Sacrifice embryos according to institutional animal protocol.  Note: We euthanize embryos by rapid chilling on ice.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5.2.      Collect embryos into 0.8 &amp;#181;L PCR strip tubes using a transfer pipette.  Note: Genotyping can be performed on individual embryos or pools of embryos.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5.3.      Extract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5.3.1.       Place embryos into 100 &amp;#181;L 50 mM sodium hydroxide (NaOH) and incubate at 95&amp;#176;C for 30 minutes, then cool to 4&amp;#176;C.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5.3.2.   Add 1/10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volume (10 &amp;#181;L) of 1 M Tris-HCl pH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5.4.      Perform a PCR on the region using the primers designed in step 1.3 (see Tables 8 and 9 for sample protocols).  For individual embryos 1 &amp;#181;L of DNA is sufficient for the PCR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5.5.      Digest the resulting PCR product with the appropriate restriction enzyme and run a 1.5% agarose gel by electrophoresis.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5.5.1    For example, for genotyping the </w:t>
      </w:r>
      <w:r>
        <w:rPr>
          <w:rFonts w:ascii="Calibri" w:hAnsi="Calibri" w:cs="Calibri" w:eastAsia="Calibri"/>
          <w:i/>
          <w:color w:val="auto"/>
          <w:spacing w:val="0"/>
          <w:position w:val="0"/>
          <w:sz w:val="24"/>
          <w:shd w:fill="FFFF00" w:val="clear"/>
        </w:rPr>
        <w:t xml:space="preserve">oculocutaneous albinism 2 (oca2) </w:t>
      </w:r>
      <w:r>
        <w:rPr>
          <w:rFonts w:ascii="Calibri" w:hAnsi="Calibri" w:cs="Calibri" w:eastAsia="Calibri"/>
          <w:color w:val="auto"/>
          <w:spacing w:val="0"/>
          <w:position w:val="0"/>
          <w:sz w:val="24"/>
          <w:shd w:fill="FFFF00" w:val="clear"/>
        </w:rPr>
        <w:t xml:space="preserve">locus in injected embryos digest the PCR product using the restriction enzyme </w:t>
      </w:r>
      <w:r>
        <w:rPr>
          <w:rFonts w:ascii="Calibri" w:hAnsi="Calibri" w:cs="Calibri" w:eastAsia="Calibri"/>
          <w:i/>
          <w:color w:val="auto"/>
          <w:spacing w:val="0"/>
          <w:position w:val="0"/>
          <w:sz w:val="24"/>
          <w:shd w:fill="FFFF00" w:val="clear"/>
        </w:rPr>
        <w:t xml:space="preserve">Bsr</w:t>
      </w:r>
      <w:r>
        <w:rPr>
          <w:rFonts w:ascii="Calibri" w:hAnsi="Calibri" w:cs="Calibri" w:eastAsia="Calibri"/>
          <w:color w:val="auto"/>
          <w:spacing w:val="0"/>
          <w:position w:val="0"/>
          <w:sz w:val="24"/>
          <w:shd w:fill="FFFF00" w:val="clear"/>
        </w:rPr>
        <w:t xml:space="preserve">I by adding 0.5 &amp;#181;L of </w:t>
      </w:r>
      <w:r>
        <w:rPr>
          <w:rFonts w:ascii="Calibri" w:hAnsi="Calibri" w:cs="Calibri" w:eastAsia="Calibri"/>
          <w:i/>
          <w:color w:val="auto"/>
          <w:spacing w:val="0"/>
          <w:position w:val="0"/>
          <w:sz w:val="24"/>
          <w:shd w:fill="FFFF00" w:val="clear"/>
        </w:rPr>
        <w:t xml:space="preserve">Bsr</w:t>
      </w:r>
      <w:r>
        <w:rPr>
          <w:rFonts w:ascii="Calibri" w:hAnsi="Calibri" w:cs="Calibri" w:eastAsia="Calibri"/>
          <w:color w:val="auto"/>
          <w:spacing w:val="0"/>
          <w:position w:val="0"/>
          <w:sz w:val="24"/>
          <w:shd w:fill="FFFF00" w:val="clear"/>
        </w:rPr>
        <w:t xml:space="preserve">I directly to 12.5 &amp;#181;L of the completed PCR reaction, incubating at 65&amp;#176;C for 2 hours. Run the undigested and the digested product on a gel.  Restriction enzyme resistant bands (i.e., bands that do not digest) indicate that TALEN-induced mutations are present (Figure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5.6.      (Optional) Calculate percentage mutation rate by determining the percentage of uncut product by analyzing images of gels in Fiji</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using the gel analysis tool to calculate the intensity value of each band as described previously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      Determine the sequence of mutant alleles by TA cloning the gel purified restriction enzyme resistant mutant band and sequencing clones.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5.7.1.   Gel purify the restriction enzyme resistant mutant band following the manufacturer’s instructions. TA clone the band following the manufacturer’s instructions.  Pick colonies and grow in 1.5 mL LB overnight at 37&amp;#176;C in a shaking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5.7.2.   Miniprep cultures following the manufacturer’s instructions. Send the DNA for sequencing.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5.7.3.   Using a program such as ApE, align the mutant sequences to the wildtype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5.7.3.1.            Copy and paste both sequences into ApE files. Choose the “Align Two Sequences” tool from the “Tools”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5.7.3.2.            Specify the two DNA sequences using the dropdown menus.  Note: The reverse complement of the cloned sequence may need to be used depending on the direction the PCR went into the cloning vector.  If the sequences do not align, repeat steps checking the “Rev-Com” box in the “Align DNA”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5.8.      Evaluate founder fish for phenotypes at appropriate stage and using appropriate methods for the expected phenotype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example, Figure 3). Methods of phenotyping will be based on the expected phenotype for the gene targeted by the researcher using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6.   Screen for germline transmission</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reach sexual maturity at 4-8 months.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6.1.      Cross sexually mature founder fish to wild type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6.2.      Screen embryos or adult fish using methods in steps 5.1-5.7 (Figure 4).  For adult fish, a piece of the tail can be clipped following anesthetization.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6.2.1    Anesthetize fish by submerging fish in a solution of tricaine (3-aminobenzoic acid ethyl ester) to reduce stress during fin clipping.  Following fin clipping, allow fish to recover in fresh water.  Fish recover rapidly; observe until they have recovered (are swimming normally).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TALEN pair injections result in binding of the RVDs to specific DNA nucleotides and thus dimerization of </w:t>
      </w:r>
      <w:r>
        <w:rPr>
          <w:rFonts w:ascii="Calibri" w:hAnsi="Calibri" w:cs="Calibri" w:eastAsia="Calibri"/>
          <w:i/>
          <w:color w:val="auto"/>
          <w:spacing w:val="0"/>
          <w:position w:val="0"/>
          <w:sz w:val="24"/>
          <w:shd w:fill="auto" w:val="clear"/>
        </w:rPr>
        <w:t xml:space="preserve">FokI </w:t>
      </w:r>
      <w:r>
        <w:rPr>
          <w:rFonts w:ascii="Calibri" w:hAnsi="Calibri" w:cs="Calibri" w:eastAsia="Calibri"/>
          <w:color w:val="auto"/>
          <w:spacing w:val="0"/>
          <w:position w:val="0"/>
          <w:sz w:val="24"/>
          <w:shd w:fill="auto" w:val="clear"/>
        </w:rPr>
        <w:t xml:space="preserve">domains, resulting in double stranded breaks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which can be repaired through non-homologous end joining (NHEJ).  NHEJ often introduces errors that result in insertions or deletions (indels).  Indels can be identified by amplifying the region surrounding the TALEN target site and digesting the resulting amplicon with a restriction enzyme that cuts within the TALEN spacer region.  Alleles without an indel will digest while alleles containing indels that change the restriction enzyme target sequence will not digest, producing a restriction enzyme resistant band (Figure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TALEN injections can likely result in biallelic gene mutations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some phenotypes may be assessed in founder fish.  For example, we evaluated pigmentation in surface fish injected with TALENs targeting </w:t>
      </w:r>
      <w:r>
        <w:rPr>
          <w:rFonts w:ascii="Calibri" w:hAnsi="Calibri" w:cs="Calibri" w:eastAsia="Calibri"/>
          <w:i/>
          <w:color w:val="auto"/>
          <w:spacing w:val="0"/>
          <w:position w:val="0"/>
          <w:sz w:val="24"/>
          <w:shd w:fill="auto" w:val="clear"/>
        </w:rPr>
        <w:t xml:space="preserve">oca2</w:t>
      </w:r>
      <w:r>
        <w:rPr>
          <w:rFonts w:ascii="Calibri" w:hAnsi="Calibri" w:cs="Calibri" w:eastAsia="Calibri"/>
          <w:color w:val="auto"/>
          <w:spacing w:val="0"/>
          <w:position w:val="0"/>
          <w:sz w:val="24"/>
          <w:shd w:fill="auto" w:val="clear"/>
        </w:rPr>
        <w:t xml:space="preserve">, the gene hypothesized to be responsible for albinism in multiple albino populations of cavefish</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We found albino patches in </w:t>
      </w:r>
      <w:r>
        <w:rPr>
          <w:rFonts w:ascii="Calibri" w:hAnsi="Calibri" w:cs="Calibri" w:eastAsia="Calibri"/>
          <w:i/>
          <w:color w:val="auto"/>
          <w:spacing w:val="0"/>
          <w:position w:val="0"/>
          <w:sz w:val="24"/>
          <w:shd w:fill="auto" w:val="clear"/>
        </w:rPr>
        <w:t xml:space="preserve">oca2 </w:t>
      </w:r>
      <w:r>
        <w:rPr>
          <w:rFonts w:ascii="Calibri" w:hAnsi="Calibri" w:cs="Calibri" w:eastAsia="Calibri"/>
          <w:color w:val="auto"/>
          <w:spacing w:val="0"/>
          <w:position w:val="0"/>
          <w:sz w:val="24"/>
          <w:shd w:fill="auto" w:val="clear"/>
        </w:rPr>
        <w:t xml:space="preserve">TALEN-injected fish not present in uninjected fish</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(Figure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many experiments, it is desirable to have mutant lines of fish for evaluating phenotypes.  Founder fish with transmitted mutant alleles can be identified by genotyping progeny from crosses of founder fish to wild type fish (Figure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Needle for injecting mRNA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Photograph of a micropipette prior to being broken used for injecting TALEN mRNA into single celled embryos.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TALEN efficiency for Oca2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306 bp PCR products from exon 9 of </w:t>
      </w:r>
      <w:r>
        <w:rPr>
          <w:rFonts w:ascii="Calibri" w:hAnsi="Calibri" w:cs="Calibri" w:eastAsia="Calibri"/>
          <w:i/>
          <w:color w:val="auto"/>
          <w:spacing w:val="0"/>
          <w:position w:val="0"/>
          <w:sz w:val="24"/>
          <w:shd w:fill="auto" w:val="clear"/>
        </w:rPr>
        <w:t xml:space="preserve">oca2</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were examined for loss of the restriction enzyme site when different amounts of TALEN mRNA were injected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amplicon from a control embryo was digested while a portion of the amplicon was resistant to restriction digest in the pools of 10 TALEN injected embryos.  Restriction enzyme digest resistant bands from embryos injected with TALEN mRNA targeted </w:t>
      </w:r>
      <w:r>
        <w:rPr>
          <w:rFonts w:ascii="Calibri" w:hAnsi="Calibri" w:cs="Calibri" w:eastAsia="Calibri"/>
          <w:i/>
          <w:color w:val="auto"/>
          <w:spacing w:val="0"/>
          <w:position w:val="0"/>
          <w:sz w:val="24"/>
          <w:shd w:fill="auto" w:val="clear"/>
        </w:rPr>
        <w:t xml:space="preserve">oca2 </w:t>
      </w:r>
      <w:r>
        <w:rPr>
          <w:rFonts w:ascii="Calibri" w:hAnsi="Calibri" w:cs="Calibri" w:eastAsia="Calibri"/>
          <w:color w:val="auto"/>
          <w:spacing w:val="0"/>
          <w:position w:val="0"/>
          <w:sz w:val="24"/>
          <w:shd w:fill="auto" w:val="clear"/>
        </w:rPr>
        <w:t xml:space="preserve">have been shown to contain indels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Note that increasing concentrations of mRNA injected results in increased TALEN efficiency (more undigested DNA).  Lanes with “-“ are undigested, lanes with “+” are digested with restriction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Phenotyping founder fish for changes in pigmentation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Control uninjected surface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B.  Patch lacking melanophores in a founder surface fish injected with 400 pg TALEN mRNA targeting </w:t>
      </w:r>
      <w:r>
        <w:rPr>
          <w:rFonts w:ascii="Calibri" w:hAnsi="Calibri" w:cs="Calibri" w:eastAsia="Calibri"/>
          <w:i/>
          <w:color w:val="auto"/>
          <w:spacing w:val="0"/>
          <w:position w:val="0"/>
          <w:sz w:val="24"/>
          <w:shd w:fill="auto" w:val="clear"/>
        </w:rPr>
        <w:t xml:space="preserve">oca2 </w:t>
      </w:r>
      <w:r>
        <w:rPr>
          <w:rFonts w:ascii="Calibri" w:hAnsi="Calibri" w:cs="Calibri" w:eastAsia="Calibri"/>
          <w:color w:val="auto"/>
          <w:spacing w:val="0"/>
          <w:position w:val="0"/>
          <w:sz w:val="24"/>
          <w:shd w:fill="auto" w:val="clear"/>
        </w:rPr>
        <w:t xml:space="preserve">(arrow).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Germline transmission of TALEN induced mutations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306 bp PCR products from exon 9 of </w:t>
      </w:r>
      <w:r>
        <w:rPr>
          <w:rFonts w:ascii="Calibri" w:hAnsi="Calibri" w:cs="Calibri" w:eastAsia="Calibri"/>
          <w:i/>
          <w:color w:val="auto"/>
          <w:spacing w:val="0"/>
          <w:position w:val="0"/>
          <w:sz w:val="24"/>
          <w:shd w:fill="auto" w:val="clear"/>
        </w:rPr>
        <w:t xml:space="preserve">oca2</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were examined for loss of the restriction enzyme site in pools of 10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fish from an injected founder fish.  The amplicon from a control embryo was digested while a portion of the amplicon was resistant to restriction digest in the pools of 10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embryos. Restriction enzyme digest resistant bands from </w:t>
      </w:r>
      <w:r>
        <w:rPr>
          <w:rFonts w:ascii="Calibri" w:hAnsi="Calibri" w:cs="Calibri" w:eastAsia="Calibri"/>
          <w:i/>
          <w:color w:val="auto"/>
          <w:spacing w:val="0"/>
          <w:position w:val="0"/>
          <w:sz w:val="24"/>
          <w:shd w:fill="auto" w:val="clear"/>
        </w:rPr>
        <w:t xml:space="preserve">oca2 </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s have been shown to contain indels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Lanes with “-” are undigested, lanes with “+” are digested with restriction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Example reaction assembly A and B for a TALEN containing RVDs NH-NH-NG-HD-HD-HD-NG-HD-NG-HD-NG-HD-NH-NI-NG.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PCR primers for colony PCR, from</w:t>
      </w:r>
      <w:r>
        <w:rPr>
          <w:rFonts w:ascii="Calibri" w:hAnsi="Calibri" w:cs="Calibri" w:eastAsia="Calibri"/>
          <w:b/>
          <w:color w:val="auto"/>
          <w:spacing w:val="0"/>
          <w:position w:val="0"/>
          <w:sz w:val="24"/>
          <w:shd w:fill="auto" w:val="clear"/>
          <w:vertAlign w:val="superscript"/>
        </w:rPr>
        <w:t xml:space="preserve">34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Master mix for 100 &amp;#181;L (15 &amp;#181;L/reaction) for colony PCR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PCR program for colony PCR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Protocol for second assembly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PCR program for colony PCR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7: </w:t>
      </w:r>
      <w:r>
        <w:rPr>
          <w:rFonts w:ascii="Calibri" w:hAnsi="Calibri" w:cs="Calibri" w:eastAsia="Calibri"/>
          <w:color w:val="auto"/>
          <w:spacing w:val="0"/>
          <w:position w:val="0"/>
          <w:sz w:val="24"/>
          <w:shd w:fill="auto" w:val="clear"/>
        </w:rPr>
        <w:t xml:space="preserve">Sample needle pulling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Sample protocol for gene specific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Sample PCR program for gene specific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Great strides have been made in recent years towards understanding the genetic basis of the evolution of traits.  While candidate genes underlying the evolution of a number of traits have been identified, it has remained challenging to test these genes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due to the lack of genetic tractability of most evolutionarily interesting species.  Here we report a method for genome editing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a species used to study the evolution of cave animals.  Genetic mapping studies</w:t>
      </w:r>
      <w:r>
        <w:rPr>
          <w:rFonts w:ascii="Calibri" w:hAnsi="Calibri" w:cs="Calibri" w:eastAsia="Calibri"/>
          <w:color w:val="auto"/>
          <w:spacing w:val="0"/>
          <w:position w:val="0"/>
          <w:sz w:val="24"/>
          <w:shd w:fill="auto" w:val="clear"/>
          <w:vertAlign w:val="superscript"/>
        </w:rPr>
        <w:t xml:space="preserve">1,21,23</w:t>
      </w:r>
      <w:r>
        <w:rPr>
          <w:rFonts w:ascii="Calibri" w:hAnsi="Calibri" w:cs="Calibri" w:eastAsia="Calibri"/>
          <w:color w:val="auto"/>
          <w:spacing w:val="0"/>
          <w:position w:val="0"/>
          <w:sz w:val="24"/>
          <w:shd w:fill="auto" w:val="clear"/>
        </w:rPr>
        <w:t xml:space="preserve"> and candidate gene approaches</w:t>
      </w:r>
      <w:r>
        <w:rPr>
          <w:rFonts w:ascii="Calibri" w:hAnsi="Calibri" w:cs="Calibri" w:eastAsia="Calibri"/>
          <w:color w:val="auto"/>
          <w:spacing w:val="0"/>
          <w:position w:val="0"/>
          <w:sz w:val="24"/>
          <w:shd w:fill="auto" w:val="clear"/>
          <w:vertAlign w:val="superscript"/>
        </w:rPr>
        <w:t xml:space="preserve">19,40</w:t>
      </w:r>
      <w:r>
        <w:rPr>
          <w:rFonts w:ascii="Calibri" w:hAnsi="Calibri" w:cs="Calibri" w:eastAsia="Calibri"/>
          <w:color w:val="auto"/>
          <w:spacing w:val="0"/>
          <w:position w:val="0"/>
          <w:sz w:val="24"/>
          <w:shd w:fill="auto" w:val="clear"/>
        </w:rPr>
        <w:t xml:space="preserve"> have identified a number of candidate genes for the evolution of traits in the cave form of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The recent publication of the cavefish genome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provides an additional powerful tool for identifying candidate genes for the evolution of cave traits. Testing the function of many of these candidate genes requires techniques to reduce gene expression.  The only current option for studying reduced gene expression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by the use of morpholinos. However, morpholino gene knockdown is transient, limited to a few days post fertilization, and is not useful for studying traits in adult animals, such as behavioral differences between adult cave and surface fish like schooling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hyperphagia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vibration attraction behavior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Generation of loss of function alleles of genes, such as those that can be made using TALENs, will be critical for testing the role of candidate genes for these traits.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Methods have been developed for easy assembly of TALEN pairs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 detailed protocol for this method is available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protocol was optimized for zebrafish use by Bedell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a different final destination vector, pT3Ts-goldyTALEN (pT3TS-gT).  This vector allows for transcription of TALEN mRNA for injection into single celled zebrafish embryos. We have used this modified assembly method, explained in detail here, to assemble and transcribe TALENs for injection into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We found that when injected into single-celled surface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embryos, as described within this protocol, we could mutate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genes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future research on candidate genes not described in this protocol, sequences can be found in the cavefish genome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used to identify TALEN target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Critical for successful injections is high quality TALEN mRNA.  Thus, checking for RNA quality by running a small amount of RNA on a gel prior to injection is important (Step 3.6).  Other precautions for maintaining RNA integrity, such as freezing aliquots to avoid freeze thaws (Step 3.7), and maintaining sterile conditions by using clean water and RNAse-free tubes and tips during injections (Step 4), should be taken.  An additional critical step to raising injected fish is cleaning out dead embryos following injection, as dead embryos can rapidly affect water quality.  Thus, we remove dead embryos the morning following injections, and periodically for the next few days following injections to maintain healthy live embryos (Step 4.3.6).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TALEN mutagenesis in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can be highly efficient; however, efficiency varies depending on the TALEN pair injected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Increased mRNA concentrations can lead to increased toxicity and deformity and death of injected embryos.  Thus, toxicity versus efficiency must be tested and balanced to determine the optimal concentration of mRNA to inject.  For highly efficient TALEN pairs, phenotypes may be assessed in injected founder fish.  For example, injection of TALENs targeting </w:t>
      </w:r>
      <w:r>
        <w:rPr>
          <w:rFonts w:ascii="Calibri" w:hAnsi="Calibri" w:cs="Calibri" w:eastAsia="Calibri"/>
          <w:i/>
          <w:color w:val="auto"/>
          <w:spacing w:val="0"/>
          <w:position w:val="0"/>
          <w:sz w:val="24"/>
          <w:shd w:fill="auto" w:val="clear"/>
        </w:rPr>
        <w:t xml:space="preserve">oca2</w:t>
      </w:r>
      <w:r>
        <w:rPr>
          <w:rFonts w:ascii="Calibri" w:hAnsi="Calibri" w:cs="Calibri" w:eastAsia="Calibri"/>
          <w:color w:val="auto"/>
          <w:spacing w:val="0"/>
          <w:position w:val="0"/>
          <w:sz w:val="24"/>
          <w:shd w:fill="auto" w:val="clear"/>
        </w:rPr>
        <w:t xml:space="preserve"> resulted in albino patches in surface fish</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(Figure 3).  For other traits or genes, however, assessment of phenotypes in founder fish may be challenging due to subtly of the phenotype or low efficiency of the TALEN pair injected.  Thus, for many applications it will be desirable to generate germline mutations in a gene of interest for analysis of the role of a candidate gene in a non-mosaic animal.  Obtaining germline transmission of TALEN-induced mutations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possible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(Figure 4).  Thus, this technique can be applied to evaluate other candidate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few limitations to performing genetic manipulations in </w:t>
      </w:r>
      <w:r>
        <w:rPr>
          <w:rFonts w:ascii="Calibri" w:hAnsi="Calibri" w:cs="Calibri" w:eastAsia="Calibri"/>
          <w:i/>
          <w:color w:val="auto"/>
          <w:spacing w:val="0"/>
          <w:position w:val="0"/>
          <w:sz w:val="24"/>
          <w:shd w:fill="auto" w:val="clear"/>
        </w:rPr>
        <w:t xml:space="preserve">Astyanax mexicanus </w:t>
      </w:r>
      <w:r>
        <w:rPr>
          <w:rFonts w:ascii="Calibri" w:hAnsi="Calibri" w:cs="Calibri" w:eastAsia="Calibri"/>
          <w:color w:val="auto"/>
          <w:spacing w:val="0"/>
          <w:position w:val="0"/>
          <w:sz w:val="24"/>
          <w:shd w:fill="auto" w:val="clear"/>
        </w:rPr>
        <w:t xml:space="preserve">exist at this time.  Surface and cavefish breed in the dark, late in the night.  In a laboratory where it is not possible to reverse the light dark cycle, researchers must come in late at night to perform injections, as it is critical to inject immediately after spawning.  Additionally, it is important to collect surface fish embryos in the dark, as light will affect spawning.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Other techniques, in particular the CRISPR/Cas system (reviewed in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exist for genome editing and will likely be applicable to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Indeed, protocols for guide RNA assembly exist that are rapid and easy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the protocol reported here can be modified for CRISPR/Cas injection.  Additionally, new applications for genome editing are rapidly being developed, and many of these may prove useful for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researchers.  For example, in zebrafish precise mutations have been made in a gene of interest by coinjecting TALENs with a single stranded oligo containing a mutation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technique could be useful for evaluating the role of cave alleles in generating cave phenotypes, such as the role of a missense mutation in certain cave alleles of </w:t>
      </w:r>
      <w:r>
        <w:rPr>
          <w:rFonts w:ascii="Calibri" w:hAnsi="Calibri" w:cs="Calibri" w:eastAsia="Calibri"/>
          <w:i/>
          <w:color w:val="auto"/>
          <w:spacing w:val="0"/>
          <w:position w:val="0"/>
          <w:sz w:val="24"/>
          <w:shd w:fill="auto" w:val="clear"/>
        </w:rPr>
        <w:t xml:space="preserve">mc4r</w:t>
      </w:r>
      <w:r>
        <w:rPr>
          <w:rFonts w:ascii="Calibri" w:hAnsi="Calibri" w:cs="Calibri" w:eastAsia="Calibri"/>
          <w:color w:val="auto"/>
          <w:spacing w:val="0"/>
          <w:position w:val="0"/>
          <w:sz w:val="24"/>
          <w:shd w:fill="auto" w:val="clear"/>
        </w:rPr>
        <w:t xml:space="preserve"> in differences in metabolism observed between cavefish and surface fish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TALENs have also been used to generate alleles of genes via homologous recombination that express fluorescent markers in patterns similar to the endogenous loci</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These methods could be used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to evaluate subsets of cells or expression of candidate genes.  The CRISPR/Cas system has been used in zebrafish to obtain tissue-specific gene knockout</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These techniques, applied to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could be useful to evaluate the genetic basis of processes such as eye loss in cavefish.  The lens plays a critical role in the process of eye loss in cavefish</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the tissue-specific CRISPR/Cas system could be used to evaluate the role of candidate genes for eye loss specifically in the lens versus other tissues of the eye.  These and other genome-editing techniques can be utilized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in future studies to answer critical questions about the evolution of cave traits.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Department of Genetics, Development and Cell Biology and Iowa State University and by NIH grant EY024941 (WJ).</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 Jeffrey Essner provided comments on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Protas, M.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analysis of cavefish reveals molecular convergence in the evolution of albinism. </w:t>
      </w:r>
      <w:r>
        <w:rPr>
          <w:rFonts w:ascii="Calibri" w:hAnsi="Calibri" w:cs="Calibri" w:eastAsia="Calibri"/>
          <w:i/>
          <w:color w:val="000000"/>
          <w:spacing w:val="0"/>
          <w:position w:val="0"/>
          <w:sz w:val="24"/>
          <w:shd w:fill="auto" w:val="clear"/>
        </w:rPr>
        <w:t xml:space="preserve">Nat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107-111, doi:10.1038/ng1700,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Hoekstra, H. E., Hirschmann, R. J., Bundey, R. A., Insel, P. A. &amp;amp; Crossland, J. P. A single amino acid mutation contributes to adaptive beach mouse color pattern.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(5783), 101-104, doi:10.1126/science.1126121,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Chan, Y.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Adaptive evolution of pelvic reduction in sticklebacks by recurrent deletion of a Pitx1 enhancer.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 (5963), 302-305, doi:10.1126/science.1182213,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Liu,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and specific modifications of the Drosophila genome by means of an easy TALEN strategy. </w:t>
      </w:r>
      <w:r>
        <w:rPr>
          <w:rFonts w:ascii="Calibri" w:hAnsi="Calibri" w:cs="Calibri" w:eastAsia="Calibri"/>
          <w:i/>
          <w:color w:val="000000"/>
          <w:spacing w:val="0"/>
          <w:position w:val="0"/>
          <w:sz w:val="24"/>
          <w:shd w:fill="auto" w:val="clear"/>
        </w:rPr>
        <w:t xml:space="preserve">J Genet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 209-215, doi:10.1016/j.jgg.2012.04.003,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Bannister,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TALENs mediate efficient and heritable mutation of endogenous genes in the marine annelid Platynereis dumerilii.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(1), 77-89, doi:10.1534/genetics.113.161091,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Lei,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targeted gene disruption in Xenopus embryos using engineered transcription activator-like effector nucleases (TALENs).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(43), 17484-17489, doi:10.1073/pnas.1215421109,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Bedell, V.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vivo genome editing using a high-efficiency TALEN system.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491</w:t>
      </w:r>
      <w:r>
        <w:rPr>
          <w:rFonts w:ascii="Calibri" w:hAnsi="Calibri" w:cs="Calibri" w:eastAsia="Calibri"/>
          <w:color w:val="000000"/>
          <w:spacing w:val="0"/>
          <w:position w:val="0"/>
          <w:sz w:val="24"/>
          <w:shd w:fill="auto" w:val="clear"/>
        </w:rPr>
        <w:t xml:space="preserve"> (7422), 114-118, doi:10.1038/nature11537,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Huang,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Heritable gene targeting in zebrafish using customized TALENs.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699-700, doi:10.1038/nbt.1939,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Ansai,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targeted mutagenesis in medaka using custom-designed transcription activator-like effector nucleases.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(3), 739-749, doi:10.1534/genetics.112.147645,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Zhang,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of doublesex- and mab-3-related transcription factor 6 and its involvement in spermatogenesis in tilapia. </w:t>
      </w:r>
      <w:r>
        <w:rPr>
          <w:rFonts w:ascii="Calibri" w:hAnsi="Calibri" w:cs="Calibri" w:eastAsia="Calibri"/>
          <w:i/>
          <w:color w:val="000000"/>
          <w:spacing w:val="0"/>
          <w:position w:val="0"/>
          <w:sz w:val="24"/>
          <w:shd w:fill="auto" w:val="clear"/>
        </w:rPr>
        <w:t xml:space="preserve">Biol Reprod.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(6), 136, doi:10.1095/biolreprod.114.121418,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One-step generation of mice carrying mutations in multiple genes by CRISPR/Cas-mediated genome engineering.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(4), 910-918, doi:10.1016/j.cell.2013.04.025,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Gross, J. B. The complex origin of Astyanax cavefish. </w:t>
      </w:r>
      <w:r>
        <w:rPr>
          <w:rFonts w:ascii="Calibri" w:hAnsi="Calibri" w:cs="Calibri" w:eastAsia="Calibri"/>
          <w:i/>
          <w:color w:val="000000"/>
          <w:spacing w:val="0"/>
          <w:position w:val="0"/>
          <w:sz w:val="24"/>
          <w:shd w:fill="auto" w:val="clear"/>
        </w:rPr>
        <w:t xml:space="preserve">BMC Evol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105, doi:10.1186/1471-2148-12-105,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Wilkens, H. Evolution and genetics of epigean and cave Astyanax fasciatus (Characidae, Pisces) - support for the neutral mutation theory. </w:t>
      </w:r>
      <w:r>
        <w:rPr>
          <w:rFonts w:ascii="Calibri" w:hAnsi="Calibri" w:cs="Calibri" w:eastAsia="Calibri"/>
          <w:i/>
          <w:color w:val="000000"/>
          <w:spacing w:val="0"/>
          <w:position w:val="0"/>
          <w:sz w:val="24"/>
          <w:shd w:fill="auto" w:val="clear"/>
        </w:rPr>
        <w:t xml:space="preserve">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271-367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Teyke, T. Morphological differences in neuromasts of the blind cave fish Astyanax hubbsi and the sighted river fish Astyanax mexicanus. </w:t>
      </w:r>
      <w:r>
        <w:rPr>
          <w:rFonts w:ascii="Calibri" w:hAnsi="Calibri" w:cs="Calibri" w:eastAsia="Calibri"/>
          <w:i/>
          <w:color w:val="000000"/>
          <w:spacing w:val="0"/>
          <w:position w:val="0"/>
          <w:sz w:val="24"/>
          <w:shd w:fill="auto" w:val="clear"/>
        </w:rPr>
        <w:t xml:space="preserve">Brain Behav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23-30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Schemmel, C. Genetische Untersuchungen zur Evolution des Geschmacksapparates bei cavernicolen Fischen. </w:t>
      </w:r>
      <w:r>
        <w:rPr>
          <w:rFonts w:ascii="Calibri" w:hAnsi="Calibri" w:cs="Calibri" w:eastAsia="Calibri"/>
          <w:i/>
          <w:color w:val="000000"/>
          <w:spacing w:val="0"/>
          <w:position w:val="0"/>
          <w:sz w:val="24"/>
          <w:shd w:fill="auto" w:val="clear"/>
        </w:rPr>
        <w:t xml:space="preserve">Z Zool Syst Evolutionforsch.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196-215 (1974).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Burchards, H., Dolle, A. &amp;amp; Parzefall, J. Aggressive behavior of an epigean population of Astyanax mexicanus (Characidae, Pisces) and some observations of three subterranean populations. </w:t>
      </w:r>
      <w:r>
        <w:rPr>
          <w:rFonts w:ascii="Calibri" w:hAnsi="Calibri" w:cs="Calibri" w:eastAsia="Calibri"/>
          <w:i/>
          <w:color w:val="000000"/>
          <w:spacing w:val="0"/>
          <w:position w:val="0"/>
          <w:sz w:val="24"/>
          <w:shd w:fill="auto" w:val="clear"/>
        </w:rPr>
        <w:t xml:space="preserve">Behavioral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225-235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Parzefall, J. &amp;amp; Fricke, D. Alarm reaction and schooling in population hybrids of </w:t>
      </w:r>
      <w:r>
        <w:rPr>
          <w:rFonts w:ascii="Calibri" w:hAnsi="Calibri" w:cs="Calibri" w:eastAsia="Calibri"/>
          <w:i/>
          <w:color w:val="000000"/>
          <w:spacing w:val="0"/>
          <w:position w:val="0"/>
          <w:sz w:val="24"/>
          <w:shd w:fill="auto" w:val="clear"/>
        </w:rPr>
        <w:t xml:space="preserve">Astyanax fasciatus </w:t>
      </w:r>
      <w:r>
        <w:rPr>
          <w:rFonts w:ascii="Calibri" w:hAnsi="Calibri" w:cs="Calibri" w:eastAsia="Calibri"/>
          <w:color w:val="000000"/>
          <w:spacing w:val="0"/>
          <w:position w:val="0"/>
          <w:sz w:val="24"/>
          <w:shd w:fill="auto" w:val="clear"/>
        </w:rPr>
        <w:t xml:space="preserve">(Pisces, Characidae). </w:t>
      </w:r>
      <w:r>
        <w:rPr>
          <w:rFonts w:ascii="Calibri" w:hAnsi="Calibri" w:cs="Calibri" w:eastAsia="Calibri"/>
          <w:i/>
          <w:color w:val="000000"/>
          <w:spacing w:val="0"/>
          <w:position w:val="0"/>
          <w:sz w:val="24"/>
          <w:shd w:fill="auto" w:val="clear"/>
        </w:rPr>
        <w:t xml:space="preserve">Memoires e Biospeologie.</w:t>
      </w:r>
      <w:r>
        <w:rPr>
          <w:rFonts w:ascii="Calibri" w:hAnsi="Calibri" w:cs="Calibri" w:eastAsia="Calibri"/>
          <w:color w:val="000000"/>
          <w:spacing w:val="0"/>
          <w:position w:val="0"/>
          <w:sz w:val="24"/>
          <w:shd w:fill="auto" w:val="clear"/>
        </w:rPr>
        <w:t xml:space="preserve"> 29-32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Schemmel, C. Studies on the Genetics of Feeding Behavior in the Cave Fish </w:t>
      </w:r>
      <w:r>
        <w:rPr>
          <w:rFonts w:ascii="Calibri" w:hAnsi="Calibri" w:cs="Calibri" w:eastAsia="Calibri"/>
          <w:i/>
          <w:color w:val="000000"/>
          <w:spacing w:val="0"/>
          <w:position w:val="0"/>
          <w:sz w:val="24"/>
          <w:shd w:fill="auto" w:val="clear"/>
        </w:rPr>
        <w:t xml:space="preserve">Astyanax mexicanus F. anoptichthys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 Tierpsychol.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9-22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Aspiras, A. C., Rohner, N., Martineau, B., Borowsky, R. L. &amp;amp; Tabin, C. J. Melanocortin 4 receptor mutations contribute to the adaptation of cavefish to nutrient-poor conditions.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(31), 9668-9673, doi:10.1073/pnas.1510802112,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Protas,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Multi-trait evolution in a cave fish, Astyanax mexicanus. </w:t>
      </w:r>
      <w:r>
        <w:rPr>
          <w:rFonts w:ascii="Calibri" w:hAnsi="Calibri" w:cs="Calibri" w:eastAsia="Calibri"/>
          <w:i/>
          <w:color w:val="000000"/>
          <w:spacing w:val="0"/>
          <w:position w:val="0"/>
          <w:sz w:val="24"/>
          <w:shd w:fill="auto" w:val="clear"/>
        </w:rPr>
        <w:t xml:space="preserve">Evol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196-209, doi:10.1111/j.1525-142X.2008.00227.x,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Gross, J. B., Borowsky, R. &amp;amp; Tabin, C. J. A novel role for Mc1r in the parallel evolution of depigmentation in independent populations of the cavefish Astyanax mexicanus. </w:t>
      </w:r>
      <w:r>
        <w:rPr>
          <w:rFonts w:ascii="Calibri" w:hAnsi="Calibri" w:cs="Calibri" w:eastAsia="Calibri"/>
          <w:i/>
          <w:color w:val="000000"/>
          <w:spacing w:val="0"/>
          <w:position w:val="0"/>
          <w:sz w:val="24"/>
          <w:shd w:fill="auto" w:val="clear"/>
        </w:rPr>
        <w:t xml:space="preserve">PLoS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e1000326, doi:10.1371/journal.pgen.1000326,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Yoshizawa, M., Yamamoto, Y., O'Quin, K. E. &amp;amp; Jeffery, W. R. Evolution of an adaptive behavior and its sensory receptors promotes eye regression in blind cavefish. </w:t>
      </w:r>
      <w:r>
        <w:rPr>
          <w:rFonts w:ascii="Calibri" w:hAnsi="Calibri" w:cs="Calibri" w:eastAsia="Calibri"/>
          <w:i/>
          <w:color w:val="000000"/>
          <w:spacing w:val="0"/>
          <w:position w:val="0"/>
          <w:sz w:val="24"/>
          <w:shd w:fill="auto" w:val="clear"/>
        </w:rPr>
        <w:t xml:space="preserve">BMC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108, doi:10.1186/1741-7007-10-108,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O'Quin, K. E., Yoshizawa, M., Doshi, P. &amp;amp; Jeffery, W. R. Quantitative genetic analysis of retinal degeneration in the blind cavefish Astyanax mexicanus.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e57281, doi:10.1371/journal.pone.0057281,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Kowalko,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Convergence in feeding posture occurs through different genetic loci in independently evolved cave populations of Astyanax mexicanus.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(42), 16933-16938, doi:10.1073/pnas.1317192110,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Kowalko,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Loss of Schooling Behavior in Cavefish through Sight-Dependent and Sight-Independent Mechanisms.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doi:10.1016/j.cub.2013.07.056,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Gross, J. B., Krutzler, A. J. &amp;amp; Carlson, B. M. Complex craniofacial changes in blind cave-dwelling fish are mediated by genetically symmetric and asymmetric loci.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(4), 1303-1319, doi:10.1534/genetics.114.161661,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Yamamoto, Y., Stock, D. W. &amp;amp; Jeffery, W. R. Hedgehog signalling controls eye degeneration in blind cavefish.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431</w:t>
      </w:r>
      <w:r>
        <w:rPr>
          <w:rFonts w:ascii="Calibri" w:hAnsi="Calibri" w:cs="Calibri" w:eastAsia="Calibri"/>
          <w:color w:val="000000"/>
          <w:spacing w:val="0"/>
          <w:position w:val="0"/>
          <w:sz w:val="24"/>
          <w:shd w:fill="auto" w:val="clear"/>
        </w:rPr>
        <w:t xml:space="preserve"> (7010), 844-847, doi:10.1038/nature02864,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Bilandzija, H., Ma, L., Parkhurst, A. &amp;amp; Jeffery, W. R. A potential benefit of albinism in Astyanax cavefish: downregulation of the oca2 gene increases tyrosine and catecholamine levels as an alternative to melanin synthesis.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e80823, doi:10.1371/journal.pone.0080823,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Ma, L., Jeffery, W. R., Essner, J. J. &amp;amp; Kowalko, J. E. Genome editing using TALENs in blind Mexican Cavefish, Astyanax mexicanus.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e0119370, doi:10.1371/journal.pone.0119370,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primer3. &amp;lt;bioinfo.ut.ee/primer3-0.4.0/&amp;gt;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Untergrasser A, C. I., Koressaar T, Ye J, Faircloth BC, Remm M, Rozen SG. Primer3- new capabilities and interfaces.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(15), e115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Koressaar T, R. M. Enhancements and modifications of primer design program Primer3.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1289-1291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Cermak,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design and assembly of custom TALEN and other TAL effector-based constructs for DNA targeting.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 e82, doi:10.1093/nar/gkr218,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Addgene. Golden Gate TALEN assembly.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https://www.addgene.org/static/cms/filer_public/98/5a/985a6117-7490-4001-8f6a-24b2cf7b005b/golden_gate_talen_assembly_v7.pdf</w:t>
        </w:r>
      </w:hyperlink>
      <w:r>
        <w:rPr>
          <w:rFonts w:ascii="Calibri" w:hAnsi="Calibri" w:cs="Calibri" w:eastAsia="Calibri"/>
          <w:color w:val="auto"/>
          <w:spacing w:val="0"/>
          <w:position w:val="0"/>
          <w:sz w:val="24"/>
          <w:u w:val="single"/>
          <w:shd w:fill="auto" w:val="clear"/>
        </w:rPr>
        <w:t xml:space="preserve">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Addgene. Sequencing TALENs.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http://www.addgene.org/static/cms/filer_public/eb/d2/ebd246f3-db1e-499c-85ce-f79c023a726f/sequencing_talens.</w:t>
        </w:r>
        <w:r>
          <w:rPr>
            <w:rFonts w:ascii="Calibri" w:hAnsi="Calibri" w:cs="Calibri" w:eastAsia="Calibri"/>
            <w:color w:val="0000FF"/>
            <w:spacing w:val="0"/>
            <w:position w:val="0"/>
            <w:sz w:val="24"/>
            <w:u w:val="single"/>
            <w:shd w:fill="auto" w:val="clear"/>
          </w:rPr>
          <w:t xml:space="preserve">pdf</w:t>
        </w:r>
      </w:hyperlink>
      <w:r>
        <w:rPr>
          <w:rFonts w:ascii="Calibri" w:hAnsi="Calibri" w:cs="Calibri" w:eastAsia="Calibri"/>
          <w:color w:val="auto"/>
          <w:spacing w:val="0"/>
          <w:position w:val="0"/>
          <w:sz w:val="24"/>
          <w:u w:val="single"/>
          <w:shd w:fill="auto" w:val="clear"/>
        </w:rPr>
        <w:t xml:space="preserve">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36https://wiki.zfin.org/display/prot/A+Device+To+Hold+Zebrafish+Embryos+During+Microinjection.</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Hinaux,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developmental staging table for Astyanax mexicanus surface fish and Pachon cavefish.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155-165, doi:10.1089/zeb.2011.0713,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Schindelin,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doi:10.1038/nmeth.2019,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Bitinaite, J., Wah, D. A., Aggarwal, A. K. &amp;amp; Schildkraut, I. FokI dimerization is required for DNA cleavage.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(18), 10570-10575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Elipot,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mutation in the enzyme monoamine oxidase explains part of the Astyanax cavefish behavioural syndrome.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3647, doi:10.1038/ncomms4647,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McGaugh, 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cavefish genome reveals candidate genes for eye loss.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5307, doi:10.1038/ncomms6307,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Yoshizawa, M., Goricki, S., Soares, D. &amp;amp; Jeffery, W. R. Evolution of a behavioral shift mediated by superficial neuromasts helps cavefish find food in darkness.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(18), 1631-1636, doi:10.1016/j.cub.2010.07.017,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Blackburn, P. R., Campbell, J. M., Clark, K. J. &amp;amp; Ekker, S. C. The CRISPR system--keeping zebrafish gene targeting fresh.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116-118, doi:10.1089/zeb.2013.9999,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Varshney, G.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High-throughput gene targeting and phenotyping in zebrafish using CRISPR/Cas9.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(7), 1030-1042, doi:10.1101/gr.186379.114,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Shin, J., Chen, J. &amp;amp; Solnica-Krezel, L. Efficient homologous recombination-mediated genome engineering in zebrafish using TALE nucleases.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(19), 3807-3818, doi:10.1242/dev.108019,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Ablain, J., Durand, E. M., Yang, S., Zhou, Y. &amp;amp; Zon, L. I. A CRISPR/Cas9 vector system for tissue-specific gene disruption in zebrafish. </w:t>
      </w:r>
      <w:r>
        <w:rPr>
          <w:rFonts w:ascii="Calibri" w:hAnsi="Calibri" w:cs="Calibri" w:eastAsia="Calibri"/>
          <w:i/>
          <w:color w:val="000000"/>
          <w:spacing w:val="0"/>
          <w:position w:val="0"/>
          <w:sz w:val="24"/>
          <w:shd w:fill="auto" w:val="clear"/>
        </w:rPr>
        <w:t xml:space="preserve">Dev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756-764, doi:10.1016/j.devcel.2015.01.032,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Yamamoto, Y. &amp;amp; Jeffery, W. R. Central role for the lens in cave fish eye degeneration.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(5479), 631-633 (2000).</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static/cms/filer_public/98/5a/985a6117-7490-4001-8f6a-24b2cf7b005b/golden_gate_talen_assembly_v7.pdf" Id="docRId1" Type="http://schemas.openxmlformats.org/officeDocument/2006/relationships/hyperlink" /><Relationship Target="numbering.xml" Id="docRId3" Type="http://schemas.openxmlformats.org/officeDocument/2006/relationships/numbering" /><Relationship TargetMode="External" Target="https://tale-nt.cac.cornell.edu/node/add/talen" Id="docRId0" Type="http://schemas.openxmlformats.org/officeDocument/2006/relationships/hyperlink" /><Relationship TargetMode="External" Target="http://www.addgene.org/static/cms/filer_public/eb/d2/ebd246f3-db1e-499c-85ce-f79c023a726f/sequencing_talens.pdf" Id="docRId2" Type="http://schemas.openxmlformats.org/officeDocument/2006/relationships/hyperlink" /><Relationship Target="styles.xml" Id="docRId4" Type="http://schemas.openxmlformats.org/officeDocument/2006/relationships/styles" /></Relationships>
</file>