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31" w:rsidRDefault="00610631" w:rsidP="0061063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Rebuttal Letter to JoVE53269R2</w:t>
      </w:r>
    </w:p>
    <w:p w:rsidR="00610631" w:rsidRPr="00610631" w:rsidRDefault="00610631" w:rsidP="00610631">
      <w:pPr>
        <w:spacing w:before="100" w:beforeAutospacing="1" w:after="100" w:afterAutospacing="1" w:line="240" w:lineRule="auto"/>
        <w:rPr>
          <w:rFonts w:ascii="Times New Roman" w:eastAsia="Times New Roman" w:hAnsi="Times New Roman" w:cs="Times New Roman"/>
          <w:bCs/>
          <w:sz w:val="24"/>
          <w:szCs w:val="24"/>
        </w:rPr>
      </w:pPr>
      <w:r w:rsidRPr="00610631">
        <w:rPr>
          <w:rFonts w:ascii="Times New Roman" w:eastAsia="Times New Roman" w:hAnsi="Times New Roman" w:cs="Times New Roman"/>
          <w:bCs/>
          <w:sz w:val="24"/>
          <w:szCs w:val="24"/>
        </w:rPr>
        <w:t>Dear Dr. Zaman,</w:t>
      </w:r>
    </w:p>
    <w:p w:rsidR="00610631" w:rsidRDefault="00610631" w:rsidP="00610631">
      <w:pPr>
        <w:spacing w:before="100" w:beforeAutospacing="1" w:after="100" w:afterAutospacing="1" w:line="240" w:lineRule="auto"/>
        <w:rPr>
          <w:rFonts w:ascii="Times New Roman" w:eastAsia="Times New Roman" w:hAnsi="Times New Roman" w:cs="Times New Roman"/>
          <w:b/>
          <w:bCs/>
          <w:sz w:val="24"/>
          <w:szCs w:val="24"/>
        </w:rPr>
      </w:pPr>
      <w:r w:rsidRPr="00610631">
        <w:rPr>
          <w:rFonts w:ascii="Times New Roman" w:eastAsia="Times New Roman" w:hAnsi="Times New Roman" w:cs="Times New Roman"/>
          <w:bCs/>
          <w:sz w:val="24"/>
          <w:szCs w:val="24"/>
        </w:rPr>
        <w:tab/>
        <w:t xml:space="preserve">We thank the </w:t>
      </w:r>
      <w:r w:rsidR="00DD15C5">
        <w:rPr>
          <w:rFonts w:ascii="Times New Roman" w:eastAsia="Times New Roman" w:hAnsi="Times New Roman" w:cs="Times New Roman"/>
          <w:bCs/>
          <w:sz w:val="24"/>
          <w:szCs w:val="24"/>
        </w:rPr>
        <w:t>E</w:t>
      </w:r>
      <w:r w:rsidRPr="00610631">
        <w:rPr>
          <w:rFonts w:ascii="Times New Roman" w:eastAsia="Times New Roman" w:hAnsi="Times New Roman" w:cs="Times New Roman"/>
          <w:bCs/>
          <w:sz w:val="24"/>
          <w:szCs w:val="24"/>
        </w:rPr>
        <w:t xml:space="preserve">ditor and the </w:t>
      </w:r>
      <w:r w:rsidR="00DD15C5">
        <w:rPr>
          <w:rFonts w:ascii="Times New Roman" w:eastAsia="Times New Roman" w:hAnsi="Times New Roman" w:cs="Times New Roman"/>
          <w:bCs/>
          <w:sz w:val="24"/>
          <w:szCs w:val="24"/>
        </w:rPr>
        <w:t>R</w:t>
      </w:r>
      <w:r w:rsidRPr="00610631">
        <w:rPr>
          <w:rFonts w:ascii="Times New Roman" w:eastAsia="Times New Roman" w:hAnsi="Times New Roman" w:cs="Times New Roman"/>
          <w:bCs/>
          <w:sz w:val="24"/>
          <w:szCs w:val="24"/>
        </w:rPr>
        <w:t>eviewers for reading our manuscript and helping us improve the quality of our work. Please find herewith our responses to the Editorial and Reviewer comments.</w:t>
      </w:r>
      <w:r>
        <w:rPr>
          <w:rFonts w:ascii="Times New Roman" w:eastAsia="Times New Roman" w:hAnsi="Times New Roman" w:cs="Times New Roman"/>
          <w:bCs/>
          <w:sz w:val="24"/>
          <w:szCs w:val="24"/>
        </w:rPr>
        <w:t xml:space="preserve"> All Editorial and Reviewer comments are in blue text while our responses are in black. </w:t>
      </w:r>
    </w:p>
    <w:p w:rsidR="00610631" w:rsidRPr="00610631" w:rsidRDefault="00610631" w:rsidP="00610631">
      <w:pPr>
        <w:spacing w:before="100" w:beforeAutospacing="1" w:after="100" w:afterAutospacing="1" w:line="240" w:lineRule="auto"/>
        <w:rPr>
          <w:rFonts w:ascii="Times New Roman" w:eastAsia="Times New Roman" w:hAnsi="Times New Roman" w:cs="Times New Roman"/>
          <w:sz w:val="24"/>
          <w:szCs w:val="24"/>
        </w:rPr>
      </w:pPr>
      <w:r w:rsidRPr="00610631">
        <w:rPr>
          <w:rFonts w:ascii="Times New Roman" w:eastAsia="Times New Roman" w:hAnsi="Times New Roman" w:cs="Times New Roman"/>
          <w:b/>
          <w:bCs/>
          <w:sz w:val="24"/>
          <w:szCs w:val="24"/>
        </w:rPr>
        <w:t>Editorial comments:</w:t>
      </w:r>
      <w:r w:rsidRPr="00610631">
        <w:rPr>
          <w:rFonts w:ascii="Times New Roman" w:eastAsia="Times New Roman" w:hAnsi="Times New Roman" w:cs="Times New Roman"/>
          <w:sz w:val="24"/>
          <w:szCs w:val="24"/>
        </w:rPr>
        <w:br/>
      </w:r>
      <w:r w:rsidRPr="00610631">
        <w:rPr>
          <w:rFonts w:ascii="Times New Roman" w:eastAsia="Times New Roman" w:hAnsi="Times New Roman" w:cs="Times New Roman"/>
          <w:sz w:val="24"/>
          <w:szCs w:val="24"/>
        </w:rPr>
        <w:br/>
      </w:r>
      <w:r w:rsidRPr="00610631">
        <w:rPr>
          <w:rFonts w:ascii="Times New Roman" w:eastAsia="Times New Roman" w:hAnsi="Times New Roman" w:cs="Times New Roman"/>
          <w:color w:val="365F91" w:themeColor="accent1" w:themeShade="BF"/>
          <w:sz w:val="24"/>
          <w:szCs w:val="24"/>
        </w:rPr>
        <w:t xml:space="preserve">* All of your previous revisions have been incorporated into the most recent version of the manuscript. In addition, Editor may have made formatting changes and minor copy edits to your manuscript. On the </w:t>
      </w:r>
      <w:proofErr w:type="spellStart"/>
      <w:r w:rsidRPr="00610631">
        <w:rPr>
          <w:rFonts w:ascii="Times New Roman" w:eastAsia="Times New Roman" w:hAnsi="Times New Roman" w:cs="Times New Roman"/>
          <w:color w:val="365F91" w:themeColor="accent1" w:themeShade="BF"/>
          <w:sz w:val="24"/>
          <w:szCs w:val="24"/>
        </w:rPr>
        <w:t>JoVE</w:t>
      </w:r>
      <w:proofErr w:type="spellEnd"/>
      <w:r w:rsidRPr="00610631">
        <w:rPr>
          <w:rFonts w:ascii="Times New Roman" w:eastAsia="Times New Roman" w:hAnsi="Times New Roman" w:cs="Times New Roman"/>
          <w:color w:val="365F91" w:themeColor="accent1" w:themeShade="BF"/>
          <w:sz w:val="24"/>
          <w:szCs w:val="24"/>
        </w:rPr>
        <w:t xml:space="preserve"> submission site, you can find the updated manuscript under "file inventory" and download the </w:t>
      </w:r>
      <w:proofErr w:type="spellStart"/>
      <w:proofErr w:type="gramStart"/>
      <w:r w:rsidRPr="00610631">
        <w:rPr>
          <w:rFonts w:ascii="Times New Roman" w:eastAsia="Times New Roman" w:hAnsi="Times New Roman" w:cs="Times New Roman"/>
          <w:color w:val="365F91" w:themeColor="accent1" w:themeShade="BF"/>
          <w:sz w:val="24"/>
          <w:szCs w:val="24"/>
        </w:rPr>
        <w:t>microsoft</w:t>
      </w:r>
      <w:proofErr w:type="spellEnd"/>
      <w:proofErr w:type="gramEnd"/>
      <w:r w:rsidRPr="00610631">
        <w:rPr>
          <w:rFonts w:ascii="Times New Roman" w:eastAsia="Times New Roman" w:hAnsi="Times New Roman" w:cs="Times New Roman"/>
          <w:color w:val="365F91" w:themeColor="accent1" w:themeShade="BF"/>
          <w:sz w:val="24"/>
          <w:szCs w:val="24"/>
        </w:rPr>
        <w:t xml:space="preserve"> word document. </w:t>
      </w:r>
      <w:r w:rsidRPr="00610631">
        <w:rPr>
          <w:rFonts w:ascii="Times New Roman" w:eastAsia="Times New Roman" w:hAnsi="Times New Roman" w:cs="Times New Roman"/>
          <w:b/>
          <w:bCs/>
          <w:color w:val="365F91" w:themeColor="accent1" w:themeShade="BF"/>
          <w:sz w:val="24"/>
          <w:szCs w:val="24"/>
        </w:rPr>
        <w:t>Please use this updated version for any future revisions</w:t>
      </w:r>
      <w:r w:rsidRPr="00610631">
        <w:rPr>
          <w:rFonts w:ascii="Times New Roman" w:eastAsia="Times New Roman" w:hAnsi="Times New Roman" w:cs="Times New Roman"/>
          <w:color w:val="365F91" w:themeColor="accent1" w:themeShade="BF"/>
          <w:sz w:val="24"/>
          <w:szCs w:val="24"/>
        </w:rPr>
        <w:t>.</w:t>
      </w:r>
      <w:r w:rsidRPr="00610631">
        <w:rPr>
          <w:rFonts w:ascii="Times New Roman" w:eastAsia="Times New Roman" w:hAnsi="Times New Roman" w:cs="Times New Roman"/>
          <w:color w:val="365F91" w:themeColor="accent1" w:themeShade="BF"/>
          <w:sz w:val="24"/>
          <w:szCs w:val="24"/>
        </w:rPr>
        <w:br/>
      </w:r>
      <w:r>
        <w:rPr>
          <w:rFonts w:ascii="Times New Roman" w:eastAsia="Times New Roman" w:hAnsi="Times New Roman" w:cs="Times New Roman"/>
          <w:sz w:val="24"/>
          <w:szCs w:val="24"/>
        </w:rPr>
        <w:t xml:space="preserve">We have used the most recent version available on the </w:t>
      </w:r>
      <w:proofErr w:type="spellStart"/>
      <w:r>
        <w:rPr>
          <w:rFonts w:ascii="Times New Roman" w:eastAsia="Times New Roman" w:hAnsi="Times New Roman" w:cs="Times New Roman"/>
          <w:sz w:val="24"/>
          <w:szCs w:val="24"/>
        </w:rPr>
        <w:t>JoVE</w:t>
      </w:r>
      <w:proofErr w:type="spellEnd"/>
      <w:r>
        <w:rPr>
          <w:rFonts w:ascii="Times New Roman" w:eastAsia="Times New Roman" w:hAnsi="Times New Roman" w:cs="Times New Roman"/>
          <w:sz w:val="24"/>
          <w:szCs w:val="24"/>
        </w:rPr>
        <w:t xml:space="preserve"> submission site to make our corrections. All changes are in red in the “track changes” option of Word. </w:t>
      </w:r>
    </w:p>
    <w:p w:rsidR="00610631" w:rsidRDefault="00610631" w:rsidP="00610631">
      <w:pPr>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t>•Additional detail is required:</w:t>
      </w:r>
    </w:p>
    <w:p w:rsidR="00610631" w:rsidRDefault="00610631" w:rsidP="00610631">
      <w:pPr>
        <w:spacing w:before="100" w:beforeAutospacing="1" w:after="100" w:afterAutospacing="1" w:line="240" w:lineRule="auto"/>
        <w:ind w:firstLine="720"/>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t>-Section 2: Please specify what BSL level is needed for these experiments.</w:t>
      </w:r>
    </w:p>
    <w:p w:rsidR="00610631" w:rsidRDefault="00610631" w:rsidP="00610631">
      <w:pPr>
        <w:spacing w:before="100" w:beforeAutospacing="1" w:after="100" w:afterAutospacing="1"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have included this in the text on page</w:t>
      </w:r>
      <w:r w:rsidR="005576EF">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p>
    <w:p w:rsidR="00610631" w:rsidRDefault="00610631" w:rsidP="00610631">
      <w:pPr>
        <w:spacing w:before="100" w:beforeAutospacing="1" w:after="100" w:afterAutospacing="1" w:line="240" w:lineRule="auto"/>
        <w:ind w:left="720"/>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t>-6.4.2 – Centrifuge speeds should be listed in terms of centrifugal g force where possible.</w:t>
      </w:r>
    </w:p>
    <w:p w:rsidR="00610631" w:rsidRPr="00610631" w:rsidRDefault="00610631" w:rsidP="006106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365F91" w:themeColor="accent1" w:themeShade="BF"/>
          <w:sz w:val="24"/>
          <w:szCs w:val="24"/>
        </w:rPr>
        <w:tab/>
      </w:r>
      <w:r w:rsidRPr="00610631">
        <w:rPr>
          <w:rFonts w:ascii="Times New Roman" w:eastAsia="Times New Roman" w:hAnsi="Times New Roman" w:cs="Times New Roman"/>
          <w:sz w:val="24"/>
          <w:szCs w:val="24"/>
        </w:rPr>
        <w:t xml:space="preserve">We have converted the </w:t>
      </w:r>
      <w:proofErr w:type="spellStart"/>
      <w:r w:rsidRPr="00610631">
        <w:rPr>
          <w:rFonts w:ascii="Times New Roman" w:eastAsia="Times New Roman" w:hAnsi="Times New Roman" w:cs="Times New Roman"/>
          <w:sz w:val="24"/>
          <w:szCs w:val="24"/>
        </w:rPr>
        <w:t>cytospin</w:t>
      </w:r>
      <w:proofErr w:type="spellEnd"/>
      <w:r w:rsidRPr="00610631">
        <w:rPr>
          <w:rFonts w:ascii="Times New Roman" w:eastAsia="Times New Roman" w:hAnsi="Times New Roman" w:cs="Times New Roman"/>
          <w:sz w:val="24"/>
          <w:szCs w:val="24"/>
        </w:rPr>
        <w:t xml:space="preserve"> speed to </w:t>
      </w:r>
      <w:r w:rsidRPr="00610631">
        <w:rPr>
          <w:rFonts w:ascii="Times New Roman" w:eastAsia="Times New Roman" w:hAnsi="Times New Roman" w:cs="Times New Roman"/>
          <w:i/>
          <w:sz w:val="24"/>
          <w:szCs w:val="24"/>
        </w:rPr>
        <w:t>g</w:t>
      </w:r>
      <w:r w:rsidRPr="00610631">
        <w:rPr>
          <w:rFonts w:ascii="Times New Roman" w:eastAsia="Times New Roman" w:hAnsi="Times New Roman" w:cs="Times New Roman"/>
          <w:sz w:val="24"/>
          <w:szCs w:val="24"/>
        </w:rPr>
        <w:t xml:space="preserve"> force on page</w:t>
      </w:r>
      <w:r w:rsidR="005576EF">
        <w:rPr>
          <w:rFonts w:ascii="Times New Roman" w:eastAsia="Times New Roman" w:hAnsi="Times New Roman" w:cs="Times New Roman"/>
          <w:sz w:val="24"/>
          <w:szCs w:val="24"/>
        </w:rPr>
        <w:t xml:space="preserve"> 8</w:t>
      </w:r>
      <w:r w:rsidRPr="00610631">
        <w:rPr>
          <w:rFonts w:ascii="Times New Roman" w:eastAsia="Times New Roman" w:hAnsi="Times New Roman" w:cs="Times New Roman"/>
          <w:sz w:val="24"/>
          <w:szCs w:val="24"/>
        </w:rPr>
        <w:t xml:space="preserve">. </w:t>
      </w:r>
    </w:p>
    <w:p w:rsidR="00610631"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t xml:space="preserve">•Branding: 4.2 - flexiVent FX1, </w:t>
      </w:r>
      <w:proofErr w:type="spellStart"/>
      <w:r w:rsidRPr="00610631">
        <w:rPr>
          <w:rFonts w:ascii="Times New Roman" w:eastAsia="Times New Roman" w:hAnsi="Times New Roman" w:cs="Times New Roman"/>
          <w:color w:val="365F91" w:themeColor="accent1" w:themeShade="BF"/>
          <w:sz w:val="24"/>
          <w:szCs w:val="24"/>
        </w:rPr>
        <w:t>flexiware</w:t>
      </w:r>
      <w:proofErr w:type="spellEnd"/>
      <w:r w:rsidRPr="00610631">
        <w:rPr>
          <w:rFonts w:ascii="Times New Roman" w:eastAsia="Times New Roman" w:hAnsi="Times New Roman" w:cs="Times New Roman"/>
          <w:color w:val="365F91" w:themeColor="accent1" w:themeShade="BF"/>
          <w:sz w:val="24"/>
          <w:szCs w:val="24"/>
        </w:rPr>
        <w:t xml:space="preserve"> – These should be mentioned as an example of software that could be used.</w:t>
      </w:r>
    </w:p>
    <w:p w:rsidR="00610631" w:rsidRPr="00610631" w:rsidRDefault="00610631" w:rsidP="00610631">
      <w:pPr>
        <w:spacing w:before="100" w:beforeAutospacing="1" w:after="100" w:afterAutospacing="1" w:line="240" w:lineRule="auto"/>
        <w:contextualSpacing/>
        <w:rPr>
          <w:rFonts w:ascii="Times New Roman" w:eastAsia="Times New Roman" w:hAnsi="Times New Roman" w:cs="Times New Roman"/>
          <w:sz w:val="24"/>
          <w:szCs w:val="24"/>
        </w:rPr>
      </w:pPr>
      <w:r w:rsidRPr="00610631">
        <w:rPr>
          <w:rFonts w:ascii="Times New Roman" w:eastAsia="Times New Roman" w:hAnsi="Times New Roman" w:cs="Times New Roman"/>
          <w:sz w:val="24"/>
          <w:szCs w:val="24"/>
        </w:rPr>
        <w:t xml:space="preserve">We </w:t>
      </w:r>
      <w:proofErr w:type="gramStart"/>
      <w:r w:rsidRPr="00610631">
        <w:rPr>
          <w:rFonts w:ascii="Times New Roman" w:eastAsia="Times New Roman" w:hAnsi="Times New Roman" w:cs="Times New Roman"/>
          <w:sz w:val="24"/>
          <w:szCs w:val="24"/>
        </w:rPr>
        <w:t>have  noted</w:t>
      </w:r>
      <w:proofErr w:type="gramEnd"/>
      <w:r w:rsidRPr="00610631">
        <w:rPr>
          <w:rFonts w:ascii="Times New Roman" w:eastAsia="Times New Roman" w:hAnsi="Times New Roman" w:cs="Times New Roman"/>
          <w:sz w:val="24"/>
          <w:szCs w:val="24"/>
        </w:rPr>
        <w:t xml:space="preserve"> this as suggested on page</w:t>
      </w:r>
      <w:r w:rsidR="005576EF">
        <w:rPr>
          <w:rFonts w:ascii="Times New Roman" w:eastAsia="Times New Roman" w:hAnsi="Times New Roman" w:cs="Times New Roman"/>
          <w:sz w:val="24"/>
          <w:szCs w:val="24"/>
        </w:rPr>
        <w:t xml:space="preserve"> 5</w:t>
      </w:r>
      <w:r w:rsidRPr="00610631">
        <w:rPr>
          <w:rFonts w:ascii="Times New Roman" w:eastAsia="Times New Roman" w:hAnsi="Times New Roman" w:cs="Times New Roman"/>
          <w:sz w:val="24"/>
          <w:szCs w:val="24"/>
        </w:rPr>
        <w:t>.</w:t>
      </w:r>
    </w:p>
    <w:p w:rsidR="003B3E2D" w:rsidRPr="003B3E2D" w:rsidRDefault="00610631" w:rsidP="00610631">
      <w:pPr>
        <w:spacing w:before="100" w:beforeAutospacing="1" w:after="100" w:afterAutospacing="1" w:line="240" w:lineRule="auto"/>
        <w:contextualSpacing/>
        <w:rPr>
          <w:rFonts w:ascii="Times New Roman" w:eastAsia="Times New Roman" w:hAnsi="Times New Roman" w:cs="Times New Roman"/>
          <w:sz w:val="24"/>
          <w:szCs w:val="24"/>
        </w:rPr>
      </w:pP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color w:val="365F91" w:themeColor="accent1" w:themeShade="BF"/>
          <w:sz w:val="24"/>
          <w:szCs w:val="24"/>
        </w:rPr>
        <w:br/>
        <w:t xml:space="preserve">* Please take this opportunity to thoroughly proofread your manuscript to ensure that there are no spelling or grammatical errors. Your </w:t>
      </w:r>
      <w:proofErr w:type="spellStart"/>
      <w:r w:rsidRPr="00610631">
        <w:rPr>
          <w:rFonts w:ascii="Times New Roman" w:eastAsia="Times New Roman" w:hAnsi="Times New Roman" w:cs="Times New Roman"/>
          <w:color w:val="365F91" w:themeColor="accent1" w:themeShade="BF"/>
          <w:sz w:val="24"/>
          <w:szCs w:val="24"/>
        </w:rPr>
        <w:t>JoVE</w:t>
      </w:r>
      <w:proofErr w:type="spellEnd"/>
      <w:r w:rsidRPr="00610631">
        <w:rPr>
          <w:rFonts w:ascii="Times New Roman" w:eastAsia="Times New Roman" w:hAnsi="Times New Roman" w:cs="Times New Roman"/>
          <w:color w:val="365F91" w:themeColor="accent1" w:themeShade="BF"/>
          <w:sz w:val="24"/>
          <w:szCs w:val="24"/>
        </w:rPr>
        <w:t xml:space="preserve"> editor will not copy-edit your manuscript and any errors in your submitted revision may be present in the published version.</w:t>
      </w:r>
      <w:r w:rsidRPr="00610631">
        <w:rPr>
          <w:rFonts w:ascii="Times New Roman" w:eastAsia="Times New Roman" w:hAnsi="Times New Roman" w:cs="Times New Roman"/>
          <w:color w:val="365F91" w:themeColor="accent1" w:themeShade="BF"/>
          <w:sz w:val="24"/>
          <w:szCs w:val="24"/>
        </w:rPr>
        <w:br/>
      </w:r>
      <w:r w:rsidR="003B3E2D" w:rsidRPr="003B3E2D">
        <w:rPr>
          <w:rFonts w:ascii="Times New Roman" w:eastAsia="Times New Roman" w:hAnsi="Times New Roman" w:cs="Times New Roman"/>
          <w:sz w:val="24"/>
          <w:szCs w:val="24"/>
        </w:rPr>
        <w:t>We have done so, thank you.</w:t>
      </w:r>
    </w:p>
    <w:p w:rsidR="00610631"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t xml:space="preserve">*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10631">
        <w:rPr>
          <w:rFonts w:ascii="Times New Roman" w:eastAsia="Times New Roman" w:hAnsi="Times New Roman" w:cs="Times New Roman"/>
          <w:color w:val="365F91" w:themeColor="accent1" w:themeShade="BF"/>
          <w:sz w:val="24"/>
          <w:szCs w:val="24"/>
        </w:rPr>
        <w:t>JoVE</w:t>
      </w:r>
      <w:proofErr w:type="spellEnd"/>
      <w:r w:rsidRPr="00610631">
        <w:rPr>
          <w:rFonts w:ascii="Times New Roman" w:eastAsia="Times New Roman" w:hAnsi="Times New Roman" w:cs="Times New Roman"/>
          <w:color w:val="365F91" w:themeColor="accent1" w:themeShade="BF"/>
          <w:sz w:val="24"/>
          <w:szCs w:val="24"/>
        </w:rPr>
        <w:t xml:space="preserve">)" section. Please also cite the figure appropriately in the figure legend, i.e. "This figure has been modified from [citation]." </w:t>
      </w:r>
    </w:p>
    <w:p w:rsidR="003B3E2D"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3B3E2D">
        <w:rPr>
          <w:rFonts w:ascii="Times New Roman" w:eastAsia="Times New Roman" w:hAnsi="Times New Roman" w:cs="Times New Roman"/>
          <w:sz w:val="24"/>
          <w:szCs w:val="24"/>
        </w:rPr>
        <w:lastRenderedPageBreak/>
        <w:t xml:space="preserve">While this statement was already made in the Figure Legends when images were re-used, </w:t>
      </w:r>
      <w:r w:rsidR="003B3E2D" w:rsidRPr="003B3E2D">
        <w:rPr>
          <w:rFonts w:ascii="Times New Roman" w:eastAsia="Times New Roman" w:hAnsi="Times New Roman" w:cs="Times New Roman"/>
          <w:sz w:val="24"/>
          <w:szCs w:val="24"/>
        </w:rPr>
        <w:t xml:space="preserve">we have changed the verbiage to make it more noticeable. </w:t>
      </w:r>
      <w:r w:rsidRPr="00610631">
        <w:rPr>
          <w:rFonts w:ascii="Times New Roman" w:eastAsia="Times New Roman" w:hAnsi="Times New Roman" w:cs="Times New Roman"/>
          <w:sz w:val="24"/>
          <w:szCs w:val="24"/>
        </w:rPr>
        <w:br/>
      </w:r>
      <w:r w:rsidRPr="00610631">
        <w:rPr>
          <w:rFonts w:ascii="Times New Roman" w:eastAsia="Times New Roman" w:hAnsi="Times New Roman" w:cs="Times New Roman"/>
          <w:color w:val="365F91" w:themeColor="accent1" w:themeShade="BF"/>
          <w:sz w:val="24"/>
          <w:szCs w:val="24"/>
        </w:rPr>
        <w:br/>
      </w:r>
      <w:proofErr w:type="gramStart"/>
      <w:r w:rsidRPr="00610631">
        <w:rPr>
          <w:rFonts w:ascii="Times New Roman" w:eastAsia="Times New Roman" w:hAnsi="Times New Roman" w:cs="Times New Roman"/>
          <w:color w:val="365F91" w:themeColor="accent1" w:themeShade="BF"/>
          <w:sz w:val="24"/>
          <w:szCs w:val="24"/>
        </w:rPr>
        <w:t xml:space="preserve">* </w:t>
      </w:r>
      <w:proofErr w:type="spellStart"/>
      <w:r w:rsidRPr="00610631">
        <w:rPr>
          <w:rFonts w:ascii="Times New Roman" w:eastAsia="Times New Roman" w:hAnsi="Times New Roman" w:cs="Times New Roman"/>
          <w:color w:val="365F91" w:themeColor="accent1" w:themeShade="BF"/>
          <w:sz w:val="24"/>
          <w:szCs w:val="24"/>
        </w:rPr>
        <w:t>JoVE</w:t>
      </w:r>
      <w:proofErr w:type="spellEnd"/>
      <w:proofErr w:type="gramEnd"/>
      <w:r w:rsidRPr="00610631">
        <w:rPr>
          <w:rFonts w:ascii="Times New Roman" w:eastAsia="Times New Roman" w:hAnsi="Times New Roman" w:cs="Times New Roman"/>
          <w:color w:val="365F91" w:themeColor="accent1" w:themeShade="BF"/>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3B3E2D" w:rsidRDefault="003B3E2D"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3B3E2D">
        <w:rPr>
          <w:rFonts w:ascii="Times New Roman" w:eastAsia="Times New Roman" w:hAnsi="Times New Roman" w:cs="Times New Roman"/>
          <w:sz w:val="24"/>
          <w:szCs w:val="24"/>
        </w:rPr>
        <w:t xml:space="preserve">DOI were not included in two articles by endnote. We have manually added them (reference 24 and 32) and believe the list to be completed as required.  </w:t>
      </w:r>
      <w:r w:rsidR="00610631" w:rsidRPr="00610631">
        <w:rPr>
          <w:rFonts w:ascii="Times New Roman" w:eastAsia="Times New Roman" w:hAnsi="Times New Roman" w:cs="Times New Roman"/>
          <w:sz w:val="24"/>
          <w:szCs w:val="24"/>
        </w:rPr>
        <w:br/>
      </w:r>
      <w:r w:rsidR="00610631" w:rsidRPr="00610631">
        <w:rPr>
          <w:rFonts w:ascii="Times New Roman" w:eastAsia="Times New Roman" w:hAnsi="Times New Roman" w:cs="Times New Roman"/>
          <w:sz w:val="24"/>
          <w:szCs w:val="24"/>
        </w:rPr>
        <w:br/>
      </w:r>
      <w:r w:rsidR="00610631" w:rsidRPr="00610631">
        <w:rPr>
          <w:rFonts w:ascii="Times New Roman" w:eastAsia="Times New Roman" w:hAnsi="Times New Roman" w:cs="Times New Roman"/>
          <w:b/>
          <w:bCs/>
          <w:sz w:val="24"/>
          <w:szCs w:val="24"/>
        </w:rPr>
        <w:t>Reviewers' comments</w:t>
      </w:r>
      <w:proofErr w:type="gramStart"/>
      <w:r w:rsidR="00610631" w:rsidRPr="00610631">
        <w:rPr>
          <w:rFonts w:ascii="Times New Roman" w:eastAsia="Times New Roman" w:hAnsi="Times New Roman" w:cs="Times New Roman"/>
          <w:b/>
          <w:bCs/>
          <w:sz w:val="24"/>
          <w:szCs w:val="24"/>
        </w:rPr>
        <w:t>:</w:t>
      </w:r>
      <w:proofErr w:type="gramEnd"/>
      <w:r w:rsidR="00610631" w:rsidRPr="00610631">
        <w:rPr>
          <w:rFonts w:ascii="Times New Roman" w:eastAsia="Times New Roman" w:hAnsi="Times New Roman" w:cs="Times New Roman"/>
          <w:sz w:val="24"/>
          <w:szCs w:val="24"/>
        </w:rPr>
        <w:br/>
      </w:r>
      <w:r w:rsidR="00610631" w:rsidRPr="00610631">
        <w:rPr>
          <w:rFonts w:ascii="Times New Roman" w:eastAsia="Times New Roman" w:hAnsi="Times New Roman" w:cs="Times New Roman"/>
          <w:sz w:val="24"/>
          <w:szCs w:val="24"/>
        </w:rPr>
        <w:br/>
      </w:r>
      <w:r w:rsidR="00610631" w:rsidRPr="00610631">
        <w:rPr>
          <w:rFonts w:ascii="Times New Roman" w:eastAsia="Times New Roman" w:hAnsi="Times New Roman" w:cs="Times New Roman"/>
          <w:b/>
          <w:bCs/>
          <w:color w:val="365F91" w:themeColor="accent1" w:themeShade="BF"/>
          <w:sz w:val="24"/>
          <w:szCs w:val="24"/>
        </w:rPr>
        <w:t>Reviewer #1:</w:t>
      </w:r>
      <w:r w:rsidR="00610631" w:rsidRPr="00610631">
        <w:rPr>
          <w:rFonts w:ascii="Times New Roman" w:eastAsia="Times New Roman" w:hAnsi="Times New Roman" w:cs="Times New Roman"/>
          <w:color w:val="365F91" w:themeColor="accent1" w:themeShade="BF"/>
          <w:sz w:val="24"/>
          <w:szCs w:val="24"/>
        </w:rPr>
        <w:t xml:space="preserve"> </w:t>
      </w:r>
      <w:r w:rsidR="00610631" w:rsidRPr="00610631">
        <w:rPr>
          <w:rFonts w:ascii="Times New Roman" w:eastAsia="Times New Roman" w:hAnsi="Times New Roman" w:cs="Times New Roman"/>
          <w:color w:val="365F91" w:themeColor="accent1" w:themeShade="BF"/>
          <w:sz w:val="24"/>
          <w:szCs w:val="24"/>
        </w:rPr>
        <w:br/>
        <w:t xml:space="preserve">This manuscript builds on earlier work by the authors published in 2014 in Immunology and Cell Biology (Samarasinghe et al., </w:t>
      </w:r>
      <w:proofErr w:type="spellStart"/>
      <w:r w:rsidR="00610631" w:rsidRPr="00610631">
        <w:rPr>
          <w:rFonts w:ascii="Times New Roman" w:eastAsia="Times New Roman" w:hAnsi="Times New Roman" w:cs="Times New Roman"/>
          <w:color w:val="365F91" w:themeColor="accent1" w:themeShade="BF"/>
          <w:sz w:val="24"/>
          <w:szCs w:val="24"/>
        </w:rPr>
        <w:t>Immunol</w:t>
      </w:r>
      <w:proofErr w:type="spellEnd"/>
      <w:r w:rsidR="00610631" w:rsidRPr="00610631">
        <w:rPr>
          <w:rFonts w:ascii="Times New Roman" w:eastAsia="Times New Roman" w:hAnsi="Times New Roman" w:cs="Times New Roman"/>
          <w:color w:val="365F91" w:themeColor="accent1" w:themeShade="BF"/>
          <w:sz w:val="24"/>
          <w:szCs w:val="24"/>
        </w:rPr>
        <w:t xml:space="preserve"> Cell Biol. 2014 May-Jun;92(5):449-59. </w:t>
      </w:r>
      <w:proofErr w:type="spellStart"/>
      <w:r w:rsidR="00610631" w:rsidRPr="00610631">
        <w:rPr>
          <w:rFonts w:ascii="Times New Roman" w:eastAsia="Times New Roman" w:hAnsi="Times New Roman" w:cs="Times New Roman"/>
          <w:color w:val="365F91" w:themeColor="accent1" w:themeShade="BF"/>
          <w:sz w:val="24"/>
          <w:szCs w:val="24"/>
        </w:rPr>
        <w:t>doi</w:t>
      </w:r>
      <w:proofErr w:type="spellEnd"/>
      <w:r w:rsidR="00610631" w:rsidRPr="00610631">
        <w:rPr>
          <w:rFonts w:ascii="Times New Roman" w:eastAsia="Times New Roman" w:hAnsi="Times New Roman" w:cs="Times New Roman"/>
          <w:color w:val="365F91" w:themeColor="accent1" w:themeShade="BF"/>
          <w:sz w:val="24"/>
          <w:szCs w:val="24"/>
        </w:rPr>
        <w:t xml:space="preserve">: 10.1038/icb.2013.113. </w:t>
      </w:r>
      <w:proofErr w:type="spellStart"/>
      <w:r w:rsidR="00610631" w:rsidRPr="00610631">
        <w:rPr>
          <w:rFonts w:ascii="Times New Roman" w:eastAsia="Times New Roman" w:hAnsi="Times New Roman" w:cs="Times New Roman"/>
          <w:color w:val="365F91" w:themeColor="accent1" w:themeShade="BF"/>
          <w:sz w:val="24"/>
          <w:szCs w:val="24"/>
        </w:rPr>
        <w:t>Epub</w:t>
      </w:r>
      <w:proofErr w:type="spellEnd"/>
      <w:r w:rsidR="00610631" w:rsidRPr="00610631">
        <w:rPr>
          <w:rFonts w:ascii="Times New Roman" w:eastAsia="Times New Roman" w:hAnsi="Times New Roman" w:cs="Times New Roman"/>
          <w:color w:val="365F91" w:themeColor="accent1" w:themeShade="BF"/>
          <w:sz w:val="24"/>
          <w:szCs w:val="24"/>
        </w:rPr>
        <w:t xml:space="preserve"> 2014 Jan 28). In the earlier study, the authors described development of a mouse model of allergic asthma mediated by Aspergillus fumigatus and its influence on influenza comorbidity. Based on their comorbidity model, they concluded that acute allergic airway disease is protective against influenza while chronic asthma is detrimental to the host during infection with the 2009 pandemic influenza </w:t>
      </w:r>
      <w:proofErr w:type="gramStart"/>
      <w:r w:rsidR="00610631" w:rsidRPr="00610631">
        <w:rPr>
          <w:rFonts w:ascii="Times New Roman" w:eastAsia="Times New Roman" w:hAnsi="Times New Roman" w:cs="Times New Roman"/>
          <w:color w:val="365F91" w:themeColor="accent1" w:themeShade="BF"/>
          <w:sz w:val="24"/>
          <w:szCs w:val="24"/>
        </w:rPr>
        <w:t>A</w:t>
      </w:r>
      <w:proofErr w:type="gramEnd"/>
      <w:r w:rsidR="00610631" w:rsidRPr="00610631">
        <w:rPr>
          <w:rFonts w:ascii="Times New Roman" w:eastAsia="Times New Roman" w:hAnsi="Times New Roman" w:cs="Times New Roman"/>
          <w:color w:val="365F91" w:themeColor="accent1" w:themeShade="BF"/>
          <w:sz w:val="24"/>
          <w:szCs w:val="24"/>
        </w:rPr>
        <w:t xml:space="preserve"> virus. In the current method manuscript, they explain in greater detail the procedures used in this prior work. My major concern is the re-use of previously published data. For example</w:t>
      </w:r>
      <w:proofErr w:type="gramStart"/>
      <w:r w:rsidR="00610631" w:rsidRPr="00610631">
        <w:rPr>
          <w:rFonts w:ascii="Times New Roman" w:eastAsia="Times New Roman" w:hAnsi="Times New Roman" w:cs="Times New Roman"/>
          <w:color w:val="365F91" w:themeColor="accent1" w:themeShade="BF"/>
          <w:sz w:val="24"/>
          <w:szCs w:val="24"/>
        </w:rPr>
        <w:t>:</w:t>
      </w:r>
      <w:proofErr w:type="gramEnd"/>
      <w:r w:rsidR="00610631" w:rsidRPr="00610631">
        <w:rPr>
          <w:rFonts w:ascii="Times New Roman" w:eastAsia="Times New Roman" w:hAnsi="Times New Roman" w:cs="Times New Roman"/>
          <w:color w:val="365F91" w:themeColor="accent1" w:themeShade="BF"/>
          <w:sz w:val="24"/>
          <w:szCs w:val="24"/>
        </w:rPr>
        <w:br/>
      </w:r>
      <w:r w:rsidR="00610631" w:rsidRPr="00610631">
        <w:rPr>
          <w:rFonts w:ascii="Times New Roman" w:eastAsia="Times New Roman" w:hAnsi="Times New Roman" w:cs="Times New Roman"/>
          <w:color w:val="365F91" w:themeColor="accent1" w:themeShade="BF"/>
          <w:sz w:val="24"/>
          <w:szCs w:val="24"/>
        </w:rPr>
        <w:br/>
        <w:t>1) Figure 4 of this manuscript is a somewhat different representation of the same data shown in Figure 2C of the Immunology and Cell Biology paper,</w:t>
      </w:r>
      <w:r w:rsidR="00610631" w:rsidRPr="00610631">
        <w:rPr>
          <w:rFonts w:ascii="Times New Roman" w:eastAsia="Times New Roman" w:hAnsi="Times New Roman" w:cs="Times New Roman"/>
          <w:color w:val="365F91" w:themeColor="accent1" w:themeShade="BF"/>
          <w:sz w:val="24"/>
          <w:szCs w:val="24"/>
        </w:rPr>
        <w:br/>
        <w:t xml:space="preserve">2) Figure 5 B&amp;C is the same as Figure 3A&amp;B of the Immunology and Cell Biology paper and </w:t>
      </w:r>
      <w:r w:rsidR="00610631" w:rsidRPr="00610631">
        <w:rPr>
          <w:rFonts w:ascii="Times New Roman" w:eastAsia="Times New Roman" w:hAnsi="Times New Roman" w:cs="Times New Roman"/>
          <w:color w:val="365F91" w:themeColor="accent1" w:themeShade="BF"/>
          <w:sz w:val="24"/>
          <w:szCs w:val="24"/>
        </w:rPr>
        <w:br/>
        <w:t>3) Figure 6A-D is the same as Figure 2B of the Immunology and Cell Biology paper.</w:t>
      </w:r>
      <w:r w:rsidR="00610631" w:rsidRPr="00610631">
        <w:rPr>
          <w:rFonts w:ascii="Times New Roman" w:eastAsia="Times New Roman" w:hAnsi="Times New Roman" w:cs="Times New Roman"/>
          <w:color w:val="365F91" w:themeColor="accent1" w:themeShade="BF"/>
          <w:sz w:val="24"/>
          <w:szCs w:val="24"/>
        </w:rPr>
        <w:br/>
      </w:r>
      <w:r w:rsidR="00610631" w:rsidRPr="00610631">
        <w:rPr>
          <w:rFonts w:ascii="Times New Roman" w:eastAsia="Times New Roman" w:hAnsi="Times New Roman" w:cs="Times New Roman"/>
          <w:color w:val="365F91" w:themeColor="accent1" w:themeShade="BF"/>
          <w:sz w:val="24"/>
          <w:szCs w:val="24"/>
        </w:rPr>
        <w:br/>
        <w:t>The previously published results are not appropriately cited. I would highly recommend that the authors at least acquire permission from the original journal (Immunology and Cell Biology) for the re-use of published data.</w:t>
      </w:r>
    </w:p>
    <w:p w:rsidR="003B3E2D" w:rsidRPr="003B3E2D" w:rsidRDefault="003B3E2D" w:rsidP="00DD15C5">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the Reviewer for his/her concern and dedication to scientific integrity. </w:t>
      </w:r>
      <w:r w:rsidRPr="003B3E2D">
        <w:rPr>
          <w:rFonts w:ascii="Times New Roman" w:eastAsia="Times New Roman" w:hAnsi="Times New Roman" w:cs="Times New Roman"/>
          <w:sz w:val="24"/>
          <w:szCs w:val="24"/>
        </w:rPr>
        <w:t xml:space="preserve">According to </w:t>
      </w:r>
      <w:r w:rsidRPr="003B3E2D">
        <w:rPr>
          <w:rFonts w:ascii="Times New Roman" w:eastAsia="Times New Roman" w:hAnsi="Times New Roman" w:cs="Times New Roman"/>
          <w:i/>
          <w:sz w:val="24"/>
          <w:szCs w:val="24"/>
        </w:rPr>
        <w:t>ICB</w:t>
      </w:r>
      <w:r w:rsidRPr="003B3E2D">
        <w:rPr>
          <w:rFonts w:ascii="Times New Roman" w:eastAsia="Times New Roman" w:hAnsi="Times New Roman" w:cs="Times New Roman"/>
          <w:sz w:val="24"/>
          <w:szCs w:val="24"/>
        </w:rPr>
        <w:t xml:space="preserve"> guidelines, the author maintains the right to the paper.  However, I had obtained a written consent to re-use figures from ICB before </w:t>
      </w:r>
      <w:r>
        <w:rPr>
          <w:rFonts w:ascii="Times New Roman" w:eastAsia="Times New Roman" w:hAnsi="Times New Roman" w:cs="Times New Roman"/>
          <w:sz w:val="24"/>
          <w:szCs w:val="24"/>
        </w:rPr>
        <w:t xml:space="preserve">we </w:t>
      </w:r>
      <w:r w:rsidRPr="003B3E2D">
        <w:rPr>
          <w:rFonts w:ascii="Times New Roman" w:eastAsia="Times New Roman" w:hAnsi="Times New Roman" w:cs="Times New Roman"/>
          <w:sz w:val="24"/>
          <w:szCs w:val="24"/>
        </w:rPr>
        <w:t xml:space="preserve">began to work on this paper. </w:t>
      </w:r>
      <w:r>
        <w:rPr>
          <w:rFonts w:ascii="Times New Roman" w:eastAsia="Times New Roman" w:hAnsi="Times New Roman" w:cs="Times New Roman"/>
          <w:sz w:val="24"/>
          <w:szCs w:val="24"/>
        </w:rPr>
        <w:t xml:space="preserve">I have included a copy of this e-mail in the Supplemental Document section of the submission site. Also, we have extended the citations in the Figure Legends to draw the readers’ attention to this detail.  </w:t>
      </w:r>
    </w:p>
    <w:p w:rsidR="003B3E2D" w:rsidRDefault="00610631" w:rsidP="00610631">
      <w:pPr>
        <w:spacing w:before="100" w:beforeAutospacing="1" w:after="100" w:afterAutospacing="1" w:line="240" w:lineRule="auto"/>
        <w:contextualSpacing/>
        <w:rPr>
          <w:rFonts w:ascii="Times New Roman" w:eastAsia="Times New Roman" w:hAnsi="Times New Roman" w:cs="Times New Roman"/>
          <w:b/>
          <w:bCs/>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i/>
          <w:iCs/>
          <w:color w:val="365F91" w:themeColor="accent1" w:themeShade="BF"/>
          <w:sz w:val="24"/>
          <w:szCs w:val="24"/>
        </w:rPr>
        <w:t>Additional Comments to Authors</w:t>
      </w:r>
      <w:proofErr w:type="gramStart"/>
      <w:r w:rsidRPr="00610631">
        <w:rPr>
          <w:rFonts w:ascii="Times New Roman" w:eastAsia="Times New Roman" w:hAnsi="Times New Roman" w:cs="Times New Roman"/>
          <w:i/>
          <w:iCs/>
          <w:color w:val="365F91" w:themeColor="accent1" w:themeShade="BF"/>
          <w:sz w:val="24"/>
          <w:szCs w:val="24"/>
        </w:rPr>
        <w:t>:</w:t>
      </w:r>
      <w:proofErr w:type="gramEnd"/>
      <w:r w:rsidRPr="00610631">
        <w:rPr>
          <w:rFonts w:ascii="Times New Roman" w:eastAsia="Times New Roman" w:hAnsi="Times New Roman" w:cs="Times New Roman"/>
          <w:color w:val="365F91" w:themeColor="accent1" w:themeShade="BF"/>
          <w:sz w:val="24"/>
          <w:szCs w:val="24"/>
        </w:rPr>
        <w:br/>
        <w:t>N/A</w:t>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color w:val="365F91" w:themeColor="accent1" w:themeShade="BF"/>
          <w:sz w:val="24"/>
          <w:szCs w:val="24"/>
        </w:rPr>
        <w:br/>
      </w:r>
    </w:p>
    <w:p w:rsidR="003B3E2D" w:rsidRDefault="003B3E2D" w:rsidP="00610631">
      <w:pPr>
        <w:spacing w:before="100" w:beforeAutospacing="1" w:after="100" w:afterAutospacing="1" w:line="240" w:lineRule="auto"/>
        <w:contextualSpacing/>
        <w:rPr>
          <w:rFonts w:ascii="Times New Roman" w:eastAsia="Times New Roman" w:hAnsi="Times New Roman" w:cs="Times New Roman"/>
          <w:b/>
          <w:bCs/>
          <w:color w:val="365F91" w:themeColor="accent1" w:themeShade="BF"/>
          <w:sz w:val="24"/>
          <w:szCs w:val="24"/>
        </w:rPr>
      </w:pPr>
    </w:p>
    <w:p w:rsidR="000857B0"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b/>
          <w:bCs/>
          <w:color w:val="365F91" w:themeColor="accent1" w:themeShade="BF"/>
          <w:sz w:val="24"/>
          <w:szCs w:val="24"/>
        </w:rPr>
        <w:lastRenderedPageBreak/>
        <w:t>Reviewer #2:</w:t>
      </w:r>
      <w:r w:rsidRPr="00610631">
        <w:rPr>
          <w:rFonts w:ascii="Times New Roman" w:eastAsia="Times New Roman" w:hAnsi="Times New Roman" w:cs="Times New Roman"/>
          <w:color w:val="365F91" w:themeColor="accent1" w:themeShade="BF"/>
          <w:sz w:val="24"/>
          <w:szCs w:val="24"/>
        </w:rPr>
        <w:t xml:space="preserve"> </w:t>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i/>
          <w:iCs/>
          <w:color w:val="365F91" w:themeColor="accent1" w:themeShade="BF"/>
          <w:sz w:val="24"/>
          <w:szCs w:val="24"/>
        </w:rPr>
        <w:t>Manuscript Summary:</w:t>
      </w:r>
      <w:r w:rsidRPr="00610631">
        <w:rPr>
          <w:rFonts w:ascii="Times New Roman" w:eastAsia="Times New Roman" w:hAnsi="Times New Roman" w:cs="Times New Roman"/>
          <w:color w:val="365F91" w:themeColor="accent1" w:themeShade="BF"/>
          <w:sz w:val="24"/>
          <w:szCs w:val="24"/>
        </w:rPr>
        <w:t xml:space="preserve"> </w:t>
      </w:r>
      <w:r w:rsidRPr="00610631">
        <w:rPr>
          <w:rFonts w:ascii="Times New Roman" w:eastAsia="Times New Roman" w:hAnsi="Times New Roman" w:cs="Times New Roman"/>
          <w:color w:val="365F91" w:themeColor="accent1" w:themeShade="BF"/>
          <w:sz w:val="24"/>
          <w:szCs w:val="24"/>
        </w:rPr>
        <w:br/>
        <w:t>This manuscript describes the development of complex protocol to model asthma exacerbations in human. In particular, a model for allergic airway inflammation induced by Aspergillus fumigates is combined with the 2009 pandemic H1N1 influenza strain A/CA/04/2009. The authors describe the analysis of pulmonary function as well as airway inflammation in two separate asthma models (acute, chronic) in combination with influenza.</w:t>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color w:val="365F91" w:themeColor="accent1" w:themeShade="BF"/>
          <w:sz w:val="24"/>
          <w:szCs w:val="24"/>
        </w:rPr>
        <w:br/>
      </w:r>
      <w:r w:rsidRPr="00610631">
        <w:rPr>
          <w:rFonts w:ascii="Times New Roman" w:eastAsia="Times New Roman" w:hAnsi="Times New Roman" w:cs="Times New Roman"/>
          <w:i/>
          <w:iCs/>
          <w:color w:val="365F91" w:themeColor="accent1" w:themeShade="BF"/>
          <w:sz w:val="24"/>
          <w:szCs w:val="24"/>
        </w:rPr>
        <w:t>Major Concerns</w:t>
      </w:r>
      <w:proofErr w:type="gramStart"/>
      <w:r w:rsidRPr="00610631">
        <w:rPr>
          <w:rFonts w:ascii="Times New Roman" w:eastAsia="Times New Roman" w:hAnsi="Times New Roman" w:cs="Times New Roman"/>
          <w:i/>
          <w:iCs/>
          <w:color w:val="365F91" w:themeColor="accent1" w:themeShade="BF"/>
          <w:sz w:val="24"/>
          <w:szCs w:val="24"/>
        </w:rPr>
        <w:t>:</w:t>
      </w:r>
      <w:proofErr w:type="gramEnd"/>
      <w:r w:rsidRPr="00610631">
        <w:rPr>
          <w:rFonts w:ascii="Times New Roman" w:eastAsia="Times New Roman" w:hAnsi="Times New Roman" w:cs="Times New Roman"/>
          <w:color w:val="365F91" w:themeColor="accent1" w:themeShade="BF"/>
          <w:sz w:val="24"/>
          <w:szCs w:val="24"/>
        </w:rPr>
        <w:br/>
        <w:t xml:space="preserve">This protocol is clear and well-written. In general it contains sufficient detail and is largely based on a recent good quality publication from the same group (Samarasinghe, et al., Immune Cell </w:t>
      </w:r>
      <w:proofErr w:type="spellStart"/>
      <w:r w:rsidRPr="00610631">
        <w:rPr>
          <w:rFonts w:ascii="Times New Roman" w:eastAsia="Times New Roman" w:hAnsi="Times New Roman" w:cs="Times New Roman"/>
          <w:color w:val="365F91" w:themeColor="accent1" w:themeShade="BF"/>
          <w:sz w:val="24"/>
          <w:szCs w:val="24"/>
        </w:rPr>
        <w:t>Biol</w:t>
      </w:r>
      <w:proofErr w:type="spellEnd"/>
      <w:r w:rsidRPr="00610631">
        <w:rPr>
          <w:rFonts w:ascii="Times New Roman" w:eastAsia="Times New Roman" w:hAnsi="Times New Roman" w:cs="Times New Roman"/>
          <w:color w:val="365F91" w:themeColor="accent1" w:themeShade="BF"/>
          <w:sz w:val="24"/>
          <w:szCs w:val="24"/>
        </w:rPr>
        <w:t xml:space="preserve"> 2014). However, the protocol is very specific and thus the general applicability is difficult to judge. In this context, I have a few major concerns.</w:t>
      </w:r>
      <w:r w:rsidRPr="00610631">
        <w:rPr>
          <w:rFonts w:ascii="Times New Roman" w:eastAsia="Times New Roman" w:hAnsi="Times New Roman" w:cs="Times New Roman"/>
          <w:color w:val="365F91" w:themeColor="accent1" w:themeShade="BF"/>
          <w:sz w:val="24"/>
          <w:szCs w:val="24"/>
        </w:rPr>
        <w:br/>
      </w:r>
    </w:p>
    <w:p w:rsidR="000857B0"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t xml:space="preserve">- The authors should explain how the protocol can be adapted for other influenza strains, e.g. the X31 or PR/8 that are also often used in mouse models. </w:t>
      </w:r>
    </w:p>
    <w:p w:rsidR="000857B0" w:rsidRDefault="000857B0" w:rsidP="00E503AB">
      <w:pPr>
        <w:spacing w:before="100" w:beforeAutospacing="1" w:after="100" w:afterAutospacing="1" w:line="240" w:lineRule="auto"/>
        <w:ind w:firstLine="720"/>
        <w:contextualSpacing/>
        <w:rPr>
          <w:rFonts w:ascii="Times New Roman" w:eastAsia="Times New Roman" w:hAnsi="Times New Roman" w:cs="Times New Roman"/>
          <w:color w:val="365F91" w:themeColor="accent1" w:themeShade="BF"/>
          <w:sz w:val="24"/>
          <w:szCs w:val="24"/>
        </w:rPr>
      </w:pPr>
      <w:r w:rsidRPr="000857B0">
        <w:rPr>
          <w:rFonts w:ascii="Times New Roman" w:eastAsia="Times New Roman" w:hAnsi="Times New Roman" w:cs="Times New Roman"/>
          <w:sz w:val="24"/>
          <w:szCs w:val="24"/>
        </w:rPr>
        <w:t xml:space="preserve">We have added morbidity data with A/PR/08/1934 as a supplemental figure to show that the protection mediated by acute asthma holds true for mouse adapted influenza </w:t>
      </w:r>
      <w:proofErr w:type="gramStart"/>
      <w:r w:rsidRPr="000857B0">
        <w:rPr>
          <w:rFonts w:ascii="Times New Roman" w:eastAsia="Times New Roman" w:hAnsi="Times New Roman" w:cs="Times New Roman"/>
          <w:sz w:val="24"/>
          <w:szCs w:val="24"/>
        </w:rPr>
        <w:t>A</w:t>
      </w:r>
      <w:proofErr w:type="gramEnd"/>
      <w:r w:rsidRPr="000857B0">
        <w:rPr>
          <w:rFonts w:ascii="Times New Roman" w:eastAsia="Times New Roman" w:hAnsi="Times New Roman" w:cs="Times New Roman"/>
          <w:sz w:val="24"/>
          <w:szCs w:val="24"/>
        </w:rPr>
        <w:t xml:space="preserve"> virus as well.</w:t>
      </w:r>
      <w:r w:rsidR="00750D40">
        <w:rPr>
          <w:rFonts w:ascii="Times New Roman" w:eastAsia="Times New Roman" w:hAnsi="Times New Roman" w:cs="Times New Roman"/>
          <w:sz w:val="24"/>
          <w:szCs w:val="24"/>
        </w:rPr>
        <w:t xml:space="preserve"> We have added more text to elaborate this point in the manuscript on page 13.</w:t>
      </w:r>
      <w:r w:rsidR="00610631" w:rsidRPr="000857B0">
        <w:rPr>
          <w:rFonts w:ascii="Times New Roman" w:eastAsia="Times New Roman" w:hAnsi="Times New Roman" w:cs="Times New Roman"/>
          <w:sz w:val="24"/>
          <w:szCs w:val="24"/>
        </w:rPr>
        <w:br/>
      </w:r>
    </w:p>
    <w:p w:rsidR="00750D40"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t>- The manuscript should give recommendations for adaptation to models for other allergens and should also explain limitations.</w:t>
      </w:r>
    </w:p>
    <w:p w:rsidR="000857B0" w:rsidRDefault="00750D40" w:rsidP="00E503AB">
      <w:pPr>
        <w:spacing w:before="100" w:beforeAutospacing="1" w:after="100" w:afterAutospacing="1" w:line="240" w:lineRule="auto"/>
        <w:ind w:firstLine="720"/>
        <w:contextualSpacing/>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sz w:val="24"/>
          <w:szCs w:val="24"/>
        </w:rPr>
        <w:t xml:space="preserve">We thank the Reviewer for raising this point. We are not experienced in other allergen model systems such as house dust mite or cockroach antigen models. We have done preliminary studies with the ovalbumin model although we were unable to get chronic allergic responses with the OVA model as the inflammation resolves when OVA challenge is ceased. Therefore, we cannot practically provide recommendations for adaptations to other allergens. However, we did add text to note the possibility for those already working with these model systems (page 13). </w:t>
      </w:r>
      <w:r w:rsidR="00610631" w:rsidRPr="00610631">
        <w:rPr>
          <w:rFonts w:ascii="Times New Roman" w:eastAsia="Times New Roman" w:hAnsi="Times New Roman" w:cs="Times New Roman"/>
          <w:color w:val="365F91" w:themeColor="accent1" w:themeShade="BF"/>
          <w:sz w:val="24"/>
          <w:szCs w:val="24"/>
        </w:rPr>
        <w:br/>
      </w:r>
    </w:p>
    <w:p w:rsidR="00750D40"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t xml:space="preserve">- It is generally known that there can be large differences between batches of allergen or virus preparations. How are these tested? What is the virus titer that the authors recommend based on? The maximum weight loss is ~15 % at day 7-8. Because there is quite some variation, how do the authors deal with mice that have &gt; 20% weight loss? </w:t>
      </w:r>
    </w:p>
    <w:p w:rsidR="00750D40" w:rsidRDefault="00750D40" w:rsidP="00E503AB">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indeed true. We tackle this potential variable by always purchasing the fungal antigen from Greer, and we purchase large quantities from the same lot number to have sufficient antigen for repeat experiments. The fungal antigen is dissolved to 1 mg/mL by protein quantity provided by the manufacturer. </w:t>
      </w:r>
    </w:p>
    <w:p w:rsidR="00E503AB" w:rsidRDefault="00750D40" w:rsidP="00E503AB">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 avoid mutations from occurring in the virus by growing large batches of virus in MDCK</w:t>
      </w:r>
      <w:r w:rsidR="005576E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cells instead of eggs. We have found that A/CA/04/2009 mutates in three antigenic sites in the hemagglutinin binding pocket when it is cultured in eggs. Culturing the virus in MDCK</w:t>
      </w:r>
      <w:r w:rsidR="005576E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cells prevents mutations from occurring in the HA and NA proteins. Once our large stocks (500 mL) are grown and sequence verified to be void of mutations</w:t>
      </w:r>
      <w:r w:rsidR="00E503AB">
        <w:rPr>
          <w:rFonts w:ascii="Times New Roman" w:eastAsia="Times New Roman" w:hAnsi="Times New Roman" w:cs="Times New Roman"/>
          <w:sz w:val="24"/>
          <w:szCs w:val="24"/>
        </w:rPr>
        <w:t>, we freeze them down in aliquots thereby having sufficient virus from the same batch to use for a series of experiments.</w:t>
      </w:r>
      <w:r>
        <w:rPr>
          <w:rFonts w:ascii="Times New Roman" w:eastAsia="Times New Roman" w:hAnsi="Times New Roman" w:cs="Times New Roman"/>
          <w:sz w:val="24"/>
          <w:szCs w:val="24"/>
        </w:rPr>
        <w:t xml:space="preserve"> </w:t>
      </w:r>
    </w:p>
    <w:p w:rsidR="000857B0" w:rsidRDefault="00E503AB" w:rsidP="00E503AB">
      <w:pPr>
        <w:spacing w:before="100" w:beforeAutospacing="1" w:after="100" w:afterAutospacing="1" w:line="240" w:lineRule="auto"/>
        <w:ind w:firstLine="720"/>
        <w:contextualSpacing/>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sz w:val="24"/>
          <w:szCs w:val="24"/>
        </w:rPr>
        <w:t>The recommended viral titer was based on preliminary studies with influenza infection alone wherein we detected a mean weight loss of 15% in control mice. Our stock of A/CA/04/2009 virus does not lead to fatal infections even at log</w:t>
      </w:r>
      <w:r w:rsidRPr="00E503AB">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4.3 (20,000 virus particles</w:t>
      </w:r>
      <w:r w:rsidR="000B52AF">
        <w:rPr>
          <w:rFonts w:ascii="Times New Roman" w:eastAsia="Times New Roman" w:hAnsi="Times New Roman" w:cs="Times New Roman"/>
          <w:sz w:val="24"/>
          <w:szCs w:val="24"/>
        </w:rPr>
        <w:t xml:space="preserve"> per </w:t>
      </w:r>
      <w:r w:rsidR="000B52AF">
        <w:rPr>
          <w:rFonts w:ascii="Times New Roman" w:eastAsia="Times New Roman" w:hAnsi="Times New Roman" w:cs="Times New Roman"/>
          <w:sz w:val="24"/>
          <w:szCs w:val="24"/>
        </w:rPr>
        <w:lastRenderedPageBreak/>
        <w:t>mouse</w:t>
      </w:r>
      <w:r>
        <w:rPr>
          <w:rFonts w:ascii="Times New Roman" w:eastAsia="Times New Roman" w:hAnsi="Times New Roman" w:cs="Times New Roman"/>
          <w:sz w:val="24"/>
          <w:szCs w:val="24"/>
        </w:rPr>
        <w:t xml:space="preserve">). Since the SJCRH weight loss cut off was set to 30%, we noted that the few animals that reached a nadir of 20% also recovered by the next 24 hours.   </w:t>
      </w:r>
      <w:r w:rsidR="00610631" w:rsidRPr="00610631">
        <w:rPr>
          <w:rFonts w:ascii="Times New Roman" w:eastAsia="Times New Roman" w:hAnsi="Times New Roman" w:cs="Times New Roman"/>
          <w:color w:val="365F91" w:themeColor="accent1" w:themeShade="BF"/>
          <w:sz w:val="24"/>
          <w:szCs w:val="24"/>
        </w:rPr>
        <w:br/>
      </w:r>
    </w:p>
    <w:p w:rsidR="00E503AB"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t xml:space="preserve">- The immunological analysis is quite limited. It would be helpful to provide FACS staining details for all individual myeloid cell populations in BAL. Also a method to make single-cell suspensions from lungs should be included. </w:t>
      </w:r>
    </w:p>
    <w:p w:rsidR="00DD15C5" w:rsidRDefault="00E503AB" w:rsidP="00E503AB">
      <w:pPr>
        <w:spacing w:before="100" w:beforeAutospacing="1" w:after="100" w:afterAutospacing="1" w:line="240" w:lineRule="auto"/>
        <w:ind w:firstLine="720"/>
        <w:contextualSpacing/>
        <w:rPr>
          <w:rFonts w:ascii="Times New Roman" w:eastAsia="Times New Roman" w:hAnsi="Times New Roman" w:cs="Times New Roman"/>
          <w:i/>
          <w:iCs/>
          <w:color w:val="365F91" w:themeColor="accent1" w:themeShade="BF"/>
          <w:sz w:val="24"/>
          <w:szCs w:val="24"/>
        </w:rPr>
      </w:pPr>
      <w:r w:rsidRPr="00E503AB">
        <w:rPr>
          <w:rFonts w:ascii="Times New Roman" w:eastAsia="Times New Roman" w:hAnsi="Times New Roman" w:cs="Times New Roman"/>
          <w:sz w:val="24"/>
          <w:szCs w:val="24"/>
        </w:rPr>
        <w:t xml:space="preserve">We thank the Reviewer of his/her comment. We showed the grating strategy and cocktails of antibodies used for markers in our </w:t>
      </w:r>
      <w:r w:rsidRPr="00E503AB">
        <w:rPr>
          <w:rFonts w:ascii="Times New Roman" w:eastAsia="Times New Roman" w:hAnsi="Times New Roman" w:cs="Times New Roman"/>
          <w:i/>
          <w:sz w:val="24"/>
          <w:szCs w:val="24"/>
        </w:rPr>
        <w:t>Immunology and Cell Biology</w:t>
      </w:r>
      <w:r w:rsidRPr="00E503AB">
        <w:rPr>
          <w:rFonts w:ascii="Times New Roman" w:eastAsia="Times New Roman" w:hAnsi="Times New Roman" w:cs="Times New Roman"/>
          <w:sz w:val="24"/>
          <w:szCs w:val="24"/>
        </w:rPr>
        <w:t xml:space="preserve"> paper. Since this is a methods paper, we only discussed the identification of CD8</w:t>
      </w:r>
      <w:r w:rsidRPr="00E503AB">
        <w:rPr>
          <w:rFonts w:ascii="Times New Roman" w:eastAsia="Times New Roman" w:hAnsi="Times New Roman" w:cs="Times New Roman"/>
          <w:sz w:val="24"/>
          <w:szCs w:val="24"/>
          <w:vertAlign w:val="superscript"/>
        </w:rPr>
        <w:t>+</w:t>
      </w:r>
      <w:r w:rsidRPr="00E503AB">
        <w:rPr>
          <w:rFonts w:ascii="Times New Roman" w:eastAsia="Times New Roman" w:hAnsi="Times New Roman" w:cs="Times New Roman"/>
          <w:sz w:val="24"/>
          <w:szCs w:val="24"/>
        </w:rPr>
        <w:t xml:space="preserve"> T cells as an example of cell staining and analysis. In our previous </w:t>
      </w:r>
      <w:r w:rsidRPr="00DD15C5">
        <w:rPr>
          <w:rFonts w:ascii="Times New Roman" w:eastAsia="Times New Roman" w:hAnsi="Times New Roman" w:cs="Times New Roman"/>
          <w:sz w:val="24"/>
          <w:szCs w:val="24"/>
        </w:rPr>
        <w:t>publication</w:t>
      </w:r>
      <w:r w:rsidRPr="00DD15C5">
        <w:rPr>
          <w:rFonts w:ascii="Times New Roman" w:eastAsia="Times New Roman" w:hAnsi="Times New Roman" w:cs="Times New Roman"/>
          <w:iCs/>
          <w:sz w:val="24"/>
          <w:szCs w:val="24"/>
        </w:rPr>
        <w:t xml:space="preserve"> </w:t>
      </w:r>
      <w:r w:rsidR="00DD15C5" w:rsidRPr="00DD15C5">
        <w:rPr>
          <w:rFonts w:ascii="Times New Roman" w:eastAsia="Times New Roman" w:hAnsi="Times New Roman" w:cs="Times New Roman"/>
          <w:iCs/>
          <w:sz w:val="24"/>
          <w:szCs w:val="24"/>
        </w:rPr>
        <w:t xml:space="preserve">we did not analyze cell population in whole lung which is the reason we omitted a method for preparing single cell suspensions from lung tissue. </w:t>
      </w:r>
      <w:r w:rsidR="00DD15C5">
        <w:rPr>
          <w:rFonts w:ascii="Times New Roman" w:eastAsia="Times New Roman" w:hAnsi="Times New Roman" w:cs="Times New Roman"/>
          <w:iCs/>
          <w:sz w:val="24"/>
          <w:szCs w:val="24"/>
        </w:rPr>
        <w:t xml:space="preserve">We use the </w:t>
      </w:r>
      <w:proofErr w:type="spellStart"/>
      <w:r w:rsidR="00DD15C5">
        <w:rPr>
          <w:rFonts w:ascii="Times New Roman" w:eastAsia="Times New Roman" w:hAnsi="Times New Roman" w:cs="Times New Roman"/>
          <w:iCs/>
          <w:sz w:val="24"/>
          <w:szCs w:val="24"/>
        </w:rPr>
        <w:t>Miltenyi</w:t>
      </w:r>
      <w:proofErr w:type="spellEnd"/>
      <w:r w:rsidR="00DD15C5">
        <w:rPr>
          <w:rFonts w:ascii="Times New Roman" w:eastAsia="Times New Roman" w:hAnsi="Times New Roman" w:cs="Times New Roman"/>
          <w:iCs/>
          <w:sz w:val="24"/>
          <w:szCs w:val="24"/>
        </w:rPr>
        <w:t xml:space="preserve"> </w:t>
      </w:r>
      <w:proofErr w:type="spellStart"/>
      <w:r w:rsidR="00DD15C5">
        <w:rPr>
          <w:rFonts w:ascii="Times New Roman" w:eastAsia="Times New Roman" w:hAnsi="Times New Roman" w:cs="Times New Roman"/>
          <w:iCs/>
          <w:sz w:val="24"/>
          <w:szCs w:val="24"/>
        </w:rPr>
        <w:t>GentleMACS</w:t>
      </w:r>
      <w:proofErr w:type="spellEnd"/>
      <w:r w:rsidR="00DD15C5">
        <w:rPr>
          <w:rFonts w:ascii="Times New Roman" w:eastAsia="Times New Roman" w:hAnsi="Times New Roman" w:cs="Times New Roman"/>
          <w:iCs/>
          <w:sz w:val="24"/>
          <w:szCs w:val="24"/>
        </w:rPr>
        <w:t xml:space="preserve"> method to prepare single-cell suspensions from lungs and spleens. </w:t>
      </w:r>
      <w:r w:rsidR="00DD15C5" w:rsidRPr="00DD15C5">
        <w:rPr>
          <w:rFonts w:ascii="Times New Roman" w:eastAsia="Times New Roman" w:hAnsi="Times New Roman" w:cs="Times New Roman"/>
          <w:iCs/>
          <w:sz w:val="24"/>
          <w:szCs w:val="24"/>
        </w:rPr>
        <w:t>If the Reviewer and Editor would like us to add a method for this, we are certainly able to.</w:t>
      </w:r>
      <w:r w:rsidR="00DD15C5" w:rsidRPr="00DD15C5">
        <w:rPr>
          <w:rFonts w:ascii="Times New Roman" w:eastAsia="Times New Roman" w:hAnsi="Times New Roman" w:cs="Times New Roman"/>
          <w:i/>
          <w:iCs/>
          <w:color w:val="365F91" w:themeColor="accent1" w:themeShade="BF"/>
          <w:sz w:val="24"/>
          <w:szCs w:val="24"/>
        </w:rPr>
        <w:t xml:space="preserve"> </w:t>
      </w:r>
      <w:r w:rsidR="001C13B5" w:rsidRPr="001C13B5">
        <w:rPr>
          <w:rFonts w:ascii="Times New Roman" w:eastAsia="Times New Roman" w:hAnsi="Times New Roman" w:cs="Times New Roman"/>
          <w:iCs/>
          <w:sz w:val="24"/>
          <w:szCs w:val="24"/>
        </w:rPr>
        <w:t>We added text to indicate this possibility (pages 8 and 10).</w:t>
      </w:r>
      <w:r w:rsidRPr="001C13B5">
        <w:rPr>
          <w:rFonts w:ascii="Times New Roman" w:eastAsia="Times New Roman" w:hAnsi="Times New Roman" w:cs="Times New Roman"/>
          <w:i/>
          <w:iCs/>
          <w:sz w:val="24"/>
          <w:szCs w:val="24"/>
        </w:rPr>
        <w:t xml:space="preserve"> </w:t>
      </w:r>
    </w:p>
    <w:p w:rsidR="00DD15C5" w:rsidRDefault="00DD15C5" w:rsidP="00DD15C5">
      <w:pPr>
        <w:spacing w:before="100" w:beforeAutospacing="1" w:after="100" w:afterAutospacing="1" w:line="240" w:lineRule="auto"/>
        <w:contextualSpacing/>
        <w:rPr>
          <w:rFonts w:ascii="Times New Roman" w:eastAsia="Times New Roman" w:hAnsi="Times New Roman" w:cs="Times New Roman"/>
          <w:i/>
          <w:iCs/>
          <w:color w:val="365F91" w:themeColor="accent1" w:themeShade="BF"/>
          <w:sz w:val="24"/>
          <w:szCs w:val="24"/>
        </w:rPr>
      </w:pPr>
    </w:p>
    <w:p w:rsidR="00E9574A" w:rsidRDefault="00610631" w:rsidP="00DD15C5">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i/>
          <w:iCs/>
          <w:color w:val="365F91" w:themeColor="accent1" w:themeShade="BF"/>
          <w:sz w:val="24"/>
          <w:szCs w:val="24"/>
        </w:rPr>
        <w:t>Minor Concerns</w:t>
      </w:r>
      <w:proofErr w:type="gramStart"/>
      <w:r w:rsidRPr="00610631">
        <w:rPr>
          <w:rFonts w:ascii="Times New Roman" w:eastAsia="Times New Roman" w:hAnsi="Times New Roman" w:cs="Times New Roman"/>
          <w:i/>
          <w:iCs/>
          <w:color w:val="365F91" w:themeColor="accent1" w:themeShade="BF"/>
          <w:sz w:val="24"/>
          <w:szCs w:val="24"/>
        </w:rPr>
        <w:t>:</w:t>
      </w:r>
      <w:proofErr w:type="gramEnd"/>
      <w:r w:rsidRPr="00610631">
        <w:rPr>
          <w:rFonts w:ascii="Times New Roman" w:eastAsia="Times New Roman" w:hAnsi="Times New Roman" w:cs="Times New Roman"/>
          <w:color w:val="365F91" w:themeColor="accent1" w:themeShade="BF"/>
          <w:sz w:val="24"/>
          <w:szCs w:val="24"/>
        </w:rPr>
        <w:br/>
        <w:t>Figure 1. The authors describe an analysis of BAL at several time points afte</w:t>
      </w:r>
      <w:r w:rsidR="00E9574A">
        <w:rPr>
          <w:rFonts w:ascii="Times New Roman" w:eastAsia="Times New Roman" w:hAnsi="Times New Roman" w:cs="Times New Roman"/>
          <w:color w:val="365F91" w:themeColor="accent1" w:themeShade="BF"/>
          <w:sz w:val="24"/>
          <w:szCs w:val="24"/>
        </w:rPr>
        <w:t>r the second fungal challenge (</w:t>
      </w:r>
      <w:r w:rsidRPr="00610631">
        <w:rPr>
          <w:rFonts w:ascii="Times New Roman" w:eastAsia="Times New Roman" w:hAnsi="Times New Roman" w:cs="Times New Roman"/>
          <w:color w:val="365F91" w:themeColor="accent1" w:themeShade="BF"/>
          <w:sz w:val="24"/>
          <w:szCs w:val="24"/>
        </w:rPr>
        <w:t>3, 7, 14, 28 days). It would be helpful if this is included in the figure.</w:t>
      </w:r>
    </w:p>
    <w:p w:rsidR="00E9574A" w:rsidRDefault="00E9574A" w:rsidP="00E503AB">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valid point raised by the Reviewer. The reason we have omitted these data is because we have already published the development of the fungal asthma model as indicated in the citations in the text (page 9) and because this manuscript was focused on the co-morbidity model. </w:t>
      </w:r>
    </w:p>
    <w:p w:rsidR="00610631" w:rsidRDefault="00610631" w:rsidP="00610631">
      <w:pPr>
        <w:spacing w:before="100" w:beforeAutospacing="1" w:after="100" w:afterAutospacing="1" w:line="240" w:lineRule="auto"/>
        <w:contextualSpacing/>
        <w:rPr>
          <w:rFonts w:ascii="Times New Roman" w:eastAsia="Times New Roman" w:hAnsi="Times New Roman" w:cs="Times New Roman"/>
          <w:color w:val="365F91" w:themeColor="accent1" w:themeShade="BF"/>
          <w:sz w:val="24"/>
          <w:szCs w:val="24"/>
        </w:rPr>
      </w:pPr>
      <w:r w:rsidRPr="00610631">
        <w:rPr>
          <w:rFonts w:ascii="Times New Roman" w:eastAsia="Times New Roman" w:hAnsi="Times New Roman" w:cs="Times New Roman"/>
          <w:color w:val="365F91" w:themeColor="accent1" w:themeShade="BF"/>
          <w:sz w:val="24"/>
          <w:szCs w:val="24"/>
        </w:rPr>
        <w:br/>
      </w:r>
      <w:proofErr w:type="gramStart"/>
      <w:r w:rsidRPr="00610631">
        <w:rPr>
          <w:rFonts w:ascii="Times New Roman" w:eastAsia="Times New Roman" w:hAnsi="Times New Roman" w:cs="Times New Roman"/>
          <w:color w:val="365F91" w:themeColor="accent1" w:themeShade="BF"/>
          <w:sz w:val="24"/>
          <w:szCs w:val="24"/>
        </w:rPr>
        <w:t>Figure 6.</w:t>
      </w:r>
      <w:proofErr w:type="gramEnd"/>
      <w:r w:rsidRPr="00610631">
        <w:rPr>
          <w:rFonts w:ascii="Times New Roman" w:eastAsia="Times New Roman" w:hAnsi="Times New Roman" w:cs="Times New Roman"/>
          <w:color w:val="365F91" w:themeColor="accent1" w:themeShade="BF"/>
          <w:sz w:val="24"/>
          <w:szCs w:val="24"/>
        </w:rPr>
        <w:t xml:space="preserve"> To monitor virus clearance as accurately as possible, it is recommended to also include day 8 (Fig. 6B and 6D).</w:t>
      </w:r>
    </w:p>
    <w:p w:rsidR="00E9574A" w:rsidRDefault="00E9574A" w:rsidP="00E503AB">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E9574A">
        <w:rPr>
          <w:rFonts w:ascii="Times New Roman" w:eastAsia="Times New Roman" w:hAnsi="Times New Roman" w:cs="Times New Roman"/>
          <w:sz w:val="24"/>
          <w:szCs w:val="24"/>
        </w:rPr>
        <w:t xml:space="preserve">We agree with the Reviewer. </w:t>
      </w:r>
      <w:r>
        <w:rPr>
          <w:rFonts w:ascii="Times New Roman" w:eastAsia="Times New Roman" w:hAnsi="Times New Roman" w:cs="Times New Roman"/>
          <w:sz w:val="24"/>
          <w:szCs w:val="24"/>
        </w:rPr>
        <w:t xml:space="preserve">While we have not </w:t>
      </w:r>
      <w:proofErr w:type="gramStart"/>
      <w:r>
        <w:rPr>
          <w:rFonts w:ascii="Times New Roman" w:eastAsia="Times New Roman" w:hAnsi="Times New Roman" w:cs="Times New Roman"/>
          <w:sz w:val="24"/>
          <w:szCs w:val="24"/>
        </w:rPr>
        <w:t>titrated</w:t>
      </w:r>
      <w:proofErr w:type="gramEnd"/>
      <w:r>
        <w:rPr>
          <w:rFonts w:ascii="Times New Roman" w:eastAsia="Times New Roman" w:hAnsi="Times New Roman" w:cs="Times New Roman"/>
          <w:sz w:val="24"/>
          <w:szCs w:val="24"/>
        </w:rPr>
        <w:t xml:space="preserve"> the virus in the lungs of asthma and influen</w:t>
      </w:r>
      <w:r w:rsidR="005576EF">
        <w:rPr>
          <w:rFonts w:ascii="Times New Roman" w:eastAsia="Times New Roman" w:hAnsi="Times New Roman" w:cs="Times New Roman"/>
          <w:sz w:val="24"/>
          <w:szCs w:val="24"/>
        </w:rPr>
        <w:t xml:space="preserve">za animals at Day 8, we have </w:t>
      </w:r>
      <w:proofErr w:type="spellStart"/>
      <w:r w:rsidR="005576EF">
        <w:rPr>
          <w:rFonts w:ascii="Times New Roman" w:eastAsia="Times New Roman" w:hAnsi="Times New Roman" w:cs="Times New Roman"/>
          <w:sz w:val="24"/>
          <w:szCs w:val="24"/>
        </w:rPr>
        <w:t>ti</w:t>
      </w:r>
      <w:r>
        <w:rPr>
          <w:rFonts w:ascii="Times New Roman" w:eastAsia="Times New Roman" w:hAnsi="Times New Roman" w:cs="Times New Roman"/>
          <w:sz w:val="24"/>
          <w:szCs w:val="24"/>
        </w:rPr>
        <w:t>tered</w:t>
      </w:r>
      <w:proofErr w:type="spellEnd"/>
      <w:r>
        <w:rPr>
          <w:rFonts w:ascii="Times New Roman" w:eastAsia="Times New Roman" w:hAnsi="Times New Roman" w:cs="Times New Roman"/>
          <w:sz w:val="24"/>
          <w:szCs w:val="24"/>
        </w:rPr>
        <w:t xml:space="preserve"> virus in the flu-only control mice at Day 8. When infected with 1000 TCID</w:t>
      </w:r>
      <w:r w:rsidRPr="00E9574A">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/mL A/CA/04/2009 C57BL/6 mice will have an average of log</w:t>
      </w:r>
      <w:r w:rsidRPr="00E9574A">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4.366</w:t>
      </w:r>
      <w:r>
        <w:rPr>
          <w:rFonts w:ascii="Times New Roman" w:eastAsia="Times New Roman" w:hAnsi="Times New Roman" w:cs="Times New Roman"/>
          <w:sz w:val="24"/>
          <w:szCs w:val="24"/>
        </w:rPr>
        <w:sym w:font="Symbol" w:char="F0B1"/>
      </w:r>
      <w:r>
        <w:rPr>
          <w:rFonts w:ascii="Times New Roman" w:eastAsia="Times New Roman" w:hAnsi="Times New Roman" w:cs="Times New Roman"/>
          <w:sz w:val="24"/>
          <w:szCs w:val="24"/>
        </w:rPr>
        <w:t>0.557 TCID</w:t>
      </w:r>
      <w:r w:rsidRPr="00E9574A">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/mL of lung homogenate. This is equivalent to the viral titer found in the co-morbidity group at Day 7. We have included this in the manuscript text (page 11).</w:t>
      </w:r>
    </w:p>
    <w:p w:rsidR="00E9574A" w:rsidRPr="00E9574A" w:rsidRDefault="00E9574A" w:rsidP="0061063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we are able to perform this quantification at Day 8 in the comorbidity group, we would need more time than granted by the revision to do so as we will need to take mice through the model. </w:t>
      </w:r>
    </w:p>
    <w:p w:rsidR="005D51EA" w:rsidRDefault="005D51EA">
      <w:pPr>
        <w:rPr>
          <w:color w:val="365F91" w:themeColor="accent1" w:themeShade="BF"/>
        </w:rPr>
      </w:pPr>
    </w:p>
    <w:p w:rsidR="00381B16" w:rsidRPr="00381B16" w:rsidRDefault="00381B16">
      <w:pPr>
        <w:rPr>
          <w:rFonts w:ascii="Times New Roman" w:hAnsi="Times New Roman" w:cs="Times New Roman"/>
          <w:sz w:val="24"/>
        </w:rPr>
      </w:pPr>
      <w:r w:rsidRPr="00381B16">
        <w:rPr>
          <w:rFonts w:ascii="Times New Roman" w:hAnsi="Times New Roman" w:cs="Times New Roman"/>
          <w:sz w:val="24"/>
        </w:rPr>
        <w:t>Best Regards,</w:t>
      </w:r>
      <w:bookmarkStart w:id="0" w:name="_GoBack"/>
      <w:bookmarkEnd w:id="0"/>
    </w:p>
    <w:p w:rsidR="00381B16" w:rsidRPr="00381B16" w:rsidRDefault="00381B16">
      <w:pPr>
        <w:rPr>
          <w:rFonts w:ascii="Times New Roman" w:hAnsi="Times New Roman" w:cs="Times New Roman"/>
          <w:sz w:val="24"/>
        </w:rPr>
      </w:pPr>
      <w:r w:rsidRPr="00381B16">
        <w:rPr>
          <w:rFonts w:ascii="Times New Roman" w:hAnsi="Times New Roman" w:cs="Times New Roman"/>
          <w:sz w:val="24"/>
        </w:rPr>
        <w:t>Amali E. Samarasinghe</w:t>
      </w:r>
    </w:p>
    <w:sectPr w:rsidR="00381B16" w:rsidRPr="00381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31"/>
    <w:rsid w:val="00061BF7"/>
    <w:rsid w:val="000857B0"/>
    <w:rsid w:val="000B52AF"/>
    <w:rsid w:val="001C13B5"/>
    <w:rsid w:val="0022338F"/>
    <w:rsid w:val="00381B16"/>
    <w:rsid w:val="003B3E2D"/>
    <w:rsid w:val="005576EF"/>
    <w:rsid w:val="005D51EA"/>
    <w:rsid w:val="00610631"/>
    <w:rsid w:val="00750D40"/>
    <w:rsid w:val="00DD15C5"/>
    <w:rsid w:val="00E503AB"/>
    <w:rsid w:val="00E9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6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6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882">
      <w:bodyDiv w:val="1"/>
      <w:marLeft w:val="0"/>
      <w:marRight w:val="0"/>
      <w:marTop w:val="0"/>
      <w:marBottom w:val="0"/>
      <w:divBdr>
        <w:top w:val="none" w:sz="0" w:space="0" w:color="auto"/>
        <w:left w:val="none" w:sz="0" w:space="0" w:color="auto"/>
        <w:bottom w:val="none" w:sz="0" w:space="0" w:color="auto"/>
        <w:right w:val="none" w:sz="0" w:space="0" w:color="auto"/>
      </w:divBdr>
      <w:divsChild>
        <w:div w:id="1913077140">
          <w:marLeft w:val="0"/>
          <w:marRight w:val="0"/>
          <w:marTop w:val="225"/>
          <w:marBottom w:val="0"/>
          <w:divBdr>
            <w:top w:val="none" w:sz="0" w:space="0" w:color="auto"/>
            <w:left w:val="none" w:sz="0" w:space="0" w:color="auto"/>
            <w:bottom w:val="none" w:sz="0" w:space="0" w:color="auto"/>
            <w:right w:val="none" w:sz="0" w:space="0" w:color="auto"/>
          </w:divBdr>
          <w:divsChild>
            <w:div w:id="17859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2015-07-06T16:48:00Z</dcterms:created>
  <dcterms:modified xsi:type="dcterms:W3CDTF">2015-07-06T17:48:00Z</dcterms:modified>
</cp:coreProperties>
</file>