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4186" w:rsidRPr="001B1C06" w:rsidRDefault="00F948D8" w:rsidP="006A4186">
      <w:pPr>
        <w:pStyle w:val="NormalWeb"/>
        <w:spacing w:before="0" w:beforeAutospacing="0" w:after="0" w:afterAutospacing="0"/>
        <w:rPr>
          <w:rFonts w:cs="Arial"/>
          <w:color w:val="auto"/>
        </w:rPr>
      </w:pPr>
      <w:r w:rsidRPr="00F948D8">
        <w:rPr>
          <w:rFonts w:cs="Arial"/>
          <w:b/>
          <w:bCs/>
          <w:color w:val="auto"/>
        </w:rPr>
        <w:t>TITLE:</w:t>
      </w:r>
      <w:r w:rsidRPr="00F948D8">
        <w:rPr>
          <w:rFonts w:cs="Arial"/>
          <w:color w:val="auto"/>
        </w:rPr>
        <w:t xml:space="preserve"> </w:t>
      </w:r>
    </w:p>
    <w:p w:rsidR="00F948D8" w:rsidRPr="00F948D8" w:rsidRDefault="00F948D8">
      <w:pPr>
        <w:pStyle w:val="NormalWeb"/>
        <w:spacing w:before="0" w:beforeAutospacing="0" w:after="0" w:afterAutospacing="0"/>
        <w:rPr>
          <w:rFonts w:cs="Arial"/>
          <w:color w:val="auto"/>
        </w:rPr>
      </w:pPr>
      <w:r w:rsidRPr="00F948D8">
        <w:rPr>
          <w:rFonts w:cs="Arial"/>
          <w:i/>
          <w:color w:val="auto"/>
        </w:rPr>
        <w:t>Ex vivo</w:t>
      </w:r>
      <w:r w:rsidRPr="00F948D8">
        <w:rPr>
          <w:rFonts w:cs="Arial"/>
          <w:color w:val="auto"/>
        </w:rPr>
        <w:t xml:space="preserve"> imaging of postnatal cerebellar granule cell migration using confocal macroscopy</w:t>
      </w:r>
    </w:p>
    <w:p w:rsidR="00F948D8" w:rsidRPr="00F948D8" w:rsidRDefault="00F948D8">
      <w:pPr>
        <w:rPr>
          <w:rFonts w:cs="Arial"/>
          <w:b/>
          <w:bCs/>
          <w:color w:val="auto"/>
        </w:rPr>
      </w:pPr>
    </w:p>
    <w:p w:rsidR="00F948D8" w:rsidRDefault="00F948D8">
      <w:pPr>
        <w:rPr>
          <w:rFonts w:cs="Arial"/>
          <w:bCs/>
          <w:color w:val="auto"/>
        </w:rPr>
      </w:pPr>
      <w:r w:rsidRPr="00F948D8">
        <w:rPr>
          <w:rFonts w:cs="Arial"/>
          <w:b/>
          <w:bCs/>
          <w:color w:val="auto"/>
        </w:rPr>
        <w:t xml:space="preserve">AUTHORS: </w:t>
      </w:r>
    </w:p>
    <w:p w:rsidR="00F948D8" w:rsidRDefault="003E2F50">
      <w:pPr>
        <w:rPr>
          <w:rFonts w:cs="Arial"/>
          <w:bCs/>
          <w:color w:val="auto"/>
        </w:rPr>
      </w:pPr>
      <w:r>
        <w:rPr>
          <w:rFonts w:cs="Arial"/>
          <w:bCs/>
          <w:color w:val="auto"/>
        </w:rPr>
        <w:t>Bénard, Magalie</w:t>
      </w:r>
    </w:p>
    <w:p w:rsidR="00F948D8" w:rsidRDefault="003E2F50">
      <w:pPr>
        <w:rPr>
          <w:rFonts w:cs="Arial"/>
          <w:bCs/>
          <w:color w:val="auto"/>
        </w:rPr>
      </w:pPr>
      <w:r>
        <w:rPr>
          <w:rFonts w:cs="Arial"/>
          <w:bCs/>
          <w:color w:val="auto"/>
        </w:rPr>
        <w:t>PRIMACEN, Cell Imaging Platform of Normandy</w:t>
      </w:r>
    </w:p>
    <w:p w:rsidR="00F948D8" w:rsidRDefault="003E2F50">
      <w:pPr>
        <w:rPr>
          <w:rFonts w:cs="Arial"/>
          <w:bCs/>
          <w:color w:val="auto"/>
        </w:rPr>
      </w:pPr>
      <w:r>
        <w:rPr>
          <w:rFonts w:cs="Arial"/>
          <w:bCs/>
          <w:color w:val="auto"/>
        </w:rPr>
        <w:t>Inserm, IRIB, University of Rouen</w:t>
      </w:r>
    </w:p>
    <w:p w:rsidR="00F948D8" w:rsidRPr="008C7AF7" w:rsidRDefault="003E2F50">
      <w:pPr>
        <w:rPr>
          <w:rFonts w:cs="Arial"/>
          <w:bCs/>
          <w:color w:val="auto"/>
        </w:rPr>
      </w:pPr>
      <w:r w:rsidRPr="008C7AF7">
        <w:rPr>
          <w:rFonts w:cs="Arial"/>
          <w:bCs/>
          <w:color w:val="auto"/>
        </w:rPr>
        <w:t>Mont-Saint-Aignan, France</w:t>
      </w:r>
    </w:p>
    <w:p w:rsidR="00F948D8" w:rsidRPr="008C7AF7" w:rsidRDefault="00F948D8">
      <w:pPr>
        <w:rPr>
          <w:rFonts w:cs="Arial"/>
          <w:bCs/>
          <w:color w:val="auto"/>
        </w:rPr>
      </w:pPr>
      <w:r w:rsidRPr="00F948D8">
        <w:t>magalie.benard@univ-rouen.fr</w:t>
      </w:r>
    </w:p>
    <w:p w:rsidR="00F948D8" w:rsidRPr="008C7AF7" w:rsidRDefault="00F948D8">
      <w:pPr>
        <w:rPr>
          <w:rFonts w:cs="Arial"/>
          <w:bCs/>
          <w:color w:val="auto"/>
        </w:rPr>
      </w:pPr>
    </w:p>
    <w:p w:rsidR="00F948D8" w:rsidRDefault="00F948D8">
      <w:pPr>
        <w:rPr>
          <w:rFonts w:cs="Arial"/>
          <w:bCs/>
          <w:color w:val="auto"/>
        </w:rPr>
      </w:pPr>
      <w:r w:rsidRPr="00F948D8">
        <w:rPr>
          <w:rFonts w:cs="Arial"/>
          <w:bCs/>
          <w:color w:val="auto"/>
        </w:rPr>
        <w:t>Lebon, Alexis</w:t>
      </w:r>
    </w:p>
    <w:p w:rsidR="00F948D8" w:rsidRDefault="00F948D8">
      <w:pPr>
        <w:rPr>
          <w:rFonts w:cs="Arial"/>
          <w:bCs/>
          <w:color w:val="auto"/>
        </w:rPr>
      </w:pPr>
      <w:r w:rsidRPr="00F948D8">
        <w:rPr>
          <w:rFonts w:cs="Arial"/>
          <w:bCs/>
          <w:color w:val="auto"/>
        </w:rPr>
        <w:t>PRIMACEN, Cell Imaging Platform of Normandy</w:t>
      </w:r>
    </w:p>
    <w:p w:rsidR="00F948D8" w:rsidRDefault="00F948D8">
      <w:pPr>
        <w:rPr>
          <w:rFonts w:cs="Arial"/>
          <w:bCs/>
          <w:color w:val="auto"/>
        </w:rPr>
      </w:pPr>
      <w:r w:rsidRPr="00F948D8">
        <w:rPr>
          <w:rFonts w:cs="Arial"/>
          <w:bCs/>
          <w:color w:val="auto"/>
        </w:rPr>
        <w:t>Inserm, IRIB, University of Rouen</w:t>
      </w:r>
    </w:p>
    <w:p w:rsidR="00F948D8" w:rsidRDefault="00F948D8">
      <w:pPr>
        <w:rPr>
          <w:rFonts w:cs="Arial"/>
          <w:bCs/>
          <w:color w:val="auto"/>
        </w:rPr>
      </w:pPr>
      <w:r w:rsidRPr="00F948D8">
        <w:rPr>
          <w:rFonts w:cs="Arial"/>
          <w:bCs/>
          <w:color w:val="auto"/>
        </w:rPr>
        <w:t>Mont-Saint-Aignan, France</w:t>
      </w:r>
    </w:p>
    <w:p w:rsidR="00F948D8" w:rsidRDefault="00F948D8">
      <w:pPr>
        <w:rPr>
          <w:rFonts w:cs="Arial"/>
          <w:bCs/>
          <w:color w:val="auto"/>
        </w:rPr>
      </w:pPr>
      <w:r w:rsidRPr="00F948D8">
        <w:t>alexis.lebon@univ-rouen.fr</w:t>
      </w:r>
    </w:p>
    <w:p w:rsidR="00F948D8" w:rsidRDefault="00F948D8">
      <w:pPr>
        <w:rPr>
          <w:rFonts w:cs="Arial"/>
          <w:bCs/>
          <w:color w:val="auto"/>
        </w:rPr>
      </w:pPr>
    </w:p>
    <w:p w:rsidR="00F948D8" w:rsidRDefault="00F948D8">
      <w:pPr>
        <w:rPr>
          <w:rFonts w:cs="Arial"/>
          <w:bCs/>
          <w:color w:val="auto"/>
        </w:rPr>
      </w:pPr>
      <w:r w:rsidRPr="00F948D8">
        <w:rPr>
          <w:rFonts w:cs="Arial"/>
          <w:bCs/>
          <w:color w:val="auto"/>
        </w:rPr>
        <w:t>Komuro, Hitoshi</w:t>
      </w:r>
    </w:p>
    <w:p w:rsidR="00F948D8" w:rsidRDefault="00F948D8">
      <w:pPr>
        <w:rPr>
          <w:rFonts w:cs="Arial"/>
          <w:bCs/>
          <w:color w:val="auto"/>
        </w:rPr>
      </w:pPr>
      <w:r w:rsidRPr="00F948D8">
        <w:rPr>
          <w:rFonts w:cs="Arial"/>
          <w:bCs/>
          <w:color w:val="auto"/>
        </w:rPr>
        <w:t>Department of Neurobiology</w:t>
      </w:r>
    </w:p>
    <w:p w:rsidR="00F948D8" w:rsidRDefault="00F948D8">
      <w:pPr>
        <w:rPr>
          <w:rFonts w:cs="Arial"/>
          <w:bCs/>
          <w:color w:val="auto"/>
        </w:rPr>
      </w:pPr>
      <w:r w:rsidRPr="00F948D8">
        <w:rPr>
          <w:rFonts w:cs="Arial"/>
          <w:bCs/>
          <w:color w:val="auto"/>
        </w:rPr>
        <w:t>School of Medicine</w:t>
      </w:r>
    </w:p>
    <w:p w:rsidR="00F948D8" w:rsidRDefault="00F948D8">
      <w:pPr>
        <w:rPr>
          <w:rFonts w:cs="Arial"/>
          <w:bCs/>
          <w:color w:val="auto"/>
        </w:rPr>
      </w:pPr>
      <w:r w:rsidRPr="00F948D8">
        <w:rPr>
          <w:rFonts w:cs="Arial"/>
          <w:bCs/>
          <w:color w:val="auto"/>
        </w:rPr>
        <w:t>Yale University</w:t>
      </w:r>
    </w:p>
    <w:p w:rsidR="00F948D8" w:rsidRDefault="00F948D8">
      <w:pPr>
        <w:rPr>
          <w:rFonts w:cs="Arial"/>
          <w:bCs/>
          <w:color w:val="auto"/>
        </w:rPr>
      </w:pPr>
      <w:r w:rsidRPr="00F948D8">
        <w:rPr>
          <w:rFonts w:cs="Arial"/>
          <w:bCs/>
          <w:color w:val="auto"/>
        </w:rPr>
        <w:t>New Haven CT, USA</w:t>
      </w:r>
    </w:p>
    <w:p w:rsidR="00F948D8" w:rsidRPr="00F948D8" w:rsidRDefault="00F948D8">
      <w:pPr>
        <w:rPr>
          <w:rFonts w:cs="Arial"/>
          <w:bCs/>
          <w:color w:val="auto"/>
        </w:rPr>
      </w:pPr>
      <w:r w:rsidRPr="00F948D8">
        <w:rPr>
          <w:rFonts w:cs="Arial"/>
          <w:bCs/>
          <w:color w:val="auto"/>
        </w:rPr>
        <w:t>hitoshi.komuro@yale.edu</w:t>
      </w:r>
    </w:p>
    <w:p w:rsidR="00F948D8" w:rsidRPr="00F948D8" w:rsidRDefault="00F948D8">
      <w:pPr>
        <w:rPr>
          <w:rFonts w:cs="Arial"/>
          <w:bCs/>
          <w:color w:val="auto"/>
        </w:rPr>
      </w:pPr>
    </w:p>
    <w:p w:rsidR="00F948D8" w:rsidRDefault="00F948D8">
      <w:pPr>
        <w:rPr>
          <w:rFonts w:cs="Arial"/>
          <w:bCs/>
          <w:color w:val="auto"/>
        </w:rPr>
      </w:pPr>
      <w:r w:rsidRPr="00F948D8">
        <w:rPr>
          <w:rFonts w:cs="Arial"/>
          <w:bCs/>
          <w:color w:val="auto"/>
        </w:rPr>
        <w:t>Vaudry, David</w:t>
      </w:r>
    </w:p>
    <w:p w:rsidR="00F948D8" w:rsidRDefault="00F948D8">
      <w:pPr>
        <w:rPr>
          <w:rFonts w:cs="Arial"/>
          <w:bCs/>
          <w:color w:val="auto"/>
        </w:rPr>
      </w:pPr>
      <w:r w:rsidRPr="00F948D8">
        <w:rPr>
          <w:rFonts w:cs="Arial"/>
          <w:bCs/>
          <w:color w:val="auto"/>
        </w:rPr>
        <w:t>PRIMACEN, Cell Imaging Platform of Normandy</w:t>
      </w:r>
    </w:p>
    <w:p w:rsidR="00F948D8" w:rsidRDefault="00F948D8">
      <w:pPr>
        <w:rPr>
          <w:rFonts w:cs="Arial"/>
          <w:bCs/>
          <w:color w:val="auto"/>
        </w:rPr>
      </w:pPr>
      <w:r w:rsidRPr="00F948D8">
        <w:rPr>
          <w:rFonts w:cs="Arial"/>
          <w:bCs/>
          <w:color w:val="auto"/>
        </w:rPr>
        <w:t>Inserm, IRIB, University of Rouen</w:t>
      </w:r>
    </w:p>
    <w:p w:rsidR="00F948D8" w:rsidRDefault="00F948D8">
      <w:pPr>
        <w:rPr>
          <w:rFonts w:cs="Arial"/>
          <w:bCs/>
          <w:color w:val="auto"/>
        </w:rPr>
      </w:pPr>
      <w:r w:rsidRPr="00F948D8">
        <w:rPr>
          <w:rFonts w:cs="Arial"/>
          <w:bCs/>
          <w:color w:val="auto"/>
        </w:rPr>
        <w:t>Mont-Saint-Aignan, France</w:t>
      </w:r>
    </w:p>
    <w:p w:rsidR="00F948D8" w:rsidRDefault="00F948D8">
      <w:pPr>
        <w:rPr>
          <w:rFonts w:cs="Arial"/>
          <w:bCs/>
          <w:color w:val="auto"/>
        </w:rPr>
      </w:pPr>
      <w:r w:rsidRPr="00F948D8">
        <w:t>david.vaudry@univ-rouen.fr</w:t>
      </w:r>
    </w:p>
    <w:p w:rsidR="00F948D8" w:rsidRDefault="00F948D8">
      <w:pPr>
        <w:rPr>
          <w:rFonts w:cs="Arial"/>
          <w:bCs/>
          <w:color w:val="auto"/>
        </w:rPr>
      </w:pPr>
    </w:p>
    <w:p w:rsidR="00F948D8" w:rsidRDefault="00F948D8">
      <w:pPr>
        <w:rPr>
          <w:rFonts w:cs="Arial"/>
          <w:bCs/>
          <w:color w:val="auto"/>
        </w:rPr>
      </w:pPr>
      <w:r w:rsidRPr="00F948D8">
        <w:rPr>
          <w:rFonts w:cs="Arial"/>
          <w:bCs/>
          <w:color w:val="auto"/>
        </w:rPr>
        <w:t>Galas, Ludovic</w:t>
      </w:r>
    </w:p>
    <w:p w:rsidR="00F948D8" w:rsidRDefault="00F948D8">
      <w:pPr>
        <w:rPr>
          <w:rFonts w:cs="Arial"/>
          <w:bCs/>
          <w:color w:val="auto"/>
        </w:rPr>
      </w:pPr>
      <w:r w:rsidRPr="00F948D8">
        <w:rPr>
          <w:rFonts w:cs="Arial"/>
          <w:bCs/>
          <w:color w:val="auto"/>
        </w:rPr>
        <w:t>PRIMACEN, Cell Imaging Platform of Normandy</w:t>
      </w:r>
    </w:p>
    <w:p w:rsidR="00F948D8" w:rsidRDefault="00F948D8">
      <w:pPr>
        <w:rPr>
          <w:rFonts w:cs="Arial"/>
          <w:bCs/>
          <w:color w:val="auto"/>
        </w:rPr>
      </w:pPr>
      <w:r w:rsidRPr="00F948D8">
        <w:rPr>
          <w:rFonts w:cs="Arial"/>
          <w:bCs/>
          <w:color w:val="auto"/>
        </w:rPr>
        <w:t>Inserm, IRIB, University of Rouen</w:t>
      </w:r>
    </w:p>
    <w:p w:rsidR="00F948D8" w:rsidRDefault="00F948D8">
      <w:pPr>
        <w:rPr>
          <w:rFonts w:cs="Arial"/>
          <w:bCs/>
          <w:color w:val="auto"/>
        </w:rPr>
      </w:pPr>
      <w:r w:rsidRPr="00F948D8">
        <w:rPr>
          <w:rFonts w:cs="Arial"/>
          <w:bCs/>
          <w:color w:val="auto"/>
        </w:rPr>
        <w:t>Mont-Saint-Aignan, France</w:t>
      </w:r>
    </w:p>
    <w:p w:rsidR="00F948D8" w:rsidRDefault="00F948D8">
      <w:pPr>
        <w:rPr>
          <w:rFonts w:cs="Arial"/>
          <w:bCs/>
          <w:color w:val="auto"/>
        </w:rPr>
      </w:pPr>
      <w:r w:rsidRPr="00F948D8">
        <w:rPr>
          <w:color w:val="auto"/>
        </w:rPr>
        <w:t>ludovic.galas@univ-rouen.fr</w:t>
      </w:r>
    </w:p>
    <w:p w:rsidR="00F948D8" w:rsidRDefault="00F948D8">
      <w:pPr>
        <w:rPr>
          <w:rFonts w:cs="Arial"/>
          <w:bCs/>
          <w:color w:val="auto"/>
        </w:rPr>
      </w:pPr>
      <w:r w:rsidRPr="00F948D8">
        <w:rPr>
          <w:rFonts w:cs="Arial"/>
          <w:bCs/>
          <w:color w:val="auto"/>
        </w:rPr>
        <w:t>Tel: (33) 235-14-70-48</w:t>
      </w:r>
    </w:p>
    <w:p w:rsidR="00F948D8" w:rsidRPr="00F948D8" w:rsidRDefault="00F948D8">
      <w:pPr>
        <w:pStyle w:val="NormalWeb"/>
        <w:spacing w:before="0" w:beforeAutospacing="0" w:after="0" w:afterAutospacing="0"/>
        <w:rPr>
          <w:rFonts w:cs="Arial"/>
          <w:b/>
          <w:bCs/>
          <w:color w:val="auto"/>
        </w:rPr>
      </w:pPr>
    </w:p>
    <w:p w:rsidR="00F948D8" w:rsidRPr="00F948D8" w:rsidRDefault="00F948D8">
      <w:pPr>
        <w:pStyle w:val="NormalWeb"/>
        <w:spacing w:before="0" w:beforeAutospacing="0" w:after="0" w:afterAutospacing="0"/>
        <w:rPr>
          <w:rFonts w:cs="Arial"/>
          <w:color w:val="auto"/>
        </w:rPr>
      </w:pPr>
      <w:r w:rsidRPr="00F948D8">
        <w:rPr>
          <w:rFonts w:cs="Arial"/>
          <w:b/>
          <w:bCs/>
          <w:color w:val="auto"/>
        </w:rPr>
        <w:t>CORRESPONDING AUTHOR:</w:t>
      </w:r>
      <w:r w:rsidRPr="00F948D8">
        <w:rPr>
          <w:rFonts w:cs="Arial"/>
          <w:color w:val="auto"/>
        </w:rPr>
        <w:t xml:space="preserve"> Galas, Ludovic</w:t>
      </w:r>
    </w:p>
    <w:p w:rsidR="00F948D8" w:rsidRPr="00F948D8" w:rsidRDefault="00F948D8">
      <w:pPr>
        <w:pStyle w:val="NormalWeb"/>
        <w:spacing w:before="0" w:beforeAutospacing="0" w:after="0" w:afterAutospacing="0"/>
        <w:rPr>
          <w:rFonts w:cs="Arial"/>
          <w:b/>
          <w:bCs/>
          <w:color w:val="auto"/>
        </w:rPr>
      </w:pPr>
    </w:p>
    <w:p w:rsidR="00F948D8" w:rsidRPr="00F948D8" w:rsidRDefault="00F948D8">
      <w:pPr>
        <w:pStyle w:val="NormalWeb"/>
        <w:spacing w:before="0" w:beforeAutospacing="0" w:after="0" w:afterAutospacing="0"/>
        <w:rPr>
          <w:rFonts w:cs="Arial"/>
          <w:color w:val="auto"/>
        </w:rPr>
      </w:pPr>
      <w:r w:rsidRPr="00F948D8">
        <w:rPr>
          <w:rFonts w:cs="Arial"/>
          <w:b/>
          <w:bCs/>
          <w:color w:val="auto"/>
        </w:rPr>
        <w:t>KEYWORDS:</w:t>
      </w:r>
    </w:p>
    <w:p w:rsidR="00F948D8" w:rsidRPr="00F948D8" w:rsidRDefault="00F948D8">
      <w:pPr>
        <w:pStyle w:val="NormalWeb"/>
        <w:spacing w:before="0" w:beforeAutospacing="0" w:after="0" w:afterAutospacing="0"/>
        <w:rPr>
          <w:rFonts w:cs="Arial"/>
          <w:color w:val="auto"/>
        </w:rPr>
      </w:pPr>
      <w:r w:rsidRPr="00F948D8">
        <w:rPr>
          <w:rFonts w:cs="Arial"/>
          <w:color w:val="auto"/>
        </w:rPr>
        <w:t xml:space="preserve">Neuroscience, developmental biology, cerebellum, interneuron migration, cerebellar granule cell, neuropeptide, PACAP, serine protease, </w:t>
      </w:r>
      <w:proofErr w:type="gramStart"/>
      <w:r w:rsidRPr="00F948D8">
        <w:rPr>
          <w:rFonts w:cs="Arial"/>
          <w:color w:val="auto"/>
        </w:rPr>
        <w:t>tPA</w:t>
      </w:r>
      <w:proofErr w:type="gramEnd"/>
    </w:p>
    <w:p w:rsidR="00F948D8" w:rsidRPr="00F948D8" w:rsidRDefault="00F948D8">
      <w:pPr>
        <w:rPr>
          <w:rFonts w:cs="Arial"/>
          <w:b/>
          <w:bCs/>
          <w:color w:val="auto"/>
        </w:rPr>
      </w:pPr>
    </w:p>
    <w:p w:rsidR="00F948D8" w:rsidRPr="00F948D8" w:rsidRDefault="00F948D8">
      <w:pPr>
        <w:rPr>
          <w:color w:val="auto"/>
        </w:rPr>
      </w:pPr>
      <w:r w:rsidRPr="00F948D8">
        <w:rPr>
          <w:rFonts w:cs="Arial"/>
          <w:b/>
          <w:bCs/>
          <w:color w:val="auto"/>
        </w:rPr>
        <w:t>SHORT ABSTRACT:</w:t>
      </w:r>
    </w:p>
    <w:p w:rsidR="00F948D8" w:rsidRPr="00F948D8" w:rsidRDefault="00F948D8">
      <w:pPr>
        <w:rPr>
          <w:color w:val="auto"/>
        </w:rPr>
      </w:pPr>
      <w:r w:rsidRPr="00F948D8">
        <w:rPr>
          <w:color w:val="auto"/>
        </w:rPr>
        <w:t xml:space="preserve">During postnatal cerebellum development, immature granule cells originating from the </w:t>
      </w:r>
      <w:r w:rsidRPr="00F948D8">
        <w:rPr>
          <w:color w:val="auto"/>
        </w:rPr>
        <w:lastRenderedPageBreak/>
        <w:t xml:space="preserve">germinal zone exhibit distinct </w:t>
      </w:r>
      <w:r w:rsidR="008F7E61">
        <w:rPr>
          <w:color w:val="auto"/>
        </w:rPr>
        <w:t>modalities</w:t>
      </w:r>
      <w:r w:rsidR="008F7E61" w:rsidRPr="00F948D8">
        <w:rPr>
          <w:color w:val="auto"/>
        </w:rPr>
        <w:t xml:space="preserve"> </w:t>
      </w:r>
      <w:r w:rsidRPr="00F948D8">
        <w:rPr>
          <w:color w:val="auto"/>
        </w:rPr>
        <w:t xml:space="preserve">of migration to reach their final destination and to establish neuronal </w:t>
      </w:r>
      <w:r w:rsidR="005F656D">
        <w:rPr>
          <w:color w:val="auto"/>
        </w:rPr>
        <w:t>networks</w:t>
      </w:r>
      <w:r w:rsidRPr="00F948D8">
        <w:rPr>
          <w:color w:val="auto"/>
        </w:rPr>
        <w:t>. This protocol describes the preparation of cerebellar slices and the confocal macroscopic approach used to investigate the factors that regulate neuronal migration.</w:t>
      </w:r>
    </w:p>
    <w:p w:rsidR="00F948D8" w:rsidRPr="00F948D8" w:rsidRDefault="00F948D8">
      <w:pPr>
        <w:rPr>
          <w:rFonts w:cs="Arial"/>
          <w:color w:val="auto"/>
        </w:rPr>
      </w:pPr>
    </w:p>
    <w:p w:rsidR="00F948D8" w:rsidRPr="00F948D8" w:rsidRDefault="00F948D8">
      <w:pPr>
        <w:rPr>
          <w:rFonts w:cs="Arial"/>
          <w:i/>
          <w:color w:val="auto"/>
        </w:rPr>
      </w:pPr>
      <w:r w:rsidRPr="00F948D8">
        <w:rPr>
          <w:rFonts w:cs="Arial"/>
          <w:b/>
          <w:bCs/>
          <w:color w:val="auto"/>
        </w:rPr>
        <w:t>LONG ABSTRACT:</w:t>
      </w:r>
      <w:r w:rsidRPr="00F948D8">
        <w:rPr>
          <w:rFonts w:cs="Arial"/>
          <w:color w:val="auto"/>
        </w:rPr>
        <w:t xml:space="preserve"> </w:t>
      </w:r>
    </w:p>
    <w:p w:rsidR="00F948D8" w:rsidRPr="00F948D8" w:rsidRDefault="00F948D8">
      <w:pPr>
        <w:rPr>
          <w:color w:val="auto"/>
        </w:rPr>
      </w:pPr>
      <w:r w:rsidRPr="00F948D8">
        <w:rPr>
          <w:color w:val="auto"/>
        </w:rPr>
        <w:t xml:space="preserve">During postnatal development, immature granule cells (excitatory interneurons) exhibit tangential migration in the external granular layer, and then radial migration in the molecular layer and the Purkinje cell layer to reach the internal granular layer of the cerebellar cortex. </w:t>
      </w:r>
      <w:r w:rsidR="008F7E61">
        <w:rPr>
          <w:color w:val="auto"/>
        </w:rPr>
        <w:t>Default in</w:t>
      </w:r>
      <w:r w:rsidRPr="00F948D8">
        <w:rPr>
          <w:color w:val="auto"/>
        </w:rPr>
        <w:t xml:space="preserve"> </w:t>
      </w:r>
      <w:r w:rsidR="008F7E61">
        <w:rPr>
          <w:color w:val="auto"/>
        </w:rPr>
        <w:t>migratory</w:t>
      </w:r>
      <w:r w:rsidR="008F7E61" w:rsidRPr="00F948D8">
        <w:rPr>
          <w:color w:val="auto"/>
        </w:rPr>
        <w:t xml:space="preserve"> </w:t>
      </w:r>
      <w:r w:rsidRPr="00F948D8">
        <w:rPr>
          <w:color w:val="auto"/>
        </w:rPr>
        <w:t xml:space="preserve">processes </w:t>
      </w:r>
      <w:r w:rsidR="008F7E61">
        <w:rPr>
          <w:color w:val="auto"/>
        </w:rPr>
        <w:t>induces</w:t>
      </w:r>
      <w:r w:rsidR="008F7E61" w:rsidRPr="00F948D8">
        <w:rPr>
          <w:color w:val="auto"/>
        </w:rPr>
        <w:t xml:space="preserve"> </w:t>
      </w:r>
      <w:r w:rsidRPr="00F948D8">
        <w:rPr>
          <w:color w:val="auto"/>
        </w:rPr>
        <w:t xml:space="preserve">either cell death or misplacement of the neurons, leading to deficits in diverse cerebellar functions. </w:t>
      </w:r>
      <w:r w:rsidRPr="00F948D8">
        <w:rPr>
          <w:color w:val="auto"/>
          <w:lang w:eastAsia="ja-JP"/>
        </w:rPr>
        <w:t>Centripetal granule cell migration involve</w:t>
      </w:r>
      <w:r w:rsidR="008E5EE2">
        <w:rPr>
          <w:color w:val="auto"/>
          <w:lang w:eastAsia="ja-JP"/>
        </w:rPr>
        <w:t>s</w:t>
      </w:r>
      <w:r w:rsidRPr="00F948D8">
        <w:rPr>
          <w:color w:val="auto"/>
          <w:lang w:eastAsia="ja-JP"/>
        </w:rPr>
        <w:t xml:space="preserve"> </w:t>
      </w:r>
      <w:r w:rsidR="005F656D">
        <w:rPr>
          <w:color w:val="auto"/>
          <w:lang w:eastAsia="ja-JP"/>
        </w:rPr>
        <w:t>several</w:t>
      </w:r>
      <w:r w:rsidRPr="00F948D8">
        <w:rPr>
          <w:color w:val="auto"/>
          <w:lang w:eastAsia="ja-JP"/>
        </w:rPr>
        <w:t xml:space="preserve"> mechanisms, such as chemotaxis and extracellular matrix degradation, to guide the cells towards their final </w:t>
      </w:r>
      <w:r w:rsidR="008F7E61">
        <w:rPr>
          <w:color w:val="auto"/>
          <w:lang w:eastAsia="ja-JP"/>
        </w:rPr>
        <w:t>position</w:t>
      </w:r>
      <w:r w:rsidRPr="00F948D8">
        <w:rPr>
          <w:color w:val="auto"/>
          <w:lang w:eastAsia="ja-JP"/>
        </w:rPr>
        <w:t xml:space="preserve">, </w:t>
      </w:r>
      <w:r w:rsidRPr="00F948D8">
        <w:rPr>
          <w:color w:val="auto"/>
        </w:rPr>
        <w:t xml:space="preserve">but the </w:t>
      </w:r>
      <w:r w:rsidR="008F7E61">
        <w:rPr>
          <w:color w:val="auto"/>
        </w:rPr>
        <w:t>factors</w:t>
      </w:r>
      <w:r w:rsidRPr="00F948D8">
        <w:rPr>
          <w:color w:val="auto"/>
        </w:rPr>
        <w:t xml:space="preserve"> </w:t>
      </w:r>
      <w:r w:rsidR="008F7E61">
        <w:rPr>
          <w:color w:val="auto"/>
        </w:rPr>
        <w:t>that regulate</w:t>
      </w:r>
      <w:r w:rsidRPr="00F948D8">
        <w:rPr>
          <w:color w:val="auto"/>
        </w:rPr>
        <w:t xml:space="preserve"> cell migration in each cortical layer are </w:t>
      </w:r>
      <w:r w:rsidR="00A27280">
        <w:rPr>
          <w:color w:val="auto"/>
        </w:rPr>
        <w:t xml:space="preserve">only partially </w:t>
      </w:r>
      <w:r w:rsidRPr="00F948D8">
        <w:rPr>
          <w:color w:val="auto"/>
        </w:rPr>
        <w:t xml:space="preserve">known. In our method, acute cerebellar slices are prepared from P10 rats, granule cells are labeled with a </w:t>
      </w:r>
      <w:r w:rsidR="00455156">
        <w:rPr>
          <w:color w:val="auto"/>
        </w:rPr>
        <w:t xml:space="preserve">fluorescent </w:t>
      </w:r>
      <w:r w:rsidRPr="00F948D8">
        <w:rPr>
          <w:color w:val="auto"/>
        </w:rPr>
        <w:t>cytoplasmic marker and tissues are cultured on membrane inserts from 4 to 10 h before starting real-time monitoring of cell migration by confocal macroscopy at 37 °C in the presence of CO</w:t>
      </w:r>
      <w:r w:rsidRPr="00F948D8">
        <w:rPr>
          <w:color w:val="auto"/>
          <w:vertAlign w:val="subscript"/>
        </w:rPr>
        <w:t>2</w:t>
      </w:r>
      <w:r w:rsidRPr="00F948D8">
        <w:rPr>
          <w:color w:val="auto"/>
        </w:rPr>
        <w:t>. During their migration in the different cortical layers of the cerebellum, granule cells can be exposed to neuropeptide agonists or antagonists, protease inhibitors, blockers of intracellular effectors or even toxic substances such as alcohol or methylmercury to investigate their possible role in the regulation of neuronal migration.</w:t>
      </w:r>
    </w:p>
    <w:p w:rsidR="00F948D8" w:rsidRPr="00F948D8" w:rsidRDefault="00F948D8">
      <w:pPr>
        <w:rPr>
          <w:rFonts w:cs="Arial"/>
          <w:b/>
          <w:color w:val="auto"/>
        </w:rPr>
      </w:pPr>
    </w:p>
    <w:p w:rsidR="00F948D8" w:rsidRDefault="00F948D8">
      <w:pPr>
        <w:rPr>
          <w:rFonts w:cs="Arial"/>
          <w:i/>
          <w:color w:val="auto"/>
        </w:rPr>
      </w:pPr>
      <w:r w:rsidRPr="00F948D8">
        <w:rPr>
          <w:rFonts w:cs="Arial"/>
          <w:b/>
          <w:color w:val="auto"/>
        </w:rPr>
        <w:t>INTRODUCTION</w:t>
      </w:r>
      <w:r w:rsidRPr="00F948D8">
        <w:rPr>
          <w:rFonts w:cs="Arial"/>
          <w:b/>
          <w:bCs/>
          <w:color w:val="auto"/>
        </w:rPr>
        <w:t>:</w:t>
      </w:r>
      <w:r w:rsidRPr="00F948D8">
        <w:rPr>
          <w:rFonts w:cs="Arial"/>
          <w:color w:val="auto"/>
        </w:rPr>
        <w:t xml:space="preserve"> </w:t>
      </w:r>
    </w:p>
    <w:p w:rsidR="00F948D8" w:rsidRPr="00F948D8" w:rsidRDefault="00F948D8">
      <w:pPr>
        <w:pStyle w:val="ListParagraph"/>
        <w:ind w:left="0"/>
        <w:rPr>
          <w:color w:val="auto"/>
        </w:rPr>
      </w:pPr>
      <w:r w:rsidRPr="00F948D8">
        <w:rPr>
          <w:color w:val="auto"/>
        </w:rPr>
        <w:t>In the developing cerebellum, eight different types of neurons are produced sequentially between the second embryonic week and the second postnatal week in rodents</w:t>
      </w:r>
      <w:r w:rsidRPr="00F948D8">
        <w:rPr>
          <w:color w:val="auto"/>
          <w:vertAlign w:val="superscript"/>
        </w:rPr>
        <w:t>1</w:t>
      </w:r>
      <w:r w:rsidRPr="00F948D8">
        <w:rPr>
          <w:color w:val="auto"/>
        </w:rPr>
        <w:t>. Originating initially from</w:t>
      </w:r>
      <w:r w:rsidR="005F656D">
        <w:rPr>
          <w:color w:val="auto"/>
        </w:rPr>
        <w:t>,</w:t>
      </w:r>
      <w:r w:rsidR="005F656D" w:rsidRPr="00F948D8">
        <w:rPr>
          <w:color w:val="auto"/>
        </w:rPr>
        <w:t xml:space="preserve"> </w:t>
      </w:r>
      <w:r w:rsidRPr="00F948D8">
        <w:rPr>
          <w:color w:val="auto"/>
        </w:rPr>
        <w:t>a primary germinal zone, immature granule cells (GC) are the last neurons to be produced from the external granular layer (EGL), a secondary germinal zone</w:t>
      </w:r>
      <w:r w:rsidRPr="00F948D8">
        <w:rPr>
          <w:color w:val="auto"/>
          <w:vertAlign w:val="superscript"/>
        </w:rPr>
        <w:t>2</w:t>
      </w:r>
      <w:r w:rsidRPr="00F948D8">
        <w:rPr>
          <w:color w:val="auto"/>
        </w:rPr>
        <w:t xml:space="preserve">. During the first three postnatal weeks, the cerebellar cortex is a foliated structure organized in four layers including the EGL, the molecular layer (ML), </w:t>
      </w:r>
      <w:proofErr w:type="gramStart"/>
      <w:r w:rsidRPr="00F948D8">
        <w:rPr>
          <w:color w:val="auto"/>
        </w:rPr>
        <w:t>the</w:t>
      </w:r>
      <w:proofErr w:type="gramEnd"/>
      <w:r w:rsidRPr="00F948D8">
        <w:rPr>
          <w:color w:val="auto"/>
        </w:rPr>
        <w:t xml:space="preserve"> Purkinje cell layer (PCL) and the internal granular layer (IGL) (Figure 1). Through centripetal migration, immature GC</w:t>
      </w:r>
      <w:r w:rsidR="008E5EE2">
        <w:rPr>
          <w:color w:val="auto"/>
        </w:rPr>
        <w:t>s</w:t>
      </w:r>
      <w:r w:rsidRPr="00F948D8">
        <w:rPr>
          <w:color w:val="auto"/>
        </w:rPr>
        <w:t>, glutamatergic interneurons</w:t>
      </w:r>
      <w:r w:rsidR="008E5EE2">
        <w:rPr>
          <w:color w:val="auto"/>
        </w:rPr>
        <w:t>,</w:t>
      </w:r>
      <w:r w:rsidRPr="00F948D8">
        <w:rPr>
          <w:color w:val="auto"/>
        </w:rPr>
        <w:t xml:space="preserve"> reach the IGL within approximately 2 days. By the third postnatal week, the EGL disappears and the IGL constitutes what is called the granular layer (GL) in the adult cerebellum. In the GL, GCs receive excitatory synaptic inputs from mossy fibers and unipolar brush cells, and inhibitory synaptic inputs from Golgi cell axons. </w:t>
      </w:r>
      <w:r w:rsidR="001C1D3D">
        <w:rPr>
          <w:color w:val="auto"/>
        </w:rPr>
        <w:t xml:space="preserve">In the ML, </w:t>
      </w:r>
      <w:r w:rsidRPr="00F948D8">
        <w:rPr>
          <w:color w:val="auto"/>
        </w:rPr>
        <w:t>GC axons make excitatory synapses with GABAergic neurons including Purkinje cells, basket cells, stellate cells, and Golgi cells</w:t>
      </w:r>
      <w:r w:rsidRPr="00F948D8">
        <w:rPr>
          <w:color w:val="auto"/>
          <w:vertAlign w:val="superscript"/>
        </w:rPr>
        <w:t>2</w:t>
      </w:r>
      <w:r w:rsidRPr="00F948D8">
        <w:rPr>
          <w:color w:val="auto"/>
        </w:rPr>
        <w:t>.</w:t>
      </w:r>
    </w:p>
    <w:p w:rsidR="00F948D8" w:rsidRPr="00F948D8" w:rsidRDefault="00F948D8">
      <w:pPr>
        <w:pStyle w:val="ListParagraph"/>
        <w:ind w:left="0"/>
        <w:rPr>
          <w:b/>
          <w:color w:val="auto"/>
        </w:rPr>
      </w:pPr>
    </w:p>
    <w:p w:rsidR="00F948D8" w:rsidRPr="00F948D8" w:rsidRDefault="00F948D8">
      <w:pPr>
        <w:pStyle w:val="ListParagraph"/>
        <w:ind w:left="0"/>
        <w:rPr>
          <w:b/>
          <w:color w:val="auto"/>
        </w:rPr>
      </w:pPr>
      <w:r w:rsidRPr="00F948D8">
        <w:rPr>
          <w:color w:val="auto"/>
        </w:rPr>
        <w:t xml:space="preserve">Real-time observation of cell movement in acute cerebellar slices obtained from early postnatal rodents demonstrates that GCs </w:t>
      </w:r>
      <w:r w:rsidR="001C1D3D">
        <w:rPr>
          <w:color w:val="auto"/>
        </w:rPr>
        <w:t>modi</w:t>
      </w:r>
      <w:proofErr w:type="gramStart"/>
      <w:r w:rsidR="001C1D3D">
        <w:rPr>
          <w:color w:val="auto"/>
        </w:rPr>
        <w:t>fy</w:t>
      </w:r>
      <w:proofErr w:type="gramEnd"/>
      <w:r w:rsidR="001C1D3D" w:rsidRPr="00F948D8">
        <w:rPr>
          <w:color w:val="auto"/>
        </w:rPr>
        <w:t xml:space="preserve"> </w:t>
      </w:r>
      <w:r w:rsidRPr="00F948D8">
        <w:rPr>
          <w:color w:val="auto"/>
        </w:rPr>
        <w:t xml:space="preserve">their shape concomitantly with changes in the </w:t>
      </w:r>
      <w:r w:rsidR="00DD3056" w:rsidRPr="00F948D8">
        <w:rPr>
          <w:color w:val="auto"/>
        </w:rPr>
        <w:t>mod</w:t>
      </w:r>
      <w:r w:rsidR="00DD3056">
        <w:rPr>
          <w:color w:val="auto"/>
        </w:rPr>
        <w:t xml:space="preserve">ality </w:t>
      </w:r>
      <w:r w:rsidR="00DD3056" w:rsidRPr="00F948D8">
        <w:rPr>
          <w:color w:val="auto"/>
        </w:rPr>
        <w:t>and</w:t>
      </w:r>
      <w:r w:rsidRPr="00F948D8">
        <w:rPr>
          <w:color w:val="auto"/>
        </w:rPr>
        <w:t xml:space="preserve"> </w:t>
      </w:r>
      <w:r w:rsidR="001C1D3D">
        <w:rPr>
          <w:color w:val="auto"/>
        </w:rPr>
        <w:t>speed</w:t>
      </w:r>
      <w:r w:rsidR="001C1D3D" w:rsidRPr="00F948D8">
        <w:rPr>
          <w:color w:val="auto"/>
        </w:rPr>
        <w:t xml:space="preserve"> </w:t>
      </w:r>
      <w:r w:rsidRPr="00F948D8">
        <w:rPr>
          <w:color w:val="auto"/>
        </w:rPr>
        <w:t xml:space="preserve">of migration </w:t>
      </w:r>
      <w:r w:rsidR="001C1D3D">
        <w:rPr>
          <w:color w:val="auto"/>
        </w:rPr>
        <w:t>during their route in the</w:t>
      </w:r>
      <w:r w:rsidRPr="00F948D8">
        <w:rPr>
          <w:color w:val="auto"/>
        </w:rPr>
        <w:t xml:space="preserve"> </w:t>
      </w:r>
      <w:r w:rsidR="001C1D3D">
        <w:rPr>
          <w:color w:val="auto"/>
        </w:rPr>
        <w:t>cerebellar cortex</w:t>
      </w:r>
      <w:r w:rsidRPr="00F948D8">
        <w:rPr>
          <w:color w:val="auto"/>
          <w:vertAlign w:val="superscript"/>
        </w:rPr>
        <w:t>3</w:t>
      </w:r>
      <w:r w:rsidRPr="00F948D8">
        <w:rPr>
          <w:color w:val="auto"/>
        </w:rPr>
        <w:t xml:space="preserve">. During first </w:t>
      </w:r>
      <w:r w:rsidR="001C1D3D">
        <w:rPr>
          <w:color w:val="auto"/>
        </w:rPr>
        <w:t>two</w:t>
      </w:r>
      <w:r w:rsidRPr="00F948D8">
        <w:rPr>
          <w:color w:val="auto"/>
        </w:rPr>
        <w:t xml:space="preserve"> postnatal weeks, GC precursors actively proliferate at the top of the EGL. In the middle part of the EGL, postmitotic GCs migrate tangentially in the direction of their larger process. At the EGL-ML border, GCs slow their movement, the cells begin to enter  a short vertical descending process into the ML. In the ML, GCs have a vertically elongated cell body, a thin trailing process</w:t>
      </w:r>
      <w:r w:rsidR="00702AAA">
        <w:rPr>
          <w:color w:val="auto"/>
        </w:rPr>
        <w:t xml:space="preserve"> and</w:t>
      </w:r>
      <w:r w:rsidRPr="00F948D8">
        <w:rPr>
          <w:color w:val="auto"/>
        </w:rPr>
        <w:t xml:space="preserve"> a more voluminous leading process</w:t>
      </w:r>
      <w:r w:rsidR="00702AAA">
        <w:rPr>
          <w:color w:val="auto"/>
        </w:rPr>
        <w:t>,</w:t>
      </w:r>
      <w:r w:rsidRPr="00F948D8">
        <w:rPr>
          <w:color w:val="auto"/>
        </w:rPr>
        <w:t xml:space="preserve"> and migrate radially along the Bergmann glial </w:t>
      </w:r>
      <w:r w:rsidR="001C1D3D">
        <w:rPr>
          <w:color w:val="auto"/>
        </w:rPr>
        <w:t>fibers</w:t>
      </w:r>
      <w:r w:rsidRPr="00F948D8">
        <w:rPr>
          <w:color w:val="auto"/>
        </w:rPr>
        <w:t xml:space="preserve">. </w:t>
      </w:r>
      <w:r w:rsidR="001C1D3D">
        <w:rPr>
          <w:color w:val="auto"/>
        </w:rPr>
        <w:t>In</w:t>
      </w:r>
      <w:r w:rsidRPr="00F948D8">
        <w:rPr>
          <w:color w:val="auto"/>
        </w:rPr>
        <w:t xml:space="preserve"> the </w:t>
      </w:r>
      <w:r w:rsidRPr="00F948D8">
        <w:rPr>
          <w:color w:val="auto"/>
        </w:rPr>
        <w:lastRenderedPageBreak/>
        <w:t xml:space="preserve">PCL, GCs stop their movement but after a prolonged stationary </w:t>
      </w:r>
      <w:r w:rsidR="001C1D3D">
        <w:rPr>
          <w:color w:val="auto"/>
        </w:rPr>
        <w:t>phase</w:t>
      </w:r>
      <w:r w:rsidR="001C1D3D" w:rsidRPr="00F948D8">
        <w:rPr>
          <w:color w:val="auto"/>
        </w:rPr>
        <w:t xml:space="preserve"> </w:t>
      </w:r>
      <w:r w:rsidRPr="00F948D8">
        <w:rPr>
          <w:color w:val="auto"/>
        </w:rPr>
        <w:t>(</w:t>
      </w:r>
      <w:r w:rsidRPr="00F948D8">
        <w:rPr>
          <w:color w:val="auto"/>
        </w:rPr>
        <w:sym w:font="Symbol" w:char="F07E"/>
      </w:r>
      <w:r w:rsidRPr="00F948D8">
        <w:rPr>
          <w:color w:val="auto"/>
        </w:rPr>
        <w:t xml:space="preserve">2 h), they cross the PCL-IGL border. In the IGL, GCs migrate towards the bottom of the layer in the absence of glial fiber support. Once the tips of the leading process approach the IGL-white matter (WM) border, GCs slow and stop their movement. Transverse sections of the cerebellum are preferred for tangential migration studies in the EGL while </w:t>
      </w:r>
      <w:proofErr w:type="gramStart"/>
      <w:r w:rsidRPr="00F948D8">
        <w:rPr>
          <w:color w:val="auto"/>
        </w:rPr>
        <w:t>sa</w:t>
      </w:r>
      <w:proofErr w:type="gramEnd"/>
      <w:r w:rsidRPr="00F948D8">
        <w:rPr>
          <w:color w:val="auto"/>
        </w:rPr>
        <w:t>gi</w:t>
      </w:r>
      <w:r w:rsidR="003B5697">
        <w:rPr>
          <w:color w:val="auto"/>
        </w:rPr>
        <w:t>t</w:t>
      </w:r>
      <w:r w:rsidRPr="00F948D8">
        <w:rPr>
          <w:color w:val="auto"/>
        </w:rPr>
        <w:t>tal slices are dedicated to radial migration in the ML, PCL and IGL. Some regulatory factors of GC movements including neuropeptides</w:t>
      </w:r>
      <w:r w:rsidR="00702AAA">
        <w:rPr>
          <w:color w:val="auto"/>
        </w:rPr>
        <w:t xml:space="preserve"> (e.g.</w:t>
      </w:r>
      <w:r w:rsidR="00DD3056">
        <w:rPr>
          <w:color w:val="auto"/>
        </w:rPr>
        <w:t>,</w:t>
      </w:r>
      <w:r w:rsidR="00702AAA">
        <w:rPr>
          <w:color w:val="auto"/>
        </w:rPr>
        <w:t xml:space="preserve"> somatostatin, PACAP)</w:t>
      </w:r>
      <w:r w:rsidRPr="00F948D8">
        <w:rPr>
          <w:color w:val="auto"/>
        </w:rPr>
        <w:t xml:space="preserve"> have been identified</w:t>
      </w:r>
      <w:r w:rsidRPr="00F948D8">
        <w:rPr>
          <w:color w:val="auto"/>
          <w:lang w:eastAsia="ja-JP"/>
        </w:rPr>
        <w:t xml:space="preserve"> so far </w:t>
      </w:r>
      <w:r w:rsidRPr="00F948D8">
        <w:rPr>
          <w:color w:val="auto"/>
        </w:rPr>
        <w:t>but the complete mechanisms involved in the spatio-temporal</w:t>
      </w:r>
      <w:r w:rsidRPr="00F948D8">
        <w:rPr>
          <w:color w:val="auto"/>
          <w:lang w:eastAsia="ja-JP"/>
        </w:rPr>
        <w:t xml:space="preserve"> </w:t>
      </w:r>
      <w:r w:rsidRPr="00F948D8">
        <w:rPr>
          <w:color w:val="auto"/>
        </w:rPr>
        <w:t>control of GC migration in each cortical layer are still largely unknown</w:t>
      </w:r>
      <w:r w:rsidRPr="00F948D8">
        <w:rPr>
          <w:color w:val="auto"/>
          <w:vertAlign w:val="superscript"/>
          <w:lang w:eastAsia="ja-JP"/>
        </w:rPr>
        <w:t>1</w:t>
      </w:r>
      <w:proofErr w:type="gramStart"/>
      <w:r w:rsidRPr="00F948D8">
        <w:rPr>
          <w:color w:val="auto"/>
          <w:vertAlign w:val="superscript"/>
          <w:lang w:eastAsia="ja-JP"/>
        </w:rPr>
        <w:t>,4,5,6</w:t>
      </w:r>
      <w:proofErr w:type="gramEnd"/>
      <w:r w:rsidRPr="00F948D8">
        <w:rPr>
          <w:color w:val="auto"/>
        </w:rPr>
        <w:t xml:space="preserve">. </w:t>
      </w:r>
    </w:p>
    <w:p w:rsidR="00F948D8" w:rsidRPr="00F948D8" w:rsidRDefault="00F948D8">
      <w:pPr>
        <w:pStyle w:val="ListParagraph"/>
        <w:ind w:left="0"/>
        <w:rPr>
          <w:color w:val="auto"/>
        </w:rPr>
      </w:pPr>
    </w:p>
    <w:p w:rsidR="00F948D8" w:rsidRDefault="00F948D8">
      <w:pPr>
        <w:pStyle w:val="ListParagraph"/>
        <w:ind w:left="0"/>
        <w:rPr>
          <w:color w:val="auto"/>
        </w:rPr>
      </w:pPr>
      <w:r w:rsidRPr="00F948D8">
        <w:rPr>
          <w:color w:val="auto"/>
        </w:rPr>
        <w:t xml:space="preserve">GC migration has been studied during the last 20 years through video- and confocal microscopy using either transmitted light illumination for isolated cultured cells or fluorescence detection for acute cerebellar slices. Initially lipophilic DiI, and more recently “Cell Tracker” dyes and cell-expressed </w:t>
      </w:r>
      <w:r w:rsidR="00DD3056">
        <w:rPr>
          <w:color w:val="auto"/>
        </w:rPr>
        <w:t>f</w:t>
      </w:r>
      <w:r w:rsidR="00DD3056" w:rsidRPr="00F948D8">
        <w:rPr>
          <w:color w:val="auto"/>
        </w:rPr>
        <w:t xml:space="preserve">luorescent </w:t>
      </w:r>
      <w:r w:rsidR="00DD3056">
        <w:rPr>
          <w:color w:val="auto"/>
        </w:rPr>
        <w:t>p</w:t>
      </w:r>
      <w:r w:rsidR="00DD3056" w:rsidRPr="00F948D8">
        <w:rPr>
          <w:color w:val="auto"/>
        </w:rPr>
        <w:t xml:space="preserve">roteins </w:t>
      </w:r>
      <w:r w:rsidRPr="00F948D8">
        <w:rPr>
          <w:color w:val="auto"/>
        </w:rPr>
        <w:t>were used for confocal or two-photon microscop</w:t>
      </w:r>
      <w:r w:rsidR="00DD3056">
        <w:rPr>
          <w:color w:val="auto"/>
        </w:rPr>
        <w:t>y</w:t>
      </w:r>
      <w:r w:rsidRPr="00F948D8">
        <w:rPr>
          <w:color w:val="auto"/>
          <w:vertAlign w:val="superscript"/>
        </w:rPr>
        <w:t>7</w:t>
      </w:r>
      <w:proofErr w:type="gramStart"/>
      <w:r w:rsidRPr="00F948D8">
        <w:rPr>
          <w:color w:val="auto"/>
          <w:vertAlign w:val="superscript"/>
        </w:rPr>
        <w:t>,8</w:t>
      </w:r>
      <w:proofErr w:type="gramEnd"/>
      <w:r w:rsidRPr="00F948D8">
        <w:rPr>
          <w:color w:val="auto"/>
        </w:rPr>
        <w:t>. Successful experiments depend on a number of specific procedures that make the protocol simple but not easy. In particular, acute slices have to be stabilized during observations generally with a home-made nylon mesh network</w:t>
      </w:r>
      <w:r w:rsidRPr="00F948D8">
        <w:rPr>
          <w:color w:val="auto"/>
          <w:vertAlign w:val="superscript"/>
        </w:rPr>
        <w:t>9</w:t>
      </w:r>
      <w:r w:rsidRPr="00F948D8">
        <w:rPr>
          <w:color w:val="auto"/>
        </w:rPr>
        <w:t>. The intensity of light illumination has to be as low as possible to avoid phototoxicity and photobleaching</w:t>
      </w:r>
      <w:r w:rsidR="00DE0E67" w:rsidRPr="00DE0E67">
        <w:t xml:space="preserve"> as proposed by multipoint scanning confocal microscope approach</w:t>
      </w:r>
      <w:r w:rsidRPr="00F948D8">
        <w:rPr>
          <w:color w:val="auto"/>
        </w:rPr>
        <w:t>. In addition, temperature and CO</w:t>
      </w:r>
      <w:r w:rsidRPr="00F948D8">
        <w:rPr>
          <w:color w:val="auto"/>
          <w:vertAlign w:val="subscript"/>
        </w:rPr>
        <w:t>2</w:t>
      </w:r>
      <w:r w:rsidRPr="00F948D8">
        <w:rPr>
          <w:color w:val="auto"/>
        </w:rPr>
        <w:t xml:space="preserve"> are key environmental parameters since instability may affect neuronal migration. To facilitate and refine the experimental procedures, we have developed a confocal macroscopy protocol that limits slice movements, ensures constant environmental parameters, </w:t>
      </w:r>
      <w:r w:rsidR="00A27280">
        <w:rPr>
          <w:color w:val="auto"/>
        </w:rPr>
        <w:t xml:space="preserve">reduces photobleaching, </w:t>
      </w:r>
      <w:r w:rsidRPr="00F948D8">
        <w:rPr>
          <w:color w:val="auto"/>
        </w:rPr>
        <w:t>increases field of view (on the order of mms) and consequently the number of cells (dozens) that can be tracked through image analysis. Thus, 180 µm</w:t>
      </w:r>
      <w:r w:rsidR="00DD3056">
        <w:rPr>
          <w:color w:val="auto"/>
        </w:rPr>
        <w:t xml:space="preserve"> </w:t>
      </w:r>
      <w:r w:rsidRPr="00F948D8">
        <w:rPr>
          <w:color w:val="auto"/>
        </w:rPr>
        <w:t xml:space="preserve">thick slices are cultured on membrane inserts, and 6-well plates are directly transferred under </w:t>
      </w:r>
      <w:r w:rsidR="00DD3056" w:rsidRPr="00F948D8">
        <w:rPr>
          <w:color w:val="auto"/>
        </w:rPr>
        <w:t>a</w:t>
      </w:r>
      <w:r w:rsidRPr="00F948D8">
        <w:rPr>
          <w:color w:val="auto"/>
        </w:rPr>
        <w:t xml:space="preserve"> 2</w:t>
      </w:r>
      <w:r w:rsidR="00DD3056">
        <w:rPr>
          <w:color w:val="auto"/>
        </w:rPr>
        <w:t>x</w:t>
      </w:r>
      <w:r w:rsidRPr="00F948D8">
        <w:rPr>
          <w:color w:val="auto"/>
        </w:rPr>
        <w:t xml:space="preserve"> motorized objective of a commercial confocal macroscope equipped with a large incubation chamber, temperature and CO</w:t>
      </w:r>
      <w:r w:rsidRPr="00F948D8">
        <w:rPr>
          <w:color w:val="auto"/>
          <w:vertAlign w:val="subscript"/>
        </w:rPr>
        <w:t>2</w:t>
      </w:r>
      <w:r w:rsidRPr="00F948D8">
        <w:rPr>
          <w:color w:val="auto"/>
        </w:rPr>
        <w:t xml:space="preserve"> controllers and a vibration control system. Time-lapses and z-stacks are then performed over several hours and pharmacological tools or bioactive molecules can be added or delivered in the incubation medium. This method could also be adapted to study the migration of the other types of neurons in the cerebellum or cerebrum at different developmental stages. </w:t>
      </w:r>
    </w:p>
    <w:p w:rsidR="00F948D8" w:rsidRPr="00F948D8" w:rsidRDefault="00F948D8">
      <w:pPr>
        <w:rPr>
          <w:rFonts w:cs="Arial"/>
          <w:b/>
          <w:color w:val="auto"/>
        </w:rPr>
      </w:pPr>
    </w:p>
    <w:p w:rsidR="00F948D8" w:rsidRPr="00F948D8" w:rsidRDefault="00F948D8">
      <w:pPr>
        <w:rPr>
          <w:rFonts w:cs="Arial"/>
          <w:color w:val="auto"/>
        </w:rPr>
      </w:pPr>
      <w:r w:rsidRPr="00F948D8">
        <w:rPr>
          <w:rFonts w:cs="Arial"/>
          <w:b/>
          <w:color w:val="auto"/>
        </w:rPr>
        <w:t>PROTOCOL:</w:t>
      </w:r>
      <w:r w:rsidRPr="00F948D8">
        <w:rPr>
          <w:rFonts w:cs="Arial"/>
          <w:color w:val="auto"/>
        </w:rPr>
        <w:t xml:space="preserve"> </w:t>
      </w:r>
    </w:p>
    <w:p w:rsidR="00F948D8" w:rsidRPr="00F948D8" w:rsidRDefault="00F948D8">
      <w:pPr>
        <w:rPr>
          <w:rFonts w:cs="Arial"/>
          <w:color w:val="auto"/>
        </w:rPr>
      </w:pPr>
    </w:p>
    <w:p w:rsidR="00F948D8" w:rsidRPr="00F948D8" w:rsidRDefault="00F948D8">
      <w:pPr>
        <w:rPr>
          <w:color w:val="auto"/>
        </w:rPr>
      </w:pPr>
      <w:r w:rsidRPr="00F948D8">
        <w:rPr>
          <w:color w:val="auto"/>
        </w:rPr>
        <w:t>Animals (</w:t>
      </w:r>
      <w:r w:rsidRPr="00F948D8">
        <w:rPr>
          <w:color w:val="auto"/>
          <w:lang w:val="en-GB"/>
        </w:rPr>
        <w:t>male or female Wistar rats)</w:t>
      </w:r>
      <w:r w:rsidRPr="00F948D8">
        <w:rPr>
          <w:color w:val="auto"/>
        </w:rPr>
        <w:t xml:space="preserve"> were born and bred in an accredited animal facility (approval B.76-451-04), according to the French guide for the care and use of laboratory animals. Experiments were conducted under the supervision of authorized investigators (M.B, D.V. and L.G.) in accordance with the European Community Council Directive (2010/63/UE of September 22, 2010) and the French Ministry of Agriculture.</w:t>
      </w:r>
    </w:p>
    <w:p w:rsidR="00F948D8" w:rsidRPr="00F948D8" w:rsidRDefault="00F948D8">
      <w:pPr>
        <w:pStyle w:val="NormalWeb"/>
        <w:spacing w:before="0" w:beforeAutospacing="0" w:after="0" w:afterAutospacing="0"/>
        <w:rPr>
          <w:rFonts w:cs="Arial"/>
          <w:b/>
          <w:bCs/>
          <w:color w:val="auto"/>
        </w:rPr>
      </w:pPr>
    </w:p>
    <w:p w:rsidR="00F948D8" w:rsidRDefault="00F948D8" w:rsidP="00F948D8">
      <w:pPr>
        <w:pStyle w:val="NormalWeb"/>
        <w:numPr>
          <w:ilvl w:val="0"/>
          <w:numId w:val="8"/>
        </w:numPr>
        <w:spacing w:before="0" w:beforeAutospacing="0" w:after="0" w:afterAutospacing="0"/>
        <w:ind w:left="0" w:firstLine="0"/>
        <w:rPr>
          <w:color w:val="auto"/>
        </w:rPr>
      </w:pPr>
      <w:r w:rsidRPr="00F948D8">
        <w:rPr>
          <w:color w:val="auto"/>
        </w:rPr>
        <w:t>Preparation of media and tools</w:t>
      </w:r>
    </w:p>
    <w:p w:rsidR="00F948D8" w:rsidRDefault="00F948D8" w:rsidP="00F948D8">
      <w:pPr>
        <w:pStyle w:val="NormalWeb"/>
        <w:spacing w:before="0" w:beforeAutospacing="0" w:after="0" w:afterAutospacing="0"/>
        <w:rPr>
          <w:color w:val="auto"/>
        </w:rPr>
      </w:pPr>
    </w:p>
    <w:p w:rsidR="00F948D8" w:rsidRDefault="003914E2" w:rsidP="00F948D8">
      <w:pPr>
        <w:pStyle w:val="NormalWeb"/>
        <w:numPr>
          <w:ilvl w:val="1"/>
          <w:numId w:val="9"/>
        </w:numPr>
        <w:spacing w:before="0" w:beforeAutospacing="0" w:after="0" w:afterAutospacing="0"/>
        <w:ind w:left="0" w:firstLine="0"/>
        <w:rPr>
          <w:color w:val="auto"/>
        </w:rPr>
      </w:pPr>
      <w:r>
        <w:rPr>
          <w:color w:val="auto"/>
        </w:rPr>
        <w:t xml:space="preserve">In a </w:t>
      </w:r>
      <w:r w:rsidR="007D25F7">
        <w:rPr>
          <w:color w:val="auto"/>
        </w:rPr>
        <w:t>biological safety cabinet</w:t>
      </w:r>
      <w:r w:rsidR="00F948D8" w:rsidRPr="00F948D8">
        <w:rPr>
          <w:color w:val="auto"/>
        </w:rPr>
        <w:t xml:space="preserve">, prepare 1X Hank’s BSS (HBSS) </w:t>
      </w:r>
      <w:r w:rsidR="00E528A2" w:rsidRPr="00F948D8">
        <w:rPr>
          <w:color w:val="auto"/>
        </w:rPr>
        <w:t>in sterile water</w:t>
      </w:r>
      <w:r w:rsidR="00E528A2">
        <w:rPr>
          <w:color w:val="auto"/>
        </w:rPr>
        <w:t xml:space="preserve"> f</w:t>
      </w:r>
      <w:r w:rsidR="00E528A2" w:rsidRPr="00F948D8">
        <w:rPr>
          <w:color w:val="auto"/>
        </w:rPr>
        <w:t xml:space="preserve">rom 10X stock solution </w:t>
      </w:r>
      <w:r w:rsidR="00F948D8" w:rsidRPr="00F948D8">
        <w:rPr>
          <w:color w:val="auto"/>
        </w:rPr>
        <w:t xml:space="preserve">containing </w:t>
      </w:r>
      <w:r w:rsidR="00D25CAF" w:rsidRPr="009F702F">
        <w:rPr>
          <w:color w:val="auto"/>
        </w:rPr>
        <w:t>CaCl</w:t>
      </w:r>
      <w:r w:rsidR="00D25CAF" w:rsidRPr="009F702F">
        <w:rPr>
          <w:color w:val="auto"/>
          <w:vertAlign w:val="subscript"/>
        </w:rPr>
        <w:t>2</w:t>
      </w:r>
      <w:r w:rsidR="00D25CAF">
        <w:rPr>
          <w:color w:val="auto"/>
        </w:rPr>
        <w:t xml:space="preserve"> </w:t>
      </w:r>
      <w:r w:rsidR="00D25CAF" w:rsidRPr="00E31500">
        <w:rPr>
          <w:color w:val="auto"/>
        </w:rPr>
        <w:t>(1.85 g/L) /MgSO</w:t>
      </w:r>
      <w:r w:rsidR="00D25CAF" w:rsidRPr="00E31500">
        <w:rPr>
          <w:color w:val="auto"/>
          <w:vertAlign w:val="subscript"/>
        </w:rPr>
        <w:t>4</w:t>
      </w:r>
      <w:r w:rsidR="00D25CAF" w:rsidRPr="00E31500">
        <w:rPr>
          <w:color w:val="auto"/>
        </w:rPr>
        <w:t xml:space="preserve"> (0.9767 g/L)</w:t>
      </w:r>
      <w:r w:rsidR="00D25CAF" w:rsidRPr="009F702F">
        <w:rPr>
          <w:color w:val="auto"/>
        </w:rPr>
        <w:t xml:space="preserve"> </w:t>
      </w:r>
      <w:r w:rsidR="00F948D8" w:rsidRPr="00F948D8">
        <w:rPr>
          <w:color w:val="auto"/>
        </w:rPr>
        <w:t>without MgCl</w:t>
      </w:r>
      <w:r w:rsidR="00F948D8" w:rsidRPr="00F948D8">
        <w:rPr>
          <w:color w:val="auto"/>
          <w:vertAlign w:val="subscript"/>
        </w:rPr>
        <w:t>2</w:t>
      </w:r>
      <w:r w:rsidR="00F948D8" w:rsidRPr="00F948D8">
        <w:rPr>
          <w:color w:val="auto"/>
        </w:rPr>
        <w:t>. Add NaHCO</w:t>
      </w:r>
      <w:r w:rsidR="00F948D8" w:rsidRPr="00F948D8">
        <w:rPr>
          <w:color w:val="auto"/>
          <w:vertAlign w:val="subscript"/>
        </w:rPr>
        <w:t>3</w:t>
      </w:r>
      <w:r w:rsidR="00F948D8" w:rsidRPr="00F948D8">
        <w:rPr>
          <w:color w:val="auto"/>
        </w:rPr>
        <w:t xml:space="preserve"> (350 µg/</w:t>
      </w:r>
      <w:r w:rsidR="00B1112D" w:rsidRPr="00F948D8">
        <w:rPr>
          <w:color w:val="auto"/>
        </w:rPr>
        <w:t>m</w:t>
      </w:r>
      <w:r w:rsidR="00B1112D">
        <w:rPr>
          <w:color w:val="auto"/>
        </w:rPr>
        <w:t>L</w:t>
      </w:r>
      <w:r w:rsidR="00F948D8" w:rsidRPr="00F948D8">
        <w:rPr>
          <w:color w:val="auto"/>
        </w:rPr>
        <w:t>) to 1X solution of HBSS.</w:t>
      </w:r>
    </w:p>
    <w:p w:rsidR="00F948D8" w:rsidRDefault="00F948D8" w:rsidP="00F948D8">
      <w:pPr>
        <w:pStyle w:val="NormalWeb"/>
        <w:spacing w:before="0" w:beforeAutospacing="0" w:after="0" w:afterAutospacing="0"/>
        <w:rPr>
          <w:color w:val="auto"/>
        </w:rPr>
      </w:pPr>
    </w:p>
    <w:p w:rsidR="00F948D8" w:rsidRDefault="003914E2" w:rsidP="00F948D8">
      <w:pPr>
        <w:pStyle w:val="NormalWeb"/>
        <w:numPr>
          <w:ilvl w:val="1"/>
          <w:numId w:val="9"/>
        </w:numPr>
        <w:spacing w:before="0" w:beforeAutospacing="0" w:after="0" w:afterAutospacing="0"/>
        <w:ind w:left="0" w:firstLine="0"/>
        <w:rPr>
          <w:color w:val="auto"/>
        </w:rPr>
      </w:pPr>
      <w:r>
        <w:rPr>
          <w:color w:val="auto"/>
        </w:rPr>
        <w:lastRenderedPageBreak/>
        <w:t xml:space="preserve">In a </w:t>
      </w:r>
      <w:r w:rsidR="007D25F7">
        <w:rPr>
          <w:color w:val="auto"/>
        </w:rPr>
        <w:t xml:space="preserve">biological safety </w:t>
      </w:r>
      <w:r w:rsidR="00407750">
        <w:rPr>
          <w:color w:val="auto"/>
        </w:rPr>
        <w:t>cabinet</w:t>
      </w:r>
      <w:r w:rsidR="00F948D8" w:rsidRPr="00F948D8">
        <w:rPr>
          <w:color w:val="auto"/>
        </w:rPr>
        <w:t>, add N2 supplement</w:t>
      </w:r>
      <w:r w:rsidR="00A27280">
        <w:rPr>
          <w:color w:val="auto"/>
        </w:rPr>
        <w:t xml:space="preserve"> (from a 100</w:t>
      </w:r>
      <w:r w:rsidR="00DD3056">
        <w:rPr>
          <w:color w:val="auto"/>
        </w:rPr>
        <w:t>X</w:t>
      </w:r>
      <w:r w:rsidR="00A27280">
        <w:rPr>
          <w:color w:val="auto"/>
        </w:rPr>
        <w:t xml:space="preserve"> </w:t>
      </w:r>
      <w:r w:rsidR="00F35E59">
        <w:rPr>
          <w:color w:val="auto"/>
        </w:rPr>
        <w:t xml:space="preserve">stock </w:t>
      </w:r>
      <w:r w:rsidR="00A27280">
        <w:rPr>
          <w:color w:val="auto"/>
        </w:rPr>
        <w:t>solution)</w:t>
      </w:r>
      <w:r w:rsidR="00F948D8" w:rsidRPr="00F948D8">
        <w:rPr>
          <w:color w:val="auto"/>
        </w:rPr>
        <w:t xml:space="preserve"> and penicillin (100 units/</w:t>
      </w:r>
      <w:r w:rsidR="00B1112D" w:rsidRPr="00F948D8">
        <w:rPr>
          <w:color w:val="auto"/>
        </w:rPr>
        <w:t>m</w:t>
      </w:r>
      <w:r w:rsidR="00B1112D">
        <w:rPr>
          <w:color w:val="auto"/>
        </w:rPr>
        <w:t>L</w:t>
      </w:r>
      <w:r w:rsidR="00F948D8" w:rsidRPr="00F948D8">
        <w:rPr>
          <w:color w:val="auto"/>
        </w:rPr>
        <w:t xml:space="preserve">) -streptomycin </w:t>
      </w:r>
      <w:r w:rsidR="00E528A2" w:rsidRPr="00F948D8">
        <w:rPr>
          <w:color w:val="auto"/>
        </w:rPr>
        <w:t>(0.1 mg/</w:t>
      </w:r>
      <w:r w:rsidR="00B1112D" w:rsidRPr="00F948D8">
        <w:rPr>
          <w:color w:val="auto"/>
        </w:rPr>
        <w:t>m</w:t>
      </w:r>
      <w:r w:rsidR="00B1112D">
        <w:rPr>
          <w:color w:val="auto"/>
        </w:rPr>
        <w:t>L</w:t>
      </w:r>
      <w:r w:rsidR="00E528A2" w:rsidRPr="00F948D8">
        <w:rPr>
          <w:color w:val="auto"/>
        </w:rPr>
        <w:t xml:space="preserve">) </w:t>
      </w:r>
      <w:r w:rsidR="00F948D8" w:rsidRPr="00F948D8">
        <w:rPr>
          <w:color w:val="auto"/>
        </w:rPr>
        <w:t>solution to Dulbecco’s modified eagle medium (DMEM) nutrient mixture F-12</w:t>
      </w:r>
      <w:r w:rsidR="00A27280">
        <w:rPr>
          <w:color w:val="auto"/>
        </w:rPr>
        <w:t xml:space="preserve"> (1:1)</w:t>
      </w:r>
      <w:r w:rsidR="00F948D8" w:rsidRPr="00F948D8">
        <w:rPr>
          <w:color w:val="auto"/>
        </w:rPr>
        <w:t>.</w:t>
      </w:r>
    </w:p>
    <w:p w:rsidR="00F948D8" w:rsidRDefault="00F948D8" w:rsidP="00F948D8">
      <w:pPr>
        <w:pStyle w:val="NormalWeb"/>
        <w:spacing w:before="0" w:beforeAutospacing="0" w:after="0" w:afterAutospacing="0"/>
        <w:rPr>
          <w:color w:val="auto"/>
        </w:rPr>
      </w:pPr>
    </w:p>
    <w:p w:rsidR="00F948D8" w:rsidRDefault="003914E2" w:rsidP="00F948D8">
      <w:pPr>
        <w:pStyle w:val="NormalWeb"/>
        <w:numPr>
          <w:ilvl w:val="1"/>
          <w:numId w:val="9"/>
        </w:numPr>
        <w:spacing w:before="0" w:beforeAutospacing="0" w:after="0" w:afterAutospacing="0"/>
        <w:ind w:left="0" w:firstLine="0"/>
        <w:rPr>
          <w:color w:val="auto"/>
        </w:rPr>
      </w:pPr>
      <w:r>
        <w:rPr>
          <w:color w:val="auto"/>
        </w:rPr>
        <w:t>In sterile conditions, p</w:t>
      </w:r>
      <w:r w:rsidR="00F948D8" w:rsidRPr="00F948D8">
        <w:rPr>
          <w:color w:val="auto"/>
        </w:rPr>
        <w:t xml:space="preserve">repare an aliquot (25 </w:t>
      </w:r>
      <w:r w:rsidR="00B1112D" w:rsidRPr="00F948D8">
        <w:rPr>
          <w:color w:val="auto"/>
        </w:rPr>
        <w:t>µ</w:t>
      </w:r>
      <w:r w:rsidR="00B1112D">
        <w:rPr>
          <w:color w:val="auto"/>
        </w:rPr>
        <w:t>L</w:t>
      </w:r>
      <w:r w:rsidR="00F948D8" w:rsidRPr="00F948D8">
        <w:rPr>
          <w:color w:val="auto"/>
        </w:rPr>
        <w:t xml:space="preserve">, 2 mM) of </w:t>
      </w:r>
      <w:r w:rsidR="00C35002">
        <w:rPr>
          <w:color w:val="auto"/>
        </w:rPr>
        <w:t xml:space="preserve">the cytoplasmic </w:t>
      </w:r>
      <w:r w:rsidR="00407750">
        <w:rPr>
          <w:color w:val="auto"/>
        </w:rPr>
        <w:t>fluorescent dye</w:t>
      </w:r>
      <w:r w:rsidR="00C35002">
        <w:rPr>
          <w:color w:val="auto"/>
        </w:rPr>
        <w:t xml:space="preserve"> called </w:t>
      </w:r>
      <w:r w:rsidR="00F948D8" w:rsidRPr="00F948D8">
        <w:rPr>
          <w:color w:val="auto"/>
        </w:rPr>
        <w:t xml:space="preserve">Cell Tracker Green in DMSO (1.075 </w:t>
      </w:r>
      <w:r w:rsidR="00B1112D" w:rsidRPr="00F948D8">
        <w:rPr>
          <w:color w:val="auto"/>
        </w:rPr>
        <w:t>m</w:t>
      </w:r>
      <w:r w:rsidR="00B1112D">
        <w:rPr>
          <w:color w:val="auto"/>
        </w:rPr>
        <w:t>L</w:t>
      </w:r>
      <w:r w:rsidR="00B1112D" w:rsidRPr="00F948D8">
        <w:rPr>
          <w:color w:val="auto"/>
        </w:rPr>
        <w:t xml:space="preserve"> </w:t>
      </w:r>
      <w:r w:rsidR="00F948D8" w:rsidRPr="00F948D8">
        <w:rPr>
          <w:color w:val="auto"/>
        </w:rPr>
        <w:t xml:space="preserve">for 1 mg). Dilute one aliquot in 5 ml of DMEM in a 15 </w:t>
      </w:r>
      <w:r w:rsidR="00B1112D" w:rsidRPr="00F948D8">
        <w:rPr>
          <w:color w:val="auto"/>
        </w:rPr>
        <w:t>m</w:t>
      </w:r>
      <w:r w:rsidR="00B1112D">
        <w:rPr>
          <w:color w:val="auto"/>
        </w:rPr>
        <w:t>L</w:t>
      </w:r>
      <w:r w:rsidR="00B1112D" w:rsidRPr="00F948D8">
        <w:rPr>
          <w:color w:val="auto"/>
        </w:rPr>
        <w:t xml:space="preserve"> </w:t>
      </w:r>
      <w:r w:rsidR="00F948D8" w:rsidRPr="00F948D8">
        <w:rPr>
          <w:color w:val="auto"/>
        </w:rPr>
        <w:t xml:space="preserve">conical tube. </w:t>
      </w:r>
    </w:p>
    <w:p w:rsidR="00F948D8" w:rsidRDefault="00F948D8" w:rsidP="00F948D8">
      <w:pPr>
        <w:pStyle w:val="NormalWeb"/>
        <w:spacing w:before="0" w:beforeAutospacing="0" w:after="0" w:afterAutospacing="0"/>
        <w:rPr>
          <w:color w:val="auto"/>
        </w:rPr>
      </w:pPr>
    </w:p>
    <w:p w:rsidR="00F948D8" w:rsidRDefault="00F948D8" w:rsidP="00F948D8">
      <w:pPr>
        <w:pStyle w:val="NormalWeb"/>
        <w:numPr>
          <w:ilvl w:val="1"/>
          <w:numId w:val="9"/>
        </w:numPr>
        <w:spacing w:before="0" w:beforeAutospacing="0" w:after="0" w:afterAutospacing="0"/>
        <w:ind w:left="0" w:firstLine="0"/>
        <w:rPr>
          <w:color w:val="auto"/>
        </w:rPr>
      </w:pPr>
      <w:r w:rsidRPr="00F948D8">
        <w:rPr>
          <w:color w:val="auto"/>
        </w:rPr>
        <w:t xml:space="preserve">Prepare filled ice-bucket to keep media at 4 °C. </w:t>
      </w:r>
    </w:p>
    <w:p w:rsidR="00F948D8" w:rsidRDefault="00F948D8" w:rsidP="00F948D8">
      <w:pPr>
        <w:pStyle w:val="NormalWeb"/>
        <w:spacing w:before="0" w:beforeAutospacing="0" w:after="0" w:afterAutospacing="0"/>
        <w:rPr>
          <w:color w:val="auto"/>
        </w:rPr>
      </w:pPr>
    </w:p>
    <w:p w:rsidR="00F948D8" w:rsidRDefault="00F948D8" w:rsidP="00F948D8">
      <w:pPr>
        <w:pStyle w:val="NormalWeb"/>
        <w:numPr>
          <w:ilvl w:val="1"/>
          <w:numId w:val="9"/>
        </w:numPr>
        <w:spacing w:before="0" w:beforeAutospacing="0" w:after="0" w:afterAutospacing="0"/>
        <w:ind w:left="0" w:firstLine="0"/>
        <w:rPr>
          <w:color w:val="auto"/>
        </w:rPr>
      </w:pPr>
      <w:r w:rsidRPr="00F948D8">
        <w:rPr>
          <w:color w:val="auto"/>
        </w:rPr>
        <w:t>Decontaminate laboratory bench tops and tools with 70% ethanol.</w:t>
      </w:r>
    </w:p>
    <w:p w:rsidR="00F948D8" w:rsidRDefault="00F948D8" w:rsidP="00F948D8">
      <w:pPr>
        <w:pStyle w:val="NormalWeb"/>
        <w:spacing w:before="0" w:beforeAutospacing="0" w:after="0" w:afterAutospacing="0"/>
        <w:rPr>
          <w:color w:val="auto"/>
        </w:rPr>
      </w:pPr>
    </w:p>
    <w:p w:rsidR="00F948D8" w:rsidRPr="00160A97" w:rsidRDefault="00F948D8" w:rsidP="00F948D8">
      <w:pPr>
        <w:pStyle w:val="NormalWeb"/>
        <w:numPr>
          <w:ilvl w:val="0"/>
          <w:numId w:val="7"/>
        </w:numPr>
        <w:spacing w:before="0" w:beforeAutospacing="0" w:after="0" w:afterAutospacing="0"/>
        <w:ind w:left="0" w:firstLine="0"/>
        <w:rPr>
          <w:color w:val="auto"/>
          <w:highlight w:val="yellow"/>
        </w:rPr>
      </w:pPr>
      <w:r w:rsidRPr="00160A97">
        <w:rPr>
          <w:color w:val="auto"/>
          <w:highlight w:val="yellow"/>
        </w:rPr>
        <w:t xml:space="preserve">Dissection of cerebellum from P10 rat </w:t>
      </w:r>
    </w:p>
    <w:p w:rsidR="00F948D8" w:rsidRDefault="00F948D8" w:rsidP="00F948D8">
      <w:pPr>
        <w:pStyle w:val="NormalWeb"/>
        <w:spacing w:before="0" w:beforeAutospacing="0" w:after="0" w:afterAutospacing="0"/>
        <w:rPr>
          <w:color w:val="auto"/>
        </w:rPr>
      </w:pPr>
    </w:p>
    <w:p w:rsidR="00F948D8" w:rsidRDefault="00F948D8" w:rsidP="00F948D8">
      <w:pPr>
        <w:pStyle w:val="NormalWeb"/>
        <w:numPr>
          <w:ilvl w:val="1"/>
          <w:numId w:val="7"/>
        </w:numPr>
        <w:spacing w:before="0" w:beforeAutospacing="0" w:after="0" w:afterAutospacing="0"/>
        <w:ind w:left="0" w:firstLine="0"/>
        <w:rPr>
          <w:color w:val="auto"/>
        </w:rPr>
      </w:pPr>
      <w:r w:rsidRPr="00F948D8">
        <w:rPr>
          <w:color w:val="auto"/>
        </w:rPr>
        <w:t>Rapidly decapitate rat pups (P10) with curved operating scissors behind ears in order to get the beginning of the spinal cord.</w:t>
      </w:r>
    </w:p>
    <w:p w:rsidR="00F948D8" w:rsidRDefault="00F948D8" w:rsidP="00F948D8">
      <w:pPr>
        <w:pStyle w:val="NormalWeb"/>
        <w:spacing w:before="0" w:beforeAutospacing="0" w:after="0" w:afterAutospacing="0"/>
        <w:rPr>
          <w:color w:val="auto"/>
        </w:rPr>
      </w:pPr>
    </w:p>
    <w:p w:rsidR="00F948D8" w:rsidRDefault="003914E2" w:rsidP="00F948D8">
      <w:pPr>
        <w:pStyle w:val="NormalWeb"/>
        <w:numPr>
          <w:ilvl w:val="1"/>
          <w:numId w:val="7"/>
        </w:numPr>
        <w:spacing w:before="0" w:beforeAutospacing="0" w:after="0" w:afterAutospacing="0"/>
        <w:ind w:left="0" w:firstLine="0"/>
        <w:rPr>
          <w:color w:val="auto"/>
        </w:rPr>
      </w:pPr>
      <w:r>
        <w:rPr>
          <w:color w:val="auto"/>
        </w:rPr>
        <w:t>At the back-side of the decapitated head, m</w:t>
      </w:r>
      <w:r w:rsidR="00D25CAF" w:rsidRPr="00E31500">
        <w:rPr>
          <w:color w:val="auto"/>
        </w:rPr>
        <w:t xml:space="preserve">ake midline incision of the skin from </w:t>
      </w:r>
      <w:r>
        <w:rPr>
          <w:color w:val="auto"/>
        </w:rPr>
        <w:t xml:space="preserve">the </w:t>
      </w:r>
      <w:r w:rsidR="00D25CAF" w:rsidRPr="00E31500">
        <w:rPr>
          <w:color w:val="auto"/>
        </w:rPr>
        <w:t xml:space="preserve">neck to the </w:t>
      </w:r>
      <w:r>
        <w:rPr>
          <w:color w:val="auto"/>
        </w:rPr>
        <w:t xml:space="preserve">nose </w:t>
      </w:r>
      <w:r w:rsidR="00D25CAF" w:rsidRPr="00E31500">
        <w:rPr>
          <w:color w:val="auto"/>
        </w:rPr>
        <w:t xml:space="preserve">with fine iris scissors and </w:t>
      </w:r>
      <w:r w:rsidR="00F466C3">
        <w:rPr>
          <w:color w:val="auto"/>
        </w:rPr>
        <w:t xml:space="preserve">separate </w:t>
      </w:r>
      <w:r w:rsidR="00F948D8" w:rsidRPr="00F948D8">
        <w:rPr>
          <w:color w:val="auto"/>
        </w:rPr>
        <w:t xml:space="preserve">the skin </w:t>
      </w:r>
      <w:r w:rsidR="00F466C3">
        <w:rPr>
          <w:color w:val="auto"/>
        </w:rPr>
        <w:t>from the skull</w:t>
      </w:r>
      <w:r w:rsidR="00F948D8" w:rsidRPr="00F948D8">
        <w:rPr>
          <w:color w:val="auto"/>
        </w:rPr>
        <w:t xml:space="preserve"> with fine iris scissors and Dumont #3 forceps.</w:t>
      </w:r>
    </w:p>
    <w:p w:rsidR="00F948D8" w:rsidRDefault="00F948D8" w:rsidP="00F948D8">
      <w:pPr>
        <w:pStyle w:val="NormalWeb"/>
        <w:spacing w:before="0" w:beforeAutospacing="0" w:after="0" w:afterAutospacing="0"/>
        <w:rPr>
          <w:color w:val="auto"/>
        </w:rPr>
      </w:pPr>
    </w:p>
    <w:p w:rsidR="00F948D8" w:rsidRPr="00160A97" w:rsidRDefault="00F948D8" w:rsidP="00F948D8">
      <w:pPr>
        <w:pStyle w:val="NormalWeb"/>
        <w:numPr>
          <w:ilvl w:val="1"/>
          <w:numId w:val="7"/>
        </w:numPr>
        <w:spacing w:before="0" w:beforeAutospacing="0" w:after="0" w:afterAutospacing="0"/>
        <w:ind w:left="0" w:firstLine="0"/>
        <w:rPr>
          <w:color w:val="auto"/>
          <w:highlight w:val="yellow"/>
        </w:rPr>
      </w:pPr>
      <w:r w:rsidRPr="00160A97">
        <w:rPr>
          <w:color w:val="auto"/>
          <w:highlight w:val="yellow"/>
        </w:rPr>
        <w:t xml:space="preserve">Use fine iris scissors </w:t>
      </w:r>
      <w:r w:rsidR="00854EE7">
        <w:rPr>
          <w:color w:val="auto"/>
          <w:highlight w:val="yellow"/>
        </w:rPr>
        <w:t xml:space="preserve">to </w:t>
      </w:r>
      <w:r w:rsidR="00B1112D">
        <w:rPr>
          <w:color w:val="auto"/>
          <w:highlight w:val="yellow"/>
        </w:rPr>
        <w:t>delicately</w:t>
      </w:r>
      <w:r w:rsidR="00B1112D" w:rsidRPr="00160A97">
        <w:rPr>
          <w:color w:val="auto"/>
          <w:highlight w:val="yellow"/>
        </w:rPr>
        <w:t xml:space="preserve"> </w:t>
      </w:r>
      <w:r w:rsidR="00854EE7">
        <w:rPr>
          <w:color w:val="auto"/>
          <w:highlight w:val="yellow"/>
        </w:rPr>
        <w:t xml:space="preserve">make two lateral </w:t>
      </w:r>
      <w:r w:rsidR="00D25CAF" w:rsidRPr="00160A97">
        <w:rPr>
          <w:color w:val="auto"/>
          <w:highlight w:val="yellow"/>
        </w:rPr>
        <w:t>incision</w:t>
      </w:r>
      <w:r w:rsidR="00854EE7">
        <w:rPr>
          <w:color w:val="auto"/>
          <w:highlight w:val="yellow"/>
        </w:rPr>
        <w:t>s</w:t>
      </w:r>
      <w:r w:rsidR="00D25CAF" w:rsidRPr="00160A97">
        <w:rPr>
          <w:color w:val="auto"/>
          <w:highlight w:val="yellow"/>
        </w:rPr>
        <w:t xml:space="preserve"> </w:t>
      </w:r>
      <w:r w:rsidR="00655584" w:rsidRPr="00160A97">
        <w:rPr>
          <w:color w:val="auto"/>
          <w:highlight w:val="yellow"/>
        </w:rPr>
        <w:t>from</w:t>
      </w:r>
      <w:r w:rsidR="00D25CAF" w:rsidRPr="00160A97">
        <w:rPr>
          <w:color w:val="auto"/>
          <w:highlight w:val="yellow"/>
        </w:rPr>
        <w:t xml:space="preserve"> the base </w:t>
      </w:r>
      <w:r w:rsidR="001518C9" w:rsidRPr="00160A97">
        <w:rPr>
          <w:color w:val="auto"/>
          <w:highlight w:val="yellow"/>
        </w:rPr>
        <w:t xml:space="preserve">to </w:t>
      </w:r>
      <w:r w:rsidR="00655584" w:rsidRPr="00160A97">
        <w:rPr>
          <w:color w:val="auto"/>
          <w:highlight w:val="yellow"/>
        </w:rPr>
        <w:t xml:space="preserve">the </w:t>
      </w:r>
      <w:r w:rsidR="00D25CAF" w:rsidRPr="00160A97">
        <w:rPr>
          <w:color w:val="auto"/>
          <w:highlight w:val="yellow"/>
        </w:rPr>
        <w:t>rostral region</w:t>
      </w:r>
      <w:r w:rsidR="001518C9" w:rsidRPr="00160A97">
        <w:rPr>
          <w:color w:val="auto"/>
          <w:highlight w:val="yellow"/>
        </w:rPr>
        <w:t xml:space="preserve"> of the skull</w:t>
      </w:r>
      <w:r w:rsidR="00655584" w:rsidRPr="00160A97">
        <w:rPr>
          <w:color w:val="auto"/>
          <w:highlight w:val="yellow"/>
        </w:rPr>
        <w:t xml:space="preserve">. </w:t>
      </w:r>
      <w:r w:rsidR="00854EE7">
        <w:rPr>
          <w:color w:val="auto"/>
          <w:highlight w:val="yellow"/>
        </w:rPr>
        <w:t>R</w:t>
      </w:r>
      <w:r w:rsidR="001518C9" w:rsidRPr="00160A97">
        <w:rPr>
          <w:color w:val="auto"/>
          <w:highlight w:val="yellow"/>
        </w:rPr>
        <w:t xml:space="preserve">emove </w:t>
      </w:r>
      <w:r w:rsidR="00655584" w:rsidRPr="00160A97">
        <w:rPr>
          <w:color w:val="auto"/>
          <w:highlight w:val="yellow"/>
        </w:rPr>
        <w:t xml:space="preserve">the </w:t>
      </w:r>
      <w:r w:rsidR="00854EE7">
        <w:rPr>
          <w:color w:val="auto"/>
          <w:highlight w:val="yellow"/>
        </w:rPr>
        <w:t>dissected</w:t>
      </w:r>
      <w:r w:rsidR="00D25CAF" w:rsidRPr="00160A97">
        <w:rPr>
          <w:color w:val="auto"/>
          <w:highlight w:val="yellow"/>
        </w:rPr>
        <w:t xml:space="preserve"> skull</w:t>
      </w:r>
      <w:r w:rsidR="00EA4628" w:rsidRPr="00160A97">
        <w:rPr>
          <w:color w:val="auto"/>
          <w:highlight w:val="yellow"/>
        </w:rPr>
        <w:t xml:space="preserve"> with two #3 forceps</w:t>
      </w:r>
      <w:r w:rsidR="00D25CAF" w:rsidRPr="00160A97">
        <w:rPr>
          <w:color w:val="auto"/>
          <w:highlight w:val="yellow"/>
        </w:rPr>
        <w:t>.</w:t>
      </w:r>
      <w:r w:rsidRPr="00160A97">
        <w:rPr>
          <w:color w:val="auto"/>
          <w:highlight w:val="yellow"/>
        </w:rPr>
        <w:t xml:space="preserve"> </w:t>
      </w:r>
      <w:r w:rsidR="001518C9" w:rsidRPr="00160A97">
        <w:rPr>
          <w:color w:val="auto"/>
          <w:highlight w:val="yellow"/>
        </w:rPr>
        <w:t>Detach the brain from any adherence</w:t>
      </w:r>
      <w:r w:rsidR="00F466C3" w:rsidRPr="00160A97">
        <w:rPr>
          <w:color w:val="auto"/>
          <w:highlight w:val="yellow"/>
        </w:rPr>
        <w:t xml:space="preserve"> with the skull</w:t>
      </w:r>
      <w:r w:rsidR="001518C9" w:rsidRPr="00160A97">
        <w:rPr>
          <w:color w:val="auto"/>
          <w:highlight w:val="yellow"/>
        </w:rPr>
        <w:t xml:space="preserve"> </w:t>
      </w:r>
      <w:r w:rsidR="00C35002" w:rsidRPr="00160A97">
        <w:rPr>
          <w:color w:val="auto"/>
          <w:highlight w:val="yellow"/>
        </w:rPr>
        <w:t>using</w:t>
      </w:r>
      <w:r w:rsidR="001518C9" w:rsidRPr="00160A97">
        <w:rPr>
          <w:color w:val="auto"/>
          <w:highlight w:val="yellow"/>
        </w:rPr>
        <w:t xml:space="preserve"> the same forceps.</w:t>
      </w:r>
    </w:p>
    <w:p w:rsidR="00F948D8" w:rsidRDefault="00CE5288" w:rsidP="00CE5288">
      <w:pPr>
        <w:pStyle w:val="NormalWeb"/>
        <w:tabs>
          <w:tab w:val="left" w:pos="1215"/>
          <w:tab w:val="left" w:pos="2340"/>
        </w:tabs>
        <w:spacing w:before="0" w:beforeAutospacing="0" w:after="0" w:afterAutospacing="0"/>
        <w:rPr>
          <w:color w:val="auto"/>
        </w:rPr>
      </w:pPr>
      <w:r>
        <w:rPr>
          <w:color w:val="auto"/>
        </w:rPr>
        <w:tab/>
      </w:r>
      <w:r>
        <w:rPr>
          <w:color w:val="auto"/>
        </w:rPr>
        <w:tab/>
      </w:r>
    </w:p>
    <w:p w:rsidR="00F948D8" w:rsidRPr="00160A97" w:rsidRDefault="00F948D8" w:rsidP="00F948D8">
      <w:pPr>
        <w:pStyle w:val="NormalWeb"/>
        <w:numPr>
          <w:ilvl w:val="1"/>
          <w:numId w:val="7"/>
        </w:numPr>
        <w:spacing w:before="0" w:beforeAutospacing="0" w:after="0" w:afterAutospacing="0"/>
        <w:ind w:left="0" w:firstLine="0"/>
        <w:rPr>
          <w:color w:val="auto"/>
          <w:highlight w:val="yellow"/>
        </w:rPr>
      </w:pPr>
      <w:r w:rsidRPr="00160A97">
        <w:rPr>
          <w:color w:val="auto"/>
          <w:highlight w:val="yellow"/>
        </w:rPr>
        <w:t xml:space="preserve">Transfer the brain with the spoon end of a spatula to Petri dish (Ø 35 mm) containing </w:t>
      </w:r>
      <w:r w:rsidR="00D25CAF" w:rsidRPr="00160A97">
        <w:rPr>
          <w:color w:val="auto"/>
          <w:highlight w:val="yellow"/>
        </w:rPr>
        <w:t xml:space="preserve">2 </w:t>
      </w:r>
      <w:r w:rsidR="00B1112D" w:rsidRPr="00160A97">
        <w:rPr>
          <w:color w:val="auto"/>
          <w:highlight w:val="yellow"/>
        </w:rPr>
        <w:t>m</w:t>
      </w:r>
      <w:r w:rsidR="00B1112D">
        <w:rPr>
          <w:color w:val="auto"/>
          <w:highlight w:val="yellow"/>
        </w:rPr>
        <w:t xml:space="preserve">L </w:t>
      </w:r>
      <w:r w:rsidR="00D25CAF" w:rsidRPr="00160A97">
        <w:rPr>
          <w:color w:val="auto"/>
          <w:highlight w:val="yellow"/>
        </w:rPr>
        <w:t xml:space="preserve">of </w:t>
      </w:r>
      <w:r w:rsidRPr="00160A97">
        <w:rPr>
          <w:color w:val="auto"/>
          <w:highlight w:val="yellow"/>
        </w:rPr>
        <w:t>ice-cold HBSS medium.</w:t>
      </w:r>
    </w:p>
    <w:p w:rsidR="00F948D8" w:rsidRDefault="00F948D8" w:rsidP="00F948D8">
      <w:pPr>
        <w:pStyle w:val="NormalWeb"/>
        <w:spacing w:before="0" w:beforeAutospacing="0" w:after="0" w:afterAutospacing="0"/>
        <w:rPr>
          <w:color w:val="auto"/>
        </w:rPr>
      </w:pPr>
    </w:p>
    <w:p w:rsidR="00F948D8" w:rsidRDefault="00F948D8" w:rsidP="00F948D8">
      <w:pPr>
        <w:pStyle w:val="NormalWeb"/>
        <w:numPr>
          <w:ilvl w:val="1"/>
          <w:numId w:val="7"/>
        </w:numPr>
        <w:spacing w:before="0" w:beforeAutospacing="0" w:after="0" w:afterAutospacing="0"/>
        <w:ind w:left="0" w:firstLine="0"/>
        <w:rPr>
          <w:color w:val="auto"/>
        </w:rPr>
      </w:pPr>
      <w:r w:rsidRPr="00F948D8">
        <w:rPr>
          <w:color w:val="auto"/>
        </w:rPr>
        <w:t>Put the Petri dish containing the brain in a larger Petri dish (Ø 100 mm) full of ice and transfer to the stage of the stereomicroscope.</w:t>
      </w:r>
    </w:p>
    <w:p w:rsidR="00F948D8" w:rsidRDefault="00F948D8" w:rsidP="00F948D8">
      <w:pPr>
        <w:pStyle w:val="NormalWeb"/>
        <w:spacing w:before="0" w:beforeAutospacing="0" w:after="0" w:afterAutospacing="0"/>
        <w:rPr>
          <w:color w:val="auto"/>
        </w:rPr>
      </w:pPr>
    </w:p>
    <w:p w:rsidR="00F948D8" w:rsidRPr="00160A97" w:rsidRDefault="00F948D8" w:rsidP="00F948D8">
      <w:pPr>
        <w:pStyle w:val="NormalWeb"/>
        <w:numPr>
          <w:ilvl w:val="1"/>
          <w:numId w:val="7"/>
        </w:numPr>
        <w:spacing w:before="0" w:beforeAutospacing="0" w:after="0" w:afterAutospacing="0"/>
        <w:ind w:left="0" w:firstLine="0"/>
        <w:rPr>
          <w:color w:val="auto"/>
          <w:highlight w:val="yellow"/>
        </w:rPr>
      </w:pPr>
      <w:r w:rsidRPr="00160A97">
        <w:rPr>
          <w:color w:val="auto"/>
          <w:highlight w:val="yellow"/>
        </w:rPr>
        <w:t>Under a stereomicroscope, isolate the cerebellum</w:t>
      </w:r>
      <w:r w:rsidR="00D25CAF" w:rsidRPr="00160A97">
        <w:rPr>
          <w:color w:val="auto"/>
          <w:highlight w:val="yellow"/>
        </w:rPr>
        <w:t xml:space="preserve"> from the brain</w:t>
      </w:r>
      <w:r w:rsidRPr="00160A97">
        <w:rPr>
          <w:color w:val="auto"/>
          <w:highlight w:val="yellow"/>
        </w:rPr>
        <w:t xml:space="preserve"> </w:t>
      </w:r>
      <w:r w:rsidR="00E528A2">
        <w:rPr>
          <w:color w:val="auto"/>
          <w:highlight w:val="yellow"/>
        </w:rPr>
        <w:t xml:space="preserve">by </w:t>
      </w:r>
      <w:r w:rsidR="00655584" w:rsidRPr="00160A97">
        <w:rPr>
          <w:color w:val="auto"/>
          <w:highlight w:val="yellow"/>
        </w:rPr>
        <w:t xml:space="preserve">dilaceration using two #3 forceps. Similarly, </w:t>
      </w:r>
      <w:r w:rsidRPr="00160A97">
        <w:rPr>
          <w:color w:val="auto"/>
          <w:highlight w:val="yellow"/>
        </w:rPr>
        <w:t xml:space="preserve">remove the </w:t>
      </w:r>
      <w:r w:rsidR="008B2FE3" w:rsidRPr="00160A97">
        <w:rPr>
          <w:color w:val="auto"/>
          <w:highlight w:val="yellow"/>
        </w:rPr>
        <w:t xml:space="preserve">residual </w:t>
      </w:r>
      <w:r w:rsidRPr="00160A97">
        <w:rPr>
          <w:color w:val="auto"/>
          <w:highlight w:val="yellow"/>
        </w:rPr>
        <w:t>spinal cord and the pial-membrane</w:t>
      </w:r>
      <w:r w:rsidR="00655584" w:rsidRPr="00160A97">
        <w:rPr>
          <w:color w:val="auto"/>
          <w:highlight w:val="yellow"/>
        </w:rPr>
        <w:t>.</w:t>
      </w:r>
    </w:p>
    <w:p w:rsidR="00F948D8" w:rsidRDefault="00F948D8" w:rsidP="00F948D8">
      <w:pPr>
        <w:pStyle w:val="NormalWeb"/>
        <w:spacing w:before="0" w:beforeAutospacing="0" w:after="0" w:afterAutospacing="0"/>
        <w:rPr>
          <w:color w:val="auto"/>
        </w:rPr>
      </w:pPr>
    </w:p>
    <w:p w:rsidR="00F948D8" w:rsidRDefault="00F948D8" w:rsidP="00F948D8">
      <w:pPr>
        <w:pStyle w:val="NormalWeb"/>
        <w:numPr>
          <w:ilvl w:val="1"/>
          <w:numId w:val="7"/>
        </w:numPr>
        <w:spacing w:before="0" w:beforeAutospacing="0" w:after="0" w:afterAutospacing="0"/>
        <w:ind w:left="0" w:firstLine="0"/>
        <w:rPr>
          <w:color w:val="auto"/>
        </w:rPr>
      </w:pPr>
      <w:r w:rsidRPr="00F948D8">
        <w:rPr>
          <w:color w:val="auto"/>
        </w:rPr>
        <w:t>Transfer the cerebellum in a new HBSS-filled Petri dish (Ø 35 mm</w:t>
      </w:r>
      <w:r w:rsidR="008B2FE3">
        <w:rPr>
          <w:color w:val="auto"/>
        </w:rPr>
        <w:t xml:space="preserve">, 2 </w:t>
      </w:r>
      <w:r w:rsidR="00B1112D">
        <w:rPr>
          <w:color w:val="auto"/>
        </w:rPr>
        <w:t>m</w:t>
      </w:r>
      <w:r w:rsidR="00B1112D">
        <w:rPr>
          <w:color w:val="auto"/>
        </w:rPr>
        <w:t>L</w:t>
      </w:r>
      <w:r w:rsidRPr="00F948D8">
        <w:rPr>
          <w:color w:val="auto"/>
        </w:rPr>
        <w:t>) with the spoon end of a spatula and keep on ice.</w:t>
      </w:r>
    </w:p>
    <w:p w:rsidR="00F948D8" w:rsidRDefault="00F948D8">
      <w:pPr>
        <w:pStyle w:val="NormalWeb"/>
        <w:spacing w:before="0" w:beforeAutospacing="0" w:after="0" w:afterAutospacing="0"/>
        <w:rPr>
          <w:color w:val="auto"/>
        </w:rPr>
      </w:pPr>
    </w:p>
    <w:p w:rsidR="00F948D8" w:rsidRPr="00160A97" w:rsidRDefault="00F948D8" w:rsidP="00F948D8">
      <w:pPr>
        <w:pStyle w:val="NormalWeb"/>
        <w:numPr>
          <w:ilvl w:val="0"/>
          <w:numId w:val="7"/>
        </w:numPr>
        <w:spacing w:before="0" w:beforeAutospacing="0" w:after="0" w:afterAutospacing="0"/>
        <w:ind w:left="0" w:firstLine="0"/>
        <w:rPr>
          <w:color w:val="auto"/>
          <w:highlight w:val="yellow"/>
        </w:rPr>
      </w:pPr>
      <w:r w:rsidRPr="00160A97">
        <w:rPr>
          <w:color w:val="auto"/>
          <w:highlight w:val="yellow"/>
        </w:rPr>
        <w:t>Preparation of acute cerebellar slices</w:t>
      </w:r>
    </w:p>
    <w:p w:rsidR="00F948D8" w:rsidRDefault="00F948D8" w:rsidP="00F948D8">
      <w:pPr>
        <w:pStyle w:val="NormalWeb"/>
        <w:spacing w:before="0" w:beforeAutospacing="0" w:after="0" w:afterAutospacing="0"/>
        <w:rPr>
          <w:color w:val="auto"/>
        </w:rPr>
      </w:pPr>
      <w:r w:rsidRPr="00F948D8">
        <w:rPr>
          <w:color w:val="auto"/>
        </w:rPr>
        <w:t xml:space="preserve"> </w:t>
      </w:r>
    </w:p>
    <w:p w:rsidR="00F948D8" w:rsidRPr="00160A97" w:rsidRDefault="00F948D8" w:rsidP="00F948D8">
      <w:pPr>
        <w:pStyle w:val="NormalWeb"/>
        <w:numPr>
          <w:ilvl w:val="1"/>
          <w:numId w:val="7"/>
        </w:numPr>
        <w:spacing w:before="0" w:beforeAutospacing="0" w:after="0" w:afterAutospacing="0"/>
        <w:ind w:left="0" w:firstLine="0"/>
        <w:rPr>
          <w:color w:val="auto"/>
          <w:highlight w:val="yellow"/>
        </w:rPr>
      </w:pPr>
      <w:r w:rsidRPr="00160A97">
        <w:rPr>
          <w:color w:val="auto"/>
          <w:highlight w:val="yellow"/>
        </w:rPr>
        <w:t>Under the stereomicroscope, cut the cerebellum</w:t>
      </w:r>
      <w:r w:rsidR="00F466C3" w:rsidRPr="00160A97">
        <w:rPr>
          <w:color w:val="auto"/>
          <w:highlight w:val="yellow"/>
        </w:rPr>
        <w:t xml:space="preserve"> between the vermis and the right hemisphere</w:t>
      </w:r>
      <w:r w:rsidRPr="00160A97">
        <w:rPr>
          <w:color w:val="auto"/>
          <w:highlight w:val="yellow"/>
        </w:rPr>
        <w:t xml:space="preserve"> as indicated by the two heads arrow in Figure 2A with a standard scalpel handle #3 solid and a #15 surgical blade.</w:t>
      </w:r>
    </w:p>
    <w:p w:rsidR="00F948D8" w:rsidRDefault="00F948D8" w:rsidP="00F948D8">
      <w:pPr>
        <w:pStyle w:val="NormalWeb"/>
        <w:spacing w:before="0" w:beforeAutospacing="0" w:after="0" w:afterAutospacing="0"/>
        <w:rPr>
          <w:color w:val="auto"/>
        </w:rPr>
      </w:pPr>
    </w:p>
    <w:p w:rsidR="00F948D8" w:rsidRPr="00160A97" w:rsidRDefault="00F948D8" w:rsidP="00F948D8">
      <w:pPr>
        <w:pStyle w:val="NormalWeb"/>
        <w:numPr>
          <w:ilvl w:val="1"/>
          <w:numId w:val="7"/>
        </w:numPr>
        <w:spacing w:before="0" w:beforeAutospacing="0" w:after="0" w:afterAutospacing="0"/>
        <w:ind w:left="0" w:firstLine="0"/>
        <w:rPr>
          <w:color w:val="auto"/>
          <w:highlight w:val="yellow"/>
        </w:rPr>
      </w:pPr>
      <w:r w:rsidRPr="00160A97">
        <w:rPr>
          <w:color w:val="auto"/>
          <w:highlight w:val="yellow"/>
        </w:rPr>
        <w:t xml:space="preserve">Put one drop of cyanoacrylate glue on the vibratome specimen disc and wait 15-25 </w:t>
      </w:r>
      <w:r w:rsidR="00B1112D">
        <w:rPr>
          <w:color w:val="auto"/>
          <w:highlight w:val="yellow"/>
        </w:rPr>
        <w:t>s</w:t>
      </w:r>
      <w:r w:rsidR="00B1112D" w:rsidRPr="00160A97">
        <w:rPr>
          <w:color w:val="auto"/>
          <w:highlight w:val="yellow"/>
        </w:rPr>
        <w:t xml:space="preserve"> </w:t>
      </w:r>
      <w:r w:rsidRPr="00160A97">
        <w:rPr>
          <w:color w:val="auto"/>
          <w:highlight w:val="yellow"/>
        </w:rPr>
        <w:t xml:space="preserve">to </w:t>
      </w:r>
      <w:r w:rsidRPr="00160A97">
        <w:rPr>
          <w:color w:val="auto"/>
          <w:highlight w:val="yellow"/>
        </w:rPr>
        <w:lastRenderedPageBreak/>
        <w:t>eliminate toxic solvent vapors.</w:t>
      </w:r>
    </w:p>
    <w:p w:rsidR="00F948D8" w:rsidRDefault="00F948D8" w:rsidP="00F948D8">
      <w:pPr>
        <w:pStyle w:val="NormalWeb"/>
        <w:spacing w:before="0" w:beforeAutospacing="0" w:after="0" w:afterAutospacing="0"/>
        <w:rPr>
          <w:color w:val="auto"/>
        </w:rPr>
      </w:pPr>
    </w:p>
    <w:p w:rsidR="00F948D8" w:rsidRDefault="00F948D8" w:rsidP="00F948D8">
      <w:pPr>
        <w:pStyle w:val="NormalWeb"/>
        <w:numPr>
          <w:ilvl w:val="1"/>
          <w:numId w:val="7"/>
        </w:numPr>
        <w:spacing w:before="0" w:beforeAutospacing="0" w:after="0" w:afterAutospacing="0"/>
        <w:ind w:left="0" w:firstLine="0"/>
        <w:rPr>
          <w:color w:val="auto"/>
        </w:rPr>
      </w:pPr>
      <w:r w:rsidRPr="00F948D8">
        <w:rPr>
          <w:color w:val="auto"/>
        </w:rPr>
        <w:t xml:space="preserve">Collect the cut cerebellum with the spoon end of a spatula and remove excess HBSS with clean paper towels. </w:t>
      </w:r>
    </w:p>
    <w:p w:rsidR="00F948D8" w:rsidRDefault="00F948D8" w:rsidP="00F948D8">
      <w:pPr>
        <w:pStyle w:val="NormalWeb"/>
        <w:spacing w:before="0" w:beforeAutospacing="0" w:after="0" w:afterAutospacing="0"/>
        <w:rPr>
          <w:color w:val="auto"/>
        </w:rPr>
      </w:pPr>
    </w:p>
    <w:p w:rsidR="00F948D8" w:rsidRPr="00AB53E0" w:rsidRDefault="00F948D8" w:rsidP="00F948D8">
      <w:pPr>
        <w:pStyle w:val="NormalWeb"/>
        <w:numPr>
          <w:ilvl w:val="1"/>
          <w:numId w:val="7"/>
        </w:numPr>
        <w:spacing w:before="0" w:beforeAutospacing="0" w:after="0" w:afterAutospacing="0"/>
        <w:ind w:left="0" w:firstLine="0"/>
        <w:rPr>
          <w:color w:val="auto"/>
          <w:highlight w:val="yellow"/>
        </w:rPr>
      </w:pPr>
      <w:r w:rsidRPr="00407750">
        <w:rPr>
          <w:color w:val="auto"/>
          <w:highlight w:val="yellow"/>
        </w:rPr>
        <w:t>Bring the cerebellum close to the specimen disc</w:t>
      </w:r>
      <w:r w:rsidR="0097336F">
        <w:rPr>
          <w:color w:val="auto"/>
          <w:highlight w:val="yellow"/>
        </w:rPr>
        <w:t>. F</w:t>
      </w:r>
      <w:r w:rsidR="0097336F" w:rsidRPr="00407750">
        <w:rPr>
          <w:color w:val="auto"/>
          <w:highlight w:val="yellow"/>
        </w:rPr>
        <w:t xml:space="preserve">ix </w:t>
      </w:r>
      <w:r w:rsidRPr="00407750">
        <w:rPr>
          <w:color w:val="auto"/>
          <w:highlight w:val="yellow"/>
        </w:rPr>
        <w:t xml:space="preserve">the cut edge to the specimen disc </w:t>
      </w:r>
      <w:proofErr w:type="gramStart"/>
      <w:r w:rsidRPr="00407750">
        <w:rPr>
          <w:color w:val="auto"/>
          <w:highlight w:val="yellow"/>
        </w:rPr>
        <w:t>and</w:t>
      </w:r>
      <w:proofErr w:type="gramEnd"/>
      <w:r w:rsidRPr="00407750">
        <w:rPr>
          <w:color w:val="auto"/>
          <w:highlight w:val="yellow"/>
        </w:rPr>
        <w:t xml:space="preserve"> wait 10 </w:t>
      </w:r>
      <w:r w:rsidR="00B1112D">
        <w:rPr>
          <w:color w:val="auto"/>
          <w:highlight w:val="yellow"/>
        </w:rPr>
        <w:t>s</w:t>
      </w:r>
      <w:r w:rsidRPr="00407750">
        <w:rPr>
          <w:color w:val="auto"/>
          <w:highlight w:val="yellow"/>
        </w:rPr>
        <w:t>.</w:t>
      </w:r>
    </w:p>
    <w:p w:rsidR="00F948D8" w:rsidRDefault="00F948D8" w:rsidP="00F948D8">
      <w:pPr>
        <w:pStyle w:val="NormalWeb"/>
        <w:spacing w:before="0" w:beforeAutospacing="0" w:after="0" w:afterAutospacing="0"/>
        <w:rPr>
          <w:color w:val="auto"/>
        </w:rPr>
      </w:pPr>
    </w:p>
    <w:p w:rsidR="00F948D8" w:rsidRPr="00160A97" w:rsidRDefault="00F948D8" w:rsidP="00F948D8">
      <w:pPr>
        <w:pStyle w:val="NormalWeb"/>
        <w:numPr>
          <w:ilvl w:val="1"/>
          <w:numId w:val="7"/>
        </w:numPr>
        <w:spacing w:before="0" w:beforeAutospacing="0" w:after="0" w:afterAutospacing="0"/>
        <w:ind w:left="0" w:firstLine="0"/>
        <w:rPr>
          <w:color w:val="auto"/>
          <w:highlight w:val="yellow"/>
        </w:rPr>
      </w:pPr>
      <w:r w:rsidRPr="00160A97">
        <w:rPr>
          <w:color w:val="auto"/>
          <w:highlight w:val="yellow"/>
        </w:rPr>
        <w:t>Insert the specimen disc into the buffer tray with the manipulator, and rotate it so the transverse axis of the cerebellum is perpendicular to the knife holder. Fix the specimen disc with an Allen key and fill gently the buffer tray with HBSS medium until the cerebellum is covered.</w:t>
      </w:r>
    </w:p>
    <w:p w:rsidR="00F948D8" w:rsidRDefault="00F948D8" w:rsidP="00F948D8">
      <w:pPr>
        <w:pStyle w:val="NormalWeb"/>
        <w:spacing w:before="0" w:beforeAutospacing="0" w:after="0" w:afterAutospacing="0"/>
        <w:rPr>
          <w:color w:val="auto"/>
        </w:rPr>
      </w:pPr>
    </w:p>
    <w:p w:rsidR="00F948D8" w:rsidRDefault="00F948D8" w:rsidP="00F948D8">
      <w:pPr>
        <w:pStyle w:val="NormalWeb"/>
        <w:numPr>
          <w:ilvl w:val="1"/>
          <w:numId w:val="7"/>
        </w:numPr>
        <w:spacing w:before="0" w:beforeAutospacing="0" w:after="0" w:afterAutospacing="0"/>
        <w:ind w:left="0" w:firstLine="0"/>
        <w:rPr>
          <w:color w:val="auto"/>
        </w:rPr>
      </w:pPr>
      <w:r w:rsidRPr="00F948D8">
        <w:rPr>
          <w:color w:val="auto"/>
        </w:rPr>
        <w:t>Load crushed ice into the cooling bath.</w:t>
      </w:r>
    </w:p>
    <w:p w:rsidR="00F948D8" w:rsidRDefault="00F948D8" w:rsidP="00F948D8">
      <w:pPr>
        <w:pStyle w:val="NormalWeb"/>
        <w:spacing w:before="0" w:beforeAutospacing="0" w:after="0" w:afterAutospacing="0"/>
        <w:rPr>
          <w:color w:val="auto"/>
        </w:rPr>
      </w:pPr>
    </w:p>
    <w:p w:rsidR="00F948D8" w:rsidRDefault="00F948D8" w:rsidP="00F948D8">
      <w:pPr>
        <w:pStyle w:val="NormalWeb"/>
        <w:numPr>
          <w:ilvl w:val="1"/>
          <w:numId w:val="7"/>
        </w:numPr>
        <w:spacing w:before="0" w:beforeAutospacing="0" w:after="0" w:afterAutospacing="0"/>
        <w:ind w:left="0" w:firstLine="0"/>
        <w:rPr>
          <w:color w:val="auto"/>
        </w:rPr>
      </w:pPr>
      <w:r w:rsidRPr="00F948D8">
        <w:rPr>
          <w:color w:val="auto"/>
        </w:rPr>
        <w:t>Clean the blade three times with 70% ethanol to eliminate any oil.</w:t>
      </w:r>
    </w:p>
    <w:p w:rsidR="00F948D8" w:rsidRDefault="00F948D8" w:rsidP="00F948D8">
      <w:pPr>
        <w:pStyle w:val="NormalWeb"/>
        <w:spacing w:before="0" w:beforeAutospacing="0" w:after="0" w:afterAutospacing="0"/>
        <w:rPr>
          <w:color w:val="auto"/>
        </w:rPr>
      </w:pPr>
    </w:p>
    <w:p w:rsidR="00F948D8" w:rsidRDefault="00F948D8" w:rsidP="00F948D8">
      <w:pPr>
        <w:pStyle w:val="ListParagraph"/>
        <w:widowControl/>
        <w:numPr>
          <w:ilvl w:val="1"/>
          <w:numId w:val="7"/>
        </w:numPr>
        <w:ind w:left="0" w:firstLine="0"/>
        <w:jc w:val="left"/>
        <w:rPr>
          <w:color w:val="auto"/>
        </w:rPr>
      </w:pPr>
      <w:r w:rsidRPr="00F948D8">
        <w:rPr>
          <w:color w:val="auto"/>
        </w:rPr>
        <w:t>Insert the blade into the knife holder and secure with clamping screw.</w:t>
      </w:r>
    </w:p>
    <w:p w:rsidR="00F948D8" w:rsidRPr="00F948D8" w:rsidRDefault="00F948D8" w:rsidP="00F948D8">
      <w:pPr>
        <w:widowControl/>
        <w:jc w:val="left"/>
        <w:rPr>
          <w:color w:val="auto"/>
        </w:rPr>
      </w:pPr>
    </w:p>
    <w:p w:rsidR="00F948D8" w:rsidRPr="00160A97" w:rsidRDefault="00F948D8" w:rsidP="00F948D8">
      <w:pPr>
        <w:pStyle w:val="ListParagraph"/>
        <w:widowControl/>
        <w:numPr>
          <w:ilvl w:val="1"/>
          <w:numId w:val="7"/>
        </w:numPr>
        <w:ind w:left="0" w:firstLine="0"/>
        <w:jc w:val="left"/>
        <w:rPr>
          <w:color w:val="auto"/>
          <w:highlight w:val="yellow"/>
        </w:rPr>
      </w:pPr>
      <w:r w:rsidRPr="00160A97">
        <w:rPr>
          <w:color w:val="auto"/>
          <w:highlight w:val="yellow"/>
        </w:rPr>
        <w:t xml:space="preserve">Place the blade edge right behind the rear edge (from user's view) of the specimen and </w:t>
      </w:r>
    </w:p>
    <w:p w:rsidR="00F948D8" w:rsidRDefault="00F948D8" w:rsidP="00F948D8">
      <w:pPr>
        <w:pStyle w:val="NormalWeb"/>
        <w:spacing w:before="0" w:beforeAutospacing="0" w:after="0" w:afterAutospacing="0"/>
        <w:rPr>
          <w:color w:val="auto"/>
        </w:rPr>
      </w:pPr>
      <w:proofErr w:type="gramStart"/>
      <w:r w:rsidRPr="00160A97">
        <w:rPr>
          <w:color w:val="auto"/>
          <w:highlight w:val="yellow"/>
        </w:rPr>
        <w:t>define</w:t>
      </w:r>
      <w:proofErr w:type="gramEnd"/>
      <w:r w:rsidRPr="00160A97">
        <w:rPr>
          <w:color w:val="auto"/>
          <w:highlight w:val="yellow"/>
        </w:rPr>
        <w:t xml:space="preserve"> it as a starting point. Use forward command to define the ending point after the front edge of the specimen.</w:t>
      </w:r>
    </w:p>
    <w:p w:rsidR="00F948D8" w:rsidRDefault="00F948D8" w:rsidP="00F948D8">
      <w:pPr>
        <w:pStyle w:val="NormalWeb"/>
        <w:spacing w:before="0" w:beforeAutospacing="0" w:after="0" w:afterAutospacing="0"/>
        <w:rPr>
          <w:color w:val="auto"/>
        </w:rPr>
      </w:pPr>
    </w:p>
    <w:p w:rsidR="00F948D8" w:rsidRPr="00160A97" w:rsidRDefault="00F948D8" w:rsidP="00F948D8">
      <w:pPr>
        <w:pStyle w:val="NormalWeb"/>
        <w:numPr>
          <w:ilvl w:val="1"/>
          <w:numId w:val="7"/>
        </w:numPr>
        <w:spacing w:before="0" w:beforeAutospacing="0" w:after="0" w:afterAutospacing="0"/>
        <w:ind w:left="0" w:firstLine="0"/>
        <w:rPr>
          <w:color w:val="auto"/>
          <w:highlight w:val="yellow"/>
        </w:rPr>
      </w:pPr>
      <w:r w:rsidRPr="00160A97">
        <w:rPr>
          <w:color w:val="auto"/>
          <w:highlight w:val="yellow"/>
        </w:rPr>
        <w:t>Select sectioning speed at 2.5 and sectioning frequency at 8. Select trimming</w:t>
      </w:r>
    </w:p>
    <w:p w:rsidR="00F948D8" w:rsidRPr="00160A97" w:rsidRDefault="00F948D8" w:rsidP="00F948D8">
      <w:pPr>
        <w:widowControl/>
        <w:jc w:val="left"/>
        <w:rPr>
          <w:color w:val="auto"/>
          <w:highlight w:val="yellow"/>
        </w:rPr>
      </w:pPr>
      <w:proofErr w:type="gramStart"/>
      <w:r w:rsidRPr="00160A97">
        <w:rPr>
          <w:color w:val="auto"/>
          <w:highlight w:val="yellow"/>
        </w:rPr>
        <w:t>thickness</w:t>
      </w:r>
      <w:proofErr w:type="gramEnd"/>
      <w:r w:rsidRPr="00160A97">
        <w:rPr>
          <w:color w:val="auto"/>
          <w:highlight w:val="yellow"/>
        </w:rPr>
        <w:t xml:space="preserve"> at 180 µm. Start tissue sectioning.</w:t>
      </w:r>
    </w:p>
    <w:p w:rsidR="00F948D8" w:rsidRPr="00160A97" w:rsidRDefault="00F948D8" w:rsidP="00F948D8">
      <w:pPr>
        <w:widowControl/>
        <w:jc w:val="left"/>
        <w:rPr>
          <w:color w:val="auto"/>
          <w:highlight w:val="yellow"/>
        </w:rPr>
      </w:pPr>
    </w:p>
    <w:p w:rsidR="00F948D8" w:rsidRPr="00160A97" w:rsidRDefault="00F948D8" w:rsidP="00F948D8">
      <w:pPr>
        <w:pStyle w:val="ListParagraph"/>
        <w:widowControl/>
        <w:numPr>
          <w:ilvl w:val="1"/>
          <w:numId w:val="7"/>
        </w:numPr>
        <w:ind w:left="0" w:firstLine="0"/>
        <w:jc w:val="left"/>
        <w:rPr>
          <w:color w:val="auto"/>
          <w:highlight w:val="yellow"/>
        </w:rPr>
      </w:pPr>
      <w:r w:rsidRPr="00160A97">
        <w:rPr>
          <w:color w:val="auto"/>
          <w:highlight w:val="yellow"/>
        </w:rPr>
        <w:t>Pick up each section using a wide-bore glass truncated Pasteur pipette and transfer to HBSS-containing Petri dish (Ø 35 mm) kept on ice.</w:t>
      </w:r>
    </w:p>
    <w:p w:rsidR="00F948D8" w:rsidRDefault="00F948D8" w:rsidP="00F948D8">
      <w:pPr>
        <w:pStyle w:val="ListParagraph"/>
        <w:widowControl/>
        <w:ind w:left="0"/>
        <w:jc w:val="left"/>
        <w:rPr>
          <w:color w:val="auto"/>
        </w:rPr>
      </w:pPr>
    </w:p>
    <w:p w:rsidR="00F948D8" w:rsidRPr="00AB53E0" w:rsidRDefault="00D51565" w:rsidP="00AB53E0">
      <w:pPr>
        <w:pStyle w:val="NormalWeb"/>
        <w:numPr>
          <w:ilvl w:val="1"/>
          <w:numId w:val="7"/>
        </w:numPr>
        <w:spacing w:before="0" w:beforeAutospacing="0" w:after="0" w:afterAutospacing="0"/>
        <w:ind w:left="0" w:firstLine="0"/>
        <w:rPr>
          <w:color w:val="auto"/>
        </w:rPr>
      </w:pPr>
      <w:r w:rsidRPr="00407750">
        <w:rPr>
          <w:color w:val="auto"/>
        </w:rPr>
        <w:t>Using two #5 forceps, r</w:t>
      </w:r>
      <w:r w:rsidR="00F948D8" w:rsidRPr="00407750">
        <w:rPr>
          <w:color w:val="auto"/>
        </w:rPr>
        <w:t>emove the meninges carefully from the cerebellum when interfering with the blade.</w:t>
      </w:r>
      <w:r w:rsidR="00407750">
        <w:rPr>
          <w:color w:val="auto"/>
        </w:rPr>
        <w:t xml:space="preserve"> </w:t>
      </w:r>
      <w:r w:rsidR="00C35002" w:rsidRPr="00407750">
        <w:rPr>
          <w:color w:val="auto"/>
        </w:rPr>
        <w:t>Collect a maximum of 5 slices</w:t>
      </w:r>
      <w:r w:rsidRPr="00407750">
        <w:rPr>
          <w:color w:val="auto"/>
        </w:rPr>
        <w:t xml:space="preserve"> per cerebellum</w:t>
      </w:r>
      <w:r w:rsidR="0097336F">
        <w:rPr>
          <w:color w:val="auto"/>
        </w:rPr>
        <w:t xml:space="preserve"> </w:t>
      </w:r>
      <w:r w:rsidR="00F948D8" w:rsidRPr="00AB53E0">
        <w:rPr>
          <w:color w:val="auto"/>
        </w:rPr>
        <w:t>(Figure 2B, C)</w:t>
      </w:r>
      <w:r w:rsidR="0097336F">
        <w:rPr>
          <w:color w:val="auto"/>
        </w:rPr>
        <w:t>.</w:t>
      </w:r>
    </w:p>
    <w:p w:rsidR="00F948D8" w:rsidRDefault="00F948D8" w:rsidP="00F948D8">
      <w:pPr>
        <w:pStyle w:val="NormalWeb"/>
        <w:spacing w:before="0" w:beforeAutospacing="0" w:after="0" w:afterAutospacing="0"/>
        <w:rPr>
          <w:color w:val="auto"/>
        </w:rPr>
      </w:pPr>
    </w:p>
    <w:p w:rsidR="00F948D8" w:rsidRDefault="00F948D8" w:rsidP="00F948D8">
      <w:pPr>
        <w:pStyle w:val="NormalWeb"/>
        <w:numPr>
          <w:ilvl w:val="1"/>
          <w:numId w:val="7"/>
        </w:numPr>
        <w:spacing w:before="0" w:beforeAutospacing="0" w:after="0" w:afterAutospacing="0"/>
        <w:ind w:left="0" w:firstLine="0"/>
        <w:rPr>
          <w:color w:val="auto"/>
        </w:rPr>
      </w:pPr>
      <w:r w:rsidRPr="00F948D8">
        <w:rPr>
          <w:color w:val="auto"/>
        </w:rPr>
        <w:t xml:space="preserve">Remove the meninges from the cerebellar slices carefully with two #5 </w:t>
      </w:r>
      <w:r w:rsidR="00D51565">
        <w:rPr>
          <w:color w:val="auto"/>
        </w:rPr>
        <w:t xml:space="preserve">forceps </w:t>
      </w:r>
      <w:r w:rsidRPr="00F948D8">
        <w:rPr>
          <w:color w:val="auto"/>
        </w:rPr>
        <w:t>under the stereomicroscope and separate the lobules gently for better probe loading.</w:t>
      </w:r>
    </w:p>
    <w:p w:rsidR="00F948D8" w:rsidRDefault="00F948D8">
      <w:pPr>
        <w:pStyle w:val="NormalWeb"/>
        <w:spacing w:before="0" w:beforeAutospacing="0" w:after="0" w:afterAutospacing="0"/>
        <w:rPr>
          <w:color w:val="auto"/>
        </w:rPr>
      </w:pPr>
    </w:p>
    <w:p w:rsidR="00F948D8" w:rsidRPr="00AB53E0" w:rsidRDefault="00F948D8" w:rsidP="00F948D8">
      <w:pPr>
        <w:pStyle w:val="NormalWeb"/>
        <w:numPr>
          <w:ilvl w:val="0"/>
          <w:numId w:val="7"/>
        </w:numPr>
        <w:spacing w:before="0" w:beforeAutospacing="0" w:after="0" w:afterAutospacing="0"/>
        <w:ind w:left="0" w:firstLine="0"/>
        <w:rPr>
          <w:color w:val="auto"/>
          <w:highlight w:val="yellow"/>
        </w:rPr>
      </w:pPr>
      <w:r w:rsidRPr="00407750">
        <w:rPr>
          <w:color w:val="auto"/>
          <w:highlight w:val="yellow"/>
        </w:rPr>
        <w:t>Fluorescent staining of living interneurons</w:t>
      </w:r>
    </w:p>
    <w:p w:rsidR="00F948D8" w:rsidRDefault="00F948D8">
      <w:pPr>
        <w:pStyle w:val="NormalWeb"/>
        <w:spacing w:before="0" w:beforeAutospacing="0" w:after="0" w:afterAutospacing="0"/>
        <w:rPr>
          <w:color w:val="auto"/>
        </w:rPr>
      </w:pPr>
    </w:p>
    <w:p w:rsidR="00F948D8" w:rsidRPr="00160A97" w:rsidRDefault="00F948D8" w:rsidP="00F948D8">
      <w:pPr>
        <w:pStyle w:val="NormalWeb"/>
        <w:numPr>
          <w:ilvl w:val="1"/>
          <w:numId w:val="7"/>
        </w:numPr>
        <w:spacing w:before="0" w:beforeAutospacing="0" w:after="0" w:afterAutospacing="0"/>
        <w:ind w:left="0" w:firstLine="0"/>
        <w:rPr>
          <w:color w:val="auto"/>
          <w:highlight w:val="yellow"/>
        </w:rPr>
      </w:pPr>
      <w:r w:rsidRPr="00160A97">
        <w:rPr>
          <w:color w:val="auto"/>
          <w:highlight w:val="yellow"/>
        </w:rPr>
        <w:t>Transfer cerebellar slices with a wide-bore glass truncated Pasteur pipette to a 6-well plate (max 3 slices/per well). Aspirate the HBSS medium.</w:t>
      </w:r>
    </w:p>
    <w:p w:rsidR="00F948D8" w:rsidRPr="00160A97" w:rsidRDefault="00F948D8" w:rsidP="00F948D8">
      <w:pPr>
        <w:pStyle w:val="NormalWeb"/>
        <w:spacing w:before="0" w:beforeAutospacing="0" w:after="0" w:afterAutospacing="0"/>
        <w:rPr>
          <w:color w:val="auto"/>
          <w:highlight w:val="yellow"/>
        </w:rPr>
      </w:pPr>
    </w:p>
    <w:p w:rsidR="00F948D8" w:rsidRPr="00160A97" w:rsidRDefault="00F948D8" w:rsidP="00F948D8">
      <w:pPr>
        <w:pStyle w:val="NormalWeb"/>
        <w:numPr>
          <w:ilvl w:val="1"/>
          <w:numId w:val="7"/>
        </w:numPr>
        <w:spacing w:before="0" w:beforeAutospacing="0" w:after="0" w:afterAutospacing="0"/>
        <w:ind w:left="0" w:firstLine="0"/>
        <w:rPr>
          <w:color w:val="auto"/>
          <w:highlight w:val="yellow"/>
        </w:rPr>
      </w:pPr>
      <w:r w:rsidRPr="00160A97">
        <w:rPr>
          <w:color w:val="auto"/>
          <w:highlight w:val="yellow"/>
        </w:rPr>
        <w:t xml:space="preserve">Incubate slices (3 max) in 5 </w:t>
      </w:r>
      <w:r w:rsidR="00B1112D" w:rsidRPr="00160A97">
        <w:rPr>
          <w:color w:val="auto"/>
          <w:highlight w:val="yellow"/>
        </w:rPr>
        <w:t>m</w:t>
      </w:r>
      <w:r w:rsidR="00B1112D">
        <w:rPr>
          <w:color w:val="auto"/>
          <w:highlight w:val="yellow"/>
        </w:rPr>
        <w:t>L</w:t>
      </w:r>
      <w:r w:rsidR="00B1112D" w:rsidRPr="00160A97">
        <w:rPr>
          <w:color w:val="auto"/>
          <w:highlight w:val="yellow"/>
        </w:rPr>
        <w:t xml:space="preserve"> </w:t>
      </w:r>
      <w:r w:rsidRPr="00160A97">
        <w:rPr>
          <w:color w:val="auto"/>
          <w:highlight w:val="yellow"/>
        </w:rPr>
        <w:t xml:space="preserve">of loading solution of </w:t>
      </w:r>
      <w:r w:rsidR="00C35002" w:rsidRPr="00160A97">
        <w:rPr>
          <w:color w:val="auto"/>
          <w:highlight w:val="yellow"/>
        </w:rPr>
        <w:t>the fluorescent dye</w:t>
      </w:r>
      <w:r w:rsidRPr="00160A97">
        <w:rPr>
          <w:color w:val="auto"/>
          <w:highlight w:val="yellow"/>
        </w:rPr>
        <w:t xml:space="preserve"> (10 µM).</w:t>
      </w:r>
    </w:p>
    <w:p w:rsidR="00F948D8" w:rsidRPr="00160A97" w:rsidRDefault="00F948D8" w:rsidP="00F948D8">
      <w:pPr>
        <w:pStyle w:val="NormalWeb"/>
        <w:spacing w:before="0" w:beforeAutospacing="0" w:after="0" w:afterAutospacing="0"/>
        <w:rPr>
          <w:color w:val="auto"/>
          <w:highlight w:val="yellow"/>
        </w:rPr>
      </w:pPr>
    </w:p>
    <w:p w:rsidR="00F948D8" w:rsidRPr="00160A97" w:rsidRDefault="00F948D8" w:rsidP="00F948D8">
      <w:pPr>
        <w:pStyle w:val="NormalWeb"/>
        <w:numPr>
          <w:ilvl w:val="1"/>
          <w:numId w:val="7"/>
        </w:numPr>
        <w:spacing w:before="0" w:beforeAutospacing="0" w:after="0" w:afterAutospacing="0"/>
        <w:ind w:left="0" w:firstLine="0"/>
        <w:rPr>
          <w:color w:val="auto"/>
          <w:highlight w:val="yellow"/>
        </w:rPr>
      </w:pPr>
      <w:r w:rsidRPr="00160A97">
        <w:rPr>
          <w:color w:val="auto"/>
          <w:highlight w:val="yellow"/>
        </w:rPr>
        <w:t>To protect from light, cover the microplate with aluminum foil</w:t>
      </w:r>
      <w:r w:rsidR="006A5543">
        <w:rPr>
          <w:color w:val="auto"/>
          <w:highlight w:val="yellow"/>
        </w:rPr>
        <w:t>.</w:t>
      </w:r>
      <w:r w:rsidRPr="00160A97">
        <w:rPr>
          <w:color w:val="auto"/>
          <w:highlight w:val="yellow"/>
        </w:rPr>
        <w:t xml:space="preserve"> </w:t>
      </w:r>
      <w:r w:rsidR="006A5543">
        <w:rPr>
          <w:color w:val="auto"/>
          <w:highlight w:val="yellow"/>
        </w:rPr>
        <w:t>P</w:t>
      </w:r>
      <w:r w:rsidR="006A5543" w:rsidRPr="00160A97">
        <w:rPr>
          <w:color w:val="auto"/>
          <w:highlight w:val="yellow"/>
        </w:rPr>
        <w:t xml:space="preserve">ut </w:t>
      </w:r>
      <w:r w:rsidRPr="00160A97">
        <w:rPr>
          <w:color w:val="auto"/>
          <w:highlight w:val="yellow"/>
        </w:rPr>
        <w:t xml:space="preserve">it on a </w:t>
      </w:r>
      <w:r w:rsidR="008B2FE3" w:rsidRPr="00160A97">
        <w:rPr>
          <w:color w:val="auto"/>
          <w:highlight w:val="yellow"/>
        </w:rPr>
        <w:t>gyro-</w:t>
      </w:r>
      <w:r w:rsidRPr="00160A97">
        <w:rPr>
          <w:color w:val="auto"/>
          <w:highlight w:val="yellow"/>
        </w:rPr>
        <w:t>moving table</w:t>
      </w:r>
      <w:r w:rsidR="008B2FE3" w:rsidRPr="00160A97">
        <w:rPr>
          <w:color w:val="auto"/>
          <w:highlight w:val="yellow"/>
        </w:rPr>
        <w:t xml:space="preserve"> at 35 rpm</w:t>
      </w:r>
      <w:r w:rsidRPr="00160A97">
        <w:rPr>
          <w:color w:val="auto"/>
          <w:highlight w:val="yellow"/>
        </w:rPr>
        <w:t xml:space="preserve"> for 10 min at room temperature</w:t>
      </w:r>
      <w:r w:rsidR="006A5543">
        <w:rPr>
          <w:color w:val="auto"/>
          <w:highlight w:val="yellow"/>
        </w:rPr>
        <w:t xml:space="preserve"> to facilitate cell labeling</w:t>
      </w:r>
      <w:r w:rsidRPr="00160A97">
        <w:rPr>
          <w:color w:val="auto"/>
          <w:highlight w:val="yellow"/>
        </w:rPr>
        <w:t>.</w:t>
      </w:r>
    </w:p>
    <w:p w:rsidR="00F948D8" w:rsidRPr="00160A97" w:rsidRDefault="00F948D8" w:rsidP="00F948D8">
      <w:pPr>
        <w:pStyle w:val="NormalWeb"/>
        <w:spacing w:before="0" w:beforeAutospacing="0" w:after="0" w:afterAutospacing="0"/>
        <w:rPr>
          <w:color w:val="auto"/>
          <w:highlight w:val="yellow"/>
        </w:rPr>
      </w:pPr>
    </w:p>
    <w:p w:rsidR="00F948D8" w:rsidRPr="00160A97" w:rsidRDefault="00F948D8" w:rsidP="00F948D8">
      <w:pPr>
        <w:pStyle w:val="NormalWeb"/>
        <w:numPr>
          <w:ilvl w:val="1"/>
          <w:numId w:val="7"/>
        </w:numPr>
        <w:spacing w:before="0" w:beforeAutospacing="0" w:after="0" w:afterAutospacing="0"/>
        <w:ind w:left="0" w:firstLine="0"/>
        <w:rPr>
          <w:color w:val="auto"/>
          <w:highlight w:val="yellow"/>
        </w:rPr>
      </w:pPr>
      <w:r w:rsidRPr="00160A97">
        <w:rPr>
          <w:color w:val="auto"/>
          <w:highlight w:val="yellow"/>
        </w:rPr>
        <w:t xml:space="preserve">Transfer slices on the membrane of a Transwell insert </w:t>
      </w:r>
      <w:r w:rsidR="009C7E1C" w:rsidRPr="00160A97">
        <w:rPr>
          <w:color w:val="auto"/>
          <w:highlight w:val="yellow"/>
        </w:rPr>
        <w:t>(</w:t>
      </w:r>
      <w:r w:rsidR="009C7E1C" w:rsidRPr="00160A97">
        <w:rPr>
          <w:bCs/>
          <w:color w:val="auto"/>
          <w:highlight w:val="yellow"/>
        </w:rPr>
        <w:t xml:space="preserve">3.0 µm pore size; </w:t>
      </w:r>
      <w:r w:rsidRPr="00160A97">
        <w:rPr>
          <w:color w:val="auto"/>
          <w:highlight w:val="yellow"/>
        </w:rPr>
        <w:t>Figure 2D) with a wide-bore glass truncated Pasteur pipette. Aspirate the loading medium with pipette.</w:t>
      </w:r>
    </w:p>
    <w:p w:rsidR="00F948D8" w:rsidRPr="00160A97" w:rsidRDefault="00F948D8" w:rsidP="00F948D8">
      <w:pPr>
        <w:pStyle w:val="NormalWeb"/>
        <w:spacing w:before="0" w:beforeAutospacing="0" w:after="0" w:afterAutospacing="0"/>
        <w:rPr>
          <w:color w:val="auto"/>
          <w:highlight w:val="yellow"/>
        </w:rPr>
      </w:pPr>
    </w:p>
    <w:p w:rsidR="00F948D8" w:rsidRPr="00160A97" w:rsidRDefault="00F948D8" w:rsidP="00F948D8">
      <w:pPr>
        <w:pStyle w:val="NormalWeb"/>
        <w:numPr>
          <w:ilvl w:val="1"/>
          <w:numId w:val="7"/>
        </w:numPr>
        <w:spacing w:before="0" w:beforeAutospacing="0" w:after="0" w:afterAutospacing="0"/>
        <w:ind w:left="0" w:firstLine="0"/>
        <w:rPr>
          <w:color w:val="auto"/>
          <w:highlight w:val="yellow"/>
        </w:rPr>
      </w:pPr>
      <w:r w:rsidRPr="00160A97">
        <w:rPr>
          <w:color w:val="auto"/>
          <w:highlight w:val="yellow"/>
        </w:rPr>
        <w:t xml:space="preserve">Remove the insert and fill the well with 1.9 </w:t>
      </w:r>
      <w:r w:rsidR="00B1112D" w:rsidRPr="00160A97">
        <w:rPr>
          <w:color w:val="auto"/>
          <w:highlight w:val="yellow"/>
        </w:rPr>
        <w:t>m</w:t>
      </w:r>
      <w:r w:rsidR="00B1112D">
        <w:rPr>
          <w:color w:val="auto"/>
          <w:highlight w:val="yellow"/>
        </w:rPr>
        <w:t>L</w:t>
      </w:r>
      <w:r w:rsidR="00B1112D" w:rsidRPr="00160A97">
        <w:rPr>
          <w:color w:val="auto"/>
          <w:highlight w:val="yellow"/>
        </w:rPr>
        <w:t xml:space="preserve"> </w:t>
      </w:r>
      <w:r w:rsidRPr="00160A97">
        <w:rPr>
          <w:color w:val="auto"/>
          <w:highlight w:val="yellow"/>
        </w:rPr>
        <w:t xml:space="preserve">of DMEM. Replace the insert and add 100 </w:t>
      </w:r>
      <w:r w:rsidR="00B1112D" w:rsidRPr="00160A97">
        <w:rPr>
          <w:color w:val="auto"/>
          <w:highlight w:val="yellow"/>
        </w:rPr>
        <w:t>µ</w:t>
      </w:r>
      <w:r w:rsidR="00B1112D">
        <w:rPr>
          <w:color w:val="auto"/>
          <w:highlight w:val="yellow"/>
        </w:rPr>
        <w:t>L</w:t>
      </w:r>
      <w:r w:rsidR="00B1112D" w:rsidRPr="00160A97">
        <w:rPr>
          <w:color w:val="auto"/>
          <w:highlight w:val="yellow"/>
        </w:rPr>
        <w:t xml:space="preserve"> </w:t>
      </w:r>
      <w:r w:rsidRPr="00160A97">
        <w:rPr>
          <w:color w:val="auto"/>
          <w:highlight w:val="yellow"/>
        </w:rPr>
        <w:t xml:space="preserve">of DMEM on top of the slice to cover the tissue. </w:t>
      </w:r>
    </w:p>
    <w:p w:rsidR="00F948D8" w:rsidRPr="00160A97" w:rsidRDefault="00F948D8" w:rsidP="00F948D8">
      <w:pPr>
        <w:pStyle w:val="NormalWeb"/>
        <w:spacing w:before="0" w:beforeAutospacing="0" w:after="0" w:afterAutospacing="0"/>
        <w:rPr>
          <w:color w:val="auto"/>
          <w:highlight w:val="yellow"/>
        </w:rPr>
      </w:pPr>
    </w:p>
    <w:p w:rsidR="00F948D8" w:rsidRDefault="00F948D8" w:rsidP="00F948D8">
      <w:pPr>
        <w:pStyle w:val="NormalWeb"/>
        <w:numPr>
          <w:ilvl w:val="1"/>
          <w:numId w:val="7"/>
        </w:numPr>
        <w:spacing w:before="0" w:beforeAutospacing="0" w:after="0" w:afterAutospacing="0"/>
        <w:ind w:left="0" w:firstLine="0"/>
        <w:rPr>
          <w:color w:val="auto"/>
        </w:rPr>
      </w:pPr>
      <w:r w:rsidRPr="00160A97">
        <w:rPr>
          <w:color w:val="auto"/>
          <w:highlight w:val="yellow"/>
        </w:rPr>
        <w:t>Place the plate containing the culture inserts in the incubator chamber (37 °C, 5% CO</w:t>
      </w:r>
      <w:r w:rsidRPr="00160A97">
        <w:rPr>
          <w:color w:val="auto"/>
          <w:highlight w:val="yellow"/>
          <w:vertAlign w:val="subscript"/>
        </w:rPr>
        <w:t>2</w:t>
      </w:r>
      <w:r w:rsidRPr="00160A97">
        <w:rPr>
          <w:color w:val="auto"/>
          <w:highlight w:val="yellow"/>
        </w:rPr>
        <w:t xml:space="preserve">) for 2 h which is sufficient to observe GCs in the ML. </w:t>
      </w:r>
      <w:r w:rsidRPr="008661FF">
        <w:rPr>
          <w:color w:val="auto"/>
        </w:rPr>
        <w:t>Lie tissues flat to allow attachment on the insert membrane (Figure 2E). Ensure that slices are not drying.</w:t>
      </w:r>
      <w:r w:rsidRPr="00F948D8">
        <w:rPr>
          <w:color w:val="auto"/>
        </w:rPr>
        <w:t xml:space="preserve"> </w:t>
      </w:r>
    </w:p>
    <w:p w:rsidR="00F948D8" w:rsidRDefault="00F948D8" w:rsidP="00F948D8">
      <w:pPr>
        <w:pStyle w:val="NormalWeb"/>
        <w:spacing w:before="0" w:beforeAutospacing="0" w:after="0" w:afterAutospacing="0"/>
        <w:rPr>
          <w:color w:val="auto"/>
        </w:rPr>
      </w:pPr>
    </w:p>
    <w:p w:rsidR="00F948D8" w:rsidRPr="00CE5288" w:rsidRDefault="00F948D8" w:rsidP="00F948D8">
      <w:pPr>
        <w:pStyle w:val="NormalWeb"/>
        <w:numPr>
          <w:ilvl w:val="0"/>
          <w:numId w:val="7"/>
        </w:numPr>
        <w:spacing w:before="0" w:beforeAutospacing="0" w:after="0" w:afterAutospacing="0"/>
        <w:ind w:left="0" w:firstLine="0"/>
        <w:rPr>
          <w:color w:val="auto"/>
          <w:highlight w:val="yellow"/>
        </w:rPr>
      </w:pPr>
      <w:r w:rsidRPr="00CE5288">
        <w:rPr>
          <w:i/>
          <w:color w:val="auto"/>
          <w:highlight w:val="yellow"/>
        </w:rPr>
        <w:t>Ex vivo</w:t>
      </w:r>
      <w:r w:rsidRPr="00CE5288">
        <w:rPr>
          <w:color w:val="auto"/>
          <w:highlight w:val="yellow"/>
        </w:rPr>
        <w:t xml:space="preserve"> imaging through confocal macroscopy</w:t>
      </w:r>
    </w:p>
    <w:p w:rsidR="00F948D8" w:rsidRDefault="00F948D8">
      <w:pPr>
        <w:pStyle w:val="NormalWeb"/>
        <w:spacing w:before="0" w:beforeAutospacing="0" w:after="0" w:afterAutospacing="0"/>
        <w:rPr>
          <w:color w:val="auto"/>
        </w:rPr>
      </w:pPr>
    </w:p>
    <w:p w:rsidR="00F948D8" w:rsidRPr="008661FF" w:rsidRDefault="00F948D8" w:rsidP="00F948D8">
      <w:pPr>
        <w:pStyle w:val="NormalWeb"/>
        <w:numPr>
          <w:ilvl w:val="1"/>
          <w:numId w:val="7"/>
        </w:numPr>
        <w:spacing w:before="0" w:beforeAutospacing="0" w:after="0" w:afterAutospacing="0"/>
        <w:ind w:left="0" w:firstLine="0"/>
        <w:rPr>
          <w:color w:val="auto"/>
          <w:highlight w:val="yellow"/>
        </w:rPr>
      </w:pPr>
      <w:r w:rsidRPr="008661FF">
        <w:rPr>
          <w:color w:val="auto"/>
          <w:highlight w:val="yellow"/>
        </w:rPr>
        <w:t xml:space="preserve">Transfer the plate without the plastic lid into an incubator attached to the stand of a confocal macroscope. Place a glass cover on the plate insert of the macroscope. Keep the temperature of the chamber at 37.0 </w:t>
      </w:r>
      <w:r w:rsidR="00B1112D" w:rsidRPr="008661FF">
        <w:rPr>
          <w:color w:val="auto"/>
          <w:highlight w:val="yellow"/>
        </w:rPr>
        <w:t>°C</w:t>
      </w:r>
      <w:r w:rsidR="00B1112D" w:rsidRPr="008661FF">
        <w:rPr>
          <w:color w:val="auto"/>
          <w:highlight w:val="yellow"/>
        </w:rPr>
        <w:t xml:space="preserve"> </w:t>
      </w:r>
      <w:r w:rsidRPr="008661FF">
        <w:rPr>
          <w:color w:val="auto"/>
          <w:highlight w:val="yellow"/>
        </w:rPr>
        <w:t>± 0.5 °C, and supply the slices with constant gas flow (95% O</w:t>
      </w:r>
      <w:r w:rsidRPr="008661FF">
        <w:rPr>
          <w:color w:val="auto"/>
          <w:highlight w:val="yellow"/>
          <w:vertAlign w:val="subscript"/>
        </w:rPr>
        <w:t>2</w:t>
      </w:r>
      <w:r w:rsidRPr="008661FF">
        <w:rPr>
          <w:color w:val="auto"/>
          <w:highlight w:val="yellow"/>
        </w:rPr>
        <w:t>, 5% CO</w:t>
      </w:r>
      <w:r w:rsidRPr="008661FF">
        <w:rPr>
          <w:color w:val="auto"/>
          <w:highlight w:val="yellow"/>
          <w:vertAlign w:val="subscript"/>
        </w:rPr>
        <w:t>2</w:t>
      </w:r>
      <w:r w:rsidRPr="008661FF">
        <w:rPr>
          <w:color w:val="auto"/>
          <w:highlight w:val="yellow"/>
        </w:rPr>
        <w:t>) through the plate insert</w:t>
      </w:r>
      <w:r w:rsidR="00702AAA">
        <w:rPr>
          <w:color w:val="auto"/>
          <w:highlight w:val="yellow"/>
        </w:rPr>
        <w:t xml:space="preserve"> to maintain the pH constant</w:t>
      </w:r>
      <w:r w:rsidRPr="008661FF">
        <w:rPr>
          <w:color w:val="auto"/>
          <w:highlight w:val="yellow"/>
        </w:rPr>
        <w:t xml:space="preserve">. </w:t>
      </w:r>
      <w:r w:rsidRPr="008661FF">
        <w:rPr>
          <w:color w:val="auto"/>
        </w:rPr>
        <w:t>Wait for 2 additional hours before time-lapse experiment.</w:t>
      </w:r>
    </w:p>
    <w:p w:rsidR="00F948D8" w:rsidRDefault="00F948D8" w:rsidP="00F948D8">
      <w:pPr>
        <w:pStyle w:val="NormalWeb"/>
        <w:spacing w:before="0" w:beforeAutospacing="0" w:after="0" w:afterAutospacing="0"/>
        <w:rPr>
          <w:color w:val="auto"/>
        </w:rPr>
      </w:pPr>
    </w:p>
    <w:p w:rsidR="00F948D8" w:rsidRPr="008661FF" w:rsidRDefault="00F948D8" w:rsidP="00F948D8">
      <w:pPr>
        <w:pStyle w:val="NormalWeb"/>
        <w:numPr>
          <w:ilvl w:val="1"/>
          <w:numId w:val="7"/>
        </w:numPr>
        <w:spacing w:before="0" w:beforeAutospacing="0" w:after="0" w:afterAutospacing="0"/>
        <w:ind w:left="0" w:firstLine="0"/>
        <w:rPr>
          <w:color w:val="auto"/>
          <w:highlight w:val="yellow"/>
        </w:rPr>
      </w:pPr>
      <w:r w:rsidRPr="008661FF">
        <w:rPr>
          <w:color w:val="auto"/>
          <w:highlight w:val="yellow"/>
        </w:rPr>
        <w:t>To visualize GC migration in the tissue slices, illuminate the preparation with a 488-nm wavelength light by means of a laser diode through a confocal laser scanning macroscope equipped with a X</w:t>
      </w:r>
      <w:r w:rsidR="003B5697">
        <w:rPr>
          <w:color w:val="auto"/>
          <w:highlight w:val="yellow"/>
        </w:rPr>
        <w:t>2</w:t>
      </w:r>
      <w:r w:rsidRPr="008661FF">
        <w:rPr>
          <w:color w:val="auto"/>
          <w:highlight w:val="yellow"/>
        </w:rPr>
        <w:t xml:space="preserve"> dry objective (working distance: 39 mm, diameter: 58 mm</w:t>
      </w:r>
      <w:r w:rsidR="00A27280">
        <w:rPr>
          <w:color w:val="auto"/>
          <w:highlight w:val="yellow"/>
        </w:rPr>
        <w:t>, NA=0.234</w:t>
      </w:r>
      <w:r w:rsidRPr="008661FF">
        <w:rPr>
          <w:color w:val="auto"/>
          <w:highlight w:val="yellow"/>
        </w:rPr>
        <w:t xml:space="preserve">), and detect fluorescence emission from 500 to 530 nm. </w:t>
      </w:r>
    </w:p>
    <w:p w:rsidR="00F948D8" w:rsidRPr="008661FF" w:rsidRDefault="00F948D8" w:rsidP="00F948D8">
      <w:pPr>
        <w:pStyle w:val="ListParagraph"/>
        <w:rPr>
          <w:color w:val="auto"/>
          <w:highlight w:val="yellow"/>
        </w:rPr>
      </w:pPr>
    </w:p>
    <w:p w:rsidR="00F948D8" w:rsidRPr="008661FF" w:rsidRDefault="00F948D8" w:rsidP="00F948D8">
      <w:pPr>
        <w:pStyle w:val="NormalWeb"/>
        <w:numPr>
          <w:ilvl w:val="2"/>
          <w:numId w:val="11"/>
        </w:numPr>
        <w:spacing w:before="0" w:beforeAutospacing="0" w:after="0" w:afterAutospacing="0"/>
        <w:ind w:left="0" w:firstLine="0"/>
        <w:rPr>
          <w:color w:val="auto"/>
          <w:highlight w:val="yellow"/>
        </w:rPr>
      </w:pPr>
      <w:r w:rsidRPr="008661FF">
        <w:rPr>
          <w:color w:val="auto"/>
          <w:highlight w:val="yellow"/>
        </w:rPr>
        <w:t xml:space="preserve">To finely resolve the movement of GCs, acquire images with an additional optical zoom factor of 1.5 to 2.0. </w:t>
      </w:r>
      <w:r w:rsidRPr="008661FF">
        <w:rPr>
          <w:color w:val="auto"/>
        </w:rPr>
        <w:t>Collect images of GNs in a single focal plane or up to 10 different focal planes along the z-axis every 30 min for up to 12 hours.</w:t>
      </w:r>
    </w:p>
    <w:p w:rsidR="00F948D8" w:rsidRPr="00F948D8" w:rsidRDefault="00F948D8" w:rsidP="00F948D8">
      <w:pPr>
        <w:pStyle w:val="NormalWeb"/>
        <w:spacing w:before="0" w:beforeAutospacing="0" w:after="0" w:afterAutospacing="0"/>
        <w:rPr>
          <w:color w:val="auto"/>
        </w:rPr>
      </w:pPr>
    </w:p>
    <w:p w:rsidR="00F948D8" w:rsidRDefault="00F948D8" w:rsidP="00F948D8">
      <w:pPr>
        <w:pStyle w:val="NormalWeb"/>
        <w:numPr>
          <w:ilvl w:val="1"/>
          <w:numId w:val="7"/>
        </w:numPr>
        <w:spacing w:before="0" w:beforeAutospacing="0" w:after="0" w:afterAutospacing="0"/>
        <w:ind w:left="0" w:firstLine="0"/>
        <w:rPr>
          <w:color w:val="auto"/>
        </w:rPr>
      </w:pPr>
      <w:r w:rsidRPr="00F948D8">
        <w:rPr>
          <w:color w:val="auto"/>
        </w:rPr>
        <w:t xml:space="preserve">When </w:t>
      </w:r>
      <w:r w:rsidR="00EB3CC2">
        <w:rPr>
          <w:color w:val="auto"/>
        </w:rPr>
        <w:t>necessary</w:t>
      </w:r>
      <w:r w:rsidRPr="00F948D8">
        <w:rPr>
          <w:color w:val="auto"/>
        </w:rPr>
        <w:t>, remove the glass cover and add small volumes</w:t>
      </w:r>
      <w:r w:rsidR="00EB3CC2">
        <w:rPr>
          <w:color w:val="auto"/>
        </w:rPr>
        <w:t xml:space="preserve"> (1-10 </w:t>
      </w:r>
      <w:r w:rsidR="00B1112D">
        <w:rPr>
          <w:color w:val="auto"/>
        </w:rPr>
        <w:t>µ</w:t>
      </w:r>
      <w:r w:rsidR="00B1112D">
        <w:rPr>
          <w:color w:val="auto"/>
        </w:rPr>
        <w:t>L</w:t>
      </w:r>
      <w:r w:rsidR="00EB3CC2">
        <w:rPr>
          <w:color w:val="auto"/>
        </w:rPr>
        <w:t>)</w:t>
      </w:r>
      <w:r w:rsidRPr="00F948D8">
        <w:rPr>
          <w:color w:val="auto"/>
        </w:rPr>
        <w:t xml:space="preserve"> of biological activators or inhibitors</w:t>
      </w:r>
      <w:r w:rsidR="00EB3CC2">
        <w:rPr>
          <w:color w:val="auto"/>
        </w:rPr>
        <w:t xml:space="preserve"> in DMEM with a 10 </w:t>
      </w:r>
      <w:r w:rsidR="00B1112D">
        <w:rPr>
          <w:color w:val="auto"/>
        </w:rPr>
        <w:t>µ</w:t>
      </w:r>
      <w:r w:rsidR="00B1112D">
        <w:rPr>
          <w:color w:val="auto"/>
        </w:rPr>
        <w:t>L</w:t>
      </w:r>
      <w:r w:rsidR="00B1112D">
        <w:rPr>
          <w:color w:val="auto"/>
        </w:rPr>
        <w:t xml:space="preserve"> </w:t>
      </w:r>
      <w:r w:rsidR="00EB3CC2">
        <w:rPr>
          <w:color w:val="auto"/>
        </w:rPr>
        <w:t>pipette</w:t>
      </w:r>
      <w:r w:rsidRPr="00F948D8">
        <w:rPr>
          <w:color w:val="auto"/>
        </w:rPr>
        <w:t xml:space="preserve"> to study their effect on GC migration. </w:t>
      </w:r>
    </w:p>
    <w:p w:rsidR="00F948D8" w:rsidRDefault="00F948D8">
      <w:pPr>
        <w:pStyle w:val="NormalWeb"/>
        <w:spacing w:before="0" w:beforeAutospacing="0" w:after="0" w:afterAutospacing="0"/>
        <w:rPr>
          <w:color w:val="auto"/>
        </w:rPr>
      </w:pPr>
    </w:p>
    <w:p w:rsidR="00F948D8" w:rsidRPr="00702AAA" w:rsidRDefault="00DE0E67" w:rsidP="00F948D8">
      <w:pPr>
        <w:pStyle w:val="NormalWeb"/>
        <w:numPr>
          <w:ilvl w:val="0"/>
          <w:numId w:val="7"/>
        </w:numPr>
        <w:spacing w:before="0" w:beforeAutospacing="0" w:after="0" w:afterAutospacing="0"/>
        <w:ind w:left="0" w:firstLine="0"/>
        <w:rPr>
          <w:color w:val="auto"/>
          <w:highlight w:val="yellow"/>
        </w:rPr>
      </w:pPr>
      <w:r w:rsidRPr="00DE0E67">
        <w:rPr>
          <w:color w:val="auto"/>
          <w:highlight w:val="yellow"/>
        </w:rPr>
        <w:t>Cell tracking</w:t>
      </w:r>
    </w:p>
    <w:p w:rsidR="00F948D8" w:rsidRPr="00702AAA" w:rsidRDefault="00F948D8" w:rsidP="00F948D8">
      <w:pPr>
        <w:pStyle w:val="NormalWeb"/>
        <w:spacing w:before="0" w:beforeAutospacing="0" w:after="0" w:afterAutospacing="0"/>
        <w:rPr>
          <w:color w:val="auto"/>
          <w:highlight w:val="yellow"/>
        </w:rPr>
      </w:pPr>
    </w:p>
    <w:p w:rsidR="00AB53E0" w:rsidRPr="00702AAA" w:rsidRDefault="00DE0E67" w:rsidP="00F948D8">
      <w:pPr>
        <w:pStyle w:val="ListParagraph"/>
        <w:numPr>
          <w:ilvl w:val="1"/>
          <w:numId w:val="7"/>
        </w:numPr>
        <w:ind w:left="0" w:firstLine="0"/>
        <w:rPr>
          <w:color w:val="auto"/>
          <w:highlight w:val="yellow"/>
        </w:rPr>
      </w:pPr>
      <w:r w:rsidRPr="00DE0E67">
        <w:rPr>
          <w:color w:val="auto"/>
          <w:highlight w:val="yellow"/>
        </w:rPr>
        <w:t xml:space="preserve">For each time of the movie, perform z-stack projection through the ecart-type mode in ImageJ. Modulate the contrast and the brightness levels of the successive images to facilitate the identification and the tracking of labeled GCs. Map manually each position on the reference snapshot (at t=0). </w:t>
      </w:r>
    </w:p>
    <w:p w:rsidR="00AB53E0" w:rsidRPr="00702AAA" w:rsidRDefault="00AB53E0" w:rsidP="00AB53E0">
      <w:pPr>
        <w:pStyle w:val="ListParagraph"/>
        <w:ind w:left="0"/>
        <w:rPr>
          <w:color w:val="auto"/>
          <w:highlight w:val="yellow"/>
        </w:rPr>
      </w:pPr>
    </w:p>
    <w:p w:rsidR="00F948D8" w:rsidRPr="00702AAA" w:rsidRDefault="00DE0E67" w:rsidP="00AB53E0">
      <w:pPr>
        <w:pStyle w:val="ListParagraph"/>
        <w:numPr>
          <w:ilvl w:val="2"/>
          <w:numId w:val="12"/>
        </w:numPr>
        <w:ind w:left="0" w:firstLine="0"/>
        <w:rPr>
          <w:color w:val="auto"/>
          <w:highlight w:val="yellow"/>
        </w:rPr>
      </w:pPr>
      <w:r w:rsidRPr="00DE0E67">
        <w:rPr>
          <w:color w:val="auto"/>
          <w:highlight w:val="yellow"/>
        </w:rPr>
        <w:t>Use the “Manual tracking” plugin in the Analyse Particle Menu and determine by clicking the gravity point of each cell</w:t>
      </w:r>
      <w:r w:rsidR="00702AAA">
        <w:rPr>
          <w:color w:val="auto"/>
          <w:highlight w:val="yellow"/>
        </w:rPr>
        <w:t xml:space="preserve"> body</w:t>
      </w:r>
      <w:r w:rsidRPr="00DE0E67">
        <w:rPr>
          <w:color w:val="auto"/>
          <w:highlight w:val="yellow"/>
        </w:rPr>
        <w:t xml:space="preserve"> during time-lapse. Export the raw tracking data in a spreadsheet. </w:t>
      </w:r>
    </w:p>
    <w:p w:rsidR="00F948D8" w:rsidRDefault="00F948D8" w:rsidP="00F948D8">
      <w:pPr>
        <w:pStyle w:val="ListParagraph"/>
        <w:ind w:left="0"/>
        <w:rPr>
          <w:color w:val="auto"/>
        </w:rPr>
      </w:pPr>
    </w:p>
    <w:p w:rsidR="00F948D8" w:rsidRPr="00F948D8" w:rsidRDefault="00F948D8" w:rsidP="00F948D8">
      <w:pPr>
        <w:pStyle w:val="ListParagraph"/>
        <w:numPr>
          <w:ilvl w:val="1"/>
          <w:numId w:val="7"/>
        </w:numPr>
        <w:ind w:left="0" w:firstLine="0"/>
        <w:rPr>
          <w:color w:val="auto"/>
        </w:rPr>
      </w:pPr>
      <w:r w:rsidRPr="00F948D8">
        <w:rPr>
          <w:color w:val="auto"/>
        </w:rPr>
        <w:t xml:space="preserve">Reorganize </w:t>
      </w:r>
      <w:r w:rsidR="005B355B">
        <w:rPr>
          <w:color w:val="auto"/>
        </w:rPr>
        <w:t xml:space="preserve">the exported raw </w:t>
      </w:r>
      <w:r w:rsidR="007A6135">
        <w:rPr>
          <w:color w:val="auto"/>
        </w:rPr>
        <w:t xml:space="preserve">tracking </w:t>
      </w:r>
      <w:r w:rsidRPr="00F948D8">
        <w:rPr>
          <w:color w:val="auto"/>
        </w:rPr>
        <w:t xml:space="preserve">data </w:t>
      </w:r>
      <w:r w:rsidR="005B355B">
        <w:rPr>
          <w:color w:val="auto"/>
        </w:rPr>
        <w:t xml:space="preserve">from ImageJ </w:t>
      </w:r>
      <w:r w:rsidRPr="00F948D8">
        <w:rPr>
          <w:color w:val="auto"/>
        </w:rPr>
        <w:t>with a smart home-made program</w:t>
      </w:r>
      <w:r w:rsidR="00E90D00">
        <w:rPr>
          <w:color w:val="auto"/>
        </w:rPr>
        <w:t xml:space="preserve"> (</w:t>
      </w:r>
      <w:hyperlink r:id="rId8" w:history="1">
        <w:r w:rsidR="00E90D00" w:rsidRPr="001340E8">
          <w:rPr>
            <w:rStyle w:val="Hyperlink"/>
          </w:rPr>
          <w:t>http://primacen.fr</w:t>
        </w:r>
      </w:hyperlink>
      <w:r w:rsidR="00E90D00">
        <w:rPr>
          <w:color w:val="auto"/>
        </w:rPr>
        <w:t>, written in PHP code)</w:t>
      </w:r>
      <w:r w:rsidR="005B355B">
        <w:rPr>
          <w:color w:val="auto"/>
        </w:rPr>
        <w:t xml:space="preserve"> that identify each cell and associated </w:t>
      </w:r>
      <w:r w:rsidR="005B355B">
        <w:rPr>
          <w:color w:val="auto"/>
        </w:rPr>
        <w:lastRenderedPageBreak/>
        <w:t>positions. Using the program, calculate</w:t>
      </w:r>
      <w:r w:rsidRPr="00F948D8">
        <w:rPr>
          <w:color w:val="auto"/>
        </w:rPr>
        <w:t xml:space="preserve"> </w:t>
      </w:r>
      <w:r w:rsidR="005B355B">
        <w:rPr>
          <w:color w:val="auto"/>
        </w:rPr>
        <w:t>the</w:t>
      </w:r>
      <w:r w:rsidRPr="00F948D8">
        <w:rPr>
          <w:color w:val="auto"/>
        </w:rPr>
        <w:t xml:space="preserve"> </w:t>
      </w:r>
      <w:r w:rsidR="005B355B">
        <w:rPr>
          <w:color w:val="auto"/>
        </w:rPr>
        <w:t xml:space="preserve">total </w:t>
      </w:r>
      <w:r w:rsidR="001D0542" w:rsidRPr="00F948D8">
        <w:rPr>
          <w:color w:val="auto"/>
        </w:rPr>
        <w:t>traveled</w:t>
      </w:r>
      <w:r w:rsidR="001D0542">
        <w:rPr>
          <w:color w:val="auto"/>
        </w:rPr>
        <w:t xml:space="preserve"> </w:t>
      </w:r>
      <w:r w:rsidR="005B355B">
        <w:rPr>
          <w:color w:val="auto"/>
        </w:rPr>
        <w:t xml:space="preserve">distance and the </w:t>
      </w:r>
      <w:r w:rsidRPr="00F948D8">
        <w:rPr>
          <w:color w:val="auto"/>
        </w:rPr>
        <w:t>average speed of migration</w:t>
      </w:r>
      <w:r w:rsidR="00E90D00">
        <w:rPr>
          <w:color w:val="auto"/>
        </w:rPr>
        <w:t xml:space="preserve"> for each cell</w:t>
      </w:r>
      <w:r w:rsidR="005B355B">
        <w:rPr>
          <w:color w:val="auto"/>
        </w:rPr>
        <w:t>. Classify and compare</w:t>
      </w:r>
      <w:r w:rsidR="001D0542">
        <w:rPr>
          <w:color w:val="auto"/>
        </w:rPr>
        <w:t xml:space="preserve"> characteristics of cell migration in control and treatment conditions</w:t>
      </w:r>
      <w:r w:rsidR="00E90D00">
        <w:rPr>
          <w:color w:val="auto"/>
        </w:rPr>
        <w:t xml:space="preserve"> under appropriate filters using the same program</w:t>
      </w:r>
      <w:r w:rsidRPr="00F948D8">
        <w:rPr>
          <w:color w:val="auto"/>
        </w:rPr>
        <w:t>.</w:t>
      </w:r>
    </w:p>
    <w:p w:rsidR="00F948D8" w:rsidRPr="00F948D8" w:rsidRDefault="00F948D8">
      <w:pPr>
        <w:rPr>
          <w:rFonts w:cs="Arial"/>
          <w:b/>
          <w:color w:val="auto"/>
        </w:rPr>
      </w:pPr>
    </w:p>
    <w:p w:rsidR="00F948D8" w:rsidRPr="00F948D8" w:rsidRDefault="00F948D8">
      <w:pPr>
        <w:rPr>
          <w:rFonts w:cs="Arial"/>
          <w:color w:val="auto"/>
        </w:rPr>
      </w:pPr>
      <w:r w:rsidRPr="00F948D8">
        <w:rPr>
          <w:rFonts w:cs="Arial"/>
          <w:b/>
          <w:color w:val="auto"/>
        </w:rPr>
        <w:t>REPRESENTATIVE RESULTS</w:t>
      </w:r>
      <w:r w:rsidRPr="00F948D8">
        <w:rPr>
          <w:rFonts w:cs="Arial"/>
          <w:b/>
          <w:bCs/>
          <w:color w:val="auto"/>
        </w:rPr>
        <w:t xml:space="preserve">: </w:t>
      </w:r>
    </w:p>
    <w:p w:rsidR="00F948D8" w:rsidRPr="00AD7B29" w:rsidRDefault="00F948D8">
      <w:pPr>
        <w:rPr>
          <w:color w:val="auto"/>
          <w:lang w:val="en-GB"/>
        </w:rPr>
      </w:pPr>
      <w:r w:rsidRPr="00F948D8">
        <w:rPr>
          <w:bCs/>
          <w:color w:val="auto"/>
        </w:rPr>
        <w:t>In the early postnatal cerebellum, GCs exhibit significant changes in their mode and speed of migration as they cross different cortical layers</w:t>
      </w:r>
      <w:r w:rsidRPr="00F948D8">
        <w:rPr>
          <w:bCs/>
          <w:color w:val="auto"/>
          <w:vertAlign w:val="superscript"/>
        </w:rPr>
        <w:t>1</w:t>
      </w:r>
      <w:r w:rsidRPr="00F948D8">
        <w:rPr>
          <w:bCs/>
          <w:color w:val="auto"/>
        </w:rPr>
        <w:t xml:space="preserve"> (Figure 1). </w:t>
      </w:r>
      <w:r w:rsidRPr="00F948D8">
        <w:rPr>
          <w:rFonts w:cs="Arial"/>
          <w:color w:val="auto"/>
        </w:rPr>
        <w:t xml:space="preserve">This section illustrates examples of results that can be obtained by studying GC migration </w:t>
      </w:r>
      <w:r w:rsidRPr="00F948D8">
        <w:rPr>
          <w:color w:val="auto"/>
        </w:rPr>
        <w:t>in their natural cellular milieu</w:t>
      </w:r>
      <w:r w:rsidRPr="00F948D8">
        <w:rPr>
          <w:rFonts w:cs="Arial"/>
          <w:color w:val="auto"/>
        </w:rPr>
        <w:t xml:space="preserve">. </w:t>
      </w:r>
      <w:r w:rsidRPr="00F948D8">
        <w:rPr>
          <w:color w:val="auto"/>
        </w:rPr>
        <w:t xml:space="preserve">P10 rat cerebellar tissue slices labeled with </w:t>
      </w:r>
      <w:r w:rsidR="00455156">
        <w:rPr>
          <w:color w:val="auto"/>
        </w:rPr>
        <w:t>a</w:t>
      </w:r>
      <w:r w:rsidRPr="00F948D8">
        <w:rPr>
          <w:color w:val="auto"/>
        </w:rPr>
        <w:t xml:space="preserve"> </w:t>
      </w:r>
      <w:r w:rsidR="00455156">
        <w:rPr>
          <w:color w:val="auto"/>
        </w:rPr>
        <w:t xml:space="preserve">green </w:t>
      </w:r>
      <w:r w:rsidRPr="00F948D8">
        <w:rPr>
          <w:color w:val="auto"/>
        </w:rPr>
        <w:t xml:space="preserve">fluorescent dye are examined under a confocal macroscope </w:t>
      </w:r>
      <w:r w:rsidRPr="00F948D8">
        <w:rPr>
          <w:bCs/>
          <w:color w:val="auto"/>
        </w:rPr>
        <w:t>(Figure 3A) and we show that GCs migrate radially in the ML with an average speed of 18 µm/h (Figure 3B, C). To date, the role of interactions/communications between neuronal and glial cells including the regulatory factors and</w:t>
      </w:r>
      <w:r w:rsidRPr="00F948D8">
        <w:rPr>
          <w:color w:val="auto"/>
        </w:rPr>
        <w:t xml:space="preserve"> molecular mechanisms involved in the control of cell migration in each cortical layer are largely unknown. Consequently, t</w:t>
      </w:r>
      <w:r w:rsidRPr="00F948D8">
        <w:rPr>
          <w:bCs/>
          <w:color w:val="auto"/>
        </w:rPr>
        <w:t xml:space="preserve">he main issue is to identify neuropeptides, neurotransmitters, neurotrophins and extracellular matrix components that could play a role in these cortical layer-specific changes of the speed during their migration process. </w:t>
      </w:r>
      <w:r w:rsidR="00AD7B29" w:rsidRPr="00AD7B29">
        <w:rPr>
          <w:color w:val="auto"/>
        </w:rPr>
        <w:t>Pituitary adenylate cyclase-activating polypeptide (</w:t>
      </w:r>
      <w:r w:rsidRPr="00AD7B29">
        <w:rPr>
          <w:color w:val="auto"/>
          <w:lang w:val="en-GB"/>
        </w:rPr>
        <w:t>PACAP</w:t>
      </w:r>
      <w:r w:rsidR="00AD7B29" w:rsidRPr="00AD7B29">
        <w:rPr>
          <w:color w:val="auto"/>
          <w:lang w:val="en-GB"/>
        </w:rPr>
        <w:t>)</w:t>
      </w:r>
      <w:r w:rsidRPr="00AD7B29">
        <w:rPr>
          <w:color w:val="auto"/>
          <w:lang w:val="en-GB"/>
        </w:rPr>
        <w:t xml:space="preserve"> is </w:t>
      </w:r>
      <w:r w:rsidR="00AD7B29">
        <w:rPr>
          <w:color w:val="auto"/>
          <w:lang w:val="en-GB"/>
        </w:rPr>
        <w:t>detected mainly in the PCL, but also in</w:t>
      </w:r>
      <w:r w:rsidRPr="00AD7B29">
        <w:rPr>
          <w:color w:val="auto"/>
          <w:lang w:val="en-GB"/>
        </w:rPr>
        <w:t xml:space="preserve"> the ML</w:t>
      </w:r>
      <w:r w:rsidR="00A27280">
        <w:rPr>
          <w:color w:val="auto"/>
          <w:lang w:val="en-GB"/>
        </w:rPr>
        <w:t xml:space="preserve"> </w:t>
      </w:r>
      <w:r w:rsidR="00AD7B29">
        <w:rPr>
          <w:color w:val="auto"/>
          <w:lang w:val="en-GB"/>
        </w:rPr>
        <w:t xml:space="preserve">and </w:t>
      </w:r>
      <w:r w:rsidRPr="00AD7B29">
        <w:rPr>
          <w:color w:val="auto"/>
          <w:lang w:val="en-GB"/>
        </w:rPr>
        <w:t>the IGL</w:t>
      </w:r>
      <w:r w:rsidR="00AD7B29">
        <w:rPr>
          <w:color w:val="auto"/>
          <w:lang w:val="en-GB"/>
        </w:rPr>
        <w:t xml:space="preserve"> during the first two postnatal weeks in rodents</w:t>
      </w:r>
      <w:r w:rsidRPr="00AD7B29">
        <w:rPr>
          <w:color w:val="auto"/>
          <w:vertAlign w:val="superscript"/>
          <w:lang w:val="en-GB"/>
        </w:rPr>
        <w:t>7</w:t>
      </w:r>
      <w:proofErr w:type="gramStart"/>
      <w:r w:rsidRPr="00AD7B29">
        <w:rPr>
          <w:color w:val="auto"/>
          <w:vertAlign w:val="superscript"/>
          <w:lang w:val="en-GB"/>
        </w:rPr>
        <w:t>,10,11</w:t>
      </w:r>
      <w:proofErr w:type="gramEnd"/>
      <w:r w:rsidRPr="00AD7B29">
        <w:rPr>
          <w:color w:val="auto"/>
          <w:lang w:val="en-GB"/>
        </w:rPr>
        <w:t>.</w:t>
      </w:r>
      <w:r w:rsidRPr="00AD7B29">
        <w:rPr>
          <w:color w:val="auto"/>
        </w:rPr>
        <w:t xml:space="preserve"> </w:t>
      </w:r>
      <w:r w:rsidR="00AD7B29" w:rsidRPr="00AD7B29">
        <w:rPr>
          <w:color w:val="auto"/>
        </w:rPr>
        <w:t>A</w:t>
      </w:r>
      <w:r w:rsidR="00AD7B29">
        <w:rPr>
          <w:color w:val="auto"/>
        </w:rPr>
        <w:t>pplic</w:t>
      </w:r>
      <w:r w:rsidR="00AD7B29" w:rsidRPr="00AD7B29">
        <w:rPr>
          <w:color w:val="auto"/>
        </w:rPr>
        <w:t xml:space="preserve">ation </w:t>
      </w:r>
      <w:r w:rsidRPr="00AD7B29">
        <w:rPr>
          <w:color w:val="auto"/>
        </w:rPr>
        <w:t>of PACAP38 (10</w:t>
      </w:r>
      <w:r w:rsidRPr="00AD7B29">
        <w:rPr>
          <w:color w:val="auto"/>
          <w:vertAlign w:val="superscript"/>
        </w:rPr>
        <w:t>-6</w:t>
      </w:r>
      <w:r w:rsidRPr="00AD7B29">
        <w:rPr>
          <w:color w:val="auto"/>
        </w:rPr>
        <w:t xml:space="preserve"> M) to the culture medium </w:t>
      </w:r>
      <w:r w:rsidR="00AD7B29">
        <w:rPr>
          <w:color w:val="auto"/>
        </w:rPr>
        <w:t>resulted in</w:t>
      </w:r>
      <w:r w:rsidR="00AD7B29" w:rsidRPr="00AD7B29">
        <w:rPr>
          <w:color w:val="auto"/>
        </w:rPr>
        <w:t xml:space="preserve"> </w:t>
      </w:r>
      <w:r w:rsidR="00AD7B29">
        <w:rPr>
          <w:color w:val="auto"/>
        </w:rPr>
        <w:t xml:space="preserve">a 79% speed </w:t>
      </w:r>
      <w:r w:rsidRPr="00AD7B29">
        <w:rPr>
          <w:color w:val="auto"/>
        </w:rPr>
        <w:t xml:space="preserve">decrease of the GC in the ML. For example, the migration </w:t>
      </w:r>
      <w:r w:rsidR="00AD7B29">
        <w:rPr>
          <w:color w:val="auto"/>
        </w:rPr>
        <w:t>velocity</w:t>
      </w:r>
      <w:r w:rsidR="00AD7B29" w:rsidRPr="00AD7B29">
        <w:rPr>
          <w:color w:val="auto"/>
        </w:rPr>
        <w:t xml:space="preserve"> </w:t>
      </w:r>
      <w:r w:rsidRPr="00AD7B29">
        <w:rPr>
          <w:color w:val="auto"/>
        </w:rPr>
        <w:t xml:space="preserve">of GCs in the ML dropped from 11.9 µm/h in control conditions to 2.5 µm/h after </w:t>
      </w:r>
      <w:r w:rsidR="00AD7B29">
        <w:rPr>
          <w:color w:val="auto"/>
        </w:rPr>
        <w:t>administration</w:t>
      </w:r>
      <w:r w:rsidR="00AD7B29" w:rsidRPr="00AD7B29">
        <w:rPr>
          <w:color w:val="auto"/>
        </w:rPr>
        <w:t xml:space="preserve"> </w:t>
      </w:r>
      <w:r w:rsidRPr="00AD7B29">
        <w:rPr>
          <w:color w:val="auto"/>
        </w:rPr>
        <w:t>of PACAP38 (Figure 4A). Tissue-type plasminogen activator (</w:t>
      </w:r>
      <w:r w:rsidRPr="00AD7B29">
        <w:rPr>
          <w:color w:val="auto"/>
          <w:lang w:val="en-GB"/>
        </w:rPr>
        <w:t>tPA)</w:t>
      </w:r>
      <w:r w:rsidRPr="00AD7B29">
        <w:rPr>
          <w:color w:val="auto"/>
          <w:lang w:eastAsia="ja-JP"/>
        </w:rPr>
        <w:t xml:space="preserve"> is </w:t>
      </w:r>
      <w:r w:rsidR="00AD7B29">
        <w:rPr>
          <w:color w:val="auto"/>
          <w:lang w:eastAsia="ja-JP"/>
        </w:rPr>
        <w:t>a member of the proteolytic cascade</w:t>
      </w:r>
      <w:r w:rsidR="00AD7B29" w:rsidRPr="00AD7B29">
        <w:rPr>
          <w:color w:val="auto"/>
          <w:lang w:eastAsia="ja-JP"/>
        </w:rPr>
        <w:t xml:space="preserve"> </w:t>
      </w:r>
      <w:r w:rsidR="005072B8">
        <w:rPr>
          <w:color w:val="auto"/>
          <w:lang w:eastAsia="ja-JP"/>
        </w:rPr>
        <w:t>that leads to</w:t>
      </w:r>
      <w:r w:rsidRPr="00AD7B29">
        <w:rPr>
          <w:color w:val="auto"/>
          <w:lang w:eastAsia="ja-JP"/>
        </w:rPr>
        <w:t xml:space="preserve"> </w:t>
      </w:r>
      <w:r w:rsidR="005072B8">
        <w:rPr>
          <w:color w:val="auto"/>
          <w:lang w:eastAsia="ja-JP"/>
        </w:rPr>
        <w:t xml:space="preserve">the </w:t>
      </w:r>
      <w:r w:rsidRPr="00AD7B29">
        <w:rPr>
          <w:color w:val="auto"/>
          <w:lang w:eastAsia="ja-JP"/>
        </w:rPr>
        <w:t>degrad</w:t>
      </w:r>
      <w:r w:rsidR="005072B8">
        <w:rPr>
          <w:color w:val="auto"/>
          <w:lang w:eastAsia="ja-JP"/>
        </w:rPr>
        <w:t>ation of the</w:t>
      </w:r>
      <w:r w:rsidR="00DD3056">
        <w:rPr>
          <w:color w:val="auto"/>
          <w:lang w:eastAsia="ja-JP"/>
        </w:rPr>
        <w:t xml:space="preserve"> </w:t>
      </w:r>
      <w:r w:rsidRPr="00AD7B29">
        <w:rPr>
          <w:color w:val="auto"/>
          <w:lang w:eastAsia="ja-JP"/>
        </w:rPr>
        <w:t>extracellular matrix (EM) components such as cell adhesion molecules or laminin</w:t>
      </w:r>
      <w:r w:rsidRPr="00AD7B29">
        <w:rPr>
          <w:color w:val="auto"/>
          <w:vertAlign w:val="superscript"/>
          <w:lang w:eastAsia="ja-JP"/>
        </w:rPr>
        <w:t>12</w:t>
      </w:r>
      <w:proofErr w:type="gramStart"/>
      <w:r w:rsidRPr="00AD7B29">
        <w:rPr>
          <w:color w:val="auto"/>
          <w:vertAlign w:val="superscript"/>
          <w:lang w:eastAsia="ja-JP"/>
        </w:rPr>
        <w:t>,13</w:t>
      </w:r>
      <w:proofErr w:type="gramEnd"/>
      <w:r w:rsidRPr="00AD7B29">
        <w:rPr>
          <w:color w:val="auto"/>
          <w:lang w:eastAsia="ja-JP"/>
        </w:rPr>
        <w:t xml:space="preserve">. </w:t>
      </w:r>
      <w:proofErr w:type="gramStart"/>
      <w:r w:rsidRPr="00AD7B29">
        <w:rPr>
          <w:color w:val="auto"/>
          <w:lang w:val="en-GB"/>
        </w:rPr>
        <w:t>tPA</w:t>
      </w:r>
      <w:proofErr w:type="gramEnd"/>
      <w:r w:rsidRPr="00AD7B29">
        <w:rPr>
          <w:color w:val="auto"/>
          <w:lang w:val="en-GB"/>
        </w:rPr>
        <w:t xml:space="preserve"> and </w:t>
      </w:r>
      <w:r w:rsidRPr="00AD7B29">
        <w:rPr>
          <w:color w:val="auto"/>
          <w:lang w:eastAsia="ja-JP"/>
        </w:rPr>
        <w:t>plasminogen</w:t>
      </w:r>
      <w:r w:rsidR="005072B8">
        <w:rPr>
          <w:color w:val="auto"/>
          <w:lang w:eastAsia="ja-JP"/>
        </w:rPr>
        <w:t>, a substrat</w:t>
      </w:r>
      <w:r w:rsidR="00012A8C">
        <w:rPr>
          <w:color w:val="auto"/>
          <w:lang w:eastAsia="ja-JP"/>
        </w:rPr>
        <w:t>e</w:t>
      </w:r>
      <w:r w:rsidR="005072B8">
        <w:rPr>
          <w:color w:val="auto"/>
          <w:lang w:eastAsia="ja-JP"/>
        </w:rPr>
        <w:t xml:space="preserve"> of tPA,</w:t>
      </w:r>
      <w:r w:rsidRPr="00AD7B29">
        <w:rPr>
          <w:color w:val="auto"/>
          <w:lang w:val="en-GB"/>
        </w:rPr>
        <w:t xml:space="preserve"> are detected in cortical layers during development of the postnatal cerebellum</w:t>
      </w:r>
      <w:r w:rsidRPr="00AD7B29">
        <w:rPr>
          <w:color w:val="auto"/>
          <w:vertAlign w:val="superscript"/>
          <w:lang w:val="en-GB"/>
        </w:rPr>
        <w:t>14,15,16</w:t>
      </w:r>
      <w:r w:rsidRPr="00AD7B29">
        <w:rPr>
          <w:color w:val="auto"/>
          <w:lang w:eastAsia="ja-JP"/>
        </w:rPr>
        <w:t>.</w:t>
      </w:r>
      <w:r w:rsidRPr="00AD7B29">
        <w:rPr>
          <w:color w:val="auto"/>
          <w:lang w:val="en-GB"/>
        </w:rPr>
        <w:t xml:space="preserve"> </w:t>
      </w:r>
      <w:r w:rsidR="005072B8">
        <w:rPr>
          <w:bCs/>
          <w:color w:val="auto"/>
        </w:rPr>
        <w:t>Administration</w:t>
      </w:r>
      <w:r w:rsidR="005072B8" w:rsidRPr="00AD7B29">
        <w:rPr>
          <w:bCs/>
          <w:color w:val="auto"/>
        </w:rPr>
        <w:t xml:space="preserve"> </w:t>
      </w:r>
      <w:r w:rsidRPr="00AD7B29">
        <w:rPr>
          <w:bCs/>
          <w:color w:val="auto"/>
        </w:rPr>
        <w:t>of PAI-1 (10</w:t>
      </w:r>
      <w:r w:rsidRPr="00AD7B29">
        <w:rPr>
          <w:bCs/>
          <w:color w:val="auto"/>
          <w:vertAlign w:val="superscript"/>
        </w:rPr>
        <w:t>-7</w:t>
      </w:r>
      <w:r w:rsidR="00AB53E0" w:rsidRPr="00AD7B29">
        <w:rPr>
          <w:bCs/>
          <w:color w:val="auto"/>
          <w:vertAlign w:val="superscript"/>
        </w:rPr>
        <w:t xml:space="preserve"> </w:t>
      </w:r>
      <w:r w:rsidRPr="00AD7B29">
        <w:rPr>
          <w:bCs/>
          <w:color w:val="auto"/>
        </w:rPr>
        <w:t xml:space="preserve">M), an inhibitor of endogenous </w:t>
      </w:r>
      <w:proofErr w:type="gramStart"/>
      <w:r w:rsidRPr="00AD7B29">
        <w:rPr>
          <w:bCs/>
          <w:color w:val="auto"/>
        </w:rPr>
        <w:t>tPA</w:t>
      </w:r>
      <w:proofErr w:type="gramEnd"/>
      <w:r w:rsidRPr="00AD7B29">
        <w:rPr>
          <w:bCs/>
          <w:color w:val="auto"/>
        </w:rPr>
        <w:t xml:space="preserve">, </w:t>
      </w:r>
      <w:r w:rsidR="005072B8">
        <w:rPr>
          <w:bCs/>
          <w:color w:val="auto"/>
        </w:rPr>
        <w:t>reduced by 78%</w:t>
      </w:r>
      <w:r w:rsidRPr="00AD7B29">
        <w:rPr>
          <w:bCs/>
          <w:color w:val="auto"/>
        </w:rPr>
        <w:t xml:space="preserve"> </w:t>
      </w:r>
      <w:r w:rsidR="005072B8">
        <w:rPr>
          <w:bCs/>
          <w:color w:val="auto"/>
        </w:rPr>
        <w:t xml:space="preserve">the </w:t>
      </w:r>
      <w:r w:rsidRPr="00AD7B29">
        <w:rPr>
          <w:bCs/>
          <w:color w:val="auto"/>
        </w:rPr>
        <w:t xml:space="preserve">GC migration in the ML. For example, GCs reduced migration speed in the ML from 19.2 µm/h in control conditions to 4.2 µm/h after addition of PAI-1 (Figure 4B). These results indicate </w:t>
      </w:r>
      <w:r w:rsidR="005072B8">
        <w:rPr>
          <w:bCs/>
          <w:color w:val="auto"/>
        </w:rPr>
        <w:t xml:space="preserve">that PACAP exerts a </w:t>
      </w:r>
      <w:r w:rsidRPr="00AD7B29">
        <w:rPr>
          <w:color w:val="auto"/>
          <w:lang w:val="en-GB" w:eastAsia="ja-JP"/>
        </w:rPr>
        <w:t xml:space="preserve">direct inhibitory effect on GC movements and </w:t>
      </w:r>
      <w:r w:rsidR="005072B8">
        <w:rPr>
          <w:color w:val="auto"/>
          <w:lang w:val="en-GB" w:eastAsia="ja-JP"/>
        </w:rPr>
        <w:t xml:space="preserve">that </w:t>
      </w:r>
      <w:r w:rsidR="005072B8" w:rsidRPr="00AD7B29">
        <w:rPr>
          <w:color w:val="auto"/>
          <w:lang w:val="en-GB" w:eastAsia="ja-JP"/>
        </w:rPr>
        <w:t xml:space="preserve">the serine protease </w:t>
      </w:r>
      <w:proofErr w:type="gramStart"/>
      <w:r w:rsidR="005072B8" w:rsidRPr="00AD7B29">
        <w:rPr>
          <w:color w:val="auto"/>
          <w:lang w:val="en-GB" w:eastAsia="ja-JP"/>
        </w:rPr>
        <w:t>tPA</w:t>
      </w:r>
      <w:proofErr w:type="gramEnd"/>
      <w:r w:rsidR="005072B8" w:rsidRPr="00AD7B29">
        <w:rPr>
          <w:color w:val="auto"/>
          <w:lang w:val="en-GB" w:eastAsia="ja-JP"/>
        </w:rPr>
        <w:t xml:space="preserve"> </w:t>
      </w:r>
      <w:r w:rsidR="005072B8">
        <w:rPr>
          <w:color w:val="auto"/>
          <w:lang w:val="en-GB" w:eastAsia="ja-JP"/>
        </w:rPr>
        <w:t>facilitates</w:t>
      </w:r>
      <w:r w:rsidRPr="00AD7B29">
        <w:rPr>
          <w:color w:val="auto"/>
          <w:lang w:val="en-GB" w:eastAsia="ja-JP"/>
        </w:rPr>
        <w:t xml:space="preserve"> </w:t>
      </w:r>
      <w:r w:rsidR="005072B8">
        <w:rPr>
          <w:color w:val="auto"/>
          <w:lang w:val="en-GB" w:eastAsia="ja-JP"/>
        </w:rPr>
        <w:t xml:space="preserve">the migration of </w:t>
      </w:r>
      <w:r w:rsidRPr="00AD7B29">
        <w:rPr>
          <w:color w:val="auto"/>
          <w:lang w:val="en-GB"/>
        </w:rPr>
        <w:t>GCs in the ML of the developing rat cerebellum.</w:t>
      </w:r>
    </w:p>
    <w:p w:rsidR="00F948D8" w:rsidRPr="00F948D8" w:rsidRDefault="00F948D8">
      <w:pPr>
        <w:rPr>
          <w:rFonts w:cs="Arial"/>
          <w:b/>
          <w:color w:val="auto"/>
        </w:rPr>
      </w:pPr>
    </w:p>
    <w:p w:rsidR="00F948D8" w:rsidRDefault="00F948D8">
      <w:pPr>
        <w:pStyle w:val="ListParagraph"/>
        <w:ind w:left="0"/>
        <w:rPr>
          <w:b/>
          <w:bCs/>
          <w:color w:val="auto"/>
        </w:rPr>
      </w:pPr>
      <w:r w:rsidRPr="00F948D8">
        <w:rPr>
          <w:b/>
          <w:bCs/>
          <w:color w:val="auto"/>
        </w:rPr>
        <w:t>Figure 1. 3D representation of GC migration in the postnatal cerebellar cortex. 1-4</w:t>
      </w:r>
      <w:r w:rsidRPr="00F948D8">
        <w:rPr>
          <w:bCs/>
          <w:color w:val="auto"/>
        </w:rPr>
        <w:t>, Extension of GC processes and tangential migration in the EGL.</w:t>
      </w:r>
      <w:r w:rsidRPr="00F948D8">
        <w:rPr>
          <w:b/>
          <w:bCs/>
          <w:color w:val="auto"/>
        </w:rPr>
        <w:t xml:space="preserve"> 5</w:t>
      </w:r>
      <w:r w:rsidRPr="00F948D8">
        <w:rPr>
          <w:bCs/>
          <w:color w:val="auto"/>
        </w:rPr>
        <w:t xml:space="preserve">, Radial migration in the ML along Bergmann glial fibers. </w:t>
      </w:r>
      <w:r w:rsidRPr="00F948D8">
        <w:rPr>
          <w:b/>
          <w:bCs/>
          <w:color w:val="auto"/>
        </w:rPr>
        <w:t>6</w:t>
      </w:r>
      <w:r w:rsidRPr="00F948D8">
        <w:rPr>
          <w:bCs/>
          <w:color w:val="auto"/>
        </w:rPr>
        <w:t xml:space="preserve">, Transient stationary phase in the PCL. </w:t>
      </w:r>
      <w:r w:rsidRPr="00F948D8">
        <w:rPr>
          <w:b/>
          <w:bCs/>
          <w:color w:val="auto"/>
        </w:rPr>
        <w:t>7</w:t>
      </w:r>
      <w:r w:rsidRPr="00F948D8">
        <w:rPr>
          <w:bCs/>
          <w:color w:val="auto"/>
        </w:rPr>
        <w:t xml:space="preserve">, Glial-independent radial migration in the IGL. </w:t>
      </w:r>
      <w:r w:rsidRPr="00F948D8">
        <w:rPr>
          <w:b/>
          <w:bCs/>
          <w:color w:val="auto"/>
        </w:rPr>
        <w:t>8</w:t>
      </w:r>
      <w:r w:rsidRPr="00F948D8">
        <w:rPr>
          <w:bCs/>
          <w:color w:val="auto"/>
        </w:rPr>
        <w:t xml:space="preserve">, Completion of GC migration in the IGL. </w:t>
      </w:r>
      <w:r w:rsidR="00DE0E67" w:rsidRPr="00DE0E67">
        <w:rPr>
          <w:b/>
          <w:bCs/>
          <w:color w:val="auto"/>
        </w:rPr>
        <w:t>GC</w:t>
      </w:r>
      <w:r w:rsidR="003F3492">
        <w:rPr>
          <w:bCs/>
          <w:color w:val="auto"/>
        </w:rPr>
        <w:t xml:space="preserve">, granule cell, in red; </w:t>
      </w:r>
      <w:r w:rsidRPr="00F948D8">
        <w:rPr>
          <w:b/>
          <w:bCs/>
          <w:color w:val="auto"/>
        </w:rPr>
        <w:t>EGL</w:t>
      </w:r>
      <w:r w:rsidRPr="00F948D8">
        <w:rPr>
          <w:bCs/>
          <w:color w:val="auto"/>
        </w:rPr>
        <w:t xml:space="preserve">, external granular layer; </w:t>
      </w:r>
      <w:r w:rsidRPr="00F948D8">
        <w:rPr>
          <w:b/>
          <w:bCs/>
          <w:color w:val="auto"/>
        </w:rPr>
        <w:t>B</w:t>
      </w:r>
      <w:r w:rsidRPr="00F948D8">
        <w:rPr>
          <w:bCs/>
          <w:color w:val="auto"/>
        </w:rPr>
        <w:t>, Bergmann glia</w:t>
      </w:r>
      <w:r w:rsidR="003F3492">
        <w:rPr>
          <w:bCs/>
          <w:color w:val="auto"/>
        </w:rPr>
        <w:t>, in dark purple</w:t>
      </w:r>
      <w:r w:rsidRPr="00F948D8">
        <w:rPr>
          <w:bCs/>
          <w:color w:val="auto"/>
        </w:rPr>
        <w:t xml:space="preserve">; </w:t>
      </w:r>
      <w:r w:rsidRPr="00F948D8">
        <w:rPr>
          <w:b/>
          <w:bCs/>
          <w:color w:val="auto"/>
        </w:rPr>
        <w:t>G</w:t>
      </w:r>
      <w:r w:rsidRPr="00F948D8">
        <w:rPr>
          <w:bCs/>
          <w:color w:val="auto"/>
        </w:rPr>
        <w:t>, Golgi cell</w:t>
      </w:r>
      <w:r w:rsidR="003F3492">
        <w:rPr>
          <w:bCs/>
          <w:color w:val="auto"/>
        </w:rPr>
        <w:t>, in yellow</w:t>
      </w:r>
      <w:r w:rsidRPr="00F948D8">
        <w:rPr>
          <w:bCs/>
          <w:color w:val="auto"/>
        </w:rPr>
        <w:t xml:space="preserve">; </w:t>
      </w:r>
      <w:r w:rsidRPr="00F948D8">
        <w:rPr>
          <w:b/>
          <w:bCs/>
          <w:color w:val="auto"/>
        </w:rPr>
        <w:t>cf</w:t>
      </w:r>
      <w:r w:rsidRPr="00F948D8">
        <w:rPr>
          <w:bCs/>
          <w:color w:val="auto"/>
        </w:rPr>
        <w:t>, climbing fibers</w:t>
      </w:r>
      <w:r w:rsidR="003F3492">
        <w:rPr>
          <w:bCs/>
          <w:color w:val="auto"/>
        </w:rPr>
        <w:t>, in blue</w:t>
      </w:r>
      <w:r w:rsidRPr="00F948D8">
        <w:rPr>
          <w:bCs/>
          <w:color w:val="auto"/>
        </w:rPr>
        <w:t xml:space="preserve">; </w:t>
      </w:r>
      <w:r w:rsidRPr="00F948D8">
        <w:rPr>
          <w:b/>
          <w:bCs/>
          <w:color w:val="auto"/>
        </w:rPr>
        <w:t>g</w:t>
      </w:r>
      <w:r w:rsidRPr="00F948D8">
        <w:rPr>
          <w:bCs/>
          <w:color w:val="auto"/>
        </w:rPr>
        <w:t>, postmigratory granule cells</w:t>
      </w:r>
      <w:r w:rsidR="003F3492">
        <w:rPr>
          <w:bCs/>
          <w:color w:val="auto"/>
        </w:rPr>
        <w:t>, in light green</w:t>
      </w:r>
      <w:r w:rsidRPr="00F948D8">
        <w:rPr>
          <w:bCs/>
          <w:color w:val="auto"/>
        </w:rPr>
        <w:t xml:space="preserve">; </w:t>
      </w:r>
      <w:r w:rsidRPr="00F948D8">
        <w:rPr>
          <w:b/>
          <w:bCs/>
          <w:color w:val="auto"/>
        </w:rPr>
        <w:t>IGL</w:t>
      </w:r>
      <w:r w:rsidRPr="00F948D8">
        <w:rPr>
          <w:bCs/>
          <w:color w:val="auto"/>
        </w:rPr>
        <w:t xml:space="preserve">, internal granular layer; </w:t>
      </w:r>
      <w:r w:rsidRPr="00F948D8">
        <w:rPr>
          <w:b/>
          <w:bCs/>
          <w:color w:val="auto"/>
        </w:rPr>
        <w:t>mft</w:t>
      </w:r>
      <w:r w:rsidRPr="00F948D8">
        <w:rPr>
          <w:bCs/>
          <w:color w:val="auto"/>
        </w:rPr>
        <w:t>, mossy fiber terminal</w:t>
      </w:r>
      <w:r w:rsidR="003F3492">
        <w:rPr>
          <w:bCs/>
          <w:color w:val="auto"/>
        </w:rPr>
        <w:t>, in dark green</w:t>
      </w:r>
      <w:r w:rsidRPr="00F948D8">
        <w:rPr>
          <w:bCs/>
          <w:color w:val="auto"/>
        </w:rPr>
        <w:t xml:space="preserve">; </w:t>
      </w:r>
      <w:r w:rsidRPr="00F948D8">
        <w:rPr>
          <w:b/>
          <w:bCs/>
          <w:color w:val="auto"/>
        </w:rPr>
        <w:t>ML</w:t>
      </w:r>
      <w:r w:rsidRPr="00F948D8">
        <w:rPr>
          <w:bCs/>
          <w:color w:val="auto"/>
        </w:rPr>
        <w:t xml:space="preserve">, molecular layer; </w:t>
      </w:r>
      <w:r w:rsidRPr="00F948D8">
        <w:rPr>
          <w:b/>
          <w:bCs/>
          <w:color w:val="auto"/>
        </w:rPr>
        <w:t>P</w:t>
      </w:r>
      <w:r w:rsidRPr="00F948D8">
        <w:rPr>
          <w:bCs/>
          <w:color w:val="auto"/>
        </w:rPr>
        <w:t>, Purkinje cell</w:t>
      </w:r>
      <w:r w:rsidR="003F3492">
        <w:rPr>
          <w:bCs/>
          <w:color w:val="auto"/>
        </w:rPr>
        <w:t>, in light purple</w:t>
      </w:r>
      <w:r w:rsidRPr="00F948D8">
        <w:rPr>
          <w:bCs/>
          <w:color w:val="auto"/>
        </w:rPr>
        <w:t xml:space="preserve">; </w:t>
      </w:r>
      <w:r w:rsidRPr="00F948D8">
        <w:rPr>
          <w:b/>
          <w:bCs/>
          <w:color w:val="auto"/>
        </w:rPr>
        <w:t>PCL</w:t>
      </w:r>
      <w:r w:rsidRPr="00F948D8">
        <w:rPr>
          <w:bCs/>
          <w:color w:val="auto"/>
        </w:rPr>
        <w:t xml:space="preserve">, Purkinje cell layer. </w:t>
      </w:r>
      <w:r w:rsidR="00160A97">
        <w:rPr>
          <w:bCs/>
          <w:color w:val="auto"/>
        </w:rPr>
        <w:t xml:space="preserve">This figure has been modified </w:t>
      </w:r>
      <w:r w:rsidR="00AB53E0" w:rsidRPr="00AB53E0">
        <w:rPr>
          <w:bCs/>
          <w:color w:val="auto"/>
          <w:vertAlign w:val="superscript"/>
        </w:rPr>
        <w:t>5</w:t>
      </w:r>
      <w:r w:rsidRPr="00F948D8">
        <w:rPr>
          <w:bCs/>
          <w:color w:val="auto"/>
        </w:rPr>
        <w:t>.</w:t>
      </w:r>
    </w:p>
    <w:p w:rsidR="00F948D8" w:rsidRDefault="00F948D8">
      <w:pPr>
        <w:pStyle w:val="ListParagraph"/>
        <w:ind w:left="0"/>
        <w:rPr>
          <w:b/>
          <w:bCs/>
          <w:color w:val="auto"/>
        </w:rPr>
      </w:pPr>
    </w:p>
    <w:p w:rsidR="00F948D8" w:rsidRDefault="00F948D8">
      <w:pPr>
        <w:pStyle w:val="ListParagraph"/>
        <w:ind w:left="0"/>
        <w:rPr>
          <w:bCs/>
          <w:color w:val="auto"/>
        </w:rPr>
      </w:pPr>
      <w:r w:rsidRPr="00F948D8">
        <w:rPr>
          <w:b/>
          <w:bCs/>
          <w:color w:val="auto"/>
        </w:rPr>
        <w:t xml:space="preserve">Figure 2. </w:t>
      </w:r>
      <w:r w:rsidRPr="00F948D8">
        <w:rPr>
          <w:b/>
          <w:bCs/>
          <w:i/>
          <w:color w:val="auto"/>
        </w:rPr>
        <w:t>Ex vivo</w:t>
      </w:r>
      <w:r w:rsidRPr="00F948D8">
        <w:rPr>
          <w:b/>
          <w:bCs/>
          <w:color w:val="auto"/>
        </w:rPr>
        <w:t xml:space="preserve"> culture of P10 cerebellar slices. (A) </w:t>
      </w:r>
      <w:r w:rsidRPr="00F948D8">
        <w:rPr>
          <w:bCs/>
          <w:color w:val="auto"/>
        </w:rPr>
        <w:t xml:space="preserve">Dissected cerebellum from P10 rat. </w:t>
      </w:r>
      <w:r w:rsidRPr="00F948D8">
        <w:rPr>
          <w:color w:val="auto"/>
        </w:rPr>
        <w:t>Scale bar = 6 mm.</w:t>
      </w:r>
      <w:r w:rsidRPr="00F948D8">
        <w:rPr>
          <w:bCs/>
          <w:color w:val="auto"/>
        </w:rPr>
        <w:t xml:space="preserve"> </w:t>
      </w:r>
      <w:r w:rsidRPr="00F948D8">
        <w:rPr>
          <w:b/>
          <w:bCs/>
          <w:color w:val="auto"/>
        </w:rPr>
        <w:t>(B)</w:t>
      </w:r>
      <w:r w:rsidRPr="00F948D8">
        <w:rPr>
          <w:bCs/>
          <w:color w:val="auto"/>
        </w:rPr>
        <w:t xml:space="preserve"> Micrograph of living 180 µm-thick cerebellar slice through stereomicroscopy. </w:t>
      </w:r>
      <w:r w:rsidRPr="00F948D8">
        <w:rPr>
          <w:color w:val="auto"/>
        </w:rPr>
        <w:t>Scale bar = 3 mm.</w:t>
      </w:r>
      <w:r w:rsidRPr="00F948D8">
        <w:rPr>
          <w:b/>
          <w:bCs/>
          <w:color w:val="auto"/>
        </w:rPr>
        <w:t xml:space="preserve"> (C)</w:t>
      </w:r>
      <w:r w:rsidRPr="00F948D8">
        <w:rPr>
          <w:bCs/>
          <w:color w:val="auto"/>
        </w:rPr>
        <w:t xml:space="preserve"> </w:t>
      </w:r>
      <w:proofErr w:type="gramStart"/>
      <w:r w:rsidRPr="00F948D8">
        <w:rPr>
          <w:bCs/>
          <w:color w:val="auto"/>
        </w:rPr>
        <w:t>At</w:t>
      </w:r>
      <w:proofErr w:type="gramEnd"/>
      <w:r w:rsidRPr="00F948D8">
        <w:rPr>
          <w:bCs/>
          <w:color w:val="auto"/>
        </w:rPr>
        <w:t xml:space="preserve"> a higher magnification, the four cortical layers (</w:t>
      </w:r>
      <w:r w:rsidRPr="00F948D8">
        <w:rPr>
          <w:b/>
          <w:bCs/>
          <w:color w:val="auto"/>
        </w:rPr>
        <w:t>EGL</w:t>
      </w:r>
      <w:r w:rsidRPr="00F948D8">
        <w:rPr>
          <w:bCs/>
          <w:color w:val="auto"/>
        </w:rPr>
        <w:t xml:space="preserve">, </w:t>
      </w:r>
      <w:r w:rsidRPr="00F948D8">
        <w:rPr>
          <w:b/>
          <w:bCs/>
          <w:color w:val="auto"/>
        </w:rPr>
        <w:t>ML</w:t>
      </w:r>
      <w:r w:rsidRPr="00F948D8">
        <w:rPr>
          <w:bCs/>
          <w:color w:val="auto"/>
        </w:rPr>
        <w:t xml:space="preserve">, </w:t>
      </w:r>
      <w:r w:rsidRPr="00F948D8">
        <w:rPr>
          <w:b/>
          <w:bCs/>
          <w:color w:val="auto"/>
        </w:rPr>
        <w:t>PCL</w:t>
      </w:r>
      <w:r w:rsidRPr="00F948D8">
        <w:rPr>
          <w:bCs/>
          <w:color w:val="auto"/>
        </w:rPr>
        <w:t xml:space="preserve">, </w:t>
      </w:r>
      <w:r w:rsidRPr="00F948D8">
        <w:rPr>
          <w:b/>
          <w:bCs/>
          <w:color w:val="auto"/>
        </w:rPr>
        <w:t>IGL</w:t>
      </w:r>
      <w:r w:rsidRPr="00F948D8">
        <w:rPr>
          <w:bCs/>
          <w:color w:val="auto"/>
        </w:rPr>
        <w:t xml:space="preserve">) of the cerebellum are already distinguishable. </w:t>
      </w:r>
      <w:r w:rsidRPr="00F948D8">
        <w:rPr>
          <w:color w:val="auto"/>
        </w:rPr>
        <w:t>Scale bar = 1 mm.</w:t>
      </w:r>
      <w:r w:rsidRPr="00F948D8">
        <w:rPr>
          <w:b/>
          <w:bCs/>
          <w:color w:val="auto"/>
        </w:rPr>
        <w:t xml:space="preserve"> (D)</w:t>
      </w:r>
      <w:r w:rsidRPr="00F948D8">
        <w:rPr>
          <w:bCs/>
          <w:color w:val="auto"/>
        </w:rPr>
        <w:t xml:space="preserve"> </w:t>
      </w:r>
      <w:proofErr w:type="gramStart"/>
      <w:r w:rsidRPr="00F948D8">
        <w:rPr>
          <w:bCs/>
          <w:color w:val="auto"/>
        </w:rPr>
        <w:t>After</w:t>
      </w:r>
      <w:proofErr w:type="gramEnd"/>
      <w:r w:rsidRPr="00F948D8">
        <w:rPr>
          <w:bCs/>
          <w:color w:val="auto"/>
        </w:rPr>
        <w:t xml:space="preserve"> fluorescent labeling, tissue slices are placed on culture inserts (24 mm diameter) into a 6-well plate. </w:t>
      </w:r>
      <w:r w:rsidRPr="00F948D8">
        <w:rPr>
          <w:b/>
          <w:bCs/>
          <w:color w:val="auto"/>
        </w:rPr>
        <w:t>(E)</w:t>
      </w:r>
      <w:r w:rsidRPr="00F948D8">
        <w:rPr>
          <w:bCs/>
          <w:color w:val="auto"/>
        </w:rPr>
        <w:t xml:space="preserve"> Schematic </w:t>
      </w:r>
      <w:r w:rsidRPr="00F948D8">
        <w:rPr>
          <w:bCs/>
          <w:color w:val="auto"/>
        </w:rPr>
        <w:lastRenderedPageBreak/>
        <w:t>representation of a culture insert with tissue culture treated polyester membrane</w:t>
      </w:r>
      <w:r w:rsidR="009C7E1C">
        <w:rPr>
          <w:bCs/>
          <w:color w:val="auto"/>
        </w:rPr>
        <w:t>.</w:t>
      </w:r>
      <w:r w:rsidRPr="00F948D8">
        <w:rPr>
          <w:bCs/>
          <w:color w:val="auto"/>
        </w:rPr>
        <w:t xml:space="preserve"> </w:t>
      </w:r>
    </w:p>
    <w:p w:rsidR="00F948D8" w:rsidRDefault="00F948D8">
      <w:pPr>
        <w:pStyle w:val="ListParagraph"/>
        <w:ind w:left="0"/>
        <w:rPr>
          <w:bCs/>
          <w:color w:val="auto"/>
        </w:rPr>
      </w:pPr>
      <w:r w:rsidRPr="00F948D8">
        <w:rPr>
          <w:bCs/>
          <w:color w:val="auto"/>
        </w:rPr>
        <w:t xml:space="preserve"> </w:t>
      </w:r>
    </w:p>
    <w:p w:rsidR="00F948D8" w:rsidRPr="00F948D8" w:rsidRDefault="00F948D8">
      <w:pPr>
        <w:pStyle w:val="ListParagraph"/>
        <w:ind w:left="0"/>
        <w:rPr>
          <w:color w:val="auto"/>
        </w:rPr>
      </w:pPr>
      <w:r w:rsidRPr="00F948D8">
        <w:rPr>
          <w:b/>
          <w:bCs/>
          <w:color w:val="auto"/>
        </w:rPr>
        <w:t>Figure 3. Dynamic migration of GCs in the cortical layers of rat P10 cerebellum. (A)</w:t>
      </w:r>
      <w:r w:rsidRPr="00F948D8">
        <w:rPr>
          <w:color w:val="auto"/>
        </w:rPr>
        <w:t xml:space="preserve"> Macroconfocal view (xyz, 2D projection) of a P10 rat cerebellar slice in which GCs are labeled with </w:t>
      </w:r>
      <w:r w:rsidR="00455156">
        <w:rPr>
          <w:color w:val="auto"/>
        </w:rPr>
        <w:t>a g</w:t>
      </w:r>
      <w:r w:rsidRPr="00F948D8">
        <w:rPr>
          <w:color w:val="auto"/>
        </w:rPr>
        <w:t>reen</w:t>
      </w:r>
      <w:r w:rsidR="00455156">
        <w:rPr>
          <w:color w:val="auto"/>
        </w:rPr>
        <w:t xml:space="preserve"> cytoplasmic fluorescent dye</w:t>
      </w:r>
      <w:r w:rsidRPr="00F948D8">
        <w:rPr>
          <w:color w:val="auto"/>
        </w:rPr>
        <w:t xml:space="preserve">. Scale bar = 75 µm. </w:t>
      </w:r>
      <w:r w:rsidRPr="00F948D8">
        <w:rPr>
          <w:b/>
          <w:color w:val="auto"/>
        </w:rPr>
        <w:t>(B)</w:t>
      </w:r>
      <w:r w:rsidRPr="00F948D8">
        <w:rPr>
          <w:color w:val="auto"/>
        </w:rPr>
        <w:t xml:space="preserve"> Time-lapse imaging showing GC movements in the ML by confocal macroscopy for 4 h in control conditions. Asterisk (*) symbol marks the GC soma. Elapsed time (in min) is indicated on the bottom of each photomicrograph. Scale bar = 10 µm. </w:t>
      </w:r>
      <w:r w:rsidRPr="00F948D8">
        <w:rPr>
          <w:b/>
          <w:color w:val="auto"/>
        </w:rPr>
        <w:t>(C)</w:t>
      </w:r>
      <w:r w:rsidRPr="00F948D8">
        <w:rPr>
          <w:color w:val="auto"/>
        </w:rPr>
        <w:t xml:space="preserve"> Sequential changes in the distance traveled by GC soma</w:t>
      </w:r>
      <w:r w:rsidR="009C7E1C">
        <w:rPr>
          <w:color w:val="auto"/>
        </w:rPr>
        <w:t>.</w:t>
      </w:r>
      <w:r w:rsidRPr="00F948D8">
        <w:rPr>
          <w:color w:val="auto"/>
        </w:rPr>
        <w:t xml:space="preserve"> </w:t>
      </w:r>
    </w:p>
    <w:p w:rsidR="00F948D8" w:rsidRPr="00F948D8" w:rsidRDefault="00F948D8">
      <w:pPr>
        <w:pStyle w:val="ListParagraph"/>
        <w:ind w:left="0"/>
        <w:rPr>
          <w:b/>
          <w:bCs/>
          <w:color w:val="auto"/>
        </w:rPr>
      </w:pPr>
    </w:p>
    <w:p w:rsidR="00F948D8" w:rsidRPr="00F948D8" w:rsidRDefault="00F948D8">
      <w:pPr>
        <w:pStyle w:val="ListParagraph"/>
        <w:ind w:left="0"/>
        <w:rPr>
          <w:b/>
          <w:bCs/>
          <w:color w:val="auto"/>
        </w:rPr>
      </w:pPr>
      <w:r w:rsidRPr="00F948D8">
        <w:rPr>
          <w:b/>
          <w:bCs/>
          <w:color w:val="auto"/>
        </w:rPr>
        <w:t>Figure 4. Effect of neuropeptide and protease inhibitor of GC migration. (A)</w:t>
      </w:r>
      <w:r w:rsidRPr="00F948D8">
        <w:rPr>
          <w:color w:val="auto"/>
        </w:rPr>
        <w:t xml:space="preserve"> GC was tracked in the ML by confocal macroscopy for 2 h in control conditions and then for 2 h in the presence of Pituitary adenylate cyclase-activating polypeptide (PACAP). </w:t>
      </w:r>
      <w:r w:rsidRPr="00F948D8">
        <w:rPr>
          <w:b/>
          <w:bCs/>
          <w:color w:val="auto"/>
        </w:rPr>
        <w:t>(B)</w:t>
      </w:r>
      <w:r w:rsidRPr="00F948D8">
        <w:rPr>
          <w:color w:val="auto"/>
        </w:rPr>
        <w:t xml:space="preserve"> GC was tracked in the ML by confocal macroscopy for 2 h in control conditions and then for 2 h in the presence of </w:t>
      </w:r>
      <w:r w:rsidRPr="00F948D8">
        <w:rPr>
          <w:color w:val="auto"/>
          <w:lang w:val="en-GB"/>
        </w:rPr>
        <w:t xml:space="preserve">plasminogen activator inhibitor-1 </w:t>
      </w:r>
      <w:r w:rsidRPr="00F948D8">
        <w:rPr>
          <w:color w:val="auto"/>
        </w:rPr>
        <w:t>(PAI-1)</w:t>
      </w:r>
      <w:r w:rsidR="009C7E1C">
        <w:rPr>
          <w:color w:val="auto"/>
        </w:rPr>
        <w:t>.</w:t>
      </w:r>
      <w:r w:rsidRPr="00F948D8">
        <w:rPr>
          <w:color w:val="auto"/>
        </w:rPr>
        <w:t xml:space="preserve"> </w:t>
      </w:r>
    </w:p>
    <w:p w:rsidR="00F948D8" w:rsidRDefault="00F948D8">
      <w:pPr>
        <w:rPr>
          <w:b/>
          <w:color w:val="auto"/>
        </w:rPr>
      </w:pPr>
    </w:p>
    <w:p w:rsidR="00F948D8" w:rsidRDefault="00F948D8">
      <w:pPr>
        <w:rPr>
          <w:rFonts w:cs="Arial"/>
          <w:b/>
          <w:color w:val="auto"/>
        </w:rPr>
      </w:pPr>
      <w:r w:rsidRPr="00F948D8">
        <w:rPr>
          <w:b/>
          <w:color w:val="auto"/>
        </w:rPr>
        <w:t>DISCUSSION</w:t>
      </w:r>
      <w:r w:rsidRPr="00F948D8">
        <w:rPr>
          <w:b/>
          <w:bCs/>
          <w:color w:val="auto"/>
        </w:rPr>
        <w:t>:</w:t>
      </w:r>
    </w:p>
    <w:p w:rsidR="00F948D8" w:rsidRDefault="00F948D8" w:rsidP="00F948D8">
      <w:pPr>
        <w:rPr>
          <w:color w:val="auto"/>
        </w:rPr>
      </w:pPr>
      <w:r w:rsidRPr="00F948D8">
        <w:rPr>
          <w:color w:val="auto"/>
        </w:rPr>
        <w:t xml:space="preserve">This protocol describes the culture of acute P10 rat cerebellar slices in the Transwell system and the fluorescent labeling of GC with </w:t>
      </w:r>
      <w:r w:rsidR="00455156">
        <w:rPr>
          <w:color w:val="auto"/>
        </w:rPr>
        <w:t>a green fluorescent dye</w:t>
      </w:r>
      <w:r w:rsidRPr="00F948D8">
        <w:rPr>
          <w:color w:val="auto"/>
        </w:rPr>
        <w:t xml:space="preserve"> to study cell migration during postnatal development through confocal macroscopy. This protocol allows observations of cell migration for a period up to 12 h and testing of the possible roles of regulating factors in migration including agonist</w:t>
      </w:r>
      <w:r w:rsidR="00702AAA">
        <w:rPr>
          <w:color w:val="auto"/>
        </w:rPr>
        <w:t>s</w:t>
      </w:r>
      <w:r w:rsidRPr="00F948D8">
        <w:rPr>
          <w:color w:val="auto"/>
        </w:rPr>
        <w:t xml:space="preserve"> or antagonist</w:t>
      </w:r>
      <w:r w:rsidR="00702AAA">
        <w:rPr>
          <w:color w:val="auto"/>
        </w:rPr>
        <w:t>s</w:t>
      </w:r>
      <w:r w:rsidRPr="00F948D8">
        <w:rPr>
          <w:color w:val="auto"/>
        </w:rPr>
        <w:t xml:space="preserve"> of neuropeptides, enzyme inhibitors, cell signaling modulators or toxic substances during the experiment.</w:t>
      </w:r>
      <w:r w:rsidR="008661FF" w:rsidRPr="008661FF">
        <w:rPr>
          <w:color w:val="auto"/>
        </w:rPr>
        <w:t xml:space="preserve"> </w:t>
      </w:r>
      <w:r w:rsidR="008661FF" w:rsidRPr="00EF0714">
        <w:rPr>
          <w:color w:val="auto"/>
        </w:rPr>
        <w:t>A small hole in the membrane insert with a pipette tip is necessary to facilitate administration of compounds in the incubation medium. A home-made curved tip pipette can be used to facilitate the delivery of solution.</w:t>
      </w:r>
    </w:p>
    <w:p w:rsidR="00F948D8" w:rsidRDefault="00F948D8" w:rsidP="00F948D8">
      <w:pPr>
        <w:rPr>
          <w:color w:val="auto"/>
        </w:rPr>
      </w:pPr>
    </w:p>
    <w:p w:rsidR="003F3492" w:rsidRDefault="00F948D8" w:rsidP="003F3492">
      <w:r w:rsidRPr="00F948D8">
        <w:rPr>
          <w:color w:val="auto"/>
        </w:rPr>
        <w:t>One issue of cell migration studies on living tissue slices is t</w:t>
      </w:r>
      <w:r w:rsidR="00012A8C">
        <w:rPr>
          <w:color w:val="auto"/>
        </w:rPr>
        <w:t>hat t</w:t>
      </w:r>
      <w:r w:rsidRPr="00F948D8">
        <w:rPr>
          <w:color w:val="auto"/>
        </w:rPr>
        <w:t>he movements of the tissue itself can make cell tracking difficult. Whereas previous approaches have proposed to gently stabilize slices with a nylon mesh or a thin layer of rat tail collagen</w:t>
      </w:r>
      <w:r w:rsidRPr="00F948D8">
        <w:rPr>
          <w:color w:val="auto"/>
          <w:vertAlign w:val="superscript"/>
        </w:rPr>
        <w:t>7</w:t>
      </w:r>
      <w:proofErr w:type="gramStart"/>
      <w:r w:rsidRPr="00F948D8">
        <w:rPr>
          <w:color w:val="auto"/>
          <w:vertAlign w:val="superscript"/>
        </w:rPr>
        <w:t>,17</w:t>
      </w:r>
      <w:proofErr w:type="gramEnd"/>
      <w:r w:rsidRPr="00F948D8">
        <w:rPr>
          <w:color w:val="auto"/>
        </w:rPr>
        <w:t xml:space="preserve">, a major advantage of this technology is </w:t>
      </w:r>
      <w:r w:rsidR="001A4CF3">
        <w:rPr>
          <w:color w:val="auto"/>
        </w:rPr>
        <w:t>the simple and direct</w:t>
      </w:r>
      <w:r w:rsidR="001A4CF3" w:rsidRPr="00F948D8">
        <w:rPr>
          <w:color w:val="auto"/>
        </w:rPr>
        <w:t xml:space="preserve"> </w:t>
      </w:r>
      <w:r w:rsidRPr="00F948D8">
        <w:rPr>
          <w:color w:val="auto"/>
        </w:rPr>
        <w:t xml:space="preserve">transfer </w:t>
      </w:r>
      <w:r w:rsidR="001A4CF3">
        <w:rPr>
          <w:color w:val="auto"/>
        </w:rPr>
        <w:t xml:space="preserve">of </w:t>
      </w:r>
      <w:r w:rsidRPr="00F948D8">
        <w:rPr>
          <w:color w:val="auto"/>
        </w:rPr>
        <w:t>a 6-well culture plate containing cerebellar slices on membrane inserts from the CO</w:t>
      </w:r>
      <w:r w:rsidRPr="00F948D8">
        <w:rPr>
          <w:color w:val="auto"/>
          <w:vertAlign w:val="subscript"/>
        </w:rPr>
        <w:t>2</w:t>
      </w:r>
      <w:r w:rsidRPr="00F948D8">
        <w:rPr>
          <w:color w:val="auto"/>
        </w:rPr>
        <w:t xml:space="preserve"> incubator under the objective of a confocal macroscope. Integrated temperature and CO</w:t>
      </w:r>
      <w:r w:rsidRPr="00F948D8">
        <w:rPr>
          <w:color w:val="auto"/>
          <w:vertAlign w:val="subscript"/>
        </w:rPr>
        <w:t>2</w:t>
      </w:r>
      <w:r w:rsidRPr="00F948D8">
        <w:rPr>
          <w:color w:val="auto"/>
        </w:rPr>
        <w:t xml:space="preserve"> controllers also provide appropriate and constant environmental parameters essential for cell migration</w:t>
      </w:r>
      <w:r w:rsidRPr="00F948D8">
        <w:rPr>
          <w:color w:val="auto"/>
          <w:vertAlign w:val="superscript"/>
        </w:rPr>
        <w:t>9</w:t>
      </w:r>
      <w:r w:rsidRPr="00F948D8">
        <w:rPr>
          <w:color w:val="auto"/>
        </w:rPr>
        <w:t>. Therefore, culture conditions are kept during observations and tissue movements are minimized since slices are well attached to the membrane insert</w:t>
      </w:r>
      <w:r w:rsidRPr="00702AAA">
        <w:rPr>
          <w:color w:val="auto"/>
        </w:rPr>
        <w:t xml:space="preserve">. </w:t>
      </w:r>
      <w:r w:rsidR="00702AAA" w:rsidRPr="00702AAA">
        <w:rPr>
          <w:color w:val="auto"/>
        </w:rPr>
        <w:t>Stabilization of the tissue is verified by following the position of slice edges or Purkinje cells that should be fixed references during acquisition.</w:t>
      </w:r>
      <w:r w:rsidR="001A4CF3">
        <w:rPr>
          <w:color w:val="auto"/>
        </w:rPr>
        <w:t xml:space="preserve"> </w:t>
      </w:r>
      <w:r w:rsidRPr="001A4CF3">
        <w:rPr>
          <w:color w:val="auto"/>
        </w:rPr>
        <w:t xml:space="preserve">In addition, cerebellar slices (between 12 and 18) distributed in the 6 wells of the plate can be quickly observed in detail with </w:t>
      </w:r>
      <w:r w:rsidR="001A4CF3">
        <w:rPr>
          <w:color w:val="auto"/>
        </w:rPr>
        <w:t xml:space="preserve">a </w:t>
      </w:r>
      <w:r w:rsidRPr="001A4CF3">
        <w:rPr>
          <w:color w:val="auto"/>
        </w:rPr>
        <w:t xml:space="preserve">motorized stage and </w:t>
      </w:r>
      <w:r w:rsidR="001A4CF3">
        <w:rPr>
          <w:color w:val="auto"/>
        </w:rPr>
        <w:t xml:space="preserve">an </w:t>
      </w:r>
      <w:r w:rsidRPr="001A4CF3">
        <w:rPr>
          <w:color w:val="auto"/>
        </w:rPr>
        <w:t>optical zoom. Due to the large working distance (X</w:t>
      </w:r>
      <w:r w:rsidR="003B5697" w:rsidRPr="001A4CF3">
        <w:rPr>
          <w:color w:val="auto"/>
        </w:rPr>
        <w:t>2</w:t>
      </w:r>
      <w:r w:rsidRPr="001A4CF3">
        <w:rPr>
          <w:color w:val="auto"/>
        </w:rPr>
        <w:t>, 39 mm) of the dry objective, epi-observation is free of immersion and administration of</w:t>
      </w:r>
      <w:r w:rsidRPr="00F948D8">
        <w:rPr>
          <w:color w:val="auto"/>
        </w:rPr>
        <w:t xml:space="preserve"> compounds in the culture medium is much easier. </w:t>
      </w:r>
      <w:r w:rsidR="003F3492" w:rsidRPr="003F3492">
        <w:t>Therefore, environmental parameters and culture support similarities in CO</w:t>
      </w:r>
      <w:r w:rsidR="003F3492" w:rsidRPr="003F3492">
        <w:rPr>
          <w:vertAlign w:val="subscript"/>
        </w:rPr>
        <w:t>2</w:t>
      </w:r>
      <w:r w:rsidR="003F3492" w:rsidRPr="003F3492">
        <w:t xml:space="preserve"> incubator and confocal macroscopy lead to maximum conservation of the biological sample.</w:t>
      </w:r>
    </w:p>
    <w:p w:rsidR="001A4CF3" w:rsidRDefault="001A4CF3" w:rsidP="003F3492">
      <w:pPr>
        <w:rPr>
          <w:sz w:val="20"/>
        </w:rPr>
      </w:pPr>
    </w:p>
    <w:p w:rsidR="00F948D8" w:rsidRDefault="00F948D8" w:rsidP="00F948D8">
      <w:pPr>
        <w:rPr>
          <w:color w:val="auto"/>
        </w:rPr>
      </w:pPr>
      <w:r w:rsidRPr="00F948D8">
        <w:rPr>
          <w:color w:val="auto"/>
        </w:rPr>
        <w:t xml:space="preserve">Another advantage of the protocol is the large field of view and consequently the large number </w:t>
      </w:r>
      <w:r w:rsidRPr="00F948D8">
        <w:rPr>
          <w:color w:val="auto"/>
        </w:rPr>
        <w:lastRenderedPageBreak/>
        <w:t xml:space="preserve">of cells that can be observed simultaneously. For example, we have previously determined that the density of </w:t>
      </w:r>
      <w:r w:rsidR="00455156">
        <w:rPr>
          <w:color w:val="auto"/>
        </w:rPr>
        <w:t>fluorescent</w:t>
      </w:r>
      <w:r w:rsidRPr="00F948D8">
        <w:rPr>
          <w:color w:val="auto"/>
        </w:rPr>
        <w:t xml:space="preserve"> GCs with radial migration in the ML was </w:t>
      </w:r>
      <w:r w:rsidR="001A4CF3">
        <w:rPr>
          <w:color w:val="auto"/>
        </w:rPr>
        <w:t>(</w:t>
      </w:r>
      <w:r w:rsidRPr="00F948D8">
        <w:rPr>
          <w:color w:val="auto"/>
        </w:rPr>
        <w:t>1124 ±</w:t>
      </w:r>
      <w:r w:rsidRPr="00F948D8">
        <w:rPr>
          <w:color w:val="auto"/>
          <w:lang w:val="en-GB"/>
        </w:rPr>
        <w:t xml:space="preserve"> 138</w:t>
      </w:r>
      <w:r w:rsidR="001A4CF3">
        <w:rPr>
          <w:color w:val="auto"/>
          <w:lang w:val="en-GB"/>
        </w:rPr>
        <w:t>)</w:t>
      </w:r>
      <w:r w:rsidRPr="00F948D8">
        <w:rPr>
          <w:color w:val="auto"/>
          <w:lang w:val="en-GB"/>
        </w:rPr>
        <w:t xml:space="preserve"> cell</w:t>
      </w:r>
      <w:r w:rsidRPr="00F948D8">
        <w:rPr>
          <w:color w:val="auto"/>
        </w:rPr>
        <w:t>/mm</w:t>
      </w:r>
      <w:r w:rsidRPr="00F948D8">
        <w:rPr>
          <w:color w:val="auto"/>
          <w:vertAlign w:val="superscript"/>
        </w:rPr>
        <w:t>2</w:t>
      </w:r>
      <w:r w:rsidRPr="00F948D8">
        <w:rPr>
          <w:color w:val="auto"/>
        </w:rPr>
        <w:t xml:space="preserve"> </w:t>
      </w:r>
      <w:r w:rsidRPr="00F948D8">
        <w:rPr>
          <w:color w:val="auto"/>
          <w:vertAlign w:val="superscript"/>
        </w:rPr>
        <w:t>18</w:t>
      </w:r>
      <w:r w:rsidRPr="00F948D8">
        <w:rPr>
          <w:color w:val="auto"/>
        </w:rPr>
        <w:t>. Confocal macroscopy (X</w:t>
      </w:r>
      <w:r w:rsidR="003B5697">
        <w:rPr>
          <w:color w:val="auto"/>
        </w:rPr>
        <w:t>2</w:t>
      </w:r>
      <w:r w:rsidRPr="00F948D8">
        <w:rPr>
          <w:color w:val="auto"/>
        </w:rPr>
        <w:t>, NA=0.234) has a lower lateral resolution compare</w:t>
      </w:r>
      <w:r w:rsidR="00A27280">
        <w:rPr>
          <w:color w:val="auto"/>
        </w:rPr>
        <w:t>d</w:t>
      </w:r>
      <w:r w:rsidRPr="00F948D8">
        <w:rPr>
          <w:color w:val="auto"/>
        </w:rPr>
        <w:t xml:space="preserve"> to confocal microscopy (40X, NA=1.25) but cell bodies of GCs can be easily tracked and </w:t>
      </w:r>
      <w:r w:rsidR="001A4CF3">
        <w:rPr>
          <w:color w:val="auto"/>
        </w:rPr>
        <w:t xml:space="preserve">the </w:t>
      </w:r>
      <w:r w:rsidRPr="00F948D8">
        <w:rPr>
          <w:color w:val="auto"/>
        </w:rPr>
        <w:t>average speed of migration is comparable between the two technological approaches</w:t>
      </w:r>
      <w:r w:rsidRPr="00F948D8">
        <w:rPr>
          <w:color w:val="auto"/>
          <w:vertAlign w:val="superscript"/>
        </w:rPr>
        <w:t>7</w:t>
      </w:r>
      <w:proofErr w:type="gramStart"/>
      <w:r w:rsidRPr="00F948D8">
        <w:rPr>
          <w:color w:val="auto"/>
          <w:vertAlign w:val="superscript"/>
        </w:rPr>
        <w:t>,18</w:t>
      </w:r>
      <w:proofErr w:type="gramEnd"/>
      <w:r w:rsidRPr="00F948D8">
        <w:rPr>
          <w:color w:val="auto"/>
        </w:rPr>
        <w:t xml:space="preserve">. </w:t>
      </w:r>
    </w:p>
    <w:p w:rsidR="00F948D8" w:rsidRDefault="00F948D8" w:rsidP="00F948D8">
      <w:pPr>
        <w:rPr>
          <w:color w:val="auto"/>
        </w:rPr>
      </w:pPr>
    </w:p>
    <w:p w:rsidR="00F948D8" w:rsidRDefault="00F948D8" w:rsidP="00F948D8">
      <w:pPr>
        <w:rPr>
          <w:color w:val="auto"/>
        </w:rPr>
      </w:pPr>
      <w:r w:rsidRPr="00F948D8">
        <w:rPr>
          <w:color w:val="auto"/>
        </w:rPr>
        <w:t xml:space="preserve">Besides technical improvement for image acquisitions, </w:t>
      </w:r>
      <w:r w:rsidR="001A4CF3">
        <w:rPr>
          <w:color w:val="auto"/>
        </w:rPr>
        <w:t xml:space="preserve">the </w:t>
      </w:r>
      <w:r w:rsidRPr="00F948D8">
        <w:rPr>
          <w:color w:val="auto"/>
        </w:rPr>
        <w:t xml:space="preserve">quality of tissue slices and </w:t>
      </w:r>
      <w:r w:rsidR="001A4CF3">
        <w:rPr>
          <w:color w:val="auto"/>
        </w:rPr>
        <w:t xml:space="preserve">the </w:t>
      </w:r>
      <w:r w:rsidRPr="00F948D8">
        <w:rPr>
          <w:color w:val="auto"/>
        </w:rPr>
        <w:t xml:space="preserve">quality of labeling are key points for successful experiments. Always keep media and tissues on ice during dissection processes, eliminate oil on vibratome blades and do not utilize slices of tissue in contact with glue. Sagittal and transverse sections are adapted to radial and tangential migration respectively. Use different lengths of incubation for appropriate detection in the different cortical layers of the cerebellum. </w:t>
      </w:r>
      <w:r w:rsidR="008661FF">
        <w:rPr>
          <w:color w:val="auto"/>
        </w:rPr>
        <w:t>Long</w:t>
      </w:r>
      <w:r w:rsidR="008661FF" w:rsidRPr="00EF0714">
        <w:rPr>
          <w:color w:val="auto"/>
        </w:rPr>
        <w:t xml:space="preserve"> incubation</w:t>
      </w:r>
      <w:r w:rsidR="003F3492">
        <w:rPr>
          <w:color w:val="auto"/>
        </w:rPr>
        <w:t xml:space="preserve"> times</w:t>
      </w:r>
      <w:r w:rsidR="008661FF" w:rsidRPr="00EF0714">
        <w:rPr>
          <w:color w:val="auto"/>
        </w:rPr>
        <w:t xml:space="preserve"> (up to 8 </w:t>
      </w:r>
      <w:r w:rsidR="001A4CF3">
        <w:rPr>
          <w:color w:val="auto"/>
        </w:rPr>
        <w:t>h</w:t>
      </w:r>
      <w:r w:rsidR="008661FF" w:rsidRPr="00EF0714">
        <w:rPr>
          <w:color w:val="auto"/>
        </w:rPr>
        <w:t xml:space="preserve">) </w:t>
      </w:r>
      <w:r w:rsidR="003F3492">
        <w:rPr>
          <w:color w:val="auto"/>
        </w:rPr>
        <w:t xml:space="preserve">are </w:t>
      </w:r>
      <w:r w:rsidR="008661FF" w:rsidRPr="00EF0714">
        <w:rPr>
          <w:color w:val="auto"/>
        </w:rPr>
        <w:t>necessary to detect the migration of numerous GCs in the PCL and the IGL.</w:t>
      </w:r>
      <w:r w:rsidR="008661FF">
        <w:rPr>
          <w:color w:val="auto"/>
        </w:rPr>
        <w:t xml:space="preserve"> </w:t>
      </w:r>
      <w:r w:rsidRPr="00F948D8">
        <w:rPr>
          <w:color w:val="auto"/>
        </w:rPr>
        <w:t xml:space="preserve">Since GC migration is a physiological process during specific spatio-temporal windows, the positive control is that the cells have to migrate properly. </w:t>
      </w:r>
      <w:r w:rsidR="00A27280" w:rsidRPr="00A27280">
        <w:t xml:space="preserve">In particular, numerous spindle GC in the ML is one of the </w:t>
      </w:r>
      <w:r w:rsidR="00A27280">
        <w:t>main health indicator for</w:t>
      </w:r>
      <w:r w:rsidR="00A27280" w:rsidRPr="00A27280">
        <w:t xml:space="preserve"> sagittal cerebellar slices.</w:t>
      </w:r>
      <w:r w:rsidR="00A27280">
        <w:t xml:space="preserve"> </w:t>
      </w:r>
      <w:r w:rsidR="00A27280" w:rsidRPr="00A27280">
        <w:t>For starting experiments, observation of GC movements in the ML is suggested. Indeed, the shape of GC with vertically elongated cell body should be considered as a reference</w:t>
      </w:r>
      <w:r w:rsidR="003B5697">
        <w:t xml:space="preserve"> point</w:t>
      </w:r>
      <w:r w:rsidR="00A27280" w:rsidRPr="00A27280">
        <w:t xml:space="preserve"> to start acquisition </w:t>
      </w:r>
      <w:r w:rsidR="00F35E59">
        <w:t>with</w:t>
      </w:r>
      <w:r w:rsidR="00A27280" w:rsidRPr="00A27280">
        <w:t xml:space="preserve"> successive control (</w:t>
      </w:r>
      <w:r w:rsidR="00A27280">
        <w:t>2 h</w:t>
      </w:r>
      <w:r w:rsidR="00A27280" w:rsidRPr="00A27280">
        <w:t>) and treatment (</w:t>
      </w:r>
      <w:r w:rsidR="00A27280">
        <w:t>2 h</w:t>
      </w:r>
      <w:r w:rsidR="00A27280" w:rsidRPr="00A27280">
        <w:t xml:space="preserve">) periods </w:t>
      </w:r>
      <w:r w:rsidR="003B5697">
        <w:t xml:space="preserve">that </w:t>
      </w:r>
      <w:r w:rsidR="00A27280" w:rsidRPr="00A27280">
        <w:t>can be easily performed</w:t>
      </w:r>
      <w:r w:rsidR="003B5697">
        <w:t xml:space="preserve"> in the ML</w:t>
      </w:r>
      <w:r w:rsidR="00A27280" w:rsidRPr="00A27280">
        <w:t>.</w:t>
      </w:r>
    </w:p>
    <w:p w:rsidR="00F948D8" w:rsidRDefault="00F948D8" w:rsidP="00F948D8">
      <w:pPr>
        <w:rPr>
          <w:color w:val="auto"/>
        </w:rPr>
      </w:pPr>
    </w:p>
    <w:p w:rsidR="00F948D8" w:rsidRDefault="00F948D8" w:rsidP="00F948D8">
      <w:pPr>
        <w:rPr>
          <w:color w:val="auto"/>
        </w:rPr>
      </w:pPr>
      <w:r w:rsidRPr="00F948D8">
        <w:rPr>
          <w:color w:val="auto"/>
        </w:rPr>
        <w:t xml:space="preserve">Fluorescent dyes like </w:t>
      </w:r>
      <w:r w:rsidR="001A4CF3">
        <w:rPr>
          <w:color w:val="auto"/>
        </w:rPr>
        <w:t xml:space="preserve">the </w:t>
      </w:r>
      <w:r w:rsidRPr="00F948D8">
        <w:rPr>
          <w:color w:val="auto"/>
        </w:rPr>
        <w:t xml:space="preserve">Cell Tracker family or </w:t>
      </w:r>
      <w:r w:rsidR="001A4CF3">
        <w:rPr>
          <w:color w:val="auto"/>
        </w:rPr>
        <w:t>f</w:t>
      </w:r>
      <w:r w:rsidR="001A4CF3" w:rsidRPr="00F948D8">
        <w:rPr>
          <w:color w:val="auto"/>
        </w:rPr>
        <w:t xml:space="preserve">luorescent </w:t>
      </w:r>
      <w:r w:rsidR="001A4CF3">
        <w:rPr>
          <w:color w:val="auto"/>
        </w:rPr>
        <w:t>p</w:t>
      </w:r>
      <w:r w:rsidR="001A4CF3" w:rsidRPr="00F948D8">
        <w:rPr>
          <w:color w:val="auto"/>
        </w:rPr>
        <w:t xml:space="preserve">roteins </w:t>
      </w:r>
      <w:r w:rsidRPr="00F948D8">
        <w:rPr>
          <w:color w:val="auto"/>
        </w:rPr>
        <w:t>expressed through genetic constructs can be used as tracers for cell migration studies. Due to the slow kinetics of GC migration (1 stack every 30 min), multicolor experiments can also be performed in sequential mode since 4 lasers beams (405, 488, 532 and 633 nm) are available on the system. Considering centripetal and centrifugal radial migration, tracking of other interneurons can also be realized</w:t>
      </w:r>
      <w:r w:rsidRPr="00F948D8">
        <w:rPr>
          <w:color w:val="auto"/>
          <w:vertAlign w:val="superscript"/>
        </w:rPr>
        <w:t>18</w:t>
      </w:r>
      <w:r w:rsidRPr="00F948D8">
        <w:rPr>
          <w:color w:val="auto"/>
        </w:rPr>
        <w:t>. In particular, less numerous cell types can be more easily localized with a large field of view. Finally, this protocol can be used to study cell migration at other stages of cerebellar development but also other brain areas.</w:t>
      </w:r>
    </w:p>
    <w:p w:rsidR="001A4CF3" w:rsidRPr="00F948D8" w:rsidRDefault="001A4CF3" w:rsidP="001A4CF3">
      <w:pPr>
        <w:rPr>
          <w:color w:val="auto"/>
        </w:rPr>
      </w:pPr>
    </w:p>
    <w:p w:rsidR="001A4CF3" w:rsidRPr="00F948D8" w:rsidRDefault="001A4CF3" w:rsidP="001A4CF3">
      <w:pPr>
        <w:rPr>
          <w:rFonts w:cs="Arial"/>
          <w:b/>
          <w:color w:val="auto"/>
        </w:rPr>
      </w:pPr>
      <w:r w:rsidRPr="00F948D8">
        <w:rPr>
          <w:rFonts w:cs="Arial"/>
          <w:b/>
          <w:color w:val="auto"/>
        </w:rPr>
        <w:t>DISCLOSURES:</w:t>
      </w:r>
    </w:p>
    <w:p w:rsidR="001A4CF3" w:rsidRDefault="001A4CF3" w:rsidP="001A4CF3">
      <w:pPr>
        <w:rPr>
          <w:rFonts w:cs="Arial"/>
          <w:color w:val="auto"/>
        </w:rPr>
      </w:pPr>
      <w:r w:rsidRPr="00F948D8">
        <w:rPr>
          <w:rFonts w:cs="Arial"/>
          <w:color w:val="auto"/>
        </w:rPr>
        <w:t>The authors have nothing to disclose.</w:t>
      </w:r>
    </w:p>
    <w:p w:rsidR="00F948D8" w:rsidRPr="00F948D8" w:rsidRDefault="00F948D8">
      <w:pPr>
        <w:rPr>
          <w:color w:val="auto"/>
        </w:rPr>
      </w:pPr>
    </w:p>
    <w:p w:rsidR="00F948D8" w:rsidRPr="00F948D8" w:rsidRDefault="00F948D8">
      <w:pPr>
        <w:rPr>
          <w:rFonts w:cs="Arial"/>
          <w:color w:val="auto"/>
        </w:rPr>
      </w:pPr>
      <w:r w:rsidRPr="00F948D8">
        <w:rPr>
          <w:rFonts w:cs="Arial"/>
          <w:b/>
          <w:bCs/>
          <w:color w:val="auto"/>
        </w:rPr>
        <w:t>ACKNOWLEDGMENTS:</w:t>
      </w:r>
      <w:r w:rsidRPr="00F948D8">
        <w:rPr>
          <w:rFonts w:cs="Arial"/>
          <w:color w:val="auto"/>
        </w:rPr>
        <w:t xml:space="preserve"> </w:t>
      </w:r>
    </w:p>
    <w:p w:rsidR="00F948D8" w:rsidRPr="00F948D8" w:rsidRDefault="00F948D8">
      <w:pPr>
        <w:rPr>
          <w:rFonts w:asciiTheme="minorHAnsi" w:eastAsia="Times" w:hAnsiTheme="minorHAnsi"/>
          <w:b/>
          <w:color w:val="auto"/>
        </w:rPr>
      </w:pPr>
      <w:r w:rsidRPr="00F948D8">
        <w:rPr>
          <w:rFonts w:asciiTheme="minorHAnsi" w:hAnsiTheme="minorHAnsi"/>
          <w:color w:val="auto"/>
        </w:rPr>
        <w:t xml:space="preserve">This work was supported by the Institute for Research and Innovation in Biomedicine (IRIB), the Cell Imaging Platform of Normandy (PRIMACEN), Inserm, IBiSA, the </w:t>
      </w:r>
      <w:r w:rsidRPr="00F948D8">
        <w:rPr>
          <w:rFonts w:asciiTheme="minorHAnsi" w:hAnsiTheme="minorHAnsi" w:cs="Arial"/>
          <w:color w:val="auto"/>
        </w:rPr>
        <w:t xml:space="preserve">University of Rouen, </w:t>
      </w:r>
      <w:r w:rsidRPr="00F948D8">
        <w:rPr>
          <w:rFonts w:asciiTheme="minorHAnsi" w:hAnsiTheme="minorHAnsi"/>
          <w:color w:val="auto"/>
        </w:rPr>
        <w:t>t</w:t>
      </w:r>
      <w:r w:rsidRPr="00F948D8">
        <w:rPr>
          <w:rFonts w:asciiTheme="minorHAnsi" w:hAnsiTheme="minorHAnsi" w:cs="Arial"/>
          <w:color w:val="auto"/>
          <w:lang w:eastAsia="fr-FR"/>
        </w:rPr>
        <w:t xml:space="preserve">he European Regional Development Fund (ERDF – PeReNE, </w:t>
      </w:r>
      <w:r w:rsidRPr="00F948D8">
        <w:rPr>
          <w:rFonts w:asciiTheme="minorHAnsi" w:hAnsiTheme="minorHAnsi"/>
          <w:color w:val="auto"/>
        </w:rPr>
        <w:t xml:space="preserve">Interreg 4A), the LARC-Neurosciences Network and the Région Haute-Normandie. </w:t>
      </w:r>
    </w:p>
    <w:p w:rsidR="00F948D8" w:rsidRPr="00F948D8" w:rsidRDefault="00F948D8">
      <w:pPr>
        <w:rPr>
          <w:color w:val="auto"/>
        </w:rPr>
      </w:pPr>
    </w:p>
    <w:p w:rsidR="00F948D8" w:rsidRDefault="00F948D8">
      <w:pPr>
        <w:rPr>
          <w:color w:val="auto"/>
        </w:rPr>
      </w:pPr>
      <w:r w:rsidRPr="00F948D8">
        <w:rPr>
          <w:rFonts w:cs="Arial"/>
          <w:b/>
          <w:bCs/>
          <w:color w:val="auto"/>
        </w:rPr>
        <w:t>REFERENCES</w:t>
      </w:r>
      <w:r w:rsidRPr="00F948D8">
        <w:rPr>
          <w:rFonts w:cs="Arial"/>
          <w:color w:val="auto"/>
        </w:rPr>
        <w:t>:</w:t>
      </w:r>
    </w:p>
    <w:p w:rsidR="00F948D8" w:rsidRDefault="00F948D8" w:rsidP="00F948D8">
      <w:pPr>
        <w:pStyle w:val="ListParagraph"/>
        <w:numPr>
          <w:ilvl w:val="0"/>
          <w:numId w:val="10"/>
        </w:numPr>
        <w:ind w:left="0" w:firstLine="0"/>
        <w:rPr>
          <w:rFonts w:cs="Arial"/>
          <w:color w:val="auto"/>
        </w:rPr>
      </w:pPr>
      <w:r w:rsidRPr="00F948D8">
        <w:rPr>
          <w:color w:val="auto"/>
        </w:rPr>
        <w:t xml:space="preserve">Komuro, Y., Kumada, T., Ohno, N., Foote, K.D. </w:t>
      </w:r>
      <w:r w:rsidRPr="00F948D8">
        <w:rPr>
          <w:color w:val="auto"/>
        </w:rPr>
        <w:sym w:font="Symbol" w:char="F026"/>
      </w:r>
      <w:r w:rsidRPr="00F948D8">
        <w:rPr>
          <w:color w:val="auto"/>
        </w:rPr>
        <w:t xml:space="preserve"> Komuro, H. Migration in the Cerebellum. </w:t>
      </w:r>
      <w:r w:rsidRPr="00F948D8">
        <w:rPr>
          <w:i/>
          <w:color w:val="auto"/>
        </w:rPr>
        <w:t>Cellular Migration and Formation of Neuronal Connections: Comprehensive Developmental Neuroscience</w:t>
      </w:r>
      <w:r w:rsidRPr="00F948D8">
        <w:rPr>
          <w:color w:val="auto"/>
        </w:rPr>
        <w:t xml:space="preserve">. Volume </w:t>
      </w:r>
      <w:r w:rsidRPr="00F948D8">
        <w:rPr>
          <w:b/>
          <w:color w:val="auto"/>
        </w:rPr>
        <w:t>2</w:t>
      </w:r>
      <w:r w:rsidRPr="00F948D8">
        <w:rPr>
          <w:color w:val="auto"/>
        </w:rPr>
        <w:t>, 281</w:t>
      </w:r>
      <w:r w:rsidRPr="00F948D8">
        <w:rPr>
          <w:rFonts w:cs="Arial"/>
          <w:color w:val="auto"/>
        </w:rPr>
        <w:t>–297, doi: 10.1016/B978-0-12-397266-8.00030-2 (2013).</w:t>
      </w:r>
    </w:p>
    <w:p w:rsidR="00F948D8" w:rsidRPr="00F948D8" w:rsidRDefault="00F948D8" w:rsidP="00F948D8">
      <w:pPr>
        <w:pStyle w:val="ListParagraph"/>
        <w:numPr>
          <w:ilvl w:val="0"/>
          <w:numId w:val="10"/>
        </w:numPr>
        <w:ind w:left="0" w:firstLine="0"/>
        <w:rPr>
          <w:color w:val="auto"/>
        </w:rPr>
      </w:pPr>
      <w:r w:rsidRPr="00F948D8">
        <w:rPr>
          <w:color w:val="auto"/>
        </w:rPr>
        <w:t xml:space="preserve">Altman, J. </w:t>
      </w:r>
      <w:r w:rsidRPr="00F948D8">
        <w:rPr>
          <w:color w:val="auto"/>
        </w:rPr>
        <w:sym w:font="Symbol" w:char="F026"/>
      </w:r>
      <w:r w:rsidRPr="00F948D8">
        <w:rPr>
          <w:color w:val="auto"/>
        </w:rPr>
        <w:t xml:space="preserve"> Bayer, S. A. Development of the cerebellar system in relation to its </w:t>
      </w:r>
      <w:r w:rsidRPr="00F948D8">
        <w:rPr>
          <w:color w:val="auto"/>
        </w:rPr>
        <w:lastRenderedPageBreak/>
        <w:t xml:space="preserve">evolution, structure, and functions. </w:t>
      </w:r>
      <w:r w:rsidR="00AB53E0" w:rsidRPr="00F948D8">
        <w:rPr>
          <w:color w:val="auto"/>
        </w:rPr>
        <w:t>CRC Press</w:t>
      </w:r>
      <w:r w:rsidR="00AB53E0">
        <w:rPr>
          <w:color w:val="auto"/>
        </w:rPr>
        <w:t>,</w:t>
      </w:r>
      <w:r w:rsidR="00AB53E0" w:rsidRPr="00F948D8">
        <w:rPr>
          <w:color w:val="auto"/>
        </w:rPr>
        <w:t xml:space="preserve"> </w:t>
      </w:r>
      <w:r w:rsidRPr="00F948D8">
        <w:rPr>
          <w:color w:val="auto"/>
        </w:rPr>
        <w:t>Boca Raton FL</w:t>
      </w:r>
      <w:r w:rsidR="00AB53E0">
        <w:rPr>
          <w:color w:val="auto"/>
        </w:rPr>
        <w:t xml:space="preserve"> </w:t>
      </w:r>
      <w:r w:rsidRPr="00F948D8">
        <w:rPr>
          <w:color w:val="auto"/>
        </w:rPr>
        <w:t>(1997)</w:t>
      </w:r>
      <w:r w:rsidR="00AB53E0">
        <w:rPr>
          <w:color w:val="auto"/>
        </w:rPr>
        <w:t>.</w:t>
      </w:r>
    </w:p>
    <w:p w:rsidR="00F948D8" w:rsidRPr="00F948D8" w:rsidRDefault="00F948D8" w:rsidP="00F948D8">
      <w:pPr>
        <w:pStyle w:val="ListParagraph"/>
        <w:numPr>
          <w:ilvl w:val="0"/>
          <w:numId w:val="10"/>
        </w:numPr>
        <w:ind w:left="0" w:firstLine="0"/>
        <w:rPr>
          <w:color w:val="auto"/>
        </w:rPr>
      </w:pPr>
      <w:r w:rsidRPr="00F948D8">
        <w:rPr>
          <w:color w:val="auto"/>
        </w:rPr>
        <w:t xml:space="preserve">Komuro, H. </w:t>
      </w:r>
      <w:r w:rsidRPr="00F948D8">
        <w:rPr>
          <w:color w:val="auto"/>
        </w:rPr>
        <w:sym w:font="Symbol" w:char="F026"/>
      </w:r>
      <w:r w:rsidRPr="00F948D8">
        <w:rPr>
          <w:color w:val="auto"/>
        </w:rPr>
        <w:t xml:space="preserve"> Rakic, P.</w:t>
      </w:r>
      <w:r w:rsidRPr="00F948D8">
        <w:rPr>
          <w:b/>
          <w:color w:val="auto"/>
        </w:rPr>
        <w:t xml:space="preserve"> </w:t>
      </w:r>
      <w:r w:rsidRPr="00F948D8">
        <w:rPr>
          <w:color w:val="auto"/>
        </w:rPr>
        <w:t xml:space="preserve">Distinct modes of neuronal migration in different domains of developing cerebellar cortex. </w:t>
      </w:r>
      <w:r w:rsidRPr="00F948D8">
        <w:rPr>
          <w:i/>
          <w:color w:val="auto"/>
        </w:rPr>
        <w:t>Journal of Neuroscience.</w:t>
      </w:r>
      <w:r w:rsidRPr="00F948D8">
        <w:rPr>
          <w:color w:val="auto"/>
        </w:rPr>
        <w:t xml:space="preserve"> </w:t>
      </w:r>
      <w:r w:rsidRPr="00F948D8">
        <w:rPr>
          <w:b/>
          <w:color w:val="auto"/>
        </w:rPr>
        <w:t xml:space="preserve">18 </w:t>
      </w:r>
      <w:r w:rsidRPr="00F948D8">
        <w:rPr>
          <w:color w:val="auto"/>
        </w:rPr>
        <w:t>(4), 1478–1490 (1998)</w:t>
      </w:r>
      <w:r w:rsidR="00AB53E0">
        <w:rPr>
          <w:color w:val="auto"/>
        </w:rPr>
        <w:t>.</w:t>
      </w:r>
    </w:p>
    <w:p w:rsidR="00F948D8" w:rsidRPr="00F948D8" w:rsidRDefault="00F948D8" w:rsidP="00F948D8">
      <w:pPr>
        <w:pStyle w:val="ListParagraph"/>
        <w:numPr>
          <w:ilvl w:val="0"/>
          <w:numId w:val="10"/>
        </w:numPr>
        <w:ind w:left="0" w:firstLine="0"/>
        <w:rPr>
          <w:color w:val="auto"/>
        </w:rPr>
      </w:pPr>
      <w:r w:rsidRPr="00F948D8">
        <w:rPr>
          <w:color w:val="auto"/>
        </w:rPr>
        <w:t xml:space="preserve">Komuro, H. </w:t>
      </w:r>
      <w:r w:rsidRPr="00F948D8">
        <w:rPr>
          <w:color w:val="auto"/>
        </w:rPr>
        <w:sym w:font="Symbol" w:char="F026"/>
      </w:r>
      <w:r w:rsidRPr="00F948D8">
        <w:rPr>
          <w:color w:val="auto"/>
        </w:rPr>
        <w:t xml:space="preserve"> Yacubova, E.</w:t>
      </w:r>
      <w:r w:rsidRPr="00F948D8">
        <w:rPr>
          <w:b/>
          <w:color w:val="auto"/>
        </w:rPr>
        <w:t xml:space="preserve"> </w:t>
      </w:r>
      <w:r w:rsidRPr="00F948D8">
        <w:rPr>
          <w:color w:val="auto"/>
        </w:rPr>
        <w:t xml:space="preserve">Recent advances in cerebellar granule cell migration. </w:t>
      </w:r>
      <w:r w:rsidRPr="00F948D8">
        <w:rPr>
          <w:i/>
          <w:color w:val="auto"/>
        </w:rPr>
        <w:t>Cellular and Molecular Life Sciences.</w:t>
      </w:r>
      <w:r w:rsidRPr="00F948D8">
        <w:rPr>
          <w:color w:val="auto"/>
        </w:rPr>
        <w:t xml:space="preserve"> </w:t>
      </w:r>
      <w:r w:rsidRPr="00F948D8">
        <w:rPr>
          <w:b/>
          <w:color w:val="auto"/>
        </w:rPr>
        <w:t xml:space="preserve">60 </w:t>
      </w:r>
      <w:r w:rsidRPr="00F948D8">
        <w:rPr>
          <w:color w:val="auto"/>
        </w:rPr>
        <w:t>(6), 1084–1098</w:t>
      </w:r>
      <w:r w:rsidR="00AB53E0">
        <w:rPr>
          <w:color w:val="auto"/>
        </w:rPr>
        <w:t xml:space="preserve"> (</w:t>
      </w:r>
      <w:r w:rsidRPr="00F948D8">
        <w:rPr>
          <w:color w:val="auto"/>
        </w:rPr>
        <w:t>2003).</w:t>
      </w:r>
    </w:p>
    <w:p w:rsidR="00F948D8" w:rsidRPr="003C49B5" w:rsidRDefault="003C49B5" w:rsidP="00F948D8">
      <w:pPr>
        <w:pStyle w:val="ListParagraph"/>
        <w:numPr>
          <w:ilvl w:val="0"/>
          <w:numId w:val="10"/>
        </w:numPr>
        <w:ind w:left="0" w:firstLine="0"/>
        <w:rPr>
          <w:rFonts w:cs="Arial"/>
          <w:color w:val="auto"/>
        </w:rPr>
      </w:pPr>
      <w:r w:rsidRPr="003C49B5">
        <w:rPr>
          <w:color w:val="auto"/>
        </w:rPr>
        <w:t xml:space="preserve"> Fahrion, J.K</w:t>
      </w:r>
      <w:r w:rsidR="001A4CF3">
        <w:rPr>
          <w:color w:val="auto"/>
        </w:rPr>
        <w:t xml:space="preserve">. </w:t>
      </w:r>
      <w:r w:rsidR="001A4CF3" w:rsidRPr="009C44E9">
        <w:rPr>
          <w:i/>
          <w:color w:val="auto"/>
        </w:rPr>
        <w:t>et al.</w:t>
      </w:r>
      <w:r w:rsidR="001A4CF3">
        <w:rPr>
          <w:i/>
          <w:color w:val="auto"/>
        </w:rPr>
        <w:t xml:space="preserve"> </w:t>
      </w:r>
      <w:r w:rsidRPr="003C49B5">
        <w:rPr>
          <w:color w:val="auto"/>
        </w:rPr>
        <w:t>Rescue of neuronal migration deficits in a mouse model of fetal Minamata disease by increasing neuronal Ca</w:t>
      </w:r>
      <w:r w:rsidRPr="003C49B5">
        <w:rPr>
          <w:color w:val="auto"/>
          <w:vertAlign w:val="superscript"/>
        </w:rPr>
        <w:t>2+</w:t>
      </w:r>
      <w:r w:rsidRPr="003C49B5">
        <w:rPr>
          <w:color w:val="auto"/>
        </w:rPr>
        <w:t xml:space="preserve"> spike frequency. </w:t>
      </w:r>
      <w:r>
        <w:rPr>
          <w:color w:val="auto"/>
        </w:rPr>
        <w:t xml:space="preserve">Proceedings of National Academy of Sciences USA. </w:t>
      </w:r>
      <w:r w:rsidRPr="003C49B5">
        <w:rPr>
          <w:b/>
          <w:color w:val="auto"/>
        </w:rPr>
        <w:t>109</w:t>
      </w:r>
      <w:r>
        <w:rPr>
          <w:color w:val="auto"/>
        </w:rPr>
        <w:t xml:space="preserve"> (13), 5057-5062, doi: 10.1073/pnas.1120747109</w:t>
      </w:r>
      <w:r w:rsidR="00AB53E0">
        <w:rPr>
          <w:color w:val="auto"/>
        </w:rPr>
        <w:t xml:space="preserve"> (</w:t>
      </w:r>
      <w:r>
        <w:rPr>
          <w:color w:val="auto"/>
        </w:rPr>
        <w:t>2012).</w:t>
      </w:r>
    </w:p>
    <w:p w:rsidR="00F948D8" w:rsidRDefault="00F948D8" w:rsidP="00F948D8">
      <w:pPr>
        <w:pStyle w:val="ListParagraph"/>
        <w:numPr>
          <w:ilvl w:val="0"/>
          <w:numId w:val="10"/>
        </w:numPr>
        <w:ind w:left="0" w:firstLine="0"/>
        <w:rPr>
          <w:rFonts w:cs="Arial"/>
          <w:color w:val="auto"/>
        </w:rPr>
      </w:pPr>
      <w:r w:rsidRPr="00F948D8">
        <w:rPr>
          <w:color w:val="auto"/>
        </w:rPr>
        <w:t xml:space="preserve">Raoult, E., </w:t>
      </w:r>
      <w:r w:rsidRPr="00F948D8">
        <w:rPr>
          <w:i/>
          <w:color w:val="auto"/>
        </w:rPr>
        <w:t>et al</w:t>
      </w:r>
      <w:r w:rsidRPr="00F948D8">
        <w:rPr>
          <w:color w:val="auto"/>
        </w:rPr>
        <w:t>. Pituitary adenylate cyclase-activating polypeptide (PACAP) stimulates the expression and the release of tissue plasminogen activator (</w:t>
      </w:r>
      <w:proofErr w:type="gramStart"/>
      <w:r w:rsidRPr="00F948D8">
        <w:rPr>
          <w:color w:val="auto"/>
        </w:rPr>
        <w:t>tPA</w:t>
      </w:r>
      <w:proofErr w:type="gramEnd"/>
      <w:r w:rsidRPr="00F948D8">
        <w:rPr>
          <w:color w:val="auto"/>
        </w:rPr>
        <w:t xml:space="preserve">) in neuronal cells: involvement of tPA in the neuroprotective effect of PACAP. </w:t>
      </w:r>
      <w:r w:rsidRPr="00F948D8">
        <w:rPr>
          <w:i/>
          <w:color w:val="auto"/>
        </w:rPr>
        <w:t>Journal of Neurochemistry.</w:t>
      </w:r>
      <w:r w:rsidRPr="00F948D8">
        <w:rPr>
          <w:color w:val="auto"/>
        </w:rPr>
        <w:t xml:space="preserve"> </w:t>
      </w:r>
      <w:r w:rsidRPr="00F948D8">
        <w:rPr>
          <w:b/>
          <w:color w:val="auto"/>
        </w:rPr>
        <w:t xml:space="preserve">119 </w:t>
      </w:r>
      <w:r w:rsidRPr="00F948D8">
        <w:rPr>
          <w:color w:val="auto"/>
        </w:rPr>
        <w:t>(5), 920–931, doi: 10.1111/j.1471-4159.</w:t>
      </w:r>
      <w:r w:rsidRPr="00F948D8">
        <w:rPr>
          <w:rStyle w:val="highlight"/>
          <w:color w:val="auto"/>
        </w:rPr>
        <w:t>2011</w:t>
      </w:r>
      <w:r w:rsidRPr="00F948D8">
        <w:rPr>
          <w:color w:val="auto"/>
        </w:rPr>
        <w:t>.07486.x</w:t>
      </w:r>
      <w:r w:rsidR="00AB53E0">
        <w:rPr>
          <w:color w:val="auto"/>
        </w:rPr>
        <w:t xml:space="preserve"> (</w:t>
      </w:r>
      <w:r w:rsidRPr="00F948D8">
        <w:rPr>
          <w:color w:val="auto"/>
        </w:rPr>
        <w:t>2011).</w:t>
      </w:r>
    </w:p>
    <w:p w:rsidR="00F948D8" w:rsidRPr="00F948D8" w:rsidRDefault="00F948D8" w:rsidP="00F948D8">
      <w:pPr>
        <w:pStyle w:val="ListParagraph"/>
        <w:numPr>
          <w:ilvl w:val="0"/>
          <w:numId w:val="10"/>
        </w:numPr>
        <w:ind w:left="0" w:firstLine="0"/>
        <w:rPr>
          <w:color w:val="auto"/>
        </w:rPr>
      </w:pPr>
      <w:r w:rsidRPr="00F948D8">
        <w:rPr>
          <w:color w:val="auto"/>
        </w:rPr>
        <w:t>Cameron, D. B</w:t>
      </w:r>
      <w:r w:rsidR="001A4CF3">
        <w:rPr>
          <w:color w:val="auto"/>
        </w:rPr>
        <w:t xml:space="preserve">. </w:t>
      </w:r>
      <w:proofErr w:type="gramStart"/>
      <w:r w:rsidR="001A4CF3" w:rsidRPr="001A4CF3">
        <w:rPr>
          <w:i/>
          <w:color w:val="auto"/>
        </w:rPr>
        <w:t>et</w:t>
      </w:r>
      <w:proofErr w:type="gramEnd"/>
      <w:r w:rsidR="001A4CF3" w:rsidRPr="001A4CF3">
        <w:rPr>
          <w:i/>
          <w:color w:val="auto"/>
        </w:rPr>
        <w:t xml:space="preserve"> al.</w:t>
      </w:r>
      <w:r w:rsidRPr="001A4CF3">
        <w:rPr>
          <w:b/>
          <w:i/>
          <w:color w:val="auto"/>
        </w:rPr>
        <w:t xml:space="preserve"> </w:t>
      </w:r>
      <w:r w:rsidRPr="00F948D8">
        <w:rPr>
          <w:color w:val="auto"/>
        </w:rPr>
        <w:t xml:space="preserve">Cerebellar cortical-layer-specific control of neuronal migration by pituitary adenylate cyclase-activating polypeptide. </w:t>
      </w:r>
      <w:r w:rsidRPr="00F948D8">
        <w:rPr>
          <w:i/>
          <w:color w:val="auto"/>
        </w:rPr>
        <w:t xml:space="preserve">Neuroscience </w:t>
      </w:r>
      <w:r w:rsidRPr="00F948D8">
        <w:rPr>
          <w:b/>
          <w:color w:val="auto"/>
        </w:rPr>
        <w:t xml:space="preserve">146 </w:t>
      </w:r>
      <w:r w:rsidRPr="00F948D8">
        <w:rPr>
          <w:color w:val="auto"/>
        </w:rPr>
        <w:t>(2), 697–712</w:t>
      </w:r>
      <w:r w:rsidR="00AB53E0">
        <w:rPr>
          <w:color w:val="auto"/>
        </w:rPr>
        <w:t xml:space="preserve"> (</w:t>
      </w:r>
      <w:r w:rsidRPr="00F948D8">
        <w:rPr>
          <w:color w:val="auto"/>
        </w:rPr>
        <w:t>2007).</w:t>
      </w:r>
    </w:p>
    <w:p w:rsidR="00F948D8" w:rsidRPr="00F948D8" w:rsidRDefault="003E2F50" w:rsidP="00F948D8">
      <w:pPr>
        <w:pStyle w:val="ListParagraph"/>
        <w:numPr>
          <w:ilvl w:val="0"/>
          <w:numId w:val="10"/>
        </w:numPr>
        <w:ind w:left="0" w:firstLine="0"/>
        <w:rPr>
          <w:color w:val="auto"/>
        </w:rPr>
      </w:pPr>
      <w:r>
        <w:rPr>
          <w:rFonts w:asciiTheme="minorHAnsi" w:hAnsiTheme="minorHAnsi" w:cs="Times New Roman"/>
          <w:color w:val="auto"/>
          <w:lang w:eastAsia="fr-FR"/>
        </w:rPr>
        <w:t>Renaud</w:t>
      </w:r>
      <w:r w:rsidR="00F948D8" w:rsidRPr="00F948D8">
        <w:rPr>
          <w:rFonts w:cs="Times New Roman"/>
          <w:color w:val="auto"/>
          <w:lang w:eastAsia="fr-FR"/>
        </w:rPr>
        <w:t>,</w:t>
      </w:r>
      <w:r>
        <w:rPr>
          <w:rFonts w:asciiTheme="minorHAnsi" w:hAnsiTheme="minorHAnsi" w:cs="Times New Roman"/>
          <w:color w:val="auto"/>
          <w:lang w:eastAsia="fr-FR"/>
        </w:rPr>
        <w:t xml:space="preserve"> J</w:t>
      </w:r>
      <w:r w:rsidR="00F948D8" w:rsidRPr="00F948D8">
        <w:rPr>
          <w:rFonts w:cs="Times New Roman"/>
          <w:color w:val="auto"/>
          <w:lang w:eastAsia="fr-FR"/>
        </w:rPr>
        <w:t>.</w:t>
      </w:r>
      <w:r>
        <w:rPr>
          <w:rFonts w:asciiTheme="minorHAnsi" w:hAnsiTheme="minorHAnsi" w:cs="Times New Roman"/>
          <w:color w:val="auto"/>
          <w:lang w:eastAsia="fr-FR"/>
        </w:rPr>
        <w:t xml:space="preserve">, </w:t>
      </w:r>
      <w:r>
        <w:rPr>
          <w:rFonts w:asciiTheme="minorHAnsi" w:hAnsiTheme="minorHAnsi" w:cs="Times New Roman"/>
          <w:i/>
          <w:color w:val="auto"/>
          <w:lang w:eastAsia="fr-FR"/>
        </w:rPr>
        <w:t>et al</w:t>
      </w:r>
      <w:r>
        <w:rPr>
          <w:rFonts w:asciiTheme="minorHAnsi" w:hAnsiTheme="minorHAnsi" w:cs="Times New Roman"/>
          <w:color w:val="auto"/>
          <w:lang w:eastAsia="fr-FR"/>
        </w:rPr>
        <w:t>.</w:t>
      </w:r>
      <w:r w:rsidR="00F948D8" w:rsidRPr="00F948D8">
        <w:rPr>
          <w:rFonts w:cs="Times New Roman"/>
          <w:color w:val="auto"/>
          <w:lang w:eastAsia="fr-FR"/>
        </w:rPr>
        <w:t xml:space="preserve"> </w:t>
      </w:r>
      <w:r>
        <w:rPr>
          <w:rFonts w:asciiTheme="minorHAnsi" w:hAnsiTheme="minorHAnsi" w:cs="Times New Roman"/>
          <w:bCs/>
          <w:color w:val="auto"/>
          <w:kern w:val="36"/>
          <w:lang w:eastAsia="fr-FR"/>
        </w:rPr>
        <w:t>Plexin-A2 and its ligand, Sema6A, control nucleus-centrosome coupling in migrating granule cells.</w:t>
      </w:r>
      <w:r>
        <w:rPr>
          <w:rFonts w:asciiTheme="minorHAnsi" w:hAnsiTheme="minorHAnsi" w:cs="Times New Roman"/>
          <w:color w:val="auto"/>
          <w:lang w:eastAsia="fr-FR"/>
        </w:rPr>
        <w:t xml:space="preserve"> </w:t>
      </w:r>
      <w:hyperlink r:id="rId9" w:tooltip="Nature neuroscience." w:history="1">
        <w:r>
          <w:rPr>
            <w:rFonts w:asciiTheme="minorHAnsi" w:hAnsiTheme="minorHAnsi" w:cs="Times New Roman"/>
            <w:i/>
            <w:color w:val="auto"/>
            <w:lang w:eastAsia="fr-FR"/>
          </w:rPr>
          <w:t>Nat</w:t>
        </w:r>
        <w:r w:rsidR="00F948D8" w:rsidRPr="00F948D8">
          <w:rPr>
            <w:rFonts w:cs="Times New Roman"/>
            <w:i/>
            <w:color w:val="auto"/>
            <w:lang w:eastAsia="fr-FR"/>
          </w:rPr>
          <w:t>ure</w:t>
        </w:r>
        <w:r>
          <w:rPr>
            <w:rFonts w:asciiTheme="minorHAnsi" w:hAnsiTheme="minorHAnsi" w:cs="Times New Roman"/>
            <w:i/>
            <w:color w:val="auto"/>
            <w:lang w:eastAsia="fr-FR"/>
          </w:rPr>
          <w:t xml:space="preserve"> Neurosci</w:t>
        </w:r>
        <w:r w:rsidR="00F948D8" w:rsidRPr="00F948D8">
          <w:rPr>
            <w:rFonts w:cs="Times New Roman"/>
            <w:i/>
            <w:color w:val="auto"/>
            <w:lang w:eastAsia="fr-FR"/>
          </w:rPr>
          <w:t>ence</w:t>
        </w:r>
        <w:r>
          <w:rPr>
            <w:rFonts w:asciiTheme="minorHAnsi" w:hAnsiTheme="minorHAnsi" w:cs="Times New Roman"/>
            <w:color w:val="auto"/>
            <w:lang w:eastAsia="fr-FR"/>
          </w:rPr>
          <w:t>.</w:t>
        </w:r>
      </w:hyperlink>
      <w:r>
        <w:rPr>
          <w:rFonts w:asciiTheme="minorHAnsi" w:hAnsiTheme="minorHAnsi" w:cs="Times New Roman"/>
          <w:color w:val="auto"/>
          <w:lang w:eastAsia="fr-FR"/>
        </w:rPr>
        <w:t xml:space="preserve"> </w:t>
      </w:r>
      <w:r w:rsidR="00F948D8" w:rsidRPr="00F948D8">
        <w:rPr>
          <w:rFonts w:cs="Times New Roman"/>
          <w:b/>
          <w:color w:val="auto"/>
          <w:lang w:eastAsia="fr-FR"/>
        </w:rPr>
        <w:t>4</w:t>
      </w:r>
      <w:r w:rsidR="00F948D8" w:rsidRPr="00F948D8">
        <w:rPr>
          <w:rFonts w:cs="Times New Roman"/>
          <w:color w:val="auto"/>
          <w:lang w:eastAsia="fr-FR"/>
        </w:rPr>
        <w:t xml:space="preserve">, </w:t>
      </w:r>
      <w:r>
        <w:rPr>
          <w:rFonts w:asciiTheme="minorHAnsi" w:hAnsiTheme="minorHAnsi" w:cs="Times New Roman"/>
          <w:color w:val="auto"/>
          <w:lang w:eastAsia="fr-FR"/>
        </w:rPr>
        <w:t>440-449, doi: 10.1038/nn2064</w:t>
      </w:r>
      <w:r w:rsidR="00AB53E0">
        <w:rPr>
          <w:rFonts w:asciiTheme="minorHAnsi" w:hAnsiTheme="minorHAnsi" w:cs="Times New Roman"/>
          <w:color w:val="auto"/>
          <w:lang w:eastAsia="fr-FR"/>
        </w:rPr>
        <w:t xml:space="preserve"> (</w:t>
      </w:r>
      <w:r>
        <w:rPr>
          <w:rFonts w:asciiTheme="minorHAnsi" w:hAnsiTheme="minorHAnsi" w:cs="Times New Roman"/>
          <w:color w:val="auto"/>
          <w:lang w:eastAsia="fr-FR"/>
        </w:rPr>
        <w:t>2008).</w:t>
      </w:r>
    </w:p>
    <w:p w:rsidR="00F948D8" w:rsidRPr="00F948D8" w:rsidRDefault="00F948D8" w:rsidP="00F948D8">
      <w:pPr>
        <w:pStyle w:val="ListParagraph"/>
        <w:numPr>
          <w:ilvl w:val="0"/>
          <w:numId w:val="10"/>
        </w:numPr>
        <w:ind w:left="0" w:firstLine="0"/>
        <w:rPr>
          <w:color w:val="auto"/>
        </w:rPr>
      </w:pPr>
      <w:r w:rsidRPr="00F948D8">
        <w:rPr>
          <w:color w:val="auto"/>
        </w:rPr>
        <w:t xml:space="preserve">Komuro, H. </w:t>
      </w:r>
      <w:r w:rsidRPr="00F948D8">
        <w:rPr>
          <w:color w:val="auto"/>
        </w:rPr>
        <w:sym w:font="Symbol" w:char="F026"/>
      </w:r>
      <w:r w:rsidRPr="00F948D8">
        <w:rPr>
          <w:color w:val="auto"/>
        </w:rPr>
        <w:t xml:space="preserve"> Rakic, P.</w:t>
      </w:r>
      <w:r w:rsidRPr="00F948D8">
        <w:rPr>
          <w:b/>
          <w:color w:val="auto"/>
        </w:rPr>
        <w:t xml:space="preserve"> </w:t>
      </w:r>
      <w:r w:rsidRPr="00F948D8">
        <w:rPr>
          <w:color w:val="auto"/>
        </w:rPr>
        <w:t xml:space="preserve">Dynamics of granule cell migration: a confocal microscopic study in acute cerebellar slice preparations. </w:t>
      </w:r>
      <w:r w:rsidRPr="00F948D8">
        <w:rPr>
          <w:i/>
          <w:color w:val="auto"/>
        </w:rPr>
        <w:t>Journal of Neuroscience.</w:t>
      </w:r>
      <w:r w:rsidRPr="00F948D8">
        <w:rPr>
          <w:color w:val="auto"/>
        </w:rPr>
        <w:t xml:space="preserve"> </w:t>
      </w:r>
      <w:r w:rsidRPr="00F948D8">
        <w:rPr>
          <w:b/>
          <w:color w:val="auto"/>
        </w:rPr>
        <w:t xml:space="preserve">15 </w:t>
      </w:r>
      <w:r w:rsidRPr="00F948D8">
        <w:rPr>
          <w:color w:val="auto"/>
        </w:rPr>
        <w:t>(2), 1110–1120</w:t>
      </w:r>
      <w:r w:rsidR="00AB53E0">
        <w:rPr>
          <w:color w:val="auto"/>
        </w:rPr>
        <w:t xml:space="preserve"> (</w:t>
      </w:r>
      <w:r w:rsidRPr="00F948D8">
        <w:rPr>
          <w:color w:val="auto"/>
        </w:rPr>
        <w:t>1995).</w:t>
      </w:r>
    </w:p>
    <w:p w:rsidR="00F948D8" w:rsidRPr="00F948D8" w:rsidRDefault="00F948D8" w:rsidP="00F948D8">
      <w:pPr>
        <w:pStyle w:val="ListParagraph"/>
        <w:numPr>
          <w:ilvl w:val="0"/>
          <w:numId w:val="10"/>
        </w:numPr>
        <w:ind w:left="0" w:firstLine="0"/>
        <w:rPr>
          <w:color w:val="auto"/>
        </w:rPr>
      </w:pPr>
      <w:r w:rsidRPr="00F948D8">
        <w:rPr>
          <w:color w:val="auto"/>
        </w:rPr>
        <w:t xml:space="preserve">Nielsen, H. S., Hannibal, J. </w:t>
      </w:r>
      <w:r w:rsidRPr="00F948D8">
        <w:rPr>
          <w:color w:val="auto"/>
        </w:rPr>
        <w:sym w:font="Symbol" w:char="F026"/>
      </w:r>
      <w:r w:rsidRPr="00F948D8">
        <w:rPr>
          <w:color w:val="auto"/>
        </w:rPr>
        <w:t xml:space="preserve"> Fahrenkrug, J. Expression of pituitary adenylate cyclase activating polypeptide (PACAP) in the postnatal and adult rat cerebellar cortex. </w:t>
      </w:r>
      <w:r w:rsidRPr="00F948D8">
        <w:rPr>
          <w:i/>
          <w:color w:val="auto"/>
        </w:rPr>
        <w:t>Neuroreport</w:t>
      </w:r>
      <w:r w:rsidRPr="00F948D8">
        <w:rPr>
          <w:color w:val="auto"/>
        </w:rPr>
        <w:t xml:space="preserve"> </w:t>
      </w:r>
      <w:r w:rsidRPr="00F948D8">
        <w:rPr>
          <w:b/>
          <w:color w:val="auto"/>
        </w:rPr>
        <w:t xml:space="preserve">9 </w:t>
      </w:r>
      <w:r w:rsidRPr="00F948D8">
        <w:rPr>
          <w:color w:val="auto"/>
        </w:rPr>
        <w:t>(11), 2639–2642</w:t>
      </w:r>
      <w:r w:rsidR="00AB53E0">
        <w:rPr>
          <w:color w:val="auto"/>
        </w:rPr>
        <w:t xml:space="preserve"> (</w:t>
      </w:r>
      <w:r w:rsidRPr="00F948D8">
        <w:rPr>
          <w:color w:val="auto"/>
        </w:rPr>
        <w:t>1998).</w:t>
      </w:r>
    </w:p>
    <w:p w:rsidR="00F948D8" w:rsidRPr="00F948D8" w:rsidRDefault="00F948D8" w:rsidP="00F948D8">
      <w:pPr>
        <w:pStyle w:val="ListParagraph"/>
        <w:numPr>
          <w:ilvl w:val="0"/>
          <w:numId w:val="10"/>
        </w:numPr>
        <w:ind w:left="0" w:firstLine="0"/>
        <w:rPr>
          <w:color w:val="auto"/>
        </w:rPr>
      </w:pPr>
      <w:r w:rsidRPr="00F948D8">
        <w:rPr>
          <w:color w:val="auto"/>
        </w:rPr>
        <w:t>Hannibal, J.</w:t>
      </w:r>
      <w:r w:rsidRPr="00F948D8">
        <w:rPr>
          <w:b/>
          <w:color w:val="auto"/>
        </w:rPr>
        <w:t xml:space="preserve"> </w:t>
      </w:r>
      <w:r w:rsidRPr="00F948D8">
        <w:rPr>
          <w:color w:val="auto"/>
        </w:rPr>
        <w:t xml:space="preserve">Pituitary adenylate cyclase-activating peptide in the rat central nervous system: an immunohistochemical and in situ hybridization study. </w:t>
      </w:r>
      <w:r w:rsidRPr="00F948D8">
        <w:rPr>
          <w:i/>
          <w:color w:val="auto"/>
        </w:rPr>
        <w:t>Journal of Comparative Neurology.</w:t>
      </w:r>
      <w:r w:rsidRPr="00F948D8">
        <w:rPr>
          <w:b/>
          <w:color w:val="auto"/>
        </w:rPr>
        <w:t xml:space="preserve"> 453 </w:t>
      </w:r>
      <w:r w:rsidRPr="00F948D8">
        <w:rPr>
          <w:color w:val="auto"/>
        </w:rPr>
        <w:t>(4), 389–417</w:t>
      </w:r>
      <w:r w:rsidR="00AB53E0">
        <w:rPr>
          <w:color w:val="auto"/>
        </w:rPr>
        <w:t xml:space="preserve"> (</w:t>
      </w:r>
      <w:r w:rsidRPr="00F948D8">
        <w:rPr>
          <w:color w:val="auto"/>
        </w:rPr>
        <w:t>2002).</w:t>
      </w:r>
    </w:p>
    <w:p w:rsidR="00F948D8" w:rsidRPr="00F948D8" w:rsidRDefault="00F948D8" w:rsidP="00F948D8">
      <w:pPr>
        <w:pStyle w:val="ListParagraph"/>
        <w:numPr>
          <w:ilvl w:val="0"/>
          <w:numId w:val="10"/>
        </w:numPr>
        <w:ind w:left="0" w:firstLine="0"/>
        <w:rPr>
          <w:color w:val="auto"/>
        </w:rPr>
      </w:pPr>
      <w:r w:rsidRPr="00F948D8">
        <w:rPr>
          <w:color w:val="auto"/>
          <w:lang w:val="fr-FR"/>
        </w:rPr>
        <w:t xml:space="preserve">Garcia-Rocha, M., Avila, J. </w:t>
      </w:r>
      <w:r w:rsidRPr="00F948D8">
        <w:rPr>
          <w:color w:val="auto"/>
        </w:rPr>
        <w:sym w:font="Symbol" w:char="F026"/>
      </w:r>
      <w:r w:rsidRPr="00F948D8">
        <w:rPr>
          <w:color w:val="auto"/>
          <w:lang w:val="fr-FR"/>
        </w:rPr>
        <w:t xml:space="preserve"> </w:t>
      </w:r>
      <w:r w:rsidRPr="00F948D8">
        <w:rPr>
          <w:color w:val="auto"/>
        </w:rPr>
        <w:t>Armas-Portela, R.</w:t>
      </w:r>
      <w:r w:rsidRPr="00F948D8">
        <w:rPr>
          <w:b/>
          <w:color w:val="auto"/>
        </w:rPr>
        <w:t xml:space="preserve"> </w:t>
      </w:r>
      <w:r w:rsidRPr="00F948D8">
        <w:rPr>
          <w:color w:val="auto"/>
        </w:rPr>
        <w:t xml:space="preserve">Tissue-type plasminogen activator (tPA) is the main plasminogen activator associated with isolated rat nerve growth cones. </w:t>
      </w:r>
      <w:r w:rsidRPr="00F948D8">
        <w:rPr>
          <w:i/>
          <w:color w:val="auto"/>
        </w:rPr>
        <w:t>Neuroscience Letters.</w:t>
      </w:r>
      <w:r w:rsidRPr="00F948D8">
        <w:rPr>
          <w:color w:val="auto"/>
        </w:rPr>
        <w:t xml:space="preserve"> </w:t>
      </w:r>
      <w:r w:rsidRPr="00F948D8">
        <w:rPr>
          <w:b/>
          <w:color w:val="auto"/>
        </w:rPr>
        <w:t xml:space="preserve">180 </w:t>
      </w:r>
      <w:r w:rsidRPr="00F948D8">
        <w:rPr>
          <w:color w:val="auto"/>
        </w:rPr>
        <w:t>(2), 123–126</w:t>
      </w:r>
      <w:r w:rsidR="00AB53E0">
        <w:rPr>
          <w:color w:val="auto"/>
        </w:rPr>
        <w:t xml:space="preserve"> (</w:t>
      </w:r>
      <w:r w:rsidRPr="00F948D8">
        <w:rPr>
          <w:color w:val="auto"/>
        </w:rPr>
        <w:t>1994).</w:t>
      </w:r>
    </w:p>
    <w:p w:rsidR="00F948D8" w:rsidRPr="00F948D8" w:rsidRDefault="00F948D8" w:rsidP="00F948D8">
      <w:pPr>
        <w:pStyle w:val="ListParagraph"/>
        <w:numPr>
          <w:ilvl w:val="0"/>
          <w:numId w:val="10"/>
        </w:numPr>
        <w:ind w:left="0" w:firstLine="0"/>
        <w:rPr>
          <w:color w:val="auto"/>
        </w:rPr>
      </w:pPr>
      <w:r w:rsidRPr="00F948D8">
        <w:rPr>
          <w:color w:val="auto"/>
        </w:rPr>
        <w:t xml:space="preserve">Ware, J. H., DiBenedetto, A. J. </w:t>
      </w:r>
      <w:r w:rsidRPr="00F948D8">
        <w:rPr>
          <w:color w:val="auto"/>
        </w:rPr>
        <w:sym w:font="Symbol" w:char="F026"/>
      </w:r>
      <w:r w:rsidRPr="00F948D8">
        <w:rPr>
          <w:color w:val="auto"/>
        </w:rPr>
        <w:t xml:space="preserve"> Pittman R. N. Localization of tissue plasminogen activator mRNA in the developing rat cerebellum and effects of inhibiting tissue plasminogen activator on granule cell migration. </w:t>
      </w:r>
      <w:r w:rsidRPr="00F948D8">
        <w:rPr>
          <w:i/>
          <w:color w:val="auto"/>
        </w:rPr>
        <w:t>Journal of Neurobiology.</w:t>
      </w:r>
      <w:r w:rsidRPr="00F948D8">
        <w:rPr>
          <w:color w:val="auto"/>
        </w:rPr>
        <w:t xml:space="preserve"> </w:t>
      </w:r>
      <w:r w:rsidRPr="00F948D8">
        <w:rPr>
          <w:b/>
          <w:color w:val="auto"/>
        </w:rPr>
        <w:t xml:space="preserve">28 </w:t>
      </w:r>
      <w:r w:rsidRPr="00F948D8">
        <w:rPr>
          <w:color w:val="auto"/>
        </w:rPr>
        <w:t>(1), 9–22</w:t>
      </w:r>
      <w:r w:rsidR="00AB53E0">
        <w:rPr>
          <w:color w:val="auto"/>
        </w:rPr>
        <w:t xml:space="preserve"> (</w:t>
      </w:r>
      <w:r w:rsidRPr="00F948D8">
        <w:rPr>
          <w:color w:val="auto"/>
        </w:rPr>
        <w:t>1995).</w:t>
      </w:r>
    </w:p>
    <w:p w:rsidR="00F948D8" w:rsidRPr="00F948D8" w:rsidRDefault="00F948D8" w:rsidP="00F948D8">
      <w:pPr>
        <w:pStyle w:val="ListParagraph"/>
        <w:numPr>
          <w:ilvl w:val="0"/>
          <w:numId w:val="10"/>
        </w:numPr>
        <w:ind w:left="0" w:firstLine="0"/>
        <w:rPr>
          <w:color w:val="auto"/>
        </w:rPr>
      </w:pPr>
      <w:r w:rsidRPr="00F948D8">
        <w:rPr>
          <w:color w:val="auto"/>
        </w:rPr>
        <w:t xml:space="preserve">Friedman, G. C. </w:t>
      </w:r>
      <w:r w:rsidRPr="00F948D8">
        <w:rPr>
          <w:color w:val="auto"/>
        </w:rPr>
        <w:sym w:font="Symbol" w:char="F026"/>
      </w:r>
      <w:r w:rsidRPr="00F948D8">
        <w:rPr>
          <w:color w:val="auto"/>
        </w:rPr>
        <w:t xml:space="preserve"> Seeds, N.W.</w:t>
      </w:r>
      <w:r w:rsidRPr="00F948D8">
        <w:rPr>
          <w:b/>
          <w:color w:val="auto"/>
        </w:rPr>
        <w:t xml:space="preserve"> </w:t>
      </w:r>
      <w:r w:rsidRPr="00F948D8">
        <w:rPr>
          <w:color w:val="auto"/>
        </w:rPr>
        <w:t xml:space="preserve">Tissue plasminogen activator mRNA expression in granule neurons coincides with their migration in the developing cerebellum. </w:t>
      </w:r>
      <w:r w:rsidRPr="00F948D8">
        <w:rPr>
          <w:i/>
          <w:color w:val="auto"/>
        </w:rPr>
        <w:t>Journal of Comparative Neurology.</w:t>
      </w:r>
      <w:r w:rsidRPr="00F948D8">
        <w:rPr>
          <w:color w:val="auto"/>
        </w:rPr>
        <w:t xml:space="preserve"> </w:t>
      </w:r>
      <w:r w:rsidRPr="00F948D8">
        <w:rPr>
          <w:b/>
          <w:color w:val="auto"/>
        </w:rPr>
        <w:t xml:space="preserve">360 </w:t>
      </w:r>
      <w:r w:rsidRPr="00F948D8">
        <w:rPr>
          <w:color w:val="auto"/>
        </w:rPr>
        <w:t>(4), 658–670</w:t>
      </w:r>
      <w:r w:rsidR="00AB53E0">
        <w:rPr>
          <w:color w:val="auto"/>
        </w:rPr>
        <w:t xml:space="preserve"> (</w:t>
      </w:r>
      <w:r w:rsidRPr="00F948D8">
        <w:rPr>
          <w:color w:val="auto"/>
        </w:rPr>
        <w:t>1995).</w:t>
      </w:r>
    </w:p>
    <w:p w:rsidR="00F948D8" w:rsidRPr="00F948D8" w:rsidRDefault="00F948D8" w:rsidP="00F948D8">
      <w:pPr>
        <w:pStyle w:val="ListParagraph"/>
        <w:numPr>
          <w:ilvl w:val="0"/>
          <w:numId w:val="10"/>
        </w:numPr>
        <w:ind w:left="0" w:firstLine="0"/>
        <w:rPr>
          <w:color w:val="auto"/>
        </w:rPr>
      </w:pPr>
      <w:r w:rsidRPr="00F948D8">
        <w:rPr>
          <w:color w:val="auto"/>
        </w:rPr>
        <w:t xml:space="preserve">Seeds, N. W., Siconolfi, L. B. </w:t>
      </w:r>
      <w:r w:rsidRPr="00F948D8">
        <w:rPr>
          <w:color w:val="auto"/>
        </w:rPr>
        <w:sym w:font="Symbol" w:char="F026"/>
      </w:r>
      <w:r w:rsidRPr="00F948D8">
        <w:rPr>
          <w:color w:val="auto"/>
        </w:rPr>
        <w:t xml:space="preserve"> Haffke, </w:t>
      </w:r>
      <w:proofErr w:type="gramStart"/>
      <w:r w:rsidRPr="00F948D8">
        <w:rPr>
          <w:color w:val="auto"/>
        </w:rPr>
        <w:t>S</w:t>
      </w:r>
      <w:proofErr w:type="gramEnd"/>
      <w:r w:rsidRPr="00F948D8">
        <w:rPr>
          <w:color w:val="auto"/>
        </w:rPr>
        <w:t xml:space="preserve">. P. Neuronal extracellular proteases facilitate cell migration, axonal growth, and pathfinding. </w:t>
      </w:r>
      <w:r w:rsidRPr="00F948D8">
        <w:rPr>
          <w:i/>
          <w:color w:val="auto"/>
        </w:rPr>
        <w:t>Cell and Tissue Research.</w:t>
      </w:r>
      <w:r w:rsidRPr="00F948D8">
        <w:rPr>
          <w:color w:val="auto"/>
        </w:rPr>
        <w:t xml:space="preserve"> </w:t>
      </w:r>
      <w:r w:rsidRPr="00F948D8">
        <w:rPr>
          <w:b/>
          <w:color w:val="auto"/>
        </w:rPr>
        <w:t xml:space="preserve">290 </w:t>
      </w:r>
      <w:r w:rsidRPr="00F948D8">
        <w:rPr>
          <w:color w:val="auto"/>
        </w:rPr>
        <w:t>(2), 367–370</w:t>
      </w:r>
      <w:r w:rsidR="00AB53E0">
        <w:rPr>
          <w:color w:val="auto"/>
        </w:rPr>
        <w:t xml:space="preserve"> (</w:t>
      </w:r>
      <w:r w:rsidRPr="00F948D8">
        <w:rPr>
          <w:color w:val="auto"/>
        </w:rPr>
        <w:t>1997).</w:t>
      </w:r>
    </w:p>
    <w:p w:rsidR="00F948D8" w:rsidRPr="00F948D8" w:rsidRDefault="00F948D8" w:rsidP="00F948D8">
      <w:pPr>
        <w:pStyle w:val="ListParagraph"/>
        <w:numPr>
          <w:ilvl w:val="0"/>
          <w:numId w:val="10"/>
        </w:numPr>
        <w:ind w:left="0" w:firstLine="0"/>
        <w:rPr>
          <w:color w:val="auto"/>
        </w:rPr>
      </w:pPr>
      <w:r w:rsidRPr="00F948D8">
        <w:rPr>
          <w:color w:val="auto"/>
        </w:rPr>
        <w:t xml:space="preserve">Basham, M. E. </w:t>
      </w:r>
      <w:r w:rsidRPr="00F948D8">
        <w:rPr>
          <w:color w:val="auto"/>
        </w:rPr>
        <w:sym w:font="Symbol" w:char="F026"/>
      </w:r>
      <w:r w:rsidRPr="00F948D8">
        <w:rPr>
          <w:color w:val="auto"/>
        </w:rPr>
        <w:t xml:space="preserve"> Seeds, N. W. Plasminogen expression in the neonatal and adult mouse brain. </w:t>
      </w:r>
      <w:r w:rsidRPr="00F948D8">
        <w:rPr>
          <w:i/>
          <w:color w:val="auto"/>
        </w:rPr>
        <w:t xml:space="preserve">Journal of Neurochemistry. </w:t>
      </w:r>
      <w:r w:rsidRPr="00F948D8">
        <w:rPr>
          <w:b/>
          <w:color w:val="auto"/>
        </w:rPr>
        <w:t xml:space="preserve">77 </w:t>
      </w:r>
      <w:r w:rsidRPr="00F948D8">
        <w:rPr>
          <w:color w:val="auto"/>
        </w:rPr>
        <w:t>(1), 318–325</w:t>
      </w:r>
      <w:r w:rsidR="00AB53E0">
        <w:rPr>
          <w:color w:val="auto"/>
        </w:rPr>
        <w:t xml:space="preserve"> (</w:t>
      </w:r>
      <w:r w:rsidRPr="00F948D8">
        <w:rPr>
          <w:color w:val="auto"/>
        </w:rPr>
        <w:t>2001).</w:t>
      </w:r>
    </w:p>
    <w:p w:rsidR="00F948D8" w:rsidRDefault="005B2C69" w:rsidP="00F948D8">
      <w:pPr>
        <w:pStyle w:val="ListParagraph"/>
        <w:numPr>
          <w:ilvl w:val="0"/>
          <w:numId w:val="10"/>
        </w:numPr>
        <w:ind w:left="0" w:firstLine="0"/>
        <w:rPr>
          <w:rFonts w:asciiTheme="minorHAnsi" w:hAnsiTheme="minorHAnsi" w:cs="Times New Roman"/>
          <w:color w:val="auto"/>
          <w:lang w:eastAsia="fr-FR"/>
        </w:rPr>
      </w:pPr>
      <w:hyperlink r:id="rId10" w:history="1">
        <w:r w:rsidR="003E2F50">
          <w:rPr>
            <w:rFonts w:asciiTheme="minorHAnsi" w:hAnsiTheme="minorHAnsi" w:cs="Times New Roman"/>
            <w:color w:val="auto"/>
            <w:lang w:eastAsia="fr-FR"/>
          </w:rPr>
          <w:t>Saha</w:t>
        </w:r>
        <w:r w:rsidR="00F948D8" w:rsidRPr="00F948D8">
          <w:rPr>
            <w:rFonts w:cs="Times New Roman"/>
            <w:color w:val="auto"/>
            <w:lang w:eastAsia="fr-FR"/>
          </w:rPr>
          <w:t>,</w:t>
        </w:r>
        <w:r w:rsidR="003E2F50">
          <w:rPr>
            <w:rFonts w:asciiTheme="minorHAnsi" w:hAnsiTheme="minorHAnsi" w:cs="Times New Roman"/>
            <w:color w:val="auto"/>
            <w:lang w:eastAsia="fr-FR"/>
          </w:rPr>
          <w:t xml:space="preserve"> B</w:t>
        </w:r>
      </w:hyperlink>
      <w:r w:rsidR="00F948D8" w:rsidRPr="00F948D8">
        <w:rPr>
          <w:rFonts w:cs="Times New Roman"/>
          <w:color w:val="auto"/>
          <w:lang w:eastAsia="fr-FR"/>
        </w:rPr>
        <w:t>.,</w:t>
      </w:r>
      <w:r w:rsidR="003E2F50">
        <w:rPr>
          <w:rFonts w:asciiTheme="minorHAnsi" w:hAnsiTheme="minorHAnsi" w:cs="Times New Roman"/>
          <w:color w:val="auto"/>
          <w:lang w:eastAsia="fr-FR"/>
        </w:rPr>
        <w:t xml:space="preserve"> </w:t>
      </w:r>
      <w:hyperlink r:id="rId11" w:history="1">
        <w:r w:rsidR="003E2F50">
          <w:rPr>
            <w:rFonts w:asciiTheme="minorHAnsi" w:hAnsiTheme="minorHAnsi" w:cs="Times New Roman"/>
            <w:color w:val="auto"/>
            <w:lang w:eastAsia="fr-FR"/>
          </w:rPr>
          <w:t>Ypsilanti</w:t>
        </w:r>
        <w:r w:rsidR="00F948D8" w:rsidRPr="00F948D8">
          <w:rPr>
            <w:rFonts w:cs="Times New Roman"/>
            <w:color w:val="auto"/>
            <w:lang w:eastAsia="fr-FR"/>
          </w:rPr>
          <w:t>,</w:t>
        </w:r>
        <w:r w:rsidR="003E2F50">
          <w:rPr>
            <w:rFonts w:asciiTheme="minorHAnsi" w:hAnsiTheme="minorHAnsi" w:cs="Times New Roman"/>
            <w:color w:val="auto"/>
            <w:lang w:eastAsia="fr-FR"/>
          </w:rPr>
          <w:t xml:space="preserve"> A</w:t>
        </w:r>
        <w:r w:rsidR="00F948D8" w:rsidRPr="00F948D8">
          <w:rPr>
            <w:rFonts w:cs="Times New Roman"/>
            <w:color w:val="auto"/>
            <w:lang w:eastAsia="fr-FR"/>
          </w:rPr>
          <w:t>.</w:t>
        </w:r>
        <w:r w:rsidR="003E2F50">
          <w:rPr>
            <w:rFonts w:asciiTheme="minorHAnsi" w:hAnsiTheme="minorHAnsi" w:cs="Times New Roman"/>
            <w:color w:val="auto"/>
            <w:lang w:eastAsia="fr-FR"/>
          </w:rPr>
          <w:t>R</w:t>
        </w:r>
      </w:hyperlink>
      <w:r w:rsidR="00F948D8" w:rsidRPr="00F948D8">
        <w:rPr>
          <w:rFonts w:cs="Times New Roman"/>
          <w:color w:val="auto"/>
          <w:lang w:eastAsia="fr-FR"/>
        </w:rPr>
        <w:t>.</w:t>
      </w:r>
      <w:r w:rsidR="003E2F50">
        <w:rPr>
          <w:rFonts w:asciiTheme="minorHAnsi" w:hAnsiTheme="minorHAnsi" w:cs="Times New Roman"/>
          <w:color w:val="auto"/>
          <w:lang w:eastAsia="fr-FR"/>
        </w:rPr>
        <w:t xml:space="preserve">, </w:t>
      </w:r>
      <w:hyperlink r:id="rId12" w:history="1">
        <w:r w:rsidR="003E2F50">
          <w:rPr>
            <w:rFonts w:asciiTheme="minorHAnsi" w:hAnsiTheme="minorHAnsi" w:cs="Times New Roman"/>
            <w:color w:val="auto"/>
            <w:lang w:eastAsia="fr-FR"/>
          </w:rPr>
          <w:t>Boutin</w:t>
        </w:r>
        <w:r w:rsidR="00F948D8" w:rsidRPr="00F948D8">
          <w:rPr>
            <w:rFonts w:cs="Times New Roman"/>
            <w:color w:val="auto"/>
            <w:lang w:eastAsia="fr-FR"/>
          </w:rPr>
          <w:t>,</w:t>
        </w:r>
        <w:r w:rsidR="003E2F50">
          <w:rPr>
            <w:rFonts w:asciiTheme="minorHAnsi" w:hAnsiTheme="minorHAnsi" w:cs="Times New Roman"/>
            <w:color w:val="auto"/>
            <w:lang w:eastAsia="fr-FR"/>
          </w:rPr>
          <w:t xml:space="preserve"> C</w:t>
        </w:r>
      </w:hyperlink>
      <w:r w:rsidR="00F948D8" w:rsidRPr="00F948D8">
        <w:rPr>
          <w:rFonts w:cs="Times New Roman"/>
          <w:color w:val="auto"/>
          <w:lang w:eastAsia="fr-FR"/>
        </w:rPr>
        <w:t>.</w:t>
      </w:r>
      <w:r w:rsidR="003E2F50">
        <w:rPr>
          <w:rFonts w:asciiTheme="minorHAnsi" w:hAnsiTheme="minorHAnsi" w:cs="Times New Roman"/>
          <w:color w:val="auto"/>
          <w:lang w:eastAsia="fr-FR"/>
        </w:rPr>
        <w:t xml:space="preserve">, </w:t>
      </w:r>
      <w:hyperlink r:id="rId13" w:history="1">
        <w:r w:rsidR="003E2F50">
          <w:rPr>
            <w:rFonts w:asciiTheme="minorHAnsi" w:hAnsiTheme="minorHAnsi" w:cs="Times New Roman"/>
            <w:color w:val="auto"/>
            <w:lang w:eastAsia="fr-FR"/>
          </w:rPr>
          <w:t>Cremer</w:t>
        </w:r>
        <w:r w:rsidR="00F948D8" w:rsidRPr="00F948D8">
          <w:rPr>
            <w:rFonts w:cs="Times New Roman"/>
            <w:color w:val="auto"/>
            <w:lang w:eastAsia="fr-FR"/>
          </w:rPr>
          <w:t>,</w:t>
        </w:r>
        <w:r w:rsidR="003E2F50">
          <w:rPr>
            <w:rFonts w:asciiTheme="minorHAnsi" w:hAnsiTheme="minorHAnsi" w:cs="Times New Roman"/>
            <w:color w:val="auto"/>
            <w:lang w:eastAsia="fr-FR"/>
          </w:rPr>
          <w:t xml:space="preserve"> H</w:t>
        </w:r>
      </w:hyperlink>
      <w:r w:rsidR="00F948D8" w:rsidRPr="00F948D8">
        <w:rPr>
          <w:rFonts w:cs="Times New Roman"/>
          <w:color w:val="auto"/>
          <w:lang w:eastAsia="fr-FR"/>
        </w:rPr>
        <w:t>.</w:t>
      </w:r>
      <w:r w:rsidR="003E2F50">
        <w:rPr>
          <w:rFonts w:asciiTheme="minorHAnsi" w:hAnsiTheme="minorHAnsi" w:cs="Times New Roman"/>
          <w:color w:val="auto"/>
          <w:lang w:eastAsia="fr-FR"/>
        </w:rPr>
        <w:t xml:space="preserve"> </w:t>
      </w:r>
      <w:r w:rsidR="00F948D8" w:rsidRPr="00F948D8">
        <w:rPr>
          <w:color w:val="auto"/>
        </w:rPr>
        <w:sym w:font="Symbol" w:char="F026"/>
      </w:r>
      <w:r w:rsidR="003E2F50">
        <w:rPr>
          <w:rFonts w:asciiTheme="minorHAnsi" w:hAnsiTheme="minorHAnsi" w:cs="Times New Roman"/>
          <w:color w:val="auto"/>
          <w:lang w:eastAsia="fr-FR"/>
        </w:rPr>
        <w:t xml:space="preserve"> </w:t>
      </w:r>
      <w:hyperlink r:id="rId14" w:history="1">
        <w:r w:rsidR="003E2F50">
          <w:rPr>
            <w:rFonts w:asciiTheme="minorHAnsi" w:hAnsiTheme="minorHAnsi" w:cs="Times New Roman"/>
            <w:color w:val="auto"/>
            <w:lang w:eastAsia="fr-FR"/>
          </w:rPr>
          <w:t>Chédotal</w:t>
        </w:r>
        <w:r w:rsidR="00F948D8" w:rsidRPr="00F948D8">
          <w:rPr>
            <w:rFonts w:cs="Times New Roman"/>
            <w:color w:val="auto"/>
            <w:lang w:eastAsia="fr-FR"/>
          </w:rPr>
          <w:t>,</w:t>
        </w:r>
        <w:r w:rsidR="003E2F50">
          <w:rPr>
            <w:rFonts w:asciiTheme="minorHAnsi" w:hAnsiTheme="minorHAnsi" w:cs="Times New Roman"/>
            <w:color w:val="auto"/>
            <w:lang w:eastAsia="fr-FR"/>
          </w:rPr>
          <w:t xml:space="preserve"> A</w:t>
        </w:r>
      </w:hyperlink>
      <w:r w:rsidR="003E2F50">
        <w:rPr>
          <w:rFonts w:asciiTheme="minorHAnsi" w:hAnsiTheme="minorHAnsi" w:cs="Times New Roman"/>
          <w:color w:val="auto"/>
          <w:lang w:eastAsia="fr-FR"/>
        </w:rPr>
        <w:t>.</w:t>
      </w:r>
      <w:r w:rsidR="00F948D8" w:rsidRPr="00F948D8">
        <w:rPr>
          <w:rFonts w:cs="Times New Roman"/>
          <w:color w:val="auto"/>
          <w:lang w:eastAsia="fr-FR"/>
        </w:rPr>
        <w:t xml:space="preserve"> </w:t>
      </w:r>
      <w:r w:rsidR="003E2F50">
        <w:rPr>
          <w:rFonts w:asciiTheme="minorHAnsi" w:hAnsiTheme="minorHAnsi" w:cs="Times New Roman"/>
          <w:bCs/>
          <w:color w:val="auto"/>
          <w:kern w:val="36"/>
          <w:lang w:eastAsia="fr-FR"/>
        </w:rPr>
        <w:t>Plexin-B2 regulates the proliferation and migration of neuroblasts in the postnatal and adult subventricular zone.</w:t>
      </w:r>
      <w:r w:rsidR="003E2F50">
        <w:rPr>
          <w:rFonts w:asciiTheme="minorHAnsi" w:hAnsiTheme="minorHAnsi" w:cs="Times New Roman"/>
          <w:color w:val="auto"/>
          <w:lang w:eastAsia="fr-FR"/>
        </w:rPr>
        <w:t xml:space="preserve"> </w:t>
      </w:r>
      <w:hyperlink r:id="rId15" w:tooltip="The Journal of neuroscience : the official journal of the Society for Neuroscience." w:history="1">
        <w:r w:rsidR="003E2F50">
          <w:rPr>
            <w:rFonts w:asciiTheme="minorHAnsi" w:hAnsiTheme="minorHAnsi" w:cs="Times New Roman"/>
            <w:i/>
            <w:color w:val="auto"/>
            <w:lang w:eastAsia="fr-FR"/>
          </w:rPr>
          <w:t>J</w:t>
        </w:r>
        <w:r w:rsidR="00F948D8" w:rsidRPr="00F948D8">
          <w:rPr>
            <w:rFonts w:cs="Times New Roman"/>
            <w:i/>
            <w:color w:val="auto"/>
            <w:lang w:eastAsia="fr-FR"/>
          </w:rPr>
          <w:t>ournal of</w:t>
        </w:r>
        <w:r w:rsidR="003E2F50">
          <w:rPr>
            <w:rFonts w:asciiTheme="minorHAnsi" w:hAnsiTheme="minorHAnsi" w:cs="Times New Roman"/>
            <w:i/>
            <w:color w:val="auto"/>
            <w:lang w:eastAsia="fr-FR"/>
          </w:rPr>
          <w:t xml:space="preserve"> Neurosci</w:t>
        </w:r>
        <w:r w:rsidR="00F948D8" w:rsidRPr="00F948D8">
          <w:rPr>
            <w:rFonts w:cs="Times New Roman"/>
            <w:i/>
            <w:color w:val="auto"/>
            <w:lang w:eastAsia="fr-FR"/>
          </w:rPr>
          <w:t>ence</w:t>
        </w:r>
        <w:r w:rsidR="003E2F50">
          <w:rPr>
            <w:rFonts w:asciiTheme="minorHAnsi" w:hAnsiTheme="minorHAnsi" w:cs="Times New Roman"/>
            <w:i/>
            <w:color w:val="auto"/>
            <w:lang w:eastAsia="fr-FR"/>
          </w:rPr>
          <w:t>.</w:t>
        </w:r>
      </w:hyperlink>
      <w:r w:rsidR="003E2F50">
        <w:rPr>
          <w:rFonts w:asciiTheme="minorHAnsi" w:hAnsiTheme="minorHAnsi" w:cs="Times New Roman"/>
          <w:color w:val="auto"/>
          <w:lang w:eastAsia="fr-FR"/>
        </w:rPr>
        <w:t xml:space="preserve"> </w:t>
      </w:r>
      <w:r w:rsidR="003E2F50">
        <w:rPr>
          <w:rFonts w:asciiTheme="minorHAnsi" w:hAnsiTheme="minorHAnsi" w:cs="Times New Roman"/>
          <w:b/>
          <w:color w:val="auto"/>
          <w:lang w:eastAsia="fr-FR"/>
        </w:rPr>
        <w:t>32</w:t>
      </w:r>
      <w:r w:rsidR="00F948D8" w:rsidRPr="00F948D8">
        <w:rPr>
          <w:rFonts w:cs="Times New Roman"/>
          <w:color w:val="auto"/>
          <w:lang w:eastAsia="fr-FR"/>
        </w:rPr>
        <w:t xml:space="preserve"> </w:t>
      </w:r>
      <w:r w:rsidR="003E2F50">
        <w:rPr>
          <w:rFonts w:asciiTheme="minorHAnsi" w:hAnsiTheme="minorHAnsi" w:cs="Times New Roman"/>
          <w:color w:val="auto"/>
          <w:lang w:eastAsia="fr-FR"/>
        </w:rPr>
        <w:t>(47</w:t>
      </w:r>
      <w:r w:rsidR="00AB53E0">
        <w:rPr>
          <w:rFonts w:asciiTheme="minorHAnsi" w:hAnsiTheme="minorHAnsi" w:cs="Times New Roman"/>
          <w:color w:val="auto"/>
          <w:lang w:eastAsia="fr-FR"/>
        </w:rPr>
        <w:t xml:space="preserve">), </w:t>
      </w:r>
      <w:r w:rsidR="003E2F50">
        <w:rPr>
          <w:rFonts w:asciiTheme="minorHAnsi" w:hAnsiTheme="minorHAnsi" w:cs="Times New Roman"/>
          <w:color w:val="auto"/>
          <w:lang w:eastAsia="fr-FR"/>
        </w:rPr>
        <w:t>16892-</w:t>
      </w:r>
      <w:r w:rsidR="00F948D8" w:rsidRPr="00F948D8">
        <w:rPr>
          <w:rFonts w:cs="Times New Roman"/>
          <w:color w:val="auto"/>
          <w:lang w:eastAsia="fr-FR"/>
        </w:rPr>
        <w:t>16905,</w:t>
      </w:r>
      <w:r w:rsidR="003E2F50">
        <w:rPr>
          <w:rFonts w:asciiTheme="minorHAnsi" w:hAnsiTheme="minorHAnsi" w:cs="Times New Roman"/>
          <w:color w:val="auto"/>
          <w:lang w:eastAsia="fr-FR"/>
        </w:rPr>
        <w:t xml:space="preserve"> doi:</w:t>
      </w:r>
      <w:r w:rsidR="00F948D8" w:rsidRPr="00F948D8">
        <w:rPr>
          <w:rFonts w:cs="Times New Roman"/>
          <w:color w:val="auto"/>
          <w:lang w:eastAsia="fr-FR"/>
        </w:rPr>
        <w:t xml:space="preserve"> 10.1523/JNEUROSCI.0344-12</w:t>
      </w:r>
      <w:r w:rsidR="00AB53E0">
        <w:rPr>
          <w:rFonts w:cs="Times New Roman"/>
          <w:color w:val="auto"/>
          <w:lang w:eastAsia="fr-FR"/>
        </w:rPr>
        <w:t xml:space="preserve"> (</w:t>
      </w:r>
      <w:r w:rsidR="00F948D8" w:rsidRPr="00F948D8">
        <w:rPr>
          <w:rFonts w:cs="Times New Roman"/>
          <w:color w:val="auto"/>
          <w:lang w:eastAsia="fr-FR"/>
        </w:rPr>
        <w:t>2012).</w:t>
      </w:r>
    </w:p>
    <w:p w:rsidR="00F948D8" w:rsidRDefault="005B2C69" w:rsidP="00F948D8">
      <w:pPr>
        <w:pStyle w:val="ListParagraph"/>
        <w:numPr>
          <w:ilvl w:val="0"/>
          <w:numId w:val="10"/>
        </w:numPr>
        <w:ind w:left="0" w:firstLine="0"/>
        <w:rPr>
          <w:rFonts w:asciiTheme="minorHAnsi" w:hAnsiTheme="minorHAnsi" w:cs="Times New Roman"/>
          <w:color w:val="auto"/>
          <w:lang w:eastAsia="fr-FR"/>
        </w:rPr>
      </w:pPr>
      <w:hyperlink r:id="rId16" w:history="1">
        <w:r w:rsidR="003E2F50">
          <w:rPr>
            <w:rFonts w:asciiTheme="minorHAnsi" w:hAnsiTheme="minorHAnsi" w:cs="Times New Roman"/>
            <w:color w:val="auto"/>
            <w:lang w:eastAsia="fr-FR"/>
          </w:rPr>
          <w:t>Raoult</w:t>
        </w:r>
        <w:r w:rsidR="00F948D8" w:rsidRPr="00F948D8">
          <w:rPr>
            <w:rFonts w:cs="Times New Roman"/>
            <w:color w:val="auto"/>
            <w:lang w:eastAsia="fr-FR"/>
          </w:rPr>
          <w:t>,</w:t>
        </w:r>
        <w:r w:rsidR="003E2F50">
          <w:rPr>
            <w:rFonts w:asciiTheme="minorHAnsi" w:hAnsiTheme="minorHAnsi" w:cs="Times New Roman"/>
            <w:color w:val="auto"/>
            <w:lang w:eastAsia="fr-FR"/>
          </w:rPr>
          <w:t xml:space="preserve"> E</w:t>
        </w:r>
      </w:hyperlink>
      <w:r w:rsidR="00F948D8" w:rsidRPr="00F948D8">
        <w:rPr>
          <w:rFonts w:cs="Times New Roman"/>
          <w:color w:val="auto"/>
          <w:lang w:eastAsia="fr-FR"/>
        </w:rPr>
        <w:t>.</w:t>
      </w:r>
      <w:r w:rsidR="003E2F50">
        <w:rPr>
          <w:rFonts w:asciiTheme="minorHAnsi" w:hAnsiTheme="minorHAnsi" w:cs="Times New Roman"/>
          <w:color w:val="auto"/>
          <w:lang w:eastAsia="fr-FR"/>
        </w:rPr>
        <w:t xml:space="preserve"> </w:t>
      </w:r>
      <w:proofErr w:type="gramStart"/>
      <w:r w:rsidR="003E2F50">
        <w:rPr>
          <w:rFonts w:asciiTheme="minorHAnsi" w:hAnsiTheme="minorHAnsi" w:cs="Times New Roman"/>
          <w:i/>
          <w:color w:val="auto"/>
          <w:lang w:eastAsia="fr-FR"/>
        </w:rPr>
        <w:t>et</w:t>
      </w:r>
      <w:proofErr w:type="gramEnd"/>
      <w:r w:rsidR="003E2F50">
        <w:rPr>
          <w:rFonts w:asciiTheme="minorHAnsi" w:hAnsiTheme="minorHAnsi" w:cs="Times New Roman"/>
          <w:i/>
          <w:color w:val="auto"/>
          <w:lang w:eastAsia="fr-FR"/>
        </w:rPr>
        <w:t xml:space="preserve"> al</w:t>
      </w:r>
      <w:r w:rsidR="003E2F50">
        <w:rPr>
          <w:rFonts w:asciiTheme="minorHAnsi" w:hAnsiTheme="minorHAnsi" w:cs="Times New Roman"/>
          <w:color w:val="auto"/>
          <w:lang w:eastAsia="fr-FR"/>
        </w:rPr>
        <w:t xml:space="preserve">. </w:t>
      </w:r>
      <w:r w:rsidR="003E2F50">
        <w:rPr>
          <w:rFonts w:asciiTheme="minorHAnsi" w:hAnsiTheme="minorHAnsi" w:cs="Times New Roman"/>
          <w:bCs/>
          <w:color w:val="auto"/>
          <w:kern w:val="36"/>
          <w:lang w:eastAsia="fr-FR"/>
        </w:rPr>
        <w:t>Cortical-layer-specific effects of PACAP and tPA on interneuron migration during post-natal development of the cerebellum.</w:t>
      </w:r>
      <w:r w:rsidR="003E2F50">
        <w:rPr>
          <w:rFonts w:asciiTheme="minorHAnsi" w:hAnsiTheme="minorHAnsi" w:cs="Times New Roman"/>
          <w:color w:val="auto"/>
          <w:lang w:eastAsia="fr-FR"/>
        </w:rPr>
        <w:t xml:space="preserve"> </w:t>
      </w:r>
      <w:hyperlink r:id="rId17" w:tooltip="Journal of neurochemistry." w:history="1">
        <w:r w:rsidR="003E2F50">
          <w:rPr>
            <w:rFonts w:asciiTheme="minorHAnsi" w:hAnsiTheme="minorHAnsi" w:cs="Times New Roman"/>
            <w:i/>
            <w:color w:val="auto"/>
            <w:lang w:eastAsia="fr-FR"/>
          </w:rPr>
          <w:t>J</w:t>
        </w:r>
        <w:r w:rsidR="00F948D8" w:rsidRPr="00F948D8">
          <w:rPr>
            <w:rFonts w:cs="Times New Roman"/>
            <w:i/>
            <w:color w:val="auto"/>
            <w:lang w:eastAsia="fr-FR"/>
          </w:rPr>
          <w:t>ournal of</w:t>
        </w:r>
        <w:r w:rsidR="003E2F50">
          <w:rPr>
            <w:rFonts w:asciiTheme="minorHAnsi" w:hAnsiTheme="minorHAnsi" w:cs="Times New Roman"/>
            <w:i/>
            <w:color w:val="auto"/>
            <w:lang w:eastAsia="fr-FR"/>
          </w:rPr>
          <w:t xml:space="preserve"> Neurochem</w:t>
        </w:r>
        <w:r w:rsidR="00F948D8" w:rsidRPr="00F948D8">
          <w:rPr>
            <w:rFonts w:cs="Times New Roman"/>
            <w:i/>
            <w:color w:val="auto"/>
            <w:lang w:eastAsia="fr-FR"/>
          </w:rPr>
          <w:t>istry</w:t>
        </w:r>
        <w:r w:rsidR="003E2F50">
          <w:rPr>
            <w:rFonts w:asciiTheme="minorHAnsi" w:hAnsiTheme="minorHAnsi" w:cs="Times New Roman"/>
            <w:color w:val="auto"/>
            <w:lang w:eastAsia="fr-FR"/>
          </w:rPr>
          <w:t>.</w:t>
        </w:r>
      </w:hyperlink>
      <w:r w:rsidR="003E2F50">
        <w:rPr>
          <w:rFonts w:asciiTheme="minorHAnsi" w:hAnsiTheme="minorHAnsi" w:cs="Times New Roman"/>
          <w:color w:val="auto"/>
          <w:lang w:eastAsia="fr-FR"/>
        </w:rPr>
        <w:t xml:space="preserve"> </w:t>
      </w:r>
      <w:r w:rsidR="003E2F50">
        <w:rPr>
          <w:rFonts w:asciiTheme="minorHAnsi" w:hAnsiTheme="minorHAnsi" w:cs="Times New Roman"/>
          <w:b/>
          <w:color w:val="auto"/>
          <w:lang w:eastAsia="fr-FR"/>
        </w:rPr>
        <w:t>130</w:t>
      </w:r>
      <w:r w:rsidR="00F948D8" w:rsidRPr="00F948D8">
        <w:rPr>
          <w:rFonts w:cs="Times New Roman"/>
          <w:color w:val="auto"/>
          <w:lang w:eastAsia="fr-FR"/>
        </w:rPr>
        <w:t xml:space="preserve"> (2), </w:t>
      </w:r>
      <w:r w:rsidR="00F948D8" w:rsidRPr="00F948D8">
        <w:rPr>
          <w:rFonts w:cs="Times New Roman"/>
          <w:color w:val="auto"/>
          <w:lang w:eastAsia="fr-FR"/>
        </w:rPr>
        <w:lastRenderedPageBreak/>
        <w:t>241</w:t>
      </w:r>
      <w:r w:rsidR="00F948D8" w:rsidRPr="00F948D8">
        <w:rPr>
          <w:color w:val="auto"/>
        </w:rPr>
        <w:t>–</w:t>
      </w:r>
      <w:r w:rsidR="00F948D8" w:rsidRPr="00F948D8">
        <w:rPr>
          <w:rFonts w:cs="Times New Roman"/>
          <w:color w:val="auto"/>
          <w:lang w:eastAsia="fr-FR"/>
        </w:rPr>
        <w:t>254, doi: 10.1111/jnc.12714</w:t>
      </w:r>
      <w:r w:rsidR="00AB53E0">
        <w:rPr>
          <w:rFonts w:cs="Times New Roman"/>
          <w:color w:val="auto"/>
          <w:lang w:eastAsia="fr-FR"/>
        </w:rPr>
        <w:t xml:space="preserve"> (</w:t>
      </w:r>
      <w:r w:rsidR="00F948D8" w:rsidRPr="00F948D8">
        <w:rPr>
          <w:rFonts w:cs="Times New Roman"/>
          <w:color w:val="auto"/>
          <w:lang w:eastAsia="fr-FR"/>
        </w:rPr>
        <w:t>2014).</w:t>
      </w:r>
    </w:p>
    <w:p w:rsidR="00F948D8" w:rsidRPr="00F948D8" w:rsidRDefault="00F948D8" w:rsidP="00F948D8">
      <w:pPr>
        <w:pStyle w:val="ListParagraph"/>
        <w:numPr>
          <w:ilvl w:val="0"/>
          <w:numId w:val="10"/>
        </w:numPr>
        <w:ind w:left="0" w:firstLine="0"/>
        <w:rPr>
          <w:color w:val="auto"/>
        </w:rPr>
      </w:pPr>
      <w:r w:rsidRPr="00F948D8">
        <w:rPr>
          <w:color w:val="auto"/>
        </w:rPr>
        <w:t xml:space="preserve">Bourgault S. </w:t>
      </w:r>
      <w:r w:rsidRPr="00F948D8">
        <w:rPr>
          <w:i/>
          <w:color w:val="auto"/>
        </w:rPr>
        <w:t>et al</w:t>
      </w:r>
      <w:r w:rsidRPr="00F948D8">
        <w:rPr>
          <w:color w:val="auto"/>
        </w:rPr>
        <w:t>.</w:t>
      </w:r>
      <w:r w:rsidRPr="00F948D8">
        <w:rPr>
          <w:b/>
          <w:color w:val="auto"/>
        </w:rPr>
        <w:t xml:space="preserve"> </w:t>
      </w:r>
      <w:r w:rsidRPr="00F948D8">
        <w:rPr>
          <w:color w:val="auto"/>
        </w:rPr>
        <w:t xml:space="preserve">Molecular and conformational determinants of pituitary adenylate cyclase-activating polypeptide (PACAP) for activation of the PAC1 receptor. </w:t>
      </w:r>
      <w:r w:rsidRPr="00F948D8">
        <w:rPr>
          <w:i/>
          <w:color w:val="auto"/>
        </w:rPr>
        <w:t>Journal of Medical Chemistry.</w:t>
      </w:r>
      <w:r w:rsidRPr="00F948D8">
        <w:rPr>
          <w:color w:val="auto"/>
        </w:rPr>
        <w:t xml:space="preserve"> </w:t>
      </w:r>
      <w:r w:rsidRPr="00F948D8">
        <w:rPr>
          <w:b/>
          <w:color w:val="auto"/>
        </w:rPr>
        <w:t xml:space="preserve">52 </w:t>
      </w:r>
      <w:r w:rsidRPr="00F948D8">
        <w:rPr>
          <w:color w:val="auto"/>
        </w:rPr>
        <w:t>(10), 3308–3316, doi: 10.1021/jm900291j</w:t>
      </w:r>
      <w:r w:rsidR="00AB53E0">
        <w:rPr>
          <w:color w:val="auto"/>
        </w:rPr>
        <w:t xml:space="preserve"> (</w:t>
      </w:r>
      <w:r w:rsidRPr="00F948D8">
        <w:rPr>
          <w:color w:val="auto"/>
        </w:rPr>
        <w:t>2009).</w:t>
      </w:r>
      <w:bookmarkStart w:id="0" w:name="_GoBack"/>
      <w:bookmarkEnd w:id="0"/>
    </w:p>
    <w:p w:rsidR="00C742AE" w:rsidRDefault="00C742AE">
      <w:pPr>
        <w:rPr>
          <w:color w:val="auto"/>
        </w:rPr>
      </w:pPr>
    </w:p>
    <w:sectPr w:rsidR="00C742AE" w:rsidSect="001A4CF3">
      <w:headerReference w:type="default" r:id="rId18"/>
      <w:pgSz w:w="12240" w:h="15840"/>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2C69" w:rsidRDefault="005B2C69" w:rsidP="00621C4E">
      <w:r>
        <w:separator/>
      </w:r>
    </w:p>
  </w:endnote>
  <w:endnote w:type="continuationSeparator" w:id="0">
    <w:p w:rsidR="005B2C69" w:rsidRDefault="005B2C69"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Lucida Grande">
    <w:altName w:val="Courier New"/>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2C69" w:rsidRDefault="005B2C69" w:rsidP="00621C4E">
      <w:r>
        <w:separator/>
      </w:r>
    </w:p>
  </w:footnote>
  <w:footnote w:type="continuationSeparator" w:id="0">
    <w:p w:rsidR="005B2C69" w:rsidRDefault="005B2C69" w:rsidP="00621C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07B9" w:rsidRPr="006F06E4" w:rsidRDefault="00AC07B9" w:rsidP="00621C4E">
    <w:pPr>
      <w:pStyle w:val="Header"/>
      <w:rPr>
        <w:b/>
        <w:color w:val="1F497D"/>
        <w:sz w:val="28"/>
        <w:szCs w:val="28"/>
      </w:rPr>
    </w:pPr>
    <w:r w:rsidRPr="009A38A5">
      <w:rPr>
        <w:sz w:val="22"/>
      </w:rPr>
      <w:tab/>
    </w:r>
    <w:r w:rsidRPr="009A38A5">
      <w:rPr>
        <w:sz w:val="2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6A7DA7"/>
    <w:multiLevelType w:val="hybridMultilevel"/>
    <w:tmpl w:val="60FAE70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11994662"/>
    <w:multiLevelType w:val="multilevel"/>
    <w:tmpl w:val="A33A6E7C"/>
    <w:lvl w:ilvl="0">
      <w:start w:val="5"/>
      <w:numFmt w:val="decimal"/>
      <w:lvlText w:val="%1."/>
      <w:lvlJc w:val="left"/>
      <w:pPr>
        <w:ind w:left="555" w:hanging="555"/>
      </w:pPr>
      <w:rPr>
        <w:rFonts w:hint="default"/>
      </w:rPr>
    </w:lvl>
    <w:lvl w:ilvl="1">
      <w:start w:val="2"/>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348304A"/>
    <w:multiLevelType w:val="multilevel"/>
    <w:tmpl w:val="90940AF2"/>
    <w:lvl w:ilvl="0">
      <w:start w:val="6"/>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264858BF"/>
    <w:multiLevelType w:val="hybridMultilevel"/>
    <w:tmpl w:val="60FAE70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28864A9C"/>
    <w:multiLevelType w:val="multilevel"/>
    <w:tmpl w:val="F554633C"/>
    <w:lvl w:ilvl="0">
      <w:start w:val="2"/>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35F8227E"/>
    <w:multiLevelType w:val="multilevel"/>
    <w:tmpl w:val="CE5C1EB4"/>
    <w:lvl w:ilvl="0">
      <w:start w:val="1"/>
      <w:numFmt w:val="decimal"/>
      <w:lvlText w:val="%1."/>
      <w:lvlJc w:val="left"/>
      <w:pPr>
        <w:ind w:left="435" w:hanging="43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
    <w:nsid w:val="47BC4482"/>
    <w:multiLevelType w:val="multilevel"/>
    <w:tmpl w:val="E6F4B4E4"/>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51B72E05"/>
    <w:multiLevelType w:val="multilevel"/>
    <w:tmpl w:val="4DEE27DA"/>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73EC7D25"/>
    <w:multiLevelType w:val="hybridMultilevel"/>
    <w:tmpl w:val="CD18C2A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F5F3E0A"/>
    <w:multiLevelType w:val="hybridMultilevel"/>
    <w:tmpl w:val="93942E3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10"/>
  </w:num>
  <w:num w:numId="3">
    <w:abstractNumId w:val="0"/>
  </w:num>
  <w:num w:numId="4">
    <w:abstractNumId w:val="4"/>
  </w:num>
  <w:num w:numId="5">
    <w:abstractNumId w:val="9"/>
  </w:num>
  <w:num w:numId="6">
    <w:abstractNumId w:val="8"/>
  </w:num>
  <w:num w:numId="7">
    <w:abstractNumId w:val="5"/>
  </w:num>
  <w:num w:numId="8">
    <w:abstractNumId w:val="6"/>
  </w:num>
  <w:num w:numId="9">
    <w:abstractNumId w:val="7"/>
  </w:num>
  <w:num w:numId="10">
    <w:abstractNumId w:val="11"/>
  </w:num>
  <w:num w:numId="11">
    <w:abstractNumId w:val="1"/>
  </w:num>
  <w:num w:numId="12">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doNotDisplayPageBoundarie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05F"/>
    <w:rsid w:val="00001806"/>
    <w:rsid w:val="00005815"/>
    <w:rsid w:val="00007DBC"/>
    <w:rsid w:val="00007EA1"/>
    <w:rsid w:val="000100F0"/>
    <w:rsid w:val="00012A8C"/>
    <w:rsid w:val="00012FF9"/>
    <w:rsid w:val="00014615"/>
    <w:rsid w:val="00020867"/>
    <w:rsid w:val="00021434"/>
    <w:rsid w:val="00021DF3"/>
    <w:rsid w:val="00023869"/>
    <w:rsid w:val="00024598"/>
    <w:rsid w:val="00032360"/>
    <w:rsid w:val="00032769"/>
    <w:rsid w:val="00037B58"/>
    <w:rsid w:val="000426B7"/>
    <w:rsid w:val="00044094"/>
    <w:rsid w:val="00051668"/>
    <w:rsid w:val="00051B73"/>
    <w:rsid w:val="0005291A"/>
    <w:rsid w:val="00060ABE"/>
    <w:rsid w:val="00061A50"/>
    <w:rsid w:val="00064104"/>
    <w:rsid w:val="00066025"/>
    <w:rsid w:val="00066865"/>
    <w:rsid w:val="000701D1"/>
    <w:rsid w:val="000726C3"/>
    <w:rsid w:val="00077DEE"/>
    <w:rsid w:val="00080A20"/>
    <w:rsid w:val="00082796"/>
    <w:rsid w:val="00085471"/>
    <w:rsid w:val="000869DE"/>
    <w:rsid w:val="00087C0A"/>
    <w:rsid w:val="00091184"/>
    <w:rsid w:val="00093BC4"/>
    <w:rsid w:val="00096A81"/>
    <w:rsid w:val="00097023"/>
    <w:rsid w:val="00097929"/>
    <w:rsid w:val="000A1E80"/>
    <w:rsid w:val="000A3772"/>
    <w:rsid w:val="000A3B70"/>
    <w:rsid w:val="000A5153"/>
    <w:rsid w:val="000B10AE"/>
    <w:rsid w:val="000B30BF"/>
    <w:rsid w:val="000B566B"/>
    <w:rsid w:val="000B7294"/>
    <w:rsid w:val="000B75D0"/>
    <w:rsid w:val="000C1CF8"/>
    <w:rsid w:val="000C49CF"/>
    <w:rsid w:val="000C52E9"/>
    <w:rsid w:val="000C5CDC"/>
    <w:rsid w:val="000C65DC"/>
    <w:rsid w:val="000C66F3"/>
    <w:rsid w:val="000C6900"/>
    <w:rsid w:val="000C6C3E"/>
    <w:rsid w:val="000D31E8"/>
    <w:rsid w:val="000D76E4"/>
    <w:rsid w:val="000E3816"/>
    <w:rsid w:val="000E4F77"/>
    <w:rsid w:val="000E597D"/>
    <w:rsid w:val="000E5F5D"/>
    <w:rsid w:val="000F265C"/>
    <w:rsid w:val="000F3AFA"/>
    <w:rsid w:val="000F5712"/>
    <w:rsid w:val="000F6611"/>
    <w:rsid w:val="000F7E22"/>
    <w:rsid w:val="001016F7"/>
    <w:rsid w:val="00102DE1"/>
    <w:rsid w:val="00112EEB"/>
    <w:rsid w:val="001238FF"/>
    <w:rsid w:val="0012563A"/>
    <w:rsid w:val="001313A7"/>
    <w:rsid w:val="0013276F"/>
    <w:rsid w:val="00133ED0"/>
    <w:rsid w:val="001476DC"/>
    <w:rsid w:val="001518C9"/>
    <w:rsid w:val="00152A23"/>
    <w:rsid w:val="00156553"/>
    <w:rsid w:val="00156A56"/>
    <w:rsid w:val="0015721F"/>
    <w:rsid w:val="00160A97"/>
    <w:rsid w:val="001615B4"/>
    <w:rsid w:val="00162CB7"/>
    <w:rsid w:val="00166C03"/>
    <w:rsid w:val="00171E5B"/>
    <w:rsid w:val="00171F94"/>
    <w:rsid w:val="00175EC6"/>
    <w:rsid w:val="0017668A"/>
    <w:rsid w:val="001766FE"/>
    <w:rsid w:val="001771E7"/>
    <w:rsid w:val="001866BA"/>
    <w:rsid w:val="00186D10"/>
    <w:rsid w:val="00187F9B"/>
    <w:rsid w:val="00192006"/>
    <w:rsid w:val="00192433"/>
    <w:rsid w:val="00193180"/>
    <w:rsid w:val="001A4CF3"/>
    <w:rsid w:val="001B19EA"/>
    <w:rsid w:val="001B1C06"/>
    <w:rsid w:val="001B2E2D"/>
    <w:rsid w:val="001B5CD2"/>
    <w:rsid w:val="001C0BEE"/>
    <w:rsid w:val="001C1D3D"/>
    <w:rsid w:val="001C2A98"/>
    <w:rsid w:val="001C2F3A"/>
    <w:rsid w:val="001C59C9"/>
    <w:rsid w:val="001D0542"/>
    <w:rsid w:val="001D3D7D"/>
    <w:rsid w:val="001D3FFF"/>
    <w:rsid w:val="001D489F"/>
    <w:rsid w:val="001D4B90"/>
    <w:rsid w:val="001D625F"/>
    <w:rsid w:val="001D7576"/>
    <w:rsid w:val="001E14A0"/>
    <w:rsid w:val="001E7376"/>
    <w:rsid w:val="001F225C"/>
    <w:rsid w:val="001F513E"/>
    <w:rsid w:val="00201CFA"/>
    <w:rsid w:val="0020220D"/>
    <w:rsid w:val="00202448"/>
    <w:rsid w:val="00202D15"/>
    <w:rsid w:val="002059E2"/>
    <w:rsid w:val="0021165B"/>
    <w:rsid w:val="00214BEE"/>
    <w:rsid w:val="002205B8"/>
    <w:rsid w:val="002259E5"/>
    <w:rsid w:val="00226140"/>
    <w:rsid w:val="002274F3"/>
    <w:rsid w:val="0023094C"/>
    <w:rsid w:val="00234BE3"/>
    <w:rsid w:val="00235A90"/>
    <w:rsid w:val="0023602B"/>
    <w:rsid w:val="00236046"/>
    <w:rsid w:val="00236F5F"/>
    <w:rsid w:val="00241E48"/>
    <w:rsid w:val="0024214E"/>
    <w:rsid w:val="00242623"/>
    <w:rsid w:val="00250558"/>
    <w:rsid w:val="002557BD"/>
    <w:rsid w:val="0025704E"/>
    <w:rsid w:val="00257A33"/>
    <w:rsid w:val="00260194"/>
    <w:rsid w:val="00260652"/>
    <w:rsid w:val="0026100A"/>
    <w:rsid w:val="00261F25"/>
    <w:rsid w:val="002648A9"/>
    <w:rsid w:val="0026553C"/>
    <w:rsid w:val="00267DD5"/>
    <w:rsid w:val="00270CD6"/>
    <w:rsid w:val="00274A0A"/>
    <w:rsid w:val="00277593"/>
    <w:rsid w:val="00280918"/>
    <w:rsid w:val="002812A6"/>
    <w:rsid w:val="00282AF6"/>
    <w:rsid w:val="00287085"/>
    <w:rsid w:val="00290AF9"/>
    <w:rsid w:val="00292F41"/>
    <w:rsid w:val="002967CF"/>
    <w:rsid w:val="00297788"/>
    <w:rsid w:val="002A64A6"/>
    <w:rsid w:val="002C1BBC"/>
    <w:rsid w:val="002C4202"/>
    <w:rsid w:val="002C47D4"/>
    <w:rsid w:val="002D0F38"/>
    <w:rsid w:val="002D2E1C"/>
    <w:rsid w:val="002D4A6A"/>
    <w:rsid w:val="002D6BDE"/>
    <w:rsid w:val="002D77E3"/>
    <w:rsid w:val="002E192D"/>
    <w:rsid w:val="002E6062"/>
    <w:rsid w:val="002F2859"/>
    <w:rsid w:val="002F6E3C"/>
    <w:rsid w:val="0030117D"/>
    <w:rsid w:val="00303C87"/>
    <w:rsid w:val="003120CB"/>
    <w:rsid w:val="00312848"/>
    <w:rsid w:val="00320153"/>
    <w:rsid w:val="00320367"/>
    <w:rsid w:val="00322871"/>
    <w:rsid w:val="00326FB3"/>
    <w:rsid w:val="003316D4"/>
    <w:rsid w:val="0033211E"/>
    <w:rsid w:val="003334D6"/>
    <w:rsid w:val="00333822"/>
    <w:rsid w:val="00335026"/>
    <w:rsid w:val="00336715"/>
    <w:rsid w:val="00340DFD"/>
    <w:rsid w:val="00343508"/>
    <w:rsid w:val="00345A28"/>
    <w:rsid w:val="003476BC"/>
    <w:rsid w:val="00350CD7"/>
    <w:rsid w:val="00360C17"/>
    <w:rsid w:val="003621C6"/>
    <w:rsid w:val="003622B8"/>
    <w:rsid w:val="00366B76"/>
    <w:rsid w:val="003703C7"/>
    <w:rsid w:val="00373051"/>
    <w:rsid w:val="00373B8F"/>
    <w:rsid w:val="00376D95"/>
    <w:rsid w:val="00377FBB"/>
    <w:rsid w:val="00380850"/>
    <w:rsid w:val="0038507E"/>
    <w:rsid w:val="003914E2"/>
    <w:rsid w:val="003A0221"/>
    <w:rsid w:val="003A16FC"/>
    <w:rsid w:val="003A4FCD"/>
    <w:rsid w:val="003A78F4"/>
    <w:rsid w:val="003B0944"/>
    <w:rsid w:val="003B1593"/>
    <w:rsid w:val="003B4381"/>
    <w:rsid w:val="003B5697"/>
    <w:rsid w:val="003C1043"/>
    <w:rsid w:val="003C1309"/>
    <w:rsid w:val="003C1A30"/>
    <w:rsid w:val="003C49B5"/>
    <w:rsid w:val="003C6779"/>
    <w:rsid w:val="003D1B8D"/>
    <w:rsid w:val="003D2213"/>
    <w:rsid w:val="003D2998"/>
    <w:rsid w:val="003D2F0A"/>
    <w:rsid w:val="003D3891"/>
    <w:rsid w:val="003E0F4F"/>
    <w:rsid w:val="003E18AC"/>
    <w:rsid w:val="003E210B"/>
    <w:rsid w:val="003E2A12"/>
    <w:rsid w:val="003E2F50"/>
    <w:rsid w:val="003E3384"/>
    <w:rsid w:val="003E548E"/>
    <w:rsid w:val="003F3492"/>
    <w:rsid w:val="003F3F22"/>
    <w:rsid w:val="00407750"/>
    <w:rsid w:val="004148E1"/>
    <w:rsid w:val="00414CFA"/>
    <w:rsid w:val="00420BE9"/>
    <w:rsid w:val="00423AD8"/>
    <w:rsid w:val="004240B4"/>
    <w:rsid w:val="00424C85"/>
    <w:rsid w:val="004260BD"/>
    <w:rsid w:val="004263E7"/>
    <w:rsid w:val="0043012F"/>
    <w:rsid w:val="00430F1F"/>
    <w:rsid w:val="004326EA"/>
    <w:rsid w:val="00440396"/>
    <w:rsid w:val="0044456B"/>
    <w:rsid w:val="00447BD1"/>
    <w:rsid w:val="004507F3"/>
    <w:rsid w:val="00450AF4"/>
    <w:rsid w:val="00454407"/>
    <w:rsid w:val="00455156"/>
    <w:rsid w:val="004671C7"/>
    <w:rsid w:val="00472F4D"/>
    <w:rsid w:val="004730BF"/>
    <w:rsid w:val="0047535C"/>
    <w:rsid w:val="00482982"/>
    <w:rsid w:val="00485870"/>
    <w:rsid w:val="00485FE8"/>
    <w:rsid w:val="00492EB5"/>
    <w:rsid w:val="00494F77"/>
    <w:rsid w:val="00497721"/>
    <w:rsid w:val="004A0229"/>
    <w:rsid w:val="004A35D2"/>
    <w:rsid w:val="004B2F00"/>
    <w:rsid w:val="004B6E31"/>
    <w:rsid w:val="004B76FE"/>
    <w:rsid w:val="004C1D66"/>
    <w:rsid w:val="004C31D7"/>
    <w:rsid w:val="004C4AD2"/>
    <w:rsid w:val="004D1712"/>
    <w:rsid w:val="004D1F21"/>
    <w:rsid w:val="004D59D8"/>
    <w:rsid w:val="004D5DA1"/>
    <w:rsid w:val="004D6C00"/>
    <w:rsid w:val="004E150F"/>
    <w:rsid w:val="004E23A1"/>
    <w:rsid w:val="004E3489"/>
    <w:rsid w:val="004E3AFA"/>
    <w:rsid w:val="00502A0A"/>
    <w:rsid w:val="00502F04"/>
    <w:rsid w:val="0050496D"/>
    <w:rsid w:val="005072B8"/>
    <w:rsid w:val="00507C50"/>
    <w:rsid w:val="005115B1"/>
    <w:rsid w:val="00514880"/>
    <w:rsid w:val="00517C3A"/>
    <w:rsid w:val="005252B7"/>
    <w:rsid w:val="00527BF4"/>
    <w:rsid w:val="00534F6C"/>
    <w:rsid w:val="0053646D"/>
    <w:rsid w:val="00536B8E"/>
    <w:rsid w:val="00540AAD"/>
    <w:rsid w:val="0054643D"/>
    <w:rsid w:val="00546458"/>
    <w:rsid w:val="0055087C"/>
    <w:rsid w:val="0055196D"/>
    <w:rsid w:val="00553290"/>
    <w:rsid w:val="00553413"/>
    <w:rsid w:val="00576EF5"/>
    <w:rsid w:val="0058219C"/>
    <w:rsid w:val="0058707F"/>
    <w:rsid w:val="005927B8"/>
    <w:rsid w:val="005931FE"/>
    <w:rsid w:val="00596464"/>
    <w:rsid w:val="005A6EC2"/>
    <w:rsid w:val="005B0072"/>
    <w:rsid w:val="005B0732"/>
    <w:rsid w:val="005B2C69"/>
    <w:rsid w:val="005B355B"/>
    <w:rsid w:val="005B38A0"/>
    <w:rsid w:val="005B491C"/>
    <w:rsid w:val="005B4DBF"/>
    <w:rsid w:val="005B5DE2"/>
    <w:rsid w:val="005B674C"/>
    <w:rsid w:val="005C455E"/>
    <w:rsid w:val="005C7561"/>
    <w:rsid w:val="005D1E57"/>
    <w:rsid w:val="005D2F57"/>
    <w:rsid w:val="005D34F6"/>
    <w:rsid w:val="005E1884"/>
    <w:rsid w:val="005F373A"/>
    <w:rsid w:val="005F656D"/>
    <w:rsid w:val="005F6B0E"/>
    <w:rsid w:val="005F760E"/>
    <w:rsid w:val="005F761E"/>
    <w:rsid w:val="005F7B1D"/>
    <w:rsid w:val="00600958"/>
    <w:rsid w:val="0060222A"/>
    <w:rsid w:val="0060715E"/>
    <w:rsid w:val="00610C21"/>
    <w:rsid w:val="00611907"/>
    <w:rsid w:val="00613116"/>
    <w:rsid w:val="00617ADF"/>
    <w:rsid w:val="00617C37"/>
    <w:rsid w:val="006202A6"/>
    <w:rsid w:val="00620382"/>
    <w:rsid w:val="00621C4E"/>
    <w:rsid w:val="006305D7"/>
    <w:rsid w:val="00632D18"/>
    <w:rsid w:val="00633A01"/>
    <w:rsid w:val="006341F7"/>
    <w:rsid w:val="00635014"/>
    <w:rsid w:val="006369CE"/>
    <w:rsid w:val="006411CA"/>
    <w:rsid w:val="00643452"/>
    <w:rsid w:val="00654E94"/>
    <w:rsid w:val="00655584"/>
    <w:rsid w:val="006619C8"/>
    <w:rsid w:val="00662884"/>
    <w:rsid w:val="00663812"/>
    <w:rsid w:val="0066586C"/>
    <w:rsid w:val="00666482"/>
    <w:rsid w:val="00671413"/>
    <w:rsid w:val="006714FE"/>
    <w:rsid w:val="00671710"/>
    <w:rsid w:val="00673414"/>
    <w:rsid w:val="00676079"/>
    <w:rsid w:val="00676ECD"/>
    <w:rsid w:val="00677D0A"/>
    <w:rsid w:val="0068185F"/>
    <w:rsid w:val="00682F82"/>
    <w:rsid w:val="0069585B"/>
    <w:rsid w:val="00695D8B"/>
    <w:rsid w:val="006A01CF"/>
    <w:rsid w:val="006A3FC6"/>
    <w:rsid w:val="006A4186"/>
    <w:rsid w:val="006A5543"/>
    <w:rsid w:val="006B074C"/>
    <w:rsid w:val="006B1F1C"/>
    <w:rsid w:val="006B2D44"/>
    <w:rsid w:val="006B4493"/>
    <w:rsid w:val="006B5D8C"/>
    <w:rsid w:val="006B72D4"/>
    <w:rsid w:val="006C11CC"/>
    <w:rsid w:val="006C1AEB"/>
    <w:rsid w:val="006C57FE"/>
    <w:rsid w:val="006C6FB2"/>
    <w:rsid w:val="006D2893"/>
    <w:rsid w:val="006D71F9"/>
    <w:rsid w:val="006E12CF"/>
    <w:rsid w:val="006E4B63"/>
    <w:rsid w:val="006F06E4"/>
    <w:rsid w:val="006F3451"/>
    <w:rsid w:val="006F7B41"/>
    <w:rsid w:val="00700E46"/>
    <w:rsid w:val="007017A2"/>
    <w:rsid w:val="00702AAA"/>
    <w:rsid w:val="00702B5D"/>
    <w:rsid w:val="007031D1"/>
    <w:rsid w:val="00703358"/>
    <w:rsid w:val="00703ED2"/>
    <w:rsid w:val="00707B8D"/>
    <w:rsid w:val="00713636"/>
    <w:rsid w:val="00714B8C"/>
    <w:rsid w:val="0071675D"/>
    <w:rsid w:val="00731708"/>
    <w:rsid w:val="00735CF5"/>
    <w:rsid w:val="007400CF"/>
    <w:rsid w:val="0074063A"/>
    <w:rsid w:val="00743BA1"/>
    <w:rsid w:val="00745F1E"/>
    <w:rsid w:val="007515FE"/>
    <w:rsid w:val="007601D0"/>
    <w:rsid w:val="0076109D"/>
    <w:rsid w:val="00767107"/>
    <w:rsid w:val="007726C3"/>
    <w:rsid w:val="00773085"/>
    <w:rsid w:val="007732DB"/>
    <w:rsid w:val="00773BFD"/>
    <w:rsid w:val="007743B3"/>
    <w:rsid w:val="00774490"/>
    <w:rsid w:val="007746D3"/>
    <w:rsid w:val="00776D01"/>
    <w:rsid w:val="00776DE0"/>
    <w:rsid w:val="007819FF"/>
    <w:rsid w:val="00784BC6"/>
    <w:rsid w:val="0078523D"/>
    <w:rsid w:val="007931DF"/>
    <w:rsid w:val="007A0172"/>
    <w:rsid w:val="007A1E76"/>
    <w:rsid w:val="007A2511"/>
    <w:rsid w:val="007A260E"/>
    <w:rsid w:val="007A4D4C"/>
    <w:rsid w:val="007A5CB9"/>
    <w:rsid w:val="007A6135"/>
    <w:rsid w:val="007B5952"/>
    <w:rsid w:val="007B6D43"/>
    <w:rsid w:val="007B7C6E"/>
    <w:rsid w:val="007C2525"/>
    <w:rsid w:val="007C3425"/>
    <w:rsid w:val="007C6F70"/>
    <w:rsid w:val="007D25F7"/>
    <w:rsid w:val="007D44D7"/>
    <w:rsid w:val="007D5B7D"/>
    <w:rsid w:val="007D621A"/>
    <w:rsid w:val="007D7608"/>
    <w:rsid w:val="007E2887"/>
    <w:rsid w:val="007E5278"/>
    <w:rsid w:val="007E749C"/>
    <w:rsid w:val="007F1B5C"/>
    <w:rsid w:val="007F2289"/>
    <w:rsid w:val="00801257"/>
    <w:rsid w:val="00803B0A"/>
    <w:rsid w:val="00804DED"/>
    <w:rsid w:val="00805B96"/>
    <w:rsid w:val="008115A5"/>
    <w:rsid w:val="00811D46"/>
    <w:rsid w:val="0081415D"/>
    <w:rsid w:val="00820229"/>
    <w:rsid w:val="00822448"/>
    <w:rsid w:val="00822ABE"/>
    <w:rsid w:val="00822C08"/>
    <w:rsid w:val="00827F51"/>
    <w:rsid w:val="0083104E"/>
    <w:rsid w:val="008343BE"/>
    <w:rsid w:val="008348DD"/>
    <w:rsid w:val="00840FB4"/>
    <w:rsid w:val="008410B2"/>
    <w:rsid w:val="00843F42"/>
    <w:rsid w:val="008500A0"/>
    <w:rsid w:val="0085351C"/>
    <w:rsid w:val="008548BD"/>
    <w:rsid w:val="008549CA"/>
    <w:rsid w:val="00854EE7"/>
    <w:rsid w:val="008556C3"/>
    <w:rsid w:val="0085687C"/>
    <w:rsid w:val="008621A0"/>
    <w:rsid w:val="008661FF"/>
    <w:rsid w:val="00866AD3"/>
    <w:rsid w:val="00866D70"/>
    <w:rsid w:val="008706C5"/>
    <w:rsid w:val="0087240F"/>
    <w:rsid w:val="00873707"/>
    <w:rsid w:val="008763E1"/>
    <w:rsid w:val="00877EC8"/>
    <w:rsid w:val="00880F36"/>
    <w:rsid w:val="00885530"/>
    <w:rsid w:val="008910D1"/>
    <w:rsid w:val="0089296C"/>
    <w:rsid w:val="00892FCF"/>
    <w:rsid w:val="008939AD"/>
    <w:rsid w:val="00896ABD"/>
    <w:rsid w:val="008A7A9C"/>
    <w:rsid w:val="008B26E2"/>
    <w:rsid w:val="008B2FE3"/>
    <w:rsid w:val="008B5218"/>
    <w:rsid w:val="008B7102"/>
    <w:rsid w:val="008C3B7D"/>
    <w:rsid w:val="008C3F4F"/>
    <w:rsid w:val="008C7AF7"/>
    <w:rsid w:val="008D0F90"/>
    <w:rsid w:val="008D3715"/>
    <w:rsid w:val="008D43FD"/>
    <w:rsid w:val="008D5465"/>
    <w:rsid w:val="008D7EB7"/>
    <w:rsid w:val="008E1AAD"/>
    <w:rsid w:val="008E1C63"/>
    <w:rsid w:val="008E3684"/>
    <w:rsid w:val="008E57F5"/>
    <w:rsid w:val="008E59DE"/>
    <w:rsid w:val="008E5EE2"/>
    <w:rsid w:val="008E628C"/>
    <w:rsid w:val="008E7606"/>
    <w:rsid w:val="008F1DAA"/>
    <w:rsid w:val="008F3EBD"/>
    <w:rsid w:val="008F54BE"/>
    <w:rsid w:val="008F5B2B"/>
    <w:rsid w:val="008F60B2"/>
    <w:rsid w:val="008F7C41"/>
    <w:rsid w:val="008F7E61"/>
    <w:rsid w:val="009031E2"/>
    <w:rsid w:val="00904DD6"/>
    <w:rsid w:val="0091276C"/>
    <w:rsid w:val="009155A7"/>
    <w:rsid w:val="009165AC"/>
    <w:rsid w:val="0091742C"/>
    <w:rsid w:val="0092053F"/>
    <w:rsid w:val="0092340A"/>
    <w:rsid w:val="00925329"/>
    <w:rsid w:val="009313D9"/>
    <w:rsid w:val="009358AE"/>
    <w:rsid w:val="00935B7F"/>
    <w:rsid w:val="00941293"/>
    <w:rsid w:val="00950C17"/>
    <w:rsid w:val="00952993"/>
    <w:rsid w:val="00953F6C"/>
    <w:rsid w:val="00954740"/>
    <w:rsid w:val="009568C9"/>
    <w:rsid w:val="00963ABC"/>
    <w:rsid w:val="00965D21"/>
    <w:rsid w:val="00967764"/>
    <w:rsid w:val="00970B0E"/>
    <w:rsid w:val="009725D1"/>
    <w:rsid w:val="0097336F"/>
    <w:rsid w:val="00976D03"/>
    <w:rsid w:val="00977B30"/>
    <w:rsid w:val="00982F41"/>
    <w:rsid w:val="00985090"/>
    <w:rsid w:val="00985730"/>
    <w:rsid w:val="00987710"/>
    <w:rsid w:val="009904AB"/>
    <w:rsid w:val="00995688"/>
    <w:rsid w:val="009958A6"/>
    <w:rsid w:val="00996456"/>
    <w:rsid w:val="009A04F5"/>
    <w:rsid w:val="009A15EF"/>
    <w:rsid w:val="009A38A5"/>
    <w:rsid w:val="009A418C"/>
    <w:rsid w:val="009A4656"/>
    <w:rsid w:val="009B118B"/>
    <w:rsid w:val="009B1737"/>
    <w:rsid w:val="009B3D4B"/>
    <w:rsid w:val="009B5B99"/>
    <w:rsid w:val="009B5D4F"/>
    <w:rsid w:val="009B6EFC"/>
    <w:rsid w:val="009C1CCA"/>
    <w:rsid w:val="009C2DF8"/>
    <w:rsid w:val="009C68B7"/>
    <w:rsid w:val="009C7E1C"/>
    <w:rsid w:val="009D0160"/>
    <w:rsid w:val="009D0834"/>
    <w:rsid w:val="009D0A1E"/>
    <w:rsid w:val="009D52BC"/>
    <w:rsid w:val="009D6632"/>
    <w:rsid w:val="009D7D0A"/>
    <w:rsid w:val="009E46B9"/>
    <w:rsid w:val="009F01B1"/>
    <w:rsid w:val="009F0DBB"/>
    <w:rsid w:val="009F3887"/>
    <w:rsid w:val="009F732B"/>
    <w:rsid w:val="00A0027E"/>
    <w:rsid w:val="00A011EE"/>
    <w:rsid w:val="00A01FE0"/>
    <w:rsid w:val="00A03819"/>
    <w:rsid w:val="00A10656"/>
    <w:rsid w:val="00A12175"/>
    <w:rsid w:val="00A12FA6"/>
    <w:rsid w:val="00A1339B"/>
    <w:rsid w:val="00A14ABA"/>
    <w:rsid w:val="00A15405"/>
    <w:rsid w:val="00A24CB6"/>
    <w:rsid w:val="00A26CD2"/>
    <w:rsid w:val="00A27280"/>
    <w:rsid w:val="00A27667"/>
    <w:rsid w:val="00A32526"/>
    <w:rsid w:val="00A34A67"/>
    <w:rsid w:val="00A37462"/>
    <w:rsid w:val="00A41E0A"/>
    <w:rsid w:val="00A459E1"/>
    <w:rsid w:val="00A45CAA"/>
    <w:rsid w:val="00A52296"/>
    <w:rsid w:val="00A55661"/>
    <w:rsid w:val="00A61B70"/>
    <w:rsid w:val="00A61FA8"/>
    <w:rsid w:val="00A637F4"/>
    <w:rsid w:val="00A65485"/>
    <w:rsid w:val="00A66E05"/>
    <w:rsid w:val="00A70753"/>
    <w:rsid w:val="00A712D2"/>
    <w:rsid w:val="00A82C8A"/>
    <w:rsid w:val="00A852FF"/>
    <w:rsid w:val="00A87337"/>
    <w:rsid w:val="00A90C97"/>
    <w:rsid w:val="00A94B27"/>
    <w:rsid w:val="00A960C8"/>
    <w:rsid w:val="00A96A5A"/>
    <w:rsid w:val="00AA1B4F"/>
    <w:rsid w:val="00AA28DD"/>
    <w:rsid w:val="00AA383B"/>
    <w:rsid w:val="00AA54F3"/>
    <w:rsid w:val="00AA6B43"/>
    <w:rsid w:val="00AB1F9B"/>
    <w:rsid w:val="00AB367A"/>
    <w:rsid w:val="00AB53E0"/>
    <w:rsid w:val="00AC01D1"/>
    <w:rsid w:val="00AC07B9"/>
    <w:rsid w:val="00AD5C39"/>
    <w:rsid w:val="00AD6A05"/>
    <w:rsid w:val="00AD7B29"/>
    <w:rsid w:val="00AE0FF4"/>
    <w:rsid w:val="00AE272B"/>
    <w:rsid w:val="00AE3E3A"/>
    <w:rsid w:val="00AE4AF6"/>
    <w:rsid w:val="00AE77B4"/>
    <w:rsid w:val="00AE7C1A"/>
    <w:rsid w:val="00AF0D9C"/>
    <w:rsid w:val="00AF13AB"/>
    <w:rsid w:val="00AF1D36"/>
    <w:rsid w:val="00AF5F75"/>
    <w:rsid w:val="00AF6001"/>
    <w:rsid w:val="00B01A16"/>
    <w:rsid w:val="00B03DD3"/>
    <w:rsid w:val="00B04142"/>
    <w:rsid w:val="00B07F45"/>
    <w:rsid w:val="00B1021A"/>
    <w:rsid w:val="00B1112D"/>
    <w:rsid w:val="00B13E39"/>
    <w:rsid w:val="00B15A1F"/>
    <w:rsid w:val="00B15FE9"/>
    <w:rsid w:val="00B2148A"/>
    <w:rsid w:val="00B220C2"/>
    <w:rsid w:val="00B25B32"/>
    <w:rsid w:val="00B25F80"/>
    <w:rsid w:val="00B36C42"/>
    <w:rsid w:val="00B420E1"/>
    <w:rsid w:val="00B42EA7"/>
    <w:rsid w:val="00B5337C"/>
    <w:rsid w:val="00B53FDE"/>
    <w:rsid w:val="00B56397"/>
    <w:rsid w:val="00B6027B"/>
    <w:rsid w:val="00B60FC5"/>
    <w:rsid w:val="00B67AFF"/>
    <w:rsid w:val="00B70B59"/>
    <w:rsid w:val="00B7265C"/>
    <w:rsid w:val="00B73657"/>
    <w:rsid w:val="00B9455A"/>
    <w:rsid w:val="00B9505B"/>
    <w:rsid w:val="00BA03E9"/>
    <w:rsid w:val="00BA1735"/>
    <w:rsid w:val="00BA19FA"/>
    <w:rsid w:val="00BA4288"/>
    <w:rsid w:val="00BB48E5"/>
    <w:rsid w:val="00BB5607"/>
    <w:rsid w:val="00BB5ACA"/>
    <w:rsid w:val="00BC3823"/>
    <w:rsid w:val="00BC45B3"/>
    <w:rsid w:val="00BC5841"/>
    <w:rsid w:val="00BD60B4"/>
    <w:rsid w:val="00BE40C0"/>
    <w:rsid w:val="00BE5F4A"/>
    <w:rsid w:val="00BF09B0"/>
    <w:rsid w:val="00BF1544"/>
    <w:rsid w:val="00BF1B53"/>
    <w:rsid w:val="00BF2867"/>
    <w:rsid w:val="00C06F06"/>
    <w:rsid w:val="00C14312"/>
    <w:rsid w:val="00C20FAD"/>
    <w:rsid w:val="00C2375F"/>
    <w:rsid w:val="00C247CB"/>
    <w:rsid w:val="00C3355F"/>
    <w:rsid w:val="00C35002"/>
    <w:rsid w:val="00C3569A"/>
    <w:rsid w:val="00C41111"/>
    <w:rsid w:val="00C43F48"/>
    <w:rsid w:val="00C448FF"/>
    <w:rsid w:val="00C45E57"/>
    <w:rsid w:val="00C460B7"/>
    <w:rsid w:val="00C4675C"/>
    <w:rsid w:val="00C52F29"/>
    <w:rsid w:val="00C54144"/>
    <w:rsid w:val="00C56CE6"/>
    <w:rsid w:val="00C5745F"/>
    <w:rsid w:val="00C61A98"/>
    <w:rsid w:val="00C63201"/>
    <w:rsid w:val="00C64CDE"/>
    <w:rsid w:val="00C64E62"/>
    <w:rsid w:val="00C651D5"/>
    <w:rsid w:val="00C65CCC"/>
    <w:rsid w:val="00C73097"/>
    <w:rsid w:val="00C742AE"/>
    <w:rsid w:val="00C7618F"/>
    <w:rsid w:val="00C765A9"/>
    <w:rsid w:val="00C772A7"/>
    <w:rsid w:val="00C8162D"/>
    <w:rsid w:val="00C81755"/>
    <w:rsid w:val="00C83A0B"/>
    <w:rsid w:val="00C842D0"/>
    <w:rsid w:val="00C84ED1"/>
    <w:rsid w:val="00C9038F"/>
    <w:rsid w:val="00C92AAB"/>
    <w:rsid w:val="00CA1DD2"/>
    <w:rsid w:val="00CA2435"/>
    <w:rsid w:val="00CA40D6"/>
    <w:rsid w:val="00CB3FAA"/>
    <w:rsid w:val="00CC0640"/>
    <w:rsid w:val="00CC742B"/>
    <w:rsid w:val="00CD0E2F"/>
    <w:rsid w:val="00CD2F20"/>
    <w:rsid w:val="00CD3FA9"/>
    <w:rsid w:val="00CD6B20"/>
    <w:rsid w:val="00CD7443"/>
    <w:rsid w:val="00CE1339"/>
    <w:rsid w:val="00CE5288"/>
    <w:rsid w:val="00CE61CC"/>
    <w:rsid w:val="00CE6E42"/>
    <w:rsid w:val="00CF20B7"/>
    <w:rsid w:val="00CF6692"/>
    <w:rsid w:val="00CF7441"/>
    <w:rsid w:val="00D00D16"/>
    <w:rsid w:val="00D03C6C"/>
    <w:rsid w:val="00D06288"/>
    <w:rsid w:val="00D068C7"/>
    <w:rsid w:val="00D108D4"/>
    <w:rsid w:val="00D128A4"/>
    <w:rsid w:val="00D17096"/>
    <w:rsid w:val="00D20954"/>
    <w:rsid w:val="00D21C39"/>
    <w:rsid w:val="00D21FC6"/>
    <w:rsid w:val="00D2243A"/>
    <w:rsid w:val="00D25CAF"/>
    <w:rsid w:val="00D30874"/>
    <w:rsid w:val="00D33393"/>
    <w:rsid w:val="00D33D36"/>
    <w:rsid w:val="00D34D94"/>
    <w:rsid w:val="00D409E2"/>
    <w:rsid w:val="00D427D7"/>
    <w:rsid w:val="00D44E62"/>
    <w:rsid w:val="00D4595F"/>
    <w:rsid w:val="00D45D2B"/>
    <w:rsid w:val="00D51565"/>
    <w:rsid w:val="00D51570"/>
    <w:rsid w:val="00D556AD"/>
    <w:rsid w:val="00D57FB4"/>
    <w:rsid w:val="00D60381"/>
    <w:rsid w:val="00D616DE"/>
    <w:rsid w:val="00D61F9F"/>
    <w:rsid w:val="00D62201"/>
    <w:rsid w:val="00D651D1"/>
    <w:rsid w:val="00D717BB"/>
    <w:rsid w:val="00D7226B"/>
    <w:rsid w:val="00D72707"/>
    <w:rsid w:val="00D7365F"/>
    <w:rsid w:val="00D75A9C"/>
    <w:rsid w:val="00D75B61"/>
    <w:rsid w:val="00D768B8"/>
    <w:rsid w:val="00D84A2F"/>
    <w:rsid w:val="00D90871"/>
    <w:rsid w:val="00D9155F"/>
    <w:rsid w:val="00D9403F"/>
    <w:rsid w:val="00D950E3"/>
    <w:rsid w:val="00D959B4"/>
    <w:rsid w:val="00D95C8D"/>
    <w:rsid w:val="00DA0AF6"/>
    <w:rsid w:val="00DA44DE"/>
    <w:rsid w:val="00DA778D"/>
    <w:rsid w:val="00DB0CC1"/>
    <w:rsid w:val="00DB620A"/>
    <w:rsid w:val="00DC229C"/>
    <w:rsid w:val="00DC3353"/>
    <w:rsid w:val="00DC3832"/>
    <w:rsid w:val="00DC4218"/>
    <w:rsid w:val="00DC7A51"/>
    <w:rsid w:val="00DD3056"/>
    <w:rsid w:val="00DE0E67"/>
    <w:rsid w:val="00DE5B5F"/>
    <w:rsid w:val="00DF4B77"/>
    <w:rsid w:val="00E00696"/>
    <w:rsid w:val="00E060C2"/>
    <w:rsid w:val="00E06324"/>
    <w:rsid w:val="00E12FB0"/>
    <w:rsid w:val="00E14814"/>
    <w:rsid w:val="00E1591B"/>
    <w:rsid w:val="00E16A50"/>
    <w:rsid w:val="00E20D70"/>
    <w:rsid w:val="00E249D5"/>
    <w:rsid w:val="00E2585D"/>
    <w:rsid w:val="00E32988"/>
    <w:rsid w:val="00E33C68"/>
    <w:rsid w:val="00E34EEB"/>
    <w:rsid w:val="00E44EB9"/>
    <w:rsid w:val="00E46358"/>
    <w:rsid w:val="00E46B13"/>
    <w:rsid w:val="00E471DC"/>
    <w:rsid w:val="00E50EB4"/>
    <w:rsid w:val="00E528A2"/>
    <w:rsid w:val="00E532FC"/>
    <w:rsid w:val="00E55BB0"/>
    <w:rsid w:val="00E609E5"/>
    <w:rsid w:val="00E60F27"/>
    <w:rsid w:val="00E6234C"/>
    <w:rsid w:val="00E64D93"/>
    <w:rsid w:val="00E65EDB"/>
    <w:rsid w:val="00E66927"/>
    <w:rsid w:val="00E677B8"/>
    <w:rsid w:val="00E67FA1"/>
    <w:rsid w:val="00E72A3D"/>
    <w:rsid w:val="00E73D53"/>
    <w:rsid w:val="00E74338"/>
    <w:rsid w:val="00E75111"/>
    <w:rsid w:val="00E77296"/>
    <w:rsid w:val="00E77E5E"/>
    <w:rsid w:val="00E90D00"/>
    <w:rsid w:val="00E93763"/>
    <w:rsid w:val="00E945F5"/>
    <w:rsid w:val="00EA2548"/>
    <w:rsid w:val="00EA427A"/>
    <w:rsid w:val="00EA4628"/>
    <w:rsid w:val="00EA723B"/>
    <w:rsid w:val="00EB3CC2"/>
    <w:rsid w:val="00EB5564"/>
    <w:rsid w:val="00EB6350"/>
    <w:rsid w:val="00EC12AE"/>
    <w:rsid w:val="00EC2423"/>
    <w:rsid w:val="00EC2F62"/>
    <w:rsid w:val="00EC37DF"/>
    <w:rsid w:val="00EC5480"/>
    <w:rsid w:val="00EC62EB"/>
    <w:rsid w:val="00EC6E9F"/>
    <w:rsid w:val="00ED44F0"/>
    <w:rsid w:val="00ED4B33"/>
    <w:rsid w:val="00ED7DD6"/>
    <w:rsid w:val="00EE15A1"/>
    <w:rsid w:val="00EE2872"/>
    <w:rsid w:val="00EE2A7C"/>
    <w:rsid w:val="00EE2C42"/>
    <w:rsid w:val="00EE341B"/>
    <w:rsid w:val="00EE4453"/>
    <w:rsid w:val="00EE5FCE"/>
    <w:rsid w:val="00EE6BBD"/>
    <w:rsid w:val="00EE6E1E"/>
    <w:rsid w:val="00EE705F"/>
    <w:rsid w:val="00EF1889"/>
    <w:rsid w:val="00EF54FD"/>
    <w:rsid w:val="00F13112"/>
    <w:rsid w:val="00F16FE6"/>
    <w:rsid w:val="00F223C9"/>
    <w:rsid w:val="00F238BD"/>
    <w:rsid w:val="00F24992"/>
    <w:rsid w:val="00F31837"/>
    <w:rsid w:val="00F32F2F"/>
    <w:rsid w:val="00F33F3B"/>
    <w:rsid w:val="00F33F3F"/>
    <w:rsid w:val="00F35655"/>
    <w:rsid w:val="00F35BDD"/>
    <w:rsid w:val="00F35E59"/>
    <w:rsid w:val="00F3775B"/>
    <w:rsid w:val="00F403FD"/>
    <w:rsid w:val="00F41E72"/>
    <w:rsid w:val="00F453DB"/>
    <w:rsid w:val="00F466C3"/>
    <w:rsid w:val="00F50300"/>
    <w:rsid w:val="00F50444"/>
    <w:rsid w:val="00F56E39"/>
    <w:rsid w:val="00F623E9"/>
    <w:rsid w:val="00F63951"/>
    <w:rsid w:val="00F63C86"/>
    <w:rsid w:val="00F66494"/>
    <w:rsid w:val="00F766BE"/>
    <w:rsid w:val="00F76A2F"/>
    <w:rsid w:val="00F77EB9"/>
    <w:rsid w:val="00F80635"/>
    <w:rsid w:val="00F815D1"/>
    <w:rsid w:val="00F81E7E"/>
    <w:rsid w:val="00F81F0F"/>
    <w:rsid w:val="00F825F4"/>
    <w:rsid w:val="00F92AA1"/>
    <w:rsid w:val="00F932DE"/>
    <w:rsid w:val="00F948D8"/>
    <w:rsid w:val="00F963DD"/>
    <w:rsid w:val="00FA2045"/>
    <w:rsid w:val="00FA32BF"/>
    <w:rsid w:val="00FB1AA9"/>
    <w:rsid w:val="00FB4B5A"/>
    <w:rsid w:val="00FB5239"/>
    <w:rsid w:val="00FB59F9"/>
    <w:rsid w:val="00FB5DAA"/>
    <w:rsid w:val="00FC04B9"/>
    <w:rsid w:val="00FC161A"/>
    <w:rsid w:val="00FC23D5"/>
    <w:rsid w:val="00FC4C1A"/>
    <w:rsid w:val="00FC5D83"/>
    <w:rsid w:val="00FC6468"/>
    <w:rsid w:val="00FC6D49"/>
    <w:rsid w:val="00FD108C"/>
    <w:rsid w:val="00FD4922"/>
    <w:rsid w:val="00FD5C4F"/>
    <w:rsid w:val="00FD6461"/>
    <w:rsid w:val="00FE0281"/>
    <w:rsid w:val="00FE6EBA"/>
    <w:rsid w:val="00FE7083"/>
    <w:rsid w:val="00FE78B8"/>
    <w:rsid w:val="00FF019F"/>
    <w:rsid w:val="00FF50D5"/>
    <w:rsid w:val="00FF569E"/>
    <w:rsid w:val="00FF644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character" w:customStyle="1" w:styleId="highlight">
    <w:name w:val="highlight"/>
    <w:basedOn w:val="DefaultParagraphFont"/>
    <w:rsid w:val="000C6C3E"/>
  </w:style>
  <w:style w:type="character" w:styleId="LineNumber">
    <w:name w:val="line number"/>
    <w:basedOn w:val="DefaultParagraphFont"/>
    <w:uiPriority w:val="99"/>
    <w:semiHidden/>
    <w:unhideWhenUsed/>
    <w:rsid w:val="00D84A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2411044">
      <w:bodyDiv w:val="1"/>
      <w:marLeft w:val="0"/>
      <w:marRight w:val="0"/>
      <w:marTop w:val="0"/>
      <w:marBottom w:val="0"/>
      <w:divBdr>
        <w:top w:val="none" w:sz="0" w:space="0" w:color="auto"/>
        <w:left w:val="none" w:sz="0" w:space="0" w:color="auto"/>
        <w:bottom w:val="none" w:sz="0" w:space="0" w:color="auto"/>
        <w:right w:val="none" w:sz="0" w:space="0" w:color="auto"/>
      </w:divBdr>
      <w:divsChild>
        <w:div w:id="1257136471">
          <w:marLeft w:val="0"/>
          <w:marRight w:val="0"/>
          <w:marTop w:val="0"/>
          <w:marBottom w:val="0"/>
          <w:divBdr>
            <w:top w:val="none" w:sz="0" w:space="0" w:color="auto"/>
            <w:left w:val="none" w:sz="0" w:space="0" w:color="auto"/>
            <w:bottom w:val="none" w:sz="0" w:space="0" w:color="auto"/>
            <w:right w:val="none" w:sz="0" w:space="0" w:color="auto"/>
          </w:divBdr>
        </w:div>
        <w:div w:id="2089692585">
          <w:marLeft w:val="0"/>
          <w:marRight w:val="0"/>
          <w:marTop w:val="0"/>
          <w:marBottom w:val="0"/>
          <w:divBdr>
            <w:top w:val="none" w:sz="0" w:space="0" w:color="auto"/>
            <w:left w:val="none" w:sz="0" w:space="0" w:color="auto"/>
            <w:bottom w:val="none" w:sz="0" w:space="0" w:color="auto"/>
            <w:right w:val="none" w:sz="0" w:space="0" w:color="auto"/>
          </w:divBdr>
        </w:div>
        <w:div w:id="924263881">
          <w:marLeft w:val="0"/>
          <w:marRight w:val="0"/>
          <w:marTop w:val="0"/>
          <w:marBottom w:val="0"/>
          <w:divBdr>
            <w:top w:val="none" w:sz="0" w:space="0" w:color="auto"/>
            <w:left w:val="none" w:sz="0" w:space="0" w:color="auto"/>
            <w:bottom w:val="none" w:sz="0" w:space="0" w:color="auto"/>
            <w:right w:val="none" w:sz="0" w:space="0" w:color="auto"/>
          </w:divBdr>
        </w:div>
      </w:divsChild>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2211504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imacen.fr" TargetMode="External"/><Relationship Id="rId13" Type="http://schemas.openxmlformats.org/officeDocument/2006/relationships/hyperlink" Target="http://www.ncbi.nlm.nih.gov.gate2.inist.fr/pubmed?term=Cremer%20H%5BAuthor%5D&amp;cauthor=true&amp;cauthor_uid=23175841"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ncbi.nlm.nih.gov.gate2.inist.fr/pubmed?term=Boutin%20C%5BAuthor%5D&amp;cauthor=true&amp;cauthor_uid=23175841" TargetMode="External"/><Relationship Id="rId17" Type="http://schemas.openxmlformats.org/officeDocument/2006/relationships/hyperlink" Target="http://www.ncbi.nlm.nih.gov.gate2.inist.fr/pubmed/24646324" TargetMode="External"/><Relationship Id="rId2" Type="http://schemas.openxmlformats.org/officeDocument/2006/relationships/numbering" Target="numbering.xml"/><Relationship Id="rId16" Type="http://schemas.openxmlformats.org/officeDocument/2006/relationships/hyperlink" Target="http://www.ncbi.nlm.nih.gov.gate2.inist.fr/pubmed?term=Raoult%20E%5BAuthor%5D&amp;cauthor=true&amp;cauthor_uid=24646324"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cbi.nlm.nih.gov.gate2.inist.fr/pubmed?term=Ypsilanti%20AR%5BAuthor%5D&amp;cauthor=true&amp;cauthor_uid=23175841" TargetMode="External"/><Relationship Id="rId5" Type="http://schemas.openxmlformats.org/officeDocument/2006/relationships/webSettings" Target="webSettings.xml"/><Relationship Id="rId15" Type="http://schemas.openxmlformats.org/officeDocument/2006/relationships/hyperlink" Target="http://www.ncbi.nlm.nih.gov.gate2.inist.fr/pubmed/23175841" TargetMode="External"/><Relationship Id="rId10" Type="http://schemas.openxmlformats.org/officeDocument/2006/relationships/hyperlink" Target="http://www.ncbi.nlm.nih.gov.gate2.inist.fr/pubmed?term=Saha%20B%5BAuthor%5D&amp;cauthor=true&amp;cauthor_uid=23175841"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ncbi.nlm.nih.gov.gate2.inist.fr/pubmed/18327254" TargetMode="External"/><Relationship Id="rId14" Type="http://schemas.openxmlformats.org/officeDocument/2006/relationships/hyperlink" Target="http://www.ncbi.nlm.nih.gov.gate2.inist.fr/pubmed?term=Ch%C3%A9dotal%20A%5BAuthor%5D&amp;cauthor=true&amp;cauthor_uid=2317584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BFAE58-2BC9-4957-A5DD-5211685B52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4365</Words>
  <Characters>24881</Characters>
  <Application>Microsoft Office Word</Application>
  <DocSecurity>0</DocSecurity>
  <Lines>207</Lines>
  <Paragraphs>58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LinksUpToDate>false</LinksUpToDate>
  <CharactersWithSpaces>29188</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2014-11-14T12:54:00Z</cp:lastPrinted>
  <dcterms:created xsi:type="dcterms:W3CDTF">2015-01-05T16:16:00Z</dcterms:created>
  <dcterms:modified xsi:type="dcterms:W3CDTF">2015-01-05T16:16:00Z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