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F5510" w14:textId="77777777" w:rsidR="00CE10F2" w:rsidRPr="00996974" w:rsidDel="00A12F8F" w:rsidRDefault="00CE10F2" w:rsidP="00CE10F2">
      <w:pPr>
        <w:pStyle w:val="BodyText"/>
        <w:rPr>
          <w:rFonts w:ascii="Times New Roman" w:hAnsi="Times New Roman"/>
          <w:b/>
          <w:i w:val="0"/>
          <w:szCs w:val="24"/>
        </w:rPr>
      </w:pPr>
    </w:p>
    <w:p w14:paraId="053F20CE" w14:textId="77777777"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DC67D8">
        <w:rPr>
          <w:rFonts w:ascii="Times New Roman" w:hAnsi="Times New Roman"/>
          <w:b/>
          <w:i w:val="0"/>
          <w:szCs w:val="24"/>
        </w:rPr>
        <w:t>52839</w:t>
      </w:r>
    </w:p>
    <w:p w14:paraId="61DA3814" w14:textId="77777777"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DC67D8">
        <w:rPr>
          <w:rFonts w:ascii="Times New Roman" w:hAnsi="Times New Roman"/>
          <w:b/>
          <w:i w:val="0"/>
          <w:szCs w:val="24"/>
        </w:rPr>
        <w:t xml:space="preserve"> Laifong Lee</w:t>
      </w:r>
    </w:p>
    <w:p w14:paraId="0BA64EC8" w14:textId="77777777"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p>
    <w:p w14:paraId="0628F745" w14:textId="77777777"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14:paraId="6CA2D6C6" w14:textId="77777777" w:rsidR="00DC67D8" w:rsidRPr="00996974" w:rsidRDefault="00DC67D8" w:rsidP="00CE10F2">
      <w:pPr>
        <w:pStyle w:val="BodyText"/>
        <w:outlineLvl w:val="0"/>
        <w:rPr>
          <w:rFonts w:ascii="Times New Roman" w:hAnsi="Times New Roman"/>
          <w:b/>
          <w:i w:val="0"/>
          <w:szCs w:val="24"/>
        </w:rPr>
      </w:pPr>
    </w:p>
    <w:p w14:paraId="3E16596C" w14:textId="77777777"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14:paraId="7A7168DC" w14:textId="77777777" w:rsidR="00DC67D8" w:rsidRDefault="00DC67D8" w:rsidP="00DC67D8">
      <w:pPr>
        <w:pStyle w:val="Default"/>
        <w:rPr>
          <w:rFonts w:ascii="Times New Roman" w:hAnsi="Times New Roman" w:cs="Times New Roman"/>
          <w:bCs/>
          <w:color w:val="auto"/>
        </w:rPr>
      </w:pPr>
      <w:r w:rsidRPr="00DC67D8">
        <w:rPr>
          <w:rFonts w:ascii="Times New Roman" w:hAnsi="Times New Roman" w:cs="Times New Roman"/>
          <w:bCs/>
          <w:color w:val="auto"/>
        </w:rPr>
        <w:t>Rachel Daniels, Elizabeth J. Hamilton, Katelyn Durfee, Daouda Ndiaye, Dyann F. Wirth, Daniel L. Hartl, Sarah K. Volkman</w:t>
      </w:r>
    </w:p>
    <w:p w14:paraId="6BD0BDF3" w14:textId="77777777" w:rsidR="00DC67D8" w:rsidRDefault="00DC67D8" w:rsidP="00DC67D8">
      <w:pPr>
        <w:pStyle w:val="Default"/>
        <w:rPr>
          <w:rFonts w:ascii="Times New Roman" w:hAnsi="Times New Roman" w:cs="Times New Roman"/>
          <w:bCs/>
          <w:color w:val="auto"/>
        </w:rPr>
      </w:pPr>
    </w:p>
    <w:p w14:paraId="42140133" w14:textId="77777777" w:rsidR="00DC67D8" w:rsidRPr="00666D29" w:rsidRDefault="00DC67D8" w:rsidP="00DC67D8">
      <w:pPr>
        <w:rPr>
          <w:rFonts w:cs="Arial"/>
          <w:bCs/>
        </w:rPr>
      </w:pPr>
      <w:r w:rsidRPr="00666D29">
        <w:rPr>
          <w:rFonts w:cs="Arial"/>
          <w:bCs/>
        </w:rPr>
        <w:t>Daniels, Rachel</w:t>
      </w:r>
    </w:p>
    <w:p w14:paraId="147EC6FD" w14:textId="77777777" w:rsidR="00DC67D8" w:rsidRPr="00666D29" w:rsidRDefault="00DC67D8" w:rsidP="00DC67D8">
      <w:pPr>
        <w:rPr>
          <w:rFonts w:cs="Arial"/>
          <w:bCs/>
        </w:rPr>
      </w:pPr>
      <w:r w:rsidRPr="00666D29">
        <w:rPr>
          <w:rFonts w:cs="Arial"/>
          <w:bCs/>
        </w:rPr>
        <w:t>Department of Organismic and Evolutionary Biology</w:t>
      </w:r>
    </w:p>
    <w:p w14:paraId="5EA499FF" w14:textId="77777777" w:rsidR="00DC67D8" w:rsidRPr="00666D29" w:rsidRDefault="00DC67D8" w:rsidP="00DC67D8">
      <w:pPr>
        <w:rPr>
          <w:rFonts w:cs="Arial"/>
          <w:bCs/>
        </w:rPr>
      </w:pPr>
      <w:r w:rsidRPr="00666D29">
        <w:rPr>
          <w:rFonts w:cs="Arial"/>
          <w:bCs/>
        </w:rPr>
        <w:t>Harvard University</w:t>
      </w:r>
    </w:p>
    <w:p w14:paraId="6BB4AD6A" w14:textId="77777777" w:rsidR="00DC67D8" w:rsidRPr="00666D29" w:rsidRDefault="00DC67D8" w:rsidP="00DC67D8">
      <w:pPr>
        <w:rPr>
          <w:rFonts w:cs="Arial"/>
          <w:bCs/>
        </w:rPr>
      </w:pPr>
      <w:r w:rsidRPr="00666D29">
        <w:rPr>
          <w:rFonts w:cs="Arial"/>
          <w:bCs/>
        </w:rPr>
        <w:t>Cambridge, MA USA</w:t>
      </w:r>
    </w:p>
    <w:p w14:paraId="4D5B70D8" w14:textId="77777777" w:rsidR="004A0D3D" w:rsidRDefault="004A0D3D" w:rsidP="004A0D3D">
      <w:pPr>
        <w:rPr>
          <w:color w:val="FF0000"/>
        </w:rPr>
      </w:pPr>
    </w:p>
    <w:p w14:paraId="43F91E67" w14:textId="77777777" w:rsidR="004A0D3D" w:rsidRPr="00752630" w:rsidRDefault="004A0D3D" w:rsidP="004A0D3D">
      <w:pPr>
        <w:rPr>
          <w:color w:val="FF0000"/>
        </w:rPr>
      </w:pPr>
      <w:r w:rsidRPr="00752630">
        <w:rPr>
          <w:color w:val="FF0000"/>
        </w:rPr>
        <w:t xml:space="preserve">Department of Immunology and Infectious Diseases </w:t>
      </w:r>
    </w:p>
    <w:p w14:paraId="47103A59" w14:textId="77777777" w:rsidR="004A0D3D" w:rsidRPr="00752630" w:rsidRDefault="004A0D3D" w:rsidP="004A0D3D">
      <w:pPr>
        <w:rPr>
          <w:color w:val="FF0000"/>
        </w:rPr>
      </w:pPr>
      <w:r w:rsidRPr="00752630">
        <w:rPr>
          <w:color w:val="FF0000"/>
        </w:rPr>
        <w:t xml:space="preserve">Harvard School of Public Health </w:t>
      </w:r>
    </w:p>
    <w:p w14:paraId="549B3582" w14:textId="77777777" w:rsidR="004A0D3D" w:rsidRPr="00752630" w:rsidRDefault="004A0D3D" w:rsidP="004A0D3D">
      <w:pPr>
        <w:rPr>
          <w:rFonts w:cs="Arial"/>
          <w:bCs/>
          <w:color w:val="FF0000"/>
        </w:rPr>
      </w:pPr>
      <w:r w:rsidRPr="00752630">
        <w:rPr>
          <w:color w:val="FF0000"/>
        </w:rPr>
        <w:t>Boston, MA, USA</w:t>
      </w:r>
    </w:p>
    <w:p w14:paraId="4601C7D1" w14:textId="77777777" w:rsidR="004A0D3D" w:rsidRDefault="004A0D3D" w:rsidP="004A0D3D">
      <w:pPr>
        <w:tabs>
          <w:tab w:val="left" w:pos="1755"/>
        </w:tabs>
        <w:rPr>
          <w:rFonts w:cs="Arial"/>
          <w:bCs/>
          <w:color w:val="FF0000"/>
        </w:rPr>
      </w:pPr>
    </w:p>
    <w:p w14:paraId="51EE15E6" w14:textId="637CCE43" w:rsidR="004A0D3D" w:rsidRPr="00752630" w:rsidRDefault="004A0D3D" w:rsidP="004A0D3D">
      <w:pPr>
        <w:tabs>
          <w:tab w:val="left" w:pos="1755"/>
        </w:tabs>
        <w:rPr>
          <w:rFonts w:cs="Arial"/>
          <w:bCs/>
          <w:color w:val="FF0000"/>
        </w:rPr>
      </w:pPr>
      <w:r w:rsidRPr="00752630">
        <w:rPr>
          <w:rFonts w:cs="Arial"/>
          <w:bCs/>
          <w:color w:val="FF0000"/>
        </w:rPr>
        <w:t>Broad Institute of Harvard and MIT</w:t>
      </w:r>
    </w:p>
    <w:p w14:paraId="10165C8E" w14:textId="77777777" w:rsidR="004A0D3D" w:rsidRDefault="004A0D3D" w:rsidP="004A0D3D">
      <w:r w:rsidRPr="00752630">
        <w:rPr>
          <w:rFonts w:cs="Arial"/>
          <w:bCs/>
          <w:color w:val="FF0000"/>
        </w:rPr>
        <w:t>Cambridge, MA, USA</w:t>
      </w:r>
      <w:r>
        <w:t xml:space="preserve"> </w:t>
      </w:r>
    </w:p>
    <w:p w14:paraId="0D6DBD49" w14:textId="44E96470" w:rsidR="00DC67D8" w:rsidRPr="00666D29" w:rsidRDefault="00BC4B81" w:rsidP="004A0D3D">
      <w:pPr>
        <w:rPr>
          <w:rFonts w:cs="Arial"/>
          <w:bCs/>
        </w:rPr>
      </w:pPr>
      <w:hyperlink r:id="rId8" w:history="1">
        <w:r w:rsidR="00DC67D8" w:rsidRPr="00666D29">
          <w:rPr>
            <w:rStyle w:val="Hyperlink"/>
            <w:rFonts w:cs="Arial"/>
            <w:bCs/>
          </w:rPr>
          <w:t>rdaniels@fas.harvard.edu</w:t>
        </w:r>
      </w:hyperlink>
    </w:p>
    <w:p w14:paraId="46036413" w14:textId="77777777" w:rsidR="00DC67D8" w:rsidRPr="00666D29" w:rsidRDefault="00DC67D8" w:rsidP="00DC67D8">
      <w:pPr>
        <w:rPr>
          <w:rFonts w:cs="Arial"/>
          <w:bCs/>
        </w:rPr>
      </w:pPr>
    </w:p>
    <w:p w14:paraId="0B22FC7B" w14:textId="77777777" w:rsidR="00DC67D8" w:rsidRPr="00666D29" w:rsidRDefault="00DC67D8" w:rsidP="00DC67D8">
      <w:pPr>
        <w:rPr>
          <w:rFonts w:cs="Arial"/>
          <w:bCs/>
        </w:rPr>
      </w:pPr>
      <w:r w:rsidRPr="00666D29">
        <w:rPr>
          <w:rFonts w:cs="Arial"/>
          <w:bCs/>
        </w:rPr>
        <w:t>Hamilton, Elizabeth J.</w:t>
      </w:r>
    </w:p>
    <w:p w14:paraId="583CAA69" w14:textId="77777777" w:rsidR="00DC67D8" w:rsidRPr="00666D29" w:rsidRDefault="00DC67D8" w:rsidP="00DC67D8">
      <w:pPr>
        <w:rPr>
          <w:rFonts w:cs="Arial"/>
          <w:bCs/>
        </w:rPr>
      </w:pPr>
      <w:r w:rsidRPr="00666D29">
        <w:rPr>
          <w:rFonts w:cs="Arial"/>
          <w:bCs/>
        </w:rPr>
        <w:t>Department of Immunology and Infectious Diseases</w:t>
      </w:r>
    </w:p>
    <w:p w14:paraId="2A627309" w14:textId="77777777" w:rsidR="00DC67D8" w:rsidRPr="00666D29" w:rsidRDefault="00DC67D8" w:rsidP="00DC67D8">
      <w:pPr>
        <w:rPr>
          <w:rFonts w:cs="Arial"/>
          <w:bCs/>
        </w:rPr>
      </w:pPr>
      <w:r w:rsidRPr="00666D29">
        <w:rPr>
          <w:rFonts w:cs="Arial"/>
          <w:bCs/>
        </w:rPr>
        <w:t>Harvard School of Public Health</w:t>
      </w:r>
    </w:p>
    <w:p w14:paraId="1DE3E189" w14:textId="77777777" w:rsidR="00DC67D8" w:rsidRPr="00666D29" w:rsidRDefault="00DC67D8" w:rsidP="00DC67D8">
      <w:pPr>
        <w:rPr>
          <w:rFonts w:cs="Arial"/>
          <w:bCs/>
        </w:rPr>
      </w:pPr>
      <w:r w:rsidRPr="00666D29">
        <w:rPr>
          <w:rFonts w:cs="Arial"/>
          <w:bCs/>
        </w:rPr>
        <w:t>Boston, MA USA</w:t>
      </w:r>
    </w:p>
    <w:p w14:paraId="4A500043" w14:textId="77777777" w:rsidR="00DC67D8" w:rsidRPr="00666D29" w:rsidRDefault="00BC4B81" w:rsidP="00DC67D8">
      <w:pPr>
        <w:rPr>
          <w:rFonts w:cs="Arial"/>
          <w:bCs/>
        </w:rPr>
      </w:pPr>
      <w:hyperlink r:id="rId9" w:history="1">
        <w:r w:rsidR="00DC67D8" w:rsidRPr="00666D29">
          <w:rPr>
            <w:rStyle w:val="Hyperlink"/>
            <w:rFonts w:cs="Arial"/>
            <w:bCs/>
          </w:rPr>
          <w:t>ejhamilton@gmail.com</w:t>
        </w:r>
      </w:hyperlink>
    </w:p>
    <w:p w14:paraId="7A26ECB8" w14:textId="77777777" w:rsidR="00DC67D8" w:rsidRPr="00666D29" w:rsidRDefault="00DC67D8" w:rsidP="00DC67D8">
      <w:pPr>
        <w:rPr>
          <w:rFonts w:cs="Arial"/>
          <w:bCs/>
        </w:rPr>
      </w:pPr>
    </w:p>
    <w:p w14:paraId="42543BA4" w14:textId="77777777" w:rsidR="00DC67D8" w:rsidRPr="00666D29" w:rsidRDefault="00DC67D8" w:rsidP="00DC67D8">
      <w:pPr>
        <w:rPr>
          <w:rFonts w:cs="Arial"/>
          <w:bCs/>
        </w:rPr>
      </w:pPr>
      <w:r w:rsidRPr="00666D29">
        <w:rPr>
          <w:rFonts w:cs="Arial"/>
          <w:bCs/>
        </w:rPr>
        <w:t>Durfee, Katelyn</w:t>
      </w:r>
    </w:p>
    <w:p w14:paraId="3480D287" w14:textId="77777777" w:rsidR="00DC67D8" w:rsidRPr="00666D29" w:rsidRDefault="00DC67D8" w:rsidP="00DC67D8">
      <w:pPr>
        <w:rPr>
          <w:rFonts w:cs="Arial"/>
          <w:bCs/>
        </w:rPr>
      </w:pPr>
      <w:r w:rsidRPr="00666D29">
        <w:rPr>
          <w:rFonts w:cs="Arial"/>
          <w:bCs/>
        </w:rPr>
        <w:t>Department of Immunology and Infectious Diseases</w:t>
      </w:r>
    </w:p>
    <w:p w14:paraId="4D19579D" w14:textId="77777777" w:rsidR="00DC67D8" w:rsidRPr="00666D29" w:rsidRDefault="00DC67D8" w:rsidP="00DC67D8">
      <w:pPr>
        <w:rPr>
          <w:rFonts w:cs="Arial"/>
          <w:bCs/>
        </w:rPr>
      </w:pPr>
      <w:r w:rsidRPr="00666D29">
        <w:rPr>
          <w:rFonts w:cs="Arial"/>
          <w:bCs/>
        </w:rPr>
        <w:t>Harvard School of Public Health</w:t>
      </w:r>
    </w:p>
    <w:p w14:paraId="60430251" w14:textId="77777777" w:rsidR="00DC67D8" w:rsidRPr="00666D29" w:rsidRDefault="00DC67D8" w:rsidP="00DC67D8">
      <w:pPr>
        <w:rPr>
          <w:rFonts w:cs="Arial"/>
          <w:bCs/>
        </w:rPr>
      </w:pPr>
      <w:r w:rsidRPr="00666D29">
        <w:rPr>
          <w:rFonts w:cs="Arial"/>
          <w:bCs/>
        </w:rPr>
        <w:t>Boston, MA USA</w:t>
      </w:r>
    </w:p>
    <w:p w14:paraId="05BCC6EE" w14:textId="77777777" w:rsidR="00DC67D8" w:rsidRPr="00B61EF2" w:rsidRDefault="00BC4B81" w:rsidP="00DC67D8">
      <w:pPr>
        <w:rPr>
          <w:rFonts w:cs="Arial"/>
          <w:bCs/>
          <w:lang w:val="es-GT"/>
        </w:rPr>
      </w:pPr>
      <w:hyperlink r:id="rId10" w:history="1">
        <w:r w:rsidR="00DC67D8" w:rsidRPr="00B61EF2">
          <w:rPr>
            <w:rStyle w:val="Hyperlink"/>
            <w:rFonts w:cs="Arial"/>
            <w:bCs/>
            <w:lang w:val="es-GT"/>
          </w:rPr>
          <w:t>kdurfee@hsph.harvard.edu</w:t>
        </w:r>
      </w:hyperlink>
    </w:p>
    <w:p w14:paraId="36284259" w14:textId="77777777" w:rsidR="00DC67D8" w:rsidRPr="00B61EF2" w:rsidRDefault="00DC67D8" w:rsidP="00DC67D8">
      <w:pPr>
        <w:rPr>
          <w:rFonts w:cs="Arial"/>
          <w:bCs/>
          <w:lang w:val="es-GT"/>
        </w:rPr>
      </w:pPr>
    </w:p>
    <w:p w14:paraId="4186186A" w14:textId="77777777" w:rsidR="00DC67D8" w:rsidRPr="003F0088" w:rsidRDefault="00DC67D8" w:rsidP="00DC67D8">
      <w:pPr>
        <w:rPr>
          <w:rFonts w:cs="Arial"/>
          <w:bCs/>
          <w:lang w:val="es-GT"/>
        </w:rPr>
      </w:pPr>
      <w:r w:rsidRPr="003F0088">
        <w:rPr>
          <w:rFonts w:cs="Arial"/>
          <w:bCs/>
          <w:lang w:val="es-GT"/>
        </w:rPr>
        <w:t>Ndiaye, Daouda</w:t>
      </w:r>
    </w:p>
    <w:p w14:paraId="50636A4E" w14:textId="77777777" w:rsidR="00DC67D8" w:rsidRPr="00666D29" w:rsidRDefault="00DC67D8" w:rsidP="00DC67D8">
      <w:r w:rsidRPr="00666D29">
        <w:t xml:space="preserve">Faculty of Medicine and Pharmacy, </w:t>
      </w:r>
    </w:p>
    <w:p w14:paraId="10F21D56" w14:textId="77777777" w:rsidR="00DC67D8" w:rsidRPr="00666D29" w:rsidRDefault="00DC67D8" w:rsidP="00DC67D8">
      <w:r w:rsidRPr="00666D29">
        <w:t>Cheikh Anta Diop University</w:t>
      </w:r>
    </w:p>
    <w:p w14:paraId="335C2E68" w14:textId="77777777" w:rsidR="00DC67D8" w:rsidRPr="00666D29" w:rsidRDefault="00DC67D8" w:rsidP="00DC67D8">
      <w:r w:rsidRPr="00666D29">
        <w:t>Dakar, Senegal</w:t>
      </w:r>
    </w:p>
    <w:p w14:paraId="726D0E2A" w14:textId="77777777" w:rsidR="00DC67D8" w:rsidRPr="00666D29" w:rsidRDefault="00DC67D8" w:rsidP="00DC67D8">
      <w:pPr>
        <w:rPr>
          <w:rFonts w:cs="Arial"/>
          <w:bCs/>
        </w:rPr>
      </w:pPr>
      <w:r w:rsidRPr="00666D29">
        <w:rPr>
          <w:rFonts w:cs="Arial"/>
          <w:bCs/>
        </w:rPr>
        <w:t>daouda.ndiaye@ucad.edu.sn</w:t>
      </w:r>
    </w:p>
    <w:p w14:paraId="5CC55EE9" w14:textId="77777777" w:rsidR="00DC67D8" w:rsidRPr="00666D29" w:rsidRDefault="00DC67D8" w:rsidP="00DC67D8">
      <w:pPr>
        <w:rPr>
          <w:rFonts w:cs="Arial"/>
          <w:bCs/>
        </w:rPr>
      </w:pPr>
    </w:p>
    <w:p w14:paraId="1AD70203" w14:textId="77777777" w:rsidR="00DC67D8" w:rsidRPr="00666D29" w:rsidRDefault="00DC67D8" w:rsidP="00DC67D8">
      <w:pPr>
        <w:rPr>
          <w:rFonts w:cs="Arial"/>
          <w:bCs/>
        </w:rPr>
      </w:pPr>
      <w:r w:rsidRPr="00666D29">
        <w:rPr>
          <w:rFonts w:cs="Arial"/>
          <w:bCs/>
        </w:rPr>
        <w:t>Wirth, Dyann F.</w:t>
      </w:r>
    </w:p>
    <w:p w14:paraId="4575001C" w14:textId="77777777" w:rsidR="00DC67D8" w:rsidRPr="00666D29" w:rsidRDefault="00DC67D8" w:rsidP="00DC67D8">
      <w:r w:rsidRPr="00666D29">
        <w:t xml:space="preserve">Department of Immunology and Infectious Diseases </w:t>
      </w:r>
    </w:p>
    <w:p w14:paraId="349215E7" w14:textId="77777777" w:rsidR="00DC67D8" w:rsidRPr="00666D29" w:rsidRDefault="00DC67D8" w:rsidP="00DC67D8">
      <w:r w:rsidRPr="00666D29">
        <w:t xml:space="preserve">Harvard School of Public Health </w:t>
      </w:r>
    </w:p>
    <w:p w14:paraId="635F0FB0" w14:textId="77777777" w:rsidR="00DC67D8" w:rsidRPr="00666D29" w:rsidRDefault="00DC67D8" w:rsidP="00DC67D8">
      <w:pPr>
        <w:rPr>
          <w:rFonts w:cs="Arial"/>
          <w:bCs/>
        </w:rPr>
      </w:pPr>
      <w:r w:rsidRPr="00666D29">
        <w:t>Boston, Massachusetts, USA</w:t>
      </w:r>
    </w:p>
    <w:p w14:paraId="50E9CBCC" w14:textId="77777777" w:rsidR="00DC67D8" w:rsidRPr="00666D29" w:rsidRDefault="00DC67D8" w:rsidP="00DC67D8">
      <w:pPr>
        <w:rPr>
          <w:rFonts w:cs="Arial"/>
          <w:bCs/>
        </w:rPr>
      </w:pPr>
      <w:r w:rsidRPr="00666D29">
        <w:rPr>
          <w:rFonts w:cs="Arial"/>
          <w:bCs/>
        </w:rPr>
        <w:t>dfwirth@hsph.harvard.edu</w:t>
      </w:r>
    </w:p>
    <w:p w14:paraId="343C2A6D" w14:textId="77777777" w:rsidR="00DC67D8" w:rsidRPr="00666D29" w:rsidRDefault="00DC67D8" w:rsidP="00DC67D8">
      <w:pPr>
        <w:rPr>
          <w:rFonts w:cs="Arial"/>
          <w:bCs/>
        </w:rPr>
      </w:pPr>
    </w:p>
    <w:p w14:paraId="4BEA49DA" w14:textId="77777777" w:rsidR="004A0D3D" w:rsidRPr="00752630" w:rsidRDefault="004A0D3D" w:rsidP="004A0D3D">
      <w:pPr>
        <w:tabs>
          <w:tab w:val="left" w:pos="3660"/>
        </w:tabs>
        <w:rPr>
          <w:rFonts w:cs="Arial"/>
          <w:bCs/>
          <w:color w:val="FF0000"/>
        </w:rPr>
      </w:pPr>
      <w:r w:rsidRPr="00752630">
        <w:rPr>
          <w:rFonts w:cs="Arial"/>
          <w:bCs/>
          <w:color w:val="FF0000"/>
        </w:rPr>
        <w:t>Broad Institute of Harvard and MIT</w:t>
      </w:r>
    </w:p>
    <w:p w14:paraId="76200D7A" w14:textId="77777777" w:rsidR="004A0D3D" w:rsidRPr="00752630" w:rsidRDefault="004A0D3D" w:rsidP="004A0D3D">
      <w:pPr>
        <w:tabs>
          <w:tab w:val="left" w:pos="3660"/>
        </w:tabs>
        <w:rPr>
          <w:rFonts w:cs="Arial"/>
          <w:bCs/>
          <w:color w:val="FF0000"/>
        </w:rPr>
      </w:pPr>
      <w:r w:rsidRPr="00752630">
        <w:rPr>
          <w:rFonts w:cs="Arial"/>
          <w:bCs/>
          <w:color w:val="FF0000"/>
        </w:rPr>
        <w:lastRenderedPageBreak/>
        <w:t>Cambridge, MA, USA</w:t>
      </w:r>
    </w:p>
    <w:p w14:paraId="23A6AA91" w14:textId="77777777" w:rsidR="004A0D3D" w:rsidRDefault="004A0D3D" w:rsidP="00DC67D8">
      <w:pPr>
        <w:rPr>
          <w:rFonts w:cs="Arial"/>
          <w:bCs/>
        </w:rPr>
      </w:pPr>
    </w:p>
    <w:p w14:paraId="03345EDC" w14:textId="77777777" w:rsidR="00DC67D8" w:rsidRPr="00666D29" w:rsidRDefault="00DC67D8" w:rsidP="00DC67D8">
      <w:pPr>
        <w:rPr>
          <w:rFonts w:cs="Arial"/>
          <w:bCs/>
        </w:rPr>
      </w:pPr>
      <w:proofErr w:type="spellStart"/>
      <w:r w:rsidRPr="00666D29">
        <w:rPr>
          <w:rFonts w:cs="Arial"/>
          <w:bCs/>
        </w:rPr>
        <w:t>Hartl</w:t>
      </w:r>
      <w:proofErr w:type="spellEnd"/>
      <w:r w:rsidRPr="00666D29">
        <w:rPr>
          <w:rFonts w:cs="Arial"/>
          <w:bCs/>
        </w:rPr>
        <w:t>, Daniel L.</w:t>
      </w:r>
    </w:p>
    <w:p w14:paraId="0B27C770" w14:textId="77777777" w:rsidR="00DC67D8" w:rsidRPr="00666D29" w:rsidRDefault="00DC67D8" w:rsidP="00DC67D8">
      <w:r w:rsidRPr="00666D29">
        <w:t>Department of Organismic and Evolutionary Biology</w:t>
      </w:r>
    </w:p>
    <w:p w14:paraId="101AB8EF" w14:textId="77777777" w:rsidR="00DC67D8" w:rsidRPr="00666D29" w:rsidRDefault="00DC67D8" w:rsidP="00DC67D8">
      <w:r w:rsidRPr="00666D29">
        <w:t xml:space="preserve">Harvard University, </w:t>
      </w:r>
    </w:p>
    <w:p w14:paraId="6C35577E" w14:textId="77777777" w:rsidR="00DC67D8" w:rsidRPr="00666D29" w:rsidRDefault="00DC67D8" w:rsidP="00DC67D8">
      <w:r w:rsidRPr="00666D29">
        <w:t>Cambridge, MA USA</w:t>
      </w:r>
    </w:p>
    <w:p w14:paraId="556A73F2" w14:textId="77777777" w:rsidR="00DC67D8" w:rsidRPr="00666D29" w:rsidRDefault="00DC67D8" w:rsidP="00DC67D8">
      <w:pPr>
        <w:rPr>
          <w:rFonts w:cs="Arial"/>
          <w:bCs/>
        </w:rPr>
      </w:pPr>
      <w:r w:rsidRPr="00666D29">
        <w:t>dhartl@oeb.harvard.edu</w:t>
      </w:r>
    </w:p>
    <w:p w14:paraId="6FEEF430" w14:textId="77777777" w:rsidR="00DC67D8" w:rsidRPr="00666D29" w:rsidRDefault="00DC67D8" w:rsidP="00DC67D8">
      <w:pPr>
        <w:rPr>
          <w:rFonts w:cs="Arial"/>
          <w:bCs/>
        </w:rPr>
      </w:pPr>
    </w:p>
    <w:p w14:paraId="3D1AB725" w14:textId="77777777" w:rsidR="00DC67D8" w:rsidRPr="00666D29" w:rsidRDefault="00DC67D8" w:rsidP="00DC67D8">
      <w:pPr>
        <w:rPr>
          <w:rFonts w:cs="Arial"/>
          <w:bCs/>
        </w:rPr>
      </w:pPr>
      <w:r w:rsidRPr="00666D29">
        <w:rPr>
          <w:rFonts w:cs="Arial"/>
          <w:bCs/>
        </w:rPr>
        <w:t>Volkman, Sarah K.</w:t>
      </w:r>
    </w:p>
    <w:p w14:paraId="38C746FD" w14:textId="77777777" w:rsidR="004A0D3D" w:rsidRPr="00752630" w:rsidRDefault="004A0D3D" w:rsidP="004A0D3D">
      <w:pPr>
        <w:rPr>
          <w:color w:val="FF0000"/>
        </w:rPr>
      </w:pPr>
      <w:r w:rsidRPr="00752630">
        <w:rPr>
          <w:color w:val="FF0000"/>
        </w:rPr>
        <w:t xml:space="preserve">Department of Immunology and Infectious Diseases </w:t>
      </w:r>
    </w:p>
    <w:p w14:paraId="4FFB284F" w14:textId="77777777" w:rsidR="004A0D3D" w:rsidRPr="00752630" w:rsidRDefault="004A0D3D" w:rsidP="004A0D3D">
      <w:pPr>
        <w:rPr>
          <w:color w:val="FF0000"/>
        </w:rPr>
      </w:pPr>
      <w:r w:rsidRPr="00752630">
        <w:rPr>
          <w:color w:val="FF0000"/>
        </w:rPr>
        <w:t xml:space="preserve">Harvard School of Public Health </w:t>
      </w:r>
    </w:p>
    <w:p w14:paraId="714634B7" w14:textId="77777777" w:rsidR="004A0D3D" w:rsidRPr="00752630" w:rsidRDefault="004A0D3D" w:rsidP="004A0D3D">
      <w:pPr>
        <w:rPr>
          <w:rFonts w:cs="Arial"/>
          <w:bCs/>
          <w:color w:val="FF0000"/>
        </w:rPr>
      </w:pPr>
      <w:r w:rsidRPr="00752630">
        <w:rPr>
          <w:color w:val="FF0000"/>
        </w:rPr>
        <w:t>Boston, MA, USA</w:t>
      </w:r>
    </w:p>
    <w:p w14:paraId="2D613E67" w14:textId="77777777" w:rsidR="004A0D3D" w:rsidRPr="00752630" w:rsidRDefault="004A0D3D" w:rsidP="004A0D3D">
      <w:pPr>
        <w:tabs>
          <w:tab w:val="left" w:pos="3660"/>
        </w:tabs>
        <w:rPr>
          <w:rFonts w:cs="Arial"/>
          <w:bCs/>
          <w:color w:val="FF0000"/>
        </w:rPr>
      </w:pPr>
    </w:p>
    <w:p w14:paraId="06A3BAE1" w14:textId="77777777" w:rsidR="004A0D3D" w:rsidRPr="00752630" w:rsidRDefault="004A0D3D" w:rsidP="004A0D3D">
      <w:pPr>
        <w:tabs>
          <w:tab w:val="left" w:pos="3660"/>
        </w:tabs>
        <w:rPr>
          <w:rFonts w:cs="Arial"/>
          <w:bCs/>
          <w:color w:val="FF0000"/>
        </w:rPr>
      </w:pPr>
      <w:r w:rsidRPr="00752630">
        <w:rPr>
          <w:rFonts w:cs="Arial"/>
          <w:bCs/>
          <w:color w:val="FF0000"/>
        </w:rPr>
        <w:t>Broad Institute of Harvard and MIT</w:t>
      </w:r>
    </w:p>
    <w:p w14:paraId="2BFB4E69" w14:textId="52450BD3" w:rsidR="00DC67D8" w:rsidRPr="00666D29" w:rsidRDefault="004A0D3D" w:rsidP="004A0D3D">
      <w:pPr>
        <w:rPr>
          <w:rFonts w:cs="Arial"/>
          <w:bCs/>
        </w:rPr>
      </w:pPr>
      <w:r w:rsidRPr="00752630">
        <w:rPr>
          <w:rFonts w:cs="Arial"/>
          <w:bCs/>
          <w:color w:val="FF0000"/>
        </w:rPr>
        <w:t>Cambridge, MA, USA</w:t>
      </w:r>
    </w:p>
    <w:p w14:paraId="62FBCEE9" w14:textId="77777777" w:rsidR="00DC67D8" w:rsidRPr="00DC67D8" w:rsidRDefault="00DC67D8" w:rsidP="00DC67D8">
      <w:pPr>
        <w:pStyle w:val="Default"/>
        <w:rPr>
          <w:rFonts w:ascii="Times New Roman" w:hAnsi="Times New Roman" w:cs="Times New Roman"/>
        </w:rPr>
      </w:pPr>
    </w:p>
    <w:p w14:paraId="713DA665" w14:textId="77777777"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Title: </w:t>
      </w:r>
      <w:r w:rsidR="00DC67D8" w:rsidRPr="00666D29">
        <w:rPr>
          <w:rFonts w:cs="Arial"/>
        </w:rPr>
        <w:t>Methods to Increase the Sensitivity of High Resolution Melting Single Nucleotide Polymorphism Genotyping in Malaria</w:t>
      </w:r>
    </w:p>
    <w:p w14:paraId="65256427" w14:textId="77777777" w:rsidR="00CE10F2" w:rsidRPr="00996974" w:rsidRDefault="00CE10F2" w:rsidP="00CE10F2">
      <w:pPr>
        <w:outlineLvl w:val="0"/>
        <w:rPr>
          <w:rFonts w:ascii="Times New Roman" w:hAnsi="Times New Roman"/>
          <w:b/>
          <w:szCs w:val="24"/>
        </w:rPr>
      </w:pPr>
    </w:p>
    <w:p w14:paraId="668028EC" w14:textId="77777777" w:rsidR="00CE10F2" w:rsidRDefault="00CE10F2" w:rsidP="00CE10F2">
      <w:pPr>
        <w:outlineLvl w:val="0"/>
        <w:rPr>
          <w:rFonts w:ascii="Times New Roman" w:hAnsi="Times New Roman"/>
          <w:b/>
          <w:szCs w:val="24"/>
        </w:rPr>
      </w:pPr>
      <w:r w:rsidRPr="00996974">
        <w:rPr>
          <w:rFonts w:ascii="Times New Roman" w:hAnsi="Times New Roman"/>
          <w:b/>
          <w:szCs w:val="24"/>
        </w:rPr>
        <w:t xml:space="preserve">Corresponding Author: </w:t>
      </w:r>
    </w:p>
    <w:p w14:paraId="5DAED022" w14:textId="77777777" w:rsidR="009202AE" w:rsidRPr="00996974" w:rsidRDefault="00DC67D8" w:rsidP="00CE10F2">
      <w:pPr>
        <w:outlineLvl w:val="0"/>
        <w:rPr>
          <w:rFonts w:ascii="Times New Roman" w:hAnsi="Times New Roman"/>
          <w:b/>
          <w:szCs w:val="24"/>
        </w:rPr>
      </w:pPr>
      <w:r w:rsidRPr="00666D29">
        <w:rPr>
          <w:rFonts w:cs="Arial"/>
        </w:rPr>
        <w:t>Sarah K. Volkman</w:t>
      </w:r>
    </w:p>
    <w:p w14:paraId="16737F7F" w14:textId="77777777" w:rsidR="00CE10F2" w:rsidRPr="00996974" w:rsidRDefault="00CE10F2">
      <w:pPr>
        <w:rPr>
          <w:rFonts w:ascii="Times New Roman" w:hAnsi="Times New Roman"/>
          <w:szCs w:val="24"/>
        </w:rPr>
      </w:pPr>
    </w:p>
    <w:p w14:paraId="67EEE820" w14:textId="77777777" w:rsidR="00CE10F2" w:rsidRPr="00996974"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996974">
        <w:rPr>
          <w:rFonts w:ascii="Times New Roman" w:hAnsi="Times New Roman"/>
          <w:szCs w:val="24"/>
        </w:rPr>
        <w:t xml:space="preserve">Authors, </w:t>
      </w:r>
      <w:r w:rsidRPr="00CD5858">
        <w:rPr>
          <w:rFonts w:ascii="Times New Roman" w:hAnsi="Times New Roman"/>
          <w:szCs w:val="24"/>
        </w:rPr>
        <w:t>please fill out the brief questionnaire below.</w:t>
      </w:r>
      <w:r w:rsidRPr="00996974">
        <w:rPr>
          <w:rFonts w:ascii="Times New Roman" w:hAnsi="Times New Roman"/>
          <w:szCs w:val="24"/>
        </w:rPr>
        <w:t xml:space="preserve">   </w:t>
      </w:r>
    </w:p>
    <w:p w14:paraId="534C0E48" w14:textId="77777777" w:rsidR="00CE10F2" w:rsidRPr="00996974" w:rsidRDefault="00CE10F2" w:rsidP="00CE10F2">
      <w:pPr>
        <w:rPr>
          <w:rFonts w:ascii="Times New Roman" w:hAnsi="Times New Roman"/>
          <w:szCs w:val="24"/>
        </w:rPr>
      </w:pPr>
    </w:p>
    <w:p w14:paraId="27CCC742" w14:textId="0CA78699" w:rsidR="00195BDB" w:rsidRPr="00195BDB" w:rsidRDefault="00195BDB"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w:t>
      </w:r>
      <w:r w:rsidR="00841238">
        <w:rPr>
          <w:rFonts w:ascii="Times New Roman" w:hAnsi="Times New Roman"/>
          <w:szCs w:val="24"/>
        </w:rPr>
        <w:t>N</w:t>
      </w:r>
      <w:r w:rsidRPr="00195BDB">
        <w:rPr>
          <w:rFonts w:ascii="Times New Roman" w:hAnsi="Times New Roman"/>
          <w:szCs w:val="24"/>
        </w:rPr>
        <w:t xml:space="preserve">_______  (If you can record images/videos using your own camera/software, then mark No)   If yes, please list make and model of your microscope: </w:t>
      </w:r>
    </w:p>
    <w:p w14:paraId="7605066A" w14:textId="15722464" w:rsidR="00195BDB" w:rsidRPr="00195BDB" w:rsidRDefault="00195BDB" w:rsidP="00195BDB">
      <w:pPr>
        <w:spacing w:before="120"/>
        <w:rPr>
          <w:rFonts w:ascii="Times New Roman" w:hAnsi="Times New Roman"/>
          <w:szCs w:val="24"/>
        </w:rPr>
      </w:pPr>
      <w:r w:rsidRPr="00195BDB">
        <w:rPr>
          <w:rFonts w:ascii="Times New Roman" w:hAnsi="Times New Roman"/>
          <w:b/>
          <w:szCs w:val="24"/>
        </w:rPr>
        <w:t>B.</w:t>
      </w:r>
      <w:r w:rsidRPr="00195BDB">
        <w:rPr>
          <w:rFonts w:ascii="Times New Roman" w:hAnsi="Times New Roman"/>
          <w:szCs w:val="24"/>
        </w:rPr>
        <w:t xml:space="preserve">   Does your protocol include detailed, step-by-step, descriptions of software usage? (Y/N)___</w:t>
      </w:r>
      <w:r w:rsidR="00841238">
        <w:rPr>
          <w:rFonts w:ascii="Times New Roman" w:hAnsi="Times New Roman"/>
          <w:szCs w:val="24"/>
        </w:rPr>
        <w:t>Y</w:t>
      </w:r>
      <w:r w:rsidRPr="00195BDB">
        <w:rPr>
          <w:rFonts w:ascii="Times New Roman" w:hAnsi="Times New Roman"/>
          <w:szCs w:val="24"/>
        </w:rPr>
        <w:t xml:space="preserve">_____ If yes, we will need you to record using </w:t>
      </w:r>
      <w:hyperlink r:id="rId11"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 If you use a Mac, </w:t>
      </w:r>
      <w:hyperlink r:id="rId12"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p>
    <w:p w14:paraId="39D40FBD" w14:textId="2ADA77A6" w:rsidR="00195BDB" w:rsidRPr="00195BDB" w:rsidRDefault="00195BDB"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numb</w:t>
      </w:r>
      <w:r w:rsidR="00CD5858">
        <w:rPr>
          <w:rFonts w:ascii="Times New Roman" w:hAnsi="Times New Roman"/>
          <w:szCs w:val="24"/>
        </w:rPr>
        <w:t xml:space="preserve">ers listed in this document. </w:t>
      </w:r>
      <w:r w:rsidRPr="00CD5858">
        <w:rPr>
          <w:rFonts w:ascii="Times New Roman" w:hAnsi="Times New Roman"/>
          <w:szCs w:val="24"/>
          <w:u w:val="single"/>
        </w:rPr>
        <w:t>_</w:t>
      </w:r>
      <w:r w:rsidR="002501EF" w:rsidRPr="00CD5858">
        <w:rPr>
          <w:rFonts w:ascii="Times New Roman" w:hAnsi="Times New Roman"/>
          <w:szCs w:val="24"/>
          <w:u w:val="single"/>
        </w:rPr>
        <w:t xml:space="preserve">step 2 – most trainees have the most questions about the analysis parts, which will be recorded from the </w:t>
      </w:r>
      <w:r w:rsidR="00475430" w:rsidRPr="00CD5858">
        <w:rPr>
          <w:rFonts w:ascii="Times New Roman" w:hAnsi="Times New Roman"/>
          <w:szCs w:val="24"/>
          <w:u w:val="single"/>
        </w:rPr>
        <w:t>software</w:t>
      </w:r>
    </w:p>
    <w:p w14:paraId="176C899F" w14:textId="77777777" w:rsidR="00195BDB" w:rsidRPr="00195BDB" w:rsidRDefault="00195BDB" w:rsidP="00195BDB">
      <w:pPr>
        <w:spacing w:before="120"/>
        <w:rPr>
          <w:rFonts w:ascii="Times New Roman" w:hAnsi="Times New Roman"/>
          <w:szCs w:val="24"/>
        </w:rPr>
      </w:pPr>
      <w:r w:rsidRPr="00195BDB">
        <w:rPr>
          <w:rFonts w:ascii="Times New Roman" w:hAnsi="Times New Roman"/>
          <w:b/>
          <w:szCs w:val="24"/>
        </w:rPr>
        <w:t>D.</w:t>
      </w:r>
      <w:r w:rsidRPr="00195BDB">
        <w:rPr>
          <w:rFonts w:ascii="Times New Roman" w:hAnsi="Times New Roman"/>
          <w:szCs w:val="24"/>
        </w:rPr>
        <w:t xml:space="preserve">  What is the single most difficult aspect of this procedure and what do you do to ensure success?  Please list the steps using the step numbers listed in this document.___________________________</w:t>
      </w:r>
    </w:p>
    <w:p w14:paraId="39E868F0" w14:textId="69F91783" w:rsidR="00195BDB" w:rsidRPr="00195BDB" w:rsidRDefault="00195BDB" w:rsidP="00195BDB">
      <w:pPr>
        <w:spacing w:before="120"/>
        <w:rPr>
          <w:rFonts w:ascii="Times New Roman" w:hAnsi="Times New Roman"/>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___</w:t>
      </w:r>
      <w:r w:rsidR="0079415F">
        <w:rPr>
          <w:rFonts w:ascii="Times New Roman" w:hAnsi="Times New Roman"/>
          <w:szCs w:val="24"/>
        </w:rPr>
        <w:t>N</w:t>
      </w:r>
      <w:r w:rsidRPr="00195BDB">
        <w:rPr>
          <w:rFonts w:ascii="Times New Roman" w:hAnsi="Times New Roman"/>
          <w:szCs w:val="24"/>
        </w:rPr>
        <w:t>____ If yes, how far apart are the locations? ___________________________________________________</w:t>
      </w:r>
    </w:p>
    <w:p w14:paraId="240E804D" w14:textId="77777777" w:rsidR="00996974" w:rsidRPr="00996974" w:rsidRDefault="00996974" w:rsidP="005A1F5E">
      <w:pPr>
        <w:spacing w:before="120"/>
        <w:rPr>
          <w:rFonts w:ascii="Times New Roman" w:hAnsi="Times New Roman"/>
          <w:szCs w:val="24"/>
        </w:rPr>
      </w:pPr>
    </w:p>
    <w:p w14:paraId="5B5CDDE4" w14:textId="77777777" w:rsidR="00CE10F2" w:rsidRPr="00996974" w:rsidRDefault="00CE10F2" w:rsidP="00CE10F2">
      <w:pPr>
        <w:rPr>
          <w:rFonts w:ascii="Times New Roman" w:hAnsi="Times New Roman"/>
          <w:b/>
          <w:i/>
          <w:szCs w:val="24"/>
        </w:rPr>
      </w:pPr>
    </w:p>
    <w:p w14:paraId="14B95E74" w14:textId="77777777" w:rsidR="00CE10F2" w:rsidRPr="00996974" w:rsidRDefault="00CE10F2" w:rsidP="00CE10F2">
      <w:pPr>
        <w:rPr>
          <w:rFonts w:ascii="Times New Roman" w:hAnsi="Times New Roman"/>
          <w:b/>
          <w:szCs w:val="24"/>
        </w:rPr>
      </w:pPr>
      <w:r w:rsidRPr="00996974">
        <w:rPr>
          <w:rFonts w:ascii="Times New Roman" w:hAnsi="Times New Roman"/>
          <w:b/>
          <w:szCs w:val="24"/>
        </w:rPr>
        <w:t>1. Introduction (Schematic Overview and Interview)</w:t>
      </w:r>
    </w:p>
    <w:p w14:paraId="26694DD3" w14:textId="77777777" w:rsidR="00CE10F2" w:rsidRPr="00996974" w:rsidRDefault="00CE10F2" w:rsidP="00CE10F2">
      <w:pPr>
        <w:rPr>
          <w:rFonts w:ascii="Times New Roman" w:hAnsi="Times New Roman"/>
          <w:b/>
          <w:szCs w:val="24"/>
        </w:rPr>
      </w:pPr>
    </w:p>
    <w:p w14:paraId="30DB6EA5" w14:textId="77777777" w:rsidR="00CE10F2" w:rsidRPr="00996974" w:rsidRDefault="00CE10F2" w:rsidP="00CE10F2">
      <w:pPr>
        <w:rPr>
          <w:rFonts w:ascii="Times New Roman" w:hAnsi="Times New Roman"/>
          <w:b/>
          <w:szCs w:val="24"/>
        </w:rPr>
      </w:pPr>
      <w:r w:rsidRPr="00996974">
        <w:rPr>
          <w:rFonts w:ascii="Times New Roman" w:hAnsi="Times New Roman"/>
          <w:b/>
          <w:szCs w:val="24"/>
        </w:rPr>
        <w:t>A. Schematic Overview (read by voice talent at JoVE):</w:t>
      </w:r>
    </w:p>
    <w:p w14:paraId="7978F6F5" w14:textId="77777777" w:rsidR="00A64E52" w:rsidRPr="00A64E52" w:rsidRDefault="00A64E52" w:rsidP="00A64E52">
      <w:pPr>
        <w:rPr>
          <w:rFonts w:ascii="Helvetica" w:hAnsi="Helvetica"/>
          <w:i/>
          <w:color w:val="FF0000"/>
          <w:sz w:val="22"/>
          <w:lang w:eastAsia="zh-TW"/>
        </w:rPr>
      </w:pPr>
    </w:p>
    <w:p w14:paraId="30A6FB6F" w14:textId="77777777"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lastRenderedPageBreak/>
        <w:t>Procedural Narrative:</w:t>
      </w:r>
    </w:p>
    <w:p w14:paraId="13504232" w14:textId="77777777" w:rsidR="00094E9C" w:rsidRDefault="00094E9C" w:rsidP="006556DE">
      <w:pPr>
        <w:keepNext/>
        <w:outlineLvl w:val="0"/>
        <w:rPr>
          <w:rFonts w:ascii="Times New Roman" w:hAnsi="Times New Roman"/>
          <w:b/>
          <w:i/>
          <w:szCs w:val="24"/>
          <w:u w:val="single"/>
        </w:rPr>
      </w:pPr>
    </w:p>
    <w:p w14:paraId="09083CF4" w14:textId="2D9F286C" w:rsidR="00094E9C" w:rsidRDefault="00094E9C" w:rsidP="006556DE">
      <w:pPr>
        <w:keepNext/>
        <w:outlineLvl w:val="0"/>
        <w:rPr>
          <w:rFonts w:ascii="Times New Roman" w:hAnsi="Times New Roman"/>
          <w:szCs w:val="24"/>
        </w:rPr>
      </w:pPr>
      <w:r w:rsidRPr="00094E9C">
        <w:rPr>
          <w:rFonts w:ascii="Times New Roman" w:hAnsi="Times New Roman"/>
          <w:szCs w:val="24"/>
          <w:highlight w:val="yellow"/>
          <w:u w:val="single"/>
        </w:rPr>
        <w:t>Note to video editor</w:t>
      </w:r>
      <w:r w:rsidRPr="00094E9C">
        <w:rPr>
          <w:rFonts w:ascii="Times New Roman" w:hAnsi="Times New Roman"/>
          <w:szCs w:val="24"/>
          <w:highlight w:val="yellow"/>
        </w:rPr>
        <w:t>: author has not submitted graphics as of 3/31/15.  Please do not send to voiceover recording until the grap</w:t>
      </w:r>
      <w:r>
        <w:rPr>
          <w:rFonts w:ascii="Times New Roman" w:hAnsi="Times New Roman"/>
          <w:szCs w:val="24"/>
          <w:highlight w:val="yellow"/>
        </w:rPr>
        <w:t>hics are in and the narrative has been</w:t>
      </w:r>
      <w:r w:rsidRPr="00094E9C">
        <w:rPr>
          <w:rFonts w:ascii="Times New Roman" w:hAnsi="Times New Roman"/>
          <w:szCs w:val="24"/>
          <w:highlight w:val="yellow"/>
        </w:rPr>
        <w:t xml:space="preserve"> finalized.</w:t>
      </w:r>
      <w:r>
        <w:rPr>
          <w:rFonts w:ascii="Times New Roman" w:hAnsi="Times New Roman"/>
          <w:szCs w:val="24"/>
        </w:rPr>
        <w:t xml:space="preserve"> </w:t>
      </w:r>
    </w:p>
    <w:p w14:paraId="5BB72B38" w14:textId="77777777" w:rsidR="00094E9C" w:rsidRPr="00094E9C" w:rsidRDefault="00094E9C" w:rsidP="006556DE">
      <w:pPr>
        <w:keepNext/>
        <w:outlineLvl w:val="0"/>
        <w:rPr>
          <w:rFonts w:ascii="Times New Roman" w:hAnsi="Times New Roman"/>
          <w:color w:val="FF0000"/>
          <w:szCs w:val="24"/>
        </w:rPr>
      </w:pPr>
    </w:p>
    <w:p w14:paraId="1108907E" w14:textId="77777777" w:rsidR="00CE10F2" w:rsidRPr="00996974" w:rsidRDefault="00CE10F2" w:rsidP="00CE10F2">
      <w:pPr>
        <w:rPr>
          <w:rFonts w:ascii="Times New Roman" w:hAnsi="Times New Roman"/>
          <w:szCs w:val="24"/>
        </w:rPr>
      </w:pPr>
      <w:r w:rsidRPr="00996974">
        <w:rPr>
          <w:rFonts w:ascii="Times New Roman" w:hAnsi="Times New Roman"/>
          <w:szCs w:val="24"/>
        </w:rPr>
        <w:t xml:space="preserve">The overall goal of </w:t>
      </w:r>
      <w:r w:rsidR="004076DF" w:rsidRPr="004076DF">
        <w:rPr>
          <w:u w:val="single"/>
        </w:rPr>
        <w:t>the following High Resolution Melt experiment is to increase the sensitivity of detection of mutant alleles present at low concentrations within individual samples</w:t>
      </w:r>
      <w:r w:rsidR="004076DF">
        <w:t xml:space="preserve">. </w:t>
      </w:r>
      <w:r w:rsidRPr="00996974">
        <w:rPr>
          <w:rFonts w:ascii="Times New Roman" w:hAnsi="Times New Roman"/>
          <w:b/>
          <w:szCs w:val="24"/>
        </w:rPr>
        <w:t>(Intro)</w:t>
      </w:r>
    </w:p>
    <w:p w14:paraId="109BE9F9" w14:textId="77777777" w:rsidR="00CE10F2" w:rsidRPr="00996974" w:rsidRDefault="00CE10F2" w:rsidP="00CE10F2">
      <w:pPr>
        <w:rPr>
          <w:rFonts w:ascii="Times New Roman" w:hAnsi="Times New Roman"/>
          <w:b/>
          <w:szCs w:val="24"/>
        </w:rPr>
      </w:pPr>
    </w:p>
    <w:p w14:paraId="486BB1C6" w14:textId="77777777" w:rsidR="00CE10F2" w:rsidRPr="00996974" w:rsidRDefault="00CE10F2" w:rsidP="00CE10F2">
      <w:pPr>
        <w:rPr>
          <w:rFonts w:ascii="Times New Roman" w:hAnsi="Times New Roman"/>
          <w:szCs w:val="24"/>
          <w:u w:val="single"/>
        </w:rPr>
      </w:pPr>
      <w:r w:rsidRPr="00996974">
        <w:rPr>
          <w:rFonts w:ascii="Times New Roman" w:hAnsi="Times New Roman"/>
          <w:szCs w:val="24"/>
        </w:rPr>
        <w:t xml:space="preserve">This is accomplished by first </w:t>
      </w:r>
      <w:r w:rsidR="004076DF" w:rsidRPr="004076DF">
        <w:rPr>
          <w:u w:val="single"/>
        </w:rPr>
        <w:t xml:space="preserve">preparing extracted DNA by diluting the template to the necessary volumes and concentrations. </w:t>
      </w:r>
      <w:r w:rsidRPr="00996974">
        <w:rPr>
          <w:rFonts w:ascii="Times New Roman" w:hAnsi="Times New Roman"/>
          <w:b/>
          <w:szCs w:val="24"/>
        </w:rPr>
        <w:t>(P1)</w:t>
      </w:r>
    </w:p>
    <w:p w14:paraId="668FDB3C" w14:textId="77777777" w:rsidR="00CE10F2" w:rsidRPr="00996974" w:rsidRDefault="00CE10F2" w:rsidP="00CE10F2">
      <w:pPr>
        <w:ind w:left="360"/>
        <w:rPr>
          <w:rFonts w:ascii="Times New Roman" w:hAnsi="Times New Roman"/>
          <w:szCs w:val="24"/>
        </w:rPr>
      </w:pPr>
    </w:p>
    <w:p w14:paraId="37DA72A0" w14:textId="77777777" w:rsidR="00CE10F2" w:rsidRPr="00996974" w:rsidRDefault="00CE10F2" w:rsidP="00CE10F2">
      <w:pPr>
        <w:rPr>
          <w:rFonts w:ascii="Times New Roman" w:hAnsi="Times New Roman"/>
          <w:szCs w:val="24"/>
        </w:rPr>
      </w:pPr>
      <w:r w:rsidRPr="00996974">
        <w:rPr>
          <w:rFonts w:ascii="Times New Roman" w:hAnsi="Times New Roman"/>
          <w:szCs w:val="24"/>
        </w:rPr>
        <w:t xml:space="preserve">The second step is to </w:t>
      </w:r>
      <w:r w:rsidR="004076DF" w:rsidRPr="004076DF">
        <w:rPr>
          <w:u w:val="single"/>
        </w:rPr>
        <w:t>prepare the assays with asymmetric proportions of the forward and reverse primer to increase the template-probe product</w:t>
      </w:r>
      <w:r w:rsidR="004076DF">
        <w:t xml:space="preserve">. </w:t>
      </w:r>
      <w:r w:rsidRPr="00996974">
        <w:rPr>
          <w:rFonts w:ascii="Times New Roman" w:hAnsi="Times New Roman"/>
          <w:b/>
          <w:szCs w:val="24"/>
        </w:rPr>
        <w:t>(P2)</w:t>
      </w:r>
    </w:p>
    <w:p w14:paraId="526C3832" w14:textId="77777777" w:rsidR="00CE10F2" w:rsidRPr="00996974" w:rsidRDefault="00CE10F2" w:rsidP="00CE10F2">
      <w:pPr>
        <w:rPr>
          <w:rFonts w:ascii="Times New Roman" w:hAnsi="Times New Roman"/>
          <w:szCs w:val="24"/>
        </w:rPr>
      </w:pPr>
    </w:p>
    <w:p w14:paraId="1CB4A85D" w14:textId="77777777" w:rsidR="00CE10F2" w:rsidRPr="00996974" w:rsidRDefault="004076DF" w:rsidP="00CE10F2">
      <w:pPr>
        <w:rPr>
          <w:rFonts w:ascii="Times New Roman" w:hAnsi="Times New Roman"/>
          <w:szCs w:val="24"/>
        </w:rPr>
      </w:pPr>
      <w:r w:rsidRPr="004076DF">
        <w:rPr>
          <w:u w:val="single"/>
        </w:rPr>
        <w:t>After preparing the reactions, the annealing temperature is set between the melting temperatures of the probe when bound to either the wild-type or mutant template</w:t>
      </w:r>
      <w:r w:rsidR="00CE10F2" w:rsidRPr="00996974">
        <w:rPr>
          <w:rFonts w:ascii="Times New Roman" w:hAnsi="Times New Roman"/>
          <w:szCs w:val="24"/>
          <w:u w:val="single"/>
        </w:rPr>
        <w:t>.</w:t>
      </w:r>
      <w:r w:rsidR="00CE10F2" w:rsidRPr="00996974">
        <w:rPr>
          <w:rFonts w:ascii="Times New Roman" w:hAnsi="Times New Roman"/>
          <w:szCs w:val="24"/>
        </w:rPr>
        <w:t xml:space="preserve"> </w:t>
      </w:r>
      <w:r w:rsidR="00CE10F2" w:rsidRPr="00996974">
        <w:rPr>
          <w:rFonts w:ascii="Times New Roman" w:hAnsi="Times New Roman"/>
          <w:b/>
          <w:szCs w:val="24"/>
        </w:rPr>
        <w:t>(P3)</w:t>
      </w:r>
    </w:p>
    <w:p w14:paraId="59ABB53A" w14:textId="77777777" w:rsidR="00CE10F2" w:rsidRPr="00996974" w:rsidRDefault="00CE10F2" w:rsidP="00CE10F2">
      <w:pPr>
        <w:ind w:left="360"/>
        <w:rPr>
          <w:rFonts w:ascii="Times New Roman" w:hAnsi="Times New Roman"/>
          <w:szCs w:val="24"/>
        </w:rPr>
      </w:pPr>
    </w:p>
    <w:p w14:paraId="2B5449D0" w14:textId="77777777" w:rsidR="00CE10F2" w:rsidRPr="00996974" w:rsidRDefault="004076DF" w:rsidP="00CE10F2">
      <w:pPr>
        <w:rPr>
          <w:rFonts w:ascii="Times New Roman" w:hAnsi="Times New Roman"/>
          <w:szCs w:val="24"/>
          <w:u w:val="single"/>
        </w:rPr>
      </w:pPr>
      <w:r>
        <w:t xml:space="preserve">The final step is </w:t>
      </w:r>
      <w:r w:rsidRPr="004076DF">
        <w:rPr>
          <w:u w:val="single"/>
        </w:rPr>
        <w:t xml:space="preserve">to analyze the amplified products </w:t>
      </w:r>
      <w:r>
        <w:rPr>
          <w:u w:val="single"/>
        </w:rPr>
        <w:t>on</w:t>
      </w:r>
      <w:r w:rsidRPr="004076DF">
        <w:rPr>
          <w:u w:val="single"/>
        </w:rPr>
        <w:t xml:space="preserve"> the appropriate HRM platform</w:t>
      </w:r>
      <w:r w:rsidR="00CE10F2" w:rsidRPr="00996974">
        <w:rPr>
          <w:rFonts w:ascii="Times New Roman" w:hAnsi="Times New Roman"/>
          <w:szCs w:val="24"/>
          <w:u w:val="single"/>
        </w:rPr>
        <w:t>.</w:t>
      </w:r>
      <w:r w:rsidR="00CE10F2" w:rsidRPr="00996974">
        <w:rPr>
          <w:rFonts w:ascii="Times New Roman" w:hAnsi="Times New Roman"/>
          <w:b/>
          <w:szCs w:val="24"/>
        </w:rPr>
        <w:t xml:space="preserve"> (P4)</w:t>
      </w:r>
    </w:p>
    <w:p w14:paraId="5BA07EF0" w14:textId="77777777" w:rsidR="00CE10F2" w:rsidRPr="00996974" w:rsidRDefault="00CE10F2" w:rsidP="00CE10F2">
      <w:pPr>
        <w:ind w:left="360"/>
        <w:rPr>
          <w:rFonts w:ascii="Times New Roman" w:hAnsi="Times New Roman"/>
          <w:szCs w:val="24"/>
        </w:rPr>
      </w:pPr>
    </w:p>
    <w:p w14:paraId="373296E1" w14:textId="5106726B" w:rsidR="00CE10F2" w:rsidRPr="00996974" w:rsidRDefault="00CE10F2" w:rsidP="00CE10F2">
      <w:pPr>
        <w:rPr>
          <w:rFonts w:ascii="Times New Roman" w:hAnsi="Times New Roman"/>
          <w:szCs w:val="24"/>
          <w:lang w:bidi="en-US"/>
        </w:rPr>
      </w:pPr>
      <w:r w:rsidRPr="00996974">
        <w:rPr>
          <w:rFonts w:ascii="Times New Roman" w:hAnsi="Times New Roman"/>
          <w:szCs w:val="24"/>
        </w:rPr>
        <w:t xml:space="preserve">Ultimately, </w:t>
      </w:r>
      <w:r w:rsidR="00053D4A">
        <w:rPr>
          <w:rFonts w:ascii="Times New Roman" w:hAnsi="Times New Roman"/>
          <w:szCs w:val="24"/>
          <w:u w:val="single"/>
        </w:rPr>
        <w:t>mutant allele amplification bias and probe-based asymmetric PCR allow more sensitive detection of challenging SNP mutation at low concentrations present in samples. This increased sensitivity is useful for mutation surveillance in populations</w:t>
      </w:r>
      <w:r w:rsidRPr="00996974">
        <w:rPr>
          <w:rFonts w:ascii="Times New Roman" w:hAnsi="Times New Roman"/>
          <w:szCs w:val="24"/>
          <w:u w:val="single"/>
        </w:rPr>
        <w:t>.</w:t>
      </w:r>
      <w:r w:rsidRPr="00996974">
        <w:rPr>
          <w:rFonts w:ascii="Times New Roman" w:hAnsi="Times New Roman"/>
          <w:szCs w:val="24"/>
        </w:rPr>
        <w:t xml:space="preserve"> </w:t>
      </w:r>
      <w:r w:rsidRPr="00996974">
        <w:rPr>
          <w:rFonts w:ascii="Times New Roman" w:hAnsi="Times New Roman"/>
          <w:b/>
          <w:szCs w:val="24"/>
        </w:rPr>
        <w:t>(P5)</w:t>
      </w:r>
    </w:p>
    <w:p w14:paraId="7988BBE5" w14:textId="77777777" w:rsidR="004076DF" w:rsidRDefault="004076DF" w:rsidP="00CE10F2">
      <w:pPr>
        <w:rPr>
          <w:rFonts w:ascii="Times New Roman" w:hAnsi="Times New Roman"/>
          <w:szCs w:val="24"/>
        </w:rPr>
      </w:pPr>
    </w:p>
    <w:p w14:paraId="655437F0" w14:textId="77777777" w:rsidR="00CD5858" w:rsidRPr="00996974" w:rsidRDefault="00CD5858" w:rsidP="00CE10F2">
      <w:pPr>
        <w:rPr>
          <w:rFonts w:ascii="Times New Roman" w:hAnsi="Times New Roman"/>
          <w:szCs w:val="24"/>
        </w:rPr>
      </w:pPr>
    </w:p>
    <w:p w14:paraId="7CBCE2D7" w14:textId="6AF2CF52" w:rsidR="00CE10F2" w:rsidRPr="00CD5858" w:rsidRDefault="00CE10F2" w:rsidP="00CE10F2">
      <w:pPr>
        <w:rPr>
          <w:rFonts w:ascii="Times New Roman" w:hAnsi="Times New Roman"/>
          <w:b/>
          <w:szCs w:val="24"/>
        </w:rPr>
      </w:pPr>
      <w:r w:rsidRPr="00996974">
        <w:rPr>
          <w:rFonts w:ascii="Times New Roman" w:hAnsi="Times New Roman"/>
          <w:b/>
          <w:szCs w:val="24"/>
        </w:rPr>
        <w:t xml:space="preserve">B.  Interview: (Said by you on camera. Don’t forget to smile!)  </w:t>
      </w:r>
    </w:p>
    <w:p w14:paraId="7557445E" w14:textId="2597ADDB" w:rsidR="00CE10F2" w:rsidRPr="00996974" w:rsidRDefault="0079415F" w:rsidP="00CE10F2">
      <w:pPr>
        <w:numPr>
          <w:ilvl w:val="1"/>
          <w:numId w:val="9"/>
        </w:numPr>
        <w:spacing w:before="240"/>
        <w:jc w:val="both"/>
        <w:outlineLvl w:val="0"/>
        <w:rPr>
          <w:rFonts w:ascii="Times New Roman" w:hAnsi="Times New Roman"/>
          <w:szCs w:val="24"/>
        </w:rPr>
      </w:pPr>
      <w:r w:rsidRPr="00CD5858">
        <w:rPr>
          <w:rFonts w:ascii="Times New Roman" w:hAnsi="Times New Roman"/>
          <w:szCs w:val="24"/>
          <w:u w:val="single"/>
        </w:rPr>
        <w:t>Sarah Volkman</w:t>
      </w:r>
      <w:r w:rsidR="00CE10F2" w:rsidRPr="00996974">
        <w:rPr>
          <w:rFonts w:ascii="Times New Roman" w:hAnsi="Times New Roman"/>
          <w:szCs w:val="24"/>
        </w:rPr>
        <w:t xml:space="preserve">: The main advantage of this technique over existing methods, like </w:t>
      </w:r>
      <w:r>
        <w:rPr>
          <w:rFonts w:ascii="Times New Roman" w:hAnsi="Times New Roman"/>
          <w:szCs w:val="24"/>
        </w:rPr>
        <w:t>standard high resolution melting or TaqMan genotyping</w:t>
      </w:r>
      <w:r w:rsidR="00CE10F2" w:rsidRPr="00996974">
        <w:rPr>
          <w:rFonts w:ascii="Times New Roman" w:hAnsi="Times New Roman"/>
          <w:szCs w:val="24"/>
        </w:rPr>
        <w:t xml:space="preserve">, is that </w:t>
      </w:r>
      <w:r>
        <w:rPr>
          <w:rFonts w:ascii="Times New Roman" w:hAnsi="Times New Roman"/>
          <w:szCs w:val="24"/>
        </w:rPr>
        <w:t>it allows increased sensitivity for alleles present at low concentrations and also allows genotyping of SNPs located proximal to each other in the genome</w:t>
      </w:r>
      <w:r w:rsidR="00CE10F2" w:rsidRPr="00996974">
        <w:rPr>
          <w:rFonts w:ascii="Times New Roman" w:hAnsi="Times New Roman"/>
          <w:szCs w:val="24"/>
        </w:rPr>
        <w:t xml:space="preserve">.   </w:t>
      </w:r>
    </w:p>
    <w:p w14:paraId="6D239330" w14:textId="0592A1C2" w:rsidR="00CE10F2" w:rsidRPr="00996974" w:rsidRDefault="0079415F" w:rsidP="00CE10F2">
      <w:pPr>
        <w:numPr>
          <w:ilvl w:val="1"/>
          <w:numId w:val="9"/>
        </w:numPr>
        <w:spacing w:before="240"/>
        <w:jc w:val="both"/>
        <w:outlineLvl w:val="0"/>
        <w:rPr>
          <w:rFonts w:ascii="Times New Roman" w:hAnsi="Times New Roman"/>
          <w:szCs w:val="24"/>
        </w:rPr>
      </w:pPr>
      <w:r w:rsidRPr="00CD5858">
        <w:rPr>
          <w:rFonts w:ascii="Times New Roman" w:hAnsi="Times New Roman"/>
          <w:szCs w:val="24"/>
          <w:u w:val="single"/>
        </w:rPr>
        <w:t>Sarah Volkman</w:t>
      </w:r>
      <w:r w:rsidR="00CE10F2" w:rsidRPr="00996974">
        <w:rPr>
          <w:rFonts w:ascii="Times New Roman" w:hAnsi="Times New Roman"/>
          <w:szCs w:val="24"/>
        </w:rPr>
        <w:t>: Though this method can provide insight into</w:t>
      </w:r>
      <w:r>
        <w:rPr>
          <w:rFonts w:ascii="Times New Roman" w:hAnsi="Times New Roman"/>
          <w:szCs w:val="24"/>
        </w:rPr>
        <w:t xml:space="preserve"> the spread of drug resistance in the malaria parasite</w:t>
      </w:r>
      <w:r w:rsidR="00CE10F2" w:rsidRPr="00996974">
        <w:rPr>
          <w:rFonts w:ascii="Times New Roman" w:hAnsi="Times New Roman"/>
          <w:szCs w:val="24"/>
        </w:rPr>
        <w:t xml:space="preserve">, it can also be applied to other systems such as </w:t>
      </w:r>
      <w:r>
        <w:rPr>
          <w:rFonts w:ascii="Times New Roman" w:hAnsi="Times New Roman"/>
          <w:szCs w:val="24"/>
        </w:rPr>
        <w:t>surveillance of other infectious disease types such as HIV, or detecting rare cancer variants in a population of cells</w:t>
      </w:r>
      <w:r w:rsidR="00CE10F2" w:rsidRPr="00996974">
        <w:rPr>
          <w:rFonts w:ascii="Times New Roman" w:hAnsi="Times New Roman"/>
          <w:szCs w:val="24"/>
        </w:rPr>
        <w:t>.</w:t>
      </w:r>
    </w:p>
    <w:p w14:paraId="635E1824" w14:textId="7B2059CB" w:rsidR="00CE10F2" w:rsidRPr="00996974" w:rsidRDefault="001302F2" w:rsidP="00CE10F2">
      <w:pPr>
        <w:numPr>
          <w:ilvl w:val="1"/>
          <w:numId w:val="9"/>
        </w:numPr>
        <w:spacing w:before="240"/>
        <w:jc w:val="both"/>
        <w:outlineLvl w:val="0"/>
        <w:rPr>
          <w:rFonts w:ascii="Times New Roman" w:hAnsi="Times New Roman"/>
          <w:szCs w:val="24"/>
        </w:rPr>
      </w:pPr>
      <w:r w:rsidRPr="001302F2">
        <w:rPr>
          <w:rFonts w:ascii="Times New Roman" w:hAnsi="Times New Roman"/>
          <w:szCs w:val="24"/>
          <w:u w:val="single"/>
        </w:rPr>
        <w:t>Sarah Volkman</w:t>
      </w:r>
      <w:r w:rsidR="00CE10F2" w:rsidRPr="00996974">
        <w:rPr>
          <w:rFonts w:ascii="Times New Roman" w:hAnsi="Times New Roman"/>
          <w:szCs w:val="24"/>
        </w:rPr>
        <w:t xml:space="preserve">: </w:t>
      </w:r>
      <w:r w:rsidR="00CE10F2" w:rsidRPr="00F32883">
        <w:rPr>
          <w:rFonts w:ascii="Times New Roman" w:hAnsi="Times New Roman"/>
          <w:szCs w:val="24"/>
        </w:rPr>
        <w:t xml:space="preserve">Demonstrating the procedure will be </w:t>
      </w:r>
      <w:r w:rsidRPr="00F32883">
        <w:rPr>
          <w:rFonts w:ascii="Times New Roman" w:hAnsi="Times New Roman"/>
          <w:szCs w:val="24"/>
        </w:rPr>
        <w:t>Katelyn Durfee</w:t>
      </w:r>
      <w:r w:rsidR="00F32883" w:rsidRPr="00F32883">
        <w:rPr>
          <w:rFonts w:ascii="Times New Roman" w:hAnsi="Times New Roman"/>
          <w:szCs w:val="24"/>
        </w:rPr>
        <w:t>,</w:t>
      </w:r>
      <w:r w:rsidR="00CE10F2" w:rsidRPr="00F32883">
        <w:rPr>
          <w:rFonts w:ascii="Times New Roman" w:hAnsi="Times New Roman"/>
          <w:szCs w:val="24"/>
        </w:rPr>
        <w:t xml:space="preserve"> a </w:t>
      </w:r>
      <w:r w:rsidRPr="00F32883">
        <w:rPr>
          <w:rFonts w:ascii="Times New Roman" w:hAnsi="Times New Roman"/>
          <w:szCs w:val="24"/>
        </w:rPr>
        <w:t>technician</w:t>
      </w:r>
      <w:r w:rsidR="00CE10F2" w:rsidRPr="00F32883">
        <w:rPr>
          <w:rFonts w:ascii="Times New Roman" w:hAnsi="Times New Roman"/>
          <w:szCs w:val="24"/>
        </w:rPr>
        <w:t xml:space="preserve"> from my laboratory.</w:t>
      </w:r>
      <w:r w:rsidR="00CE10F2" w:rsidRPr="00996974">
        <w:rPr>
          <w:rFonts w:ascii="Times New Roman" w:hAnsi="Times New Roman"/>
          <w:szCs w:val="24"/>
        </w:rPr>
        <w:t xml:space="preserve"> </w:t>
      </w:r>
    </w:p>
    <w:p w14:paraId="2BD0F6FE" w14:textId="77777777" w:rsidR="00CE10F2" w:rsidRPr="00996974" w:rsidRDefault="00CE10F2" w:rsidP="00CE10F2">
      <w:pPr>
        <w:numPr>
          <w:ilvl w:val="2"/>
          <w:numId w:val="9"/>
        </w:numPr>
        <w:spacing w:before="240"/>
        <w:jc w:val="both"/>
        <w:outlineLvl w:val="0"/>
        <w:rPr>
          <w:rFonts w:ascii="Times New Roman" w:hAnsi="Times New Roman"/>
          <w:szCs w:val="24"/>
        </w:rPr>
      </w:pPr>
      <w:r w:rsidRPr="00996974">
        <w:rPr>
          <w:rFonts w:ascii="Times New Roman" w:hAnsi="Times New Roman"/>
          <w:szCs w:val="24"/>
        </w:rPr>
        <w:t xml:space="preserve">Interview style: Author saying the above </w:t>
      </w:r>
    </w:p>
    <w:p w14:paraId="0AA046EB" w14:textId="77777777" w:rsidR="00CE10F2" w:rsidRPr="00996974" w:rsidRDefault="00CE10F2" w:rsidP="00CE10F2">
      <w:pPr>
        <w:numPr>
          <w:ilvl w:val="2"/>
          <w:numId w:val="9"/>
        </w:numPr>
        <w:spacing w:before="240"/>
        <w:jc w:val="both"/>
        <w:outlineLvl w:val="0"/>
        <w:rPr>
          <w:rFonts w:ascii="Times New Roman" w:hAnsi="Times New Roman"/>
          <w:szCs w:val="24"/>
        </w:rPr>
      </w:pPr>
      <w:r w:rsidRPr="00996974">
        <w:rPr>
          <w:rFonts w:ascii="Times New Roman" w:hAnsi="Times New Roman"/>
          <w:szCs w:val="24"/>
        </w:rPr>
        <w:t>The named technician, post doc, student looks up from workbench or desk or microscope and acknowledges the camera.</w:t>
      </w:r>
    </w:p>
    <w:p w14:paraId="1793EA87" w14:textId="77777777" w:rsidR="00F32883" w:rsidRPr="00996974" w:rsidRDefault="00F32883" w:rsidP="00CE10F2">
      <w:pPr>
        <w:rPr>
          <w:rFonts w:ascii="Times New Roman" w:hAnsi="Times New Roman"/>
          <w:i/>
          <w:szCs w:val="24"/>
        </w:rPr>
      </w:pPr>
    </w:p>
    <w:p w14:paraId="7D26F664" w14:textId="77777777" w:rsidR="00CE10F2" w:rsidRPr="00996974" w:rsidRDefault="00CE10F2" w:rsidP="00CE10F2">
      <w:pPr>
        <w:ind w:left="792"/>
        <w:rPr>
          <w:rFonts w:ascii="Times New Roman" w:hAnsi="Times New Roman"/>
          <w:szCs w:val="24"/>
        </w:rPr>
      </w:pPr>
    </w:p>
    <w:p w14:paraId="5AC748EC" w14:textId="77777777"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14:paraId="51D6A09B" w14:textId="77777777" w:rsidR="00CE10F2" w:rsidRPr="00996974" w:rsidRDefault="00CE10F2" w:rsidP="00F32883">
      <w:pPr>
        <w:jc w:val="both"/>
        <w:outlineLvl w:val="0"/>
        <w:rPr>
          <w:rFonts w:ascii="Times New Roman" w:hAnsi="Times New Roman"/>
          <w:szCs w:val="24"/>
        </w:rPr>
      </w:pPr>
    </w:p>
    <w:p w14:paraId="31DC3C04" w14:textId="77777777" w:rsidR="00CE10F2" w:rsidRDefault="00193C68" w:rsidP="00987DC6">
      <w:pPr>
        <w:numPr>
          <w:ilvl w:val="0"/>
          <w:numId w:val="12"/>
        </w:numPr>
        <w:jc w:val="both"/>
        <w:outlineLvl w:val="0"/>
        <w:rPr>
          <w:rFonts w:ascii="Times New Roman" w:hAnsi="Times New Roman"/>
          <w:b/>
          <w:szCs w:val="24"/>
        </w:rPr>
      </w:pPr>
      <w:r>
        <w:rPr>
          <w:rFonts w:ascii="Times New Roman" w:hAnsi="Times New Roman"/>
          <w:b/>
          <w:szCs w:val="24"/>
        </w:rPr>
        <w:t>Template preparation</w:t>
      </w:r>
    </w:p>
    <w:p w14:paraId="68F739E5" w14:textId="77777777" w:rsidR="00987DC6" w:rsidRPr="00987DC6" w:rsidRDefault="00987DC6" w:rsidP="00987DC6">
      <w:pPr>
        <w:ind w:left="360"/>
        <w:jc w:val="both"/>
        <w:outlineLvl w:val="0"/>
        <w:rPr>
          <w:rFonts w:ascii="Times New Roman" w:hAnsi="Times New Roman"/>
          <w:b/>
          <w:szCs w:val="24"/>
        </w:rPr>
      </w:pPr>
    </w:p>
    <w:p w14:paraId="6F74FB3A" w14:textId="399CF68F" w:rsidR="00F51816" w:rsidRPr="00FE390B" w:rsidRDefault="003F0088" w:rsidP="00F51816">
      <w:pPr>
        <w:numPr>
          <w:ilvl w:val="1"/>
          <w:numId w:val="12"/>
        </w:numPr>
        <w:jc w:val="both"/>
        <w:outlineLvl w:val="0"/>
        <w:rPr>
          <w:rFonts w:ascii="Times New Roman" w:hAnsi="Times New Roman"/>
          <w:szCs w:val="24"/>
        </w:rPr>
      </w:pPr>
      <w:r>
        <w:rPr>
          <w:rFonts w:ascii="Times New Roman" w:hAnsi="Times New Roman"/>
        </w:rPr>
        <w:lastRenderedPageBreak/>
        <w:t xml:space="preserve">Templates </w:t>
      </w:r>
      <w:r w:rsidR="00D668A7">
        <w:rPr>
          <w:rFonts w:ascii="Times New Roman" w:hAnsi="Times New Roman"/>
        </w:rPr>
        <w:t xml:space="preserve">for </w:t>
      </w:r>
      <w:r w:rsidR="00D668A7" w:rsidRPr="00D668A7">
        <w:rPr>
          <w:rFonts w:cs="Arial"/>
        </w:rPr>
        <w:t>high resolution melting</w:t>
      </w:r>
      <w:r w:rsidR="00602F42">
        <w:rPr>
          <w:rFonts w:cs="Arial"/>
        </w:rPr>
        <w:t>,</w:t>
      </w:r>
      <w:r w:rsidR="00D668A7" w:rsidRPr="00D668A7">
        <w:rPr>
          <w:rFonts w:cs="Arial"/>
        </w:rPr>
        <w:t xml:space="preserve"> or HRM</w:t>
      </w:r>
      <w:r w:rsidR="00602F42">
        <w:rPr>
          <w:rFonts w:cs="Arial"/>
        </w:rPr>
        <w:t>,</w:t>
      </w:r>
      <w:r w:rsidR="00D668A7" w:rsidRPr="00666D29">
        <w:rPr>
          <w:rFonts w:cs="Arial"/>
        </w:rPr>
        <w:t xml:space="preserve"> </w:t>
      </w:r>
      <w:r>
        <w:rPr>
          <w:rFonts w:ascii="Times New Roman" w:hAnsi="Times New Roman"/>
        </w:rPr>
        <w:t xml:space="preserve">are prepared from </w:t>
      </w:r>
      <w:r w:rsidR="00685F02" w:rsidRPr="00987DC6">
        <w:rPr>
          <w:rFonts w:ascii="Times New Roman" w:hAnsi="Times New Roman"/>
          <w:i/>
        </w:rPr>
        <w:t>Plasmodium falciparum</w:t>
      </w:r>
      <w:r w:rsidR="00685F02" w:rsidRPr="00987DC6">
        <w:rPr>
          <w:rFonts w:ascii="Times New Roman" w:hAnsi="Times New Roman"/>
        </w:rPr>
        <w:t xml:space="preserve"> samples </w:t>
      </w:r>
      <w:r>
        <w:rPr>
          <w:rFonts w:ascii="Times New Roman" w:hAnsi="Times New Roman"/>
        </w:rPr>
        <w:t xml:space="preserve">obtained </w:t>
      </w:r>
      <w:r w:rsidR="00685F02" w:rsidRPr="00987DC6">
        <w:rPr>
          <w:rFonts w:ascii="Times New Roman" w:hAnsi="Times New Roman"/>
        </w:rPr>
        <w:t xml:space="preserve">directly from </w:t>
      </w:r>
      <w:r>
        <w:rPr>
          <w:rFonts w:ascii="Times New Roman" w:hAnsi="Times New Roman"/>
        </w:rPr>
        <w:t>the blood of</w:t>
      </w:r>
      <w:r w:rsidR="00685F02" w:rsidRPr="00987DC6">
        <w:rPr>
          <w:rFonts w:ascii="Times New Roman" w:hAnsi="Times New Roman"/>
        </w:rPr>
        <w:t xml:space="preserve"> patients participating in field site studies</w:t>
      </w:r>
      <w:r>
        <w:rPr>
          <w:rFonts w:ascii="Times New Roman" w:hAnsi="Times New Roman"/>
        </w:rPr>
        <w:t xml:space="preserve">. </w:t>
      </w:r>
      <w:r w:rsidR="00FB21E6" w:rsidRPr="00FB21E6">
        <w:rPr>
          <w:rFonts w:ascii="Times New Roman" w:hAnsi="Times New Roman"/>
          <w:b/>
        </w:rPr>
        <w:t>[2.1.1 – MED]</w:t>
      </w:r>
      <w:r>
        <w:rPr>
          <w:rFonts w:ascii="Times New Roman" w:hAnsi="Times New Roman"/>
        </w:rPr>
        <w:t xml:space="preserve"> The samples can be </w:t>
      </w:r>
      <w:r w:rsidR="00FB21E6">
        <w:rPr>
          <w:rFonts w:ascii="Times New Roman" w:hAnsi="Times New Roman"/>
        </w:rPr>
        <w:t xml:space="preserve">stored as pelleted red blood cells, </w:t>
      </w:r>
      <w:r w:rsidR="00685F02" w:rsidRPr="00987DC6">
        <w:rPr>
          <w:rFonts w:ascii="Times New Roman" w:hAnsi="Times New Roman"/>
        </w:rPr>
        <w:t>on filter paper</w:t>
      </w:r>
      <w:r w:rsidR="00FB21E6">
        <w:rPr>
          <w:rFonts w:ascii="Times New Roman" w:hAnsi="Times New Roman"/>
        </w:rPr>
        <w:t xml:space="preserve">, or samples retrieved from </w:t>
      </w:r>
      <w:r w:rsidR="00FB21E6" w:rsidRPr="00FB21E6">
        <w:rPr>
          <w:rFonts w:ascii="Times New Roman" w:hAnsi="Times New Roman"/>
          <w:szCs w:val="24"/>
        </w:rPr>
        <w:t>rapid diagnostic tests</w:t>
      </w:r>
      <w:r w:rsidR="00685F02" w:rsidRPr="00FB21E6">
        <w:rPr>
          <w:rFonts w:ascii="Times New Roman" w:hAnsi="Times New Roman"/>
        </w:rPr>
        <w:t>.</w:t>
      </w:r>
      <w:r w:rsidR="001308E8">
        <w:rPr>
          <w:rFonts w:ascii="Times New Roman" w:hAnsi="Times New Roman"/>
        </w:rPr>
        <w:t xml:space="preserve"> </w:t>
      </w:r>
      <w:r w:rsidR="00FB21E6" w:rsidRPr="00FB21E6">
        <w:rPr>
          <w:rFonts w:ascii="Times New Roman" w:hAnsi="Times New Roman"/>
          <w:b/>
        </w:rPr>
        <w:t xml:space="preserve">[2.1.2 – </w:t>
      </w:r>
      <w:r w:rsidR="00FE390B">
        <w:rPr>
          <w:rFonts w:ascii="Times New Roman" w:hAnsi="Times New Roman"/>
          <w:b/>
        </w:rPr>
        <w:t>MED/</w:t>
      </w:r>
      <w:r w:rsidR="00FB21E6" w:rsidRPr="00FB21E6">
        <w:rPr>
          <w:rFonts w:ascii="Times New Roman" w:hAnsi="Times New Roman"/>
          <w:b/>
        </w:rPr>
        <w:t>CU]</w:t>
      </w:r>
      <w:r w:rsidR="001308E8">
        <w:rPr>
          <w:rFonts w:ascii="Times New Roman" w:hAnsi="Times New Roman"/>
        </w:rPr>
        <w:t xml:space="preserve"> </w:t>
      </w:r>
    </w:p>
    <w:p w14:paraId="19AAA727" w14:textId="77777777" w:rsidR="00FE390B" w:rsidRPr="00FE390B" w:rsidRDefault="00FE390B" w:rsidP="00FE390B">
      <w:pPr>
        <w:ind w:left="1080"/>
        <w:jc w:val="both"/>
        <w:outlineLvl w:val="0"/>
        <w:rPr>
          <w:rFonts w:ascii="Times New Roman" w:hAnsi="Times New Roman"/>
          <w:szCs w:val="24"/>
        </w:rPr>
      </w:pPr>
    </w:p>
    <w:p w14:paraId="1EE4FCEC" w14:textId="734E421F" w:rsidR="00FE390B" w:rsidRDefault="00FE390B" w:rsidP="00FE390B">
      <w:pPr>
        <w:numPr>
          <w:ilvl w:val="2"/>
          <w:numId w:val="12"/>
        </w:numPr>
        <w:jc w:val="both"/>
        <w:outlineLvl w:val="0"/>
        <w:rPr>
          <w:rFonts w:ascii="Times New Roman" w:hAnsi="Times New Roman"/>
          <w:szCs w:val="24"/>
        </w:rPr>
      </w:pPr>
      <w:r>
        <w:rPr>
          <w:rFonts w:ascii="Times New Roman" w:hAnsi="Times New Roman"/>
          <w:szCs w:val="24"/>
        </w:rPr>
        <w:t>Talent setting out the samples.</w:t>
      </w:r>
    </w:p>
    <w:p w14:paraId="51C7A693" w14:textId="00377941" w:rsidR="00FE390B" w:rsidRPr="00FB21E6" w:rsidRDefault="00FE390B" w:rsidP="00FE390B">
      <w:pPr>
        <w:numPr>
          <w:ilvl w:val="2"/>
          <w:numId w:val="12"/>
        </w:numPr>
        <w:jc w:val="both"/>
        <w:outlineLvl w:val="0"/>
        <w:rPr>
          <w:rFonts w:ascii="Times New Roman" w:hAnsi="Times New Roman"/>
          <w:szCs w:val="24"/>
        </w:rPr>
      </w:pPr>
      <w:r>
        <w:rPr>
          <w:rFonts w:ascii="Times New Roman" w:hAnsi="Times New Roman"/>
          <w:szCs w:val="24"/>
        </w:rPr>
        <w:t>Zoom in to red blood cells, filter paper samples, and RDT samples. (in this order)</w:t>
      </w:r>
    </w:p>
    <w:p w14:paraId="6A5D9AC8" w14:textId="77777777" w:rsidR="00FB21E6" w:rsidRPr="00F51816" w:rsidRDefault="00FB21E6" w:rsidP="00FE390B">
      <w:pPr>
        <w:ind w:left="1440"/>
        <w:jc w:val="both"/>
        <w:outlineLvl w:val="0"/>
        <w:rPr>
          <w:rFonts w:ascii="Times New Roman" w:hAnsi="Times New Roman"/>
          <w:szCs w:val="24"/>
        </w:rPr>
      </w:pPr>
    </w:p>
    <w:p w14:paraId="4DCE818A" w14:textId="4AC30699" w:rsidR="003F0088" w:rsidRPr="00D917F9" w:rsidRDefault="00685F02" w:rsidP="00987DC6">
      <w:pPr>
        <w:numPr>
          <w:ilvl w:val="1"/>
          <w:numId w:val="12"/>
        </w:numPr>
        <w:jc w:val="both"/>
        <w:outlineLvl w:val="0"/>
        <w:rPr>
          <w:rFonts w:ascii="Times New Roman" w:hAnsi="Times New Roman"/>
          <w:szCs w:val="24"/>
        </w:rPr>
      </w:pPr>
      <w:r w:rsidRPr="00987DC6">
        <w:rPr>
          <w:rFonts w:ascii="Times New Roman" w:hAnsi="Times New Roman"/>
        </w:rPr>
        <w:t xml:space="preserve">Samples may also be culture-adapted to grow </w:t>
      </w:r>
      <w:r w:rsidRPr="00987DC6">
        <w:rPr>
          <w:rFonts w:ascii="Times New Roman" w:hAnsi="Times New Roman"/>
          <w:i/>
        </w:rPr>
        <w:t>in vitro</w:t>
      </w:r>
      <w:r w:rsidRPr="00987DC6">
        <w:rPr>
          <w:rFonts w:ascii="Times New Roman" w:hAnsi="Times New Roman"/>
        </w:rPr>
        <w:t>; some standard laboratory strains for analysis can be ordered from the Malaria Research and Reference Reagent Resource C</w:t>
      </w:r>
      <w:r w:rsidR="003F0088">
        <w:rPr>
          <w:rFonts w:ascii="Times New Roman" w:hAnsi="Times New Roman"/>
        </w:rPr>
        <w:t>enter</w:t>
      </w:r>
      <w:r w:rsidRPr="00987DC6">
        <w:rPr>
          <w:rFonts w:ascii="Times New Roman" w:hAnsi="Times New Roman"/>
          <w:bCs/>
        </w:rPr>
        <w:t>.</w:t>
      </w:r>
      <w:r w:rsidR="001308E8">
        <w:rPr>
          <w:rFonts w:ascii="Times New Roman" w:hAnsi="Times New Roman"/>
          <w:bCs/>
        </w:rPr>
        <w:t xml:space="preserve"> </w:t>
      </w:r>
      <w:r w:rsidR="00D917F9" w:rsidRPr="00D917F9">
        <w:rPr>
          <w:rFonts w:ascii="Times New Roman" w:hAnsi="Times New Roman"/>
          <w:b/>
          <w:bCs/>
        </w:rPr>
        <w:t xml:space="preserve">[2.2.1 – </w:t>
      </w:r>
      <w:r w:rsidR="002B303B">
        <w:rPr>
          <w:rFonts w:ascii="Times New Roman" w:hAnsi="Times New Roman"/>
          <w:b/>
          <w:bCs/>
        </w:rPr>
        <w:t>MED</w:t>
      </w:r>
      <w:r w:rsidR="00D917F9" w:rsidRPr="00D917F9">
        <w:rPr>
          <w:rFonts w:ascii="Times New Roman" w:hAnsi="Times New Roman"/>
          <w:b/>
          <w:bCs/>
        </w:rPr>
        <w:t>]</w:t>
      </w:r>
      <w:r w:rsidR="00D917F9">
        <w:rPr>
          <w:rFonts w:ascii="Times New Roman" w:hAnsi="Times New Roman"/>
          <w:bCs/>
        </w:rPr>
        <w:t xml:space="preserve"> </w:t>
      </w:r>
    </w:p>
    <w:p w14:paraId="4169DAE4" w14:textId="77777777" w:rsidR="00D917F9" w:rsidRPr="00D917F9" w:rsidRDefault="00D917F9" w:rsidP="00D917F9">
      <w:pPr>
        <w:ind w:left="1080"/>
        <w:jc w:val="both"/>
        <w:outlineLvl w:val="0"/>
        <w:rPr>
          <w:rFonts w:ascii="Times New Roman" w:hAnsi="Times New Roman"/>
          <w:szCs w:val="24"/>
        </w:rPr>
      </w:pPr>
    </w:p>
    <w:p w14:paraId="42617C4C" w14:textId="13FF0780" w:rsidR="00D917F9" w:rsidRPr="002B303B" w:rsidRDefault="00D917F9" w:rsidP="00D917F9">
      <w:pPr>
        <w:numPr>
          <w:ilvl w:val="2"/>
          <w:numId w:val="12"/>
        </w:numPr>
        <w:jc w:val="both"/>
        <w:outlineLvl w:val="0"/>
        <w:rPr>
          <w:rFonts w:ascii="Times New Roman" w:hAnsi="Times New Roman"/>
          <w:szCs w:val="24"/>
        </w:rPr>
      </w:pPr>
      <w:r w:rsidRPr="002B303B">
        <w:rPr>
          <w:rFonts w:ascii="Times New Roman" w:hAnsi="Times New Roman"/>
          <w:bCs/>
        </w:rPr>
        <w:t>Talent</w:t>
      </w:r>
      <w:r w:rsidR="002B303B" w:rsidRPr="002B303B">
        <w:rPr>
          <w:rFonts w:ascii="Times New Roman" w:hAnsi="Times New Roman"/>
          <w:bCs/>
        </w:rPr>
        <w:t xml:space="preserve"> taking out the sample cultures from the incubator.</w:t>
      </w:r>
      <w:r w:rsidRPr="002B303B">
        <w:rPr>
          <w:rFonts w:ascii="Times New Roman" w:hAnsi="Times New Roman"/>
          <w:bCs/>
        </w:rPr>
        <w:t xml:space="preserve"> </w:t>
      </w:r>
    </w:p>
    <w:p w14:paraId="064C754F" w14:textId="77777777" w:rsidR="003F0088" w:rsidRPr="003F0088" w:rsidRDefault="00685F02" w:rsidP="003F0088">
      <w:pPr>
        <w:ind w:left="1080"/>
        <w:jc w:val="both"/>
        <w:outlineLvl w:val="0"/>
        <w:rPr>
          <w:rFonts w:ascii="Times New Roman" w:hAnsi="Times New Roman"/>
          <w:szCs w:val="24"/>
        </w:rPr>
      </w:pPr>
      <w:r w:rsidRPr="00987DC6">
        <w:rPr>
          <w:rFonts w:ascii="Times New Roman" w:hAnsi="Times New Roman"/>
          <w:b/>
          <w:bCs/>
        </w:rPr>
        <w:t xml:space="preserve"> </w:t>
      </w:r>
    </w:p>
    <w:p w14:paraId="3E3D19F0" w14:textId="7AD23463" w:rsidR="003F0088" w:rsidRPr="00C72653" w:rsidRDefault="00F51816" w:rsidP="003F0088">
      <w:pPr>
        <w:numPr>
          <w:ilvl w:val="1"/>
          <w:numId w:val="12"/>
        </w:numPr>
        <w:jc w:val="both"/>
        <w:outlineLvl w:val="0"/>
        <w:rPr>
          <w:rFonts w:ascii="Times New Roman" w:hAnsi="Times New Roman"/>
          <w:i/>
          <w:szCs w:val="24"/>
        </w:rPr>
      </w:pPr>
      <w:r>
        <w:rPr>
          <w:rFonts w:cs="Arial"/>
          <w:bCs/>
        </w:rPr>
        <w:t>Samples</w:t>
      </w:r>
      <w:r w:rsidR="00374A75">
        <w:rPr>
          <w:rFonts w:cs="Arial"/>
          <w:bCs/>
        </w:rPr>
        <w:t xml:space="preserve"> may be</w:t>
      </w:r>
      <w:r w:rsidR="003F0088" w:rsidRPr="003F0088">
        <w:rPr>
          <w:rFonts w:cs="Arial"/>
          <w:bCs/>
        </w:rPr>
        <w:t xml:space="preserve"> extracted from whole blood, r</w:t>
      </w:r>
      <w:r w:rsidR="00374A75">
        <w:rPr>
          <w:rFonts w:cs="Arial"/>
          <w:bCs/>
        </w:rPr>
        <w:t xml:space="preserve">ed blood cells, or filter paper, or </w:t>
      </w:r>
      <w:r w:rsidR="00374A75" w:rsidRPr="003F0088">
        <w:rPr>
          <w:rFonts w:cs="Arial"/>
          <w:bCs/>
        </w:rPr>
        <w:t>used directly from pelleted red blood cells or culture</w:t>
      </w:r>
      <w:r w:rsidR="00C72653">
        <w:rPr>
          <w:rFonts w:cs="Arial"/>
          <w:bCs/>
        </w:rPr>
        <w:t xml:space="preserve">. </w:t>
      </w:r>
      <w:r w:rsidR="00C72653" w:rsidRPr="00C72653">
        <w:rPr>
          <w:rFonts w:cs="Arial"/>
          <w:b/>
          <w:bCs/>
        </w:rPr>
        <w:t>[2.3.1 – CU]</w:t>
      </w:r>
      <w:r w:rsidR="00374A75" w:rsidRPr="00C72653">
        <w:rPr>
          <w:rFonts w:cs="Arial"/>
          <w:b/>
          <w:bCs/>
        </w:rPr>
        <w:t xml:space="preserve"> </w:t>
      </w:r>
    </w:p>
    <w:p w14:paraId="48A2E902" w14:textId="77777777" w:rsidR="00C72653" w:rsidRPr="00C72653" w:rsidRDefault="00C72653" w:rsidP="00C72653">
      <w:pPr>
        <w:ind w:left="1080"/>
        <w:jc w:val="both"/>
        <w:outlineLvl w:val="0"/>
        <w:rPr>
          <w:rFonts w:ascii="Times New Roman" w:hAnsi="Times New Roman"/>
          <w:i/>
          <w:szCs w:val="24"/>
        </w:rPr>
      </w:pPr>
    </w:p>
    <w:p w14:paraId="53679787" w14:textId="0B4CDB3D" w:rsidR="00C72653" w:rsidRPr="00C72653" w:rsidRDefault="00C72653" w:rsidP="00C72653">
      <w:pPr>
        <w:numPr>
          <w:ilvl w:val="2"/>
          <w:numId w:val="12"/>
        </w:numPr>
        <w:jc w:val="both"/>
        <w:outlineLvl w:val="0"/>
        <w:rPr>
          <w:rFonts w:ascii="Times New Roman" w:hAnsi="Times New Roman"/>
          <w:szCs w:val="24"/>
        </w:rPr>
      </w:pPr>
      <w:r>
        <w:rPr>
          <w:rFonts w:cs="Arial"/>
          <w:bCs/>
        </w:rPr>
        <w:t>T</w:t>
      </w:r>
      <w:r w:rsidRPr="00C72653">
        <w:rPr>
          <w:rFonts w:cs="Arial"/>
          <w:bCs/>
        </w:rPr>
        <w:t xml:space="preserve">alent setting out </w:t>
      </w:r>
      <w:r w:rsidRPr="00C72653">
        <w:rPr>
          <w:rFonts w:ascii="Times New Roman" w:hAnsi="Times New Roman"/>
        </w:rPr>
        <w:t>DNA previously extracted from</w:t>
      </w:r>
      <w:r w:rsidRPr="00C72653">
        <w:rPr>
          <w:rFonts w:ascii="Times New Roman" w:hAnsi="Times New Roman"/>
          <w:b/>
        </w:rPr>
        <w:t xml:space="preserve"> </w:t>
      </w:r>
      <w:r w:rsidRPr="00C72653">
        <w:rPr>
          <w:rFonts w:ascii="Times New Roman" w:hAnsi="Times New Roman"/>
        </w:rPr>
        <w:t>filter paper or culture-adapted strains and pelleted red blood cells</w:t>
      </w:r>
      <w:r>
        <w:rPr>
          <w:rFonts w:ascii="Times New Roman" w:hAnsi="Times New Roman"/>
        </w:rPr>
        <w:t>.</w:t>
      </w:r>
      <w:r w:rsidR="00602F42">
        <w:rPr>
          <w:rFonts w:ascii="Times New Roman" w:hAnsi="Times New Roman"/>
        </w:rPr>
        <w:t xml:space="preserve"> </w:t>
      </w:r>
      <w:r w:rsidR="00602F42">
        <w:rPr>
          <w:rFonts w:ascii="Times New Roman" w:hAnsi="Times New Roman"/>
          <w:color w:val="FF0000"/>
        </w:rPr>
        <w:t>Text overlay: “P</w:t>
      </w:r>
      <w:r w:rsidR="00602F42" w:rsidRPr="00602F42">
        <w:rPr>
          <w:rFonts w:ascii="Times New Roman" w:hAnsi="Times New Roman"/>
          <w:color w:val="FF0000"/>
        </w:rPr>
        <w:t xml:space="preserve">repare template dilutions of 10 </w:t>
      </w:r>
      <w:proofErr w:type="spellStart"/>
      <w:r w:rsidR="00602F42" w:rsidRPr="00602F42">
        <w:rPr>
          <w:rFonts w:ascii="Times New Roman" w:hAnsi="Times New Roman"/>
          <w:color w:val="FF0000"/>
        </w:rPr>
        <w:t>pg</w:t>
      </w:r>
      <w:proofErr w:type="spellEnd"/>
      <w:r w:rsidR="00602F42" w:rsidRPr="00602F42">
        <w:rPr>
          <w:rFonts w:ascii="Times New Roman" w:hAnsi="Times New Roman"/>
          <w:color w:val="FF0000"/>
        </w:rPr>
        <w:t xml:space="preserve"> to 10 </w:t>
      </w:r>
      <w:proofErr w:type="spellStart"/>
      <w:r w:rsidR="00602F42" w:rsidRPr="00602F42">
        <w:rPr>
          <w:rFonts w:ascii="Times New Roman" w:hAnsi="Times New Roman"/>
          <w:color w:val="FF0000"/>
        </w:rPr>
        <w:t>ng</w:t>
      </w:r>
      <w:proofErr w:type="spellEnd"/>
      <w:r w:rsidR="00602F42" w:rsidRPr="00602F42">
        <w:rPr>
          <w:rFonts w:ascii="Times New Roman" w:hAnsi="Times New Roman"/>
          <w:color w:val="FF0000"/>
        </w:rPr>
        <w:t xml:space="preserve"> per µL for each 10 µL reaction, using 1X TE”</w:t>
      </w:r>
    </w:p>
    <w:p w14:paraId="4918D58B" w14:textId="77777777" w:rsidR="00987DC6" w:rsidRPr="00987DC6" w:rsidRDefault="00987DC6" w:rsidP="00D668A7">
      <w:pPr>
        <w:pStyle w:val="NormalWeb"/>
        <w:spacing w:before="0" w:beforeAutospacing="0" w:after="0" w:afterAutospacing="0"/>
        <w:rPr>
          <w:rFonts w:ascii="Times New Roman" w:hAnsi="Times New Roman" w:cs="Times New Roman"/>
          <w:b/>
          <w:color w:val="auto"/>
        </w:rPr>
      </w:pPr>
    </w:p>
    <w:p w14:paraId="58C508AA" w14:textId="21883418" w:rsidR="00987DC6" w:rsidRPr="00602F42" w:rsidRDefault="00374A75" w:rsidP="00987DC6">
      <w:pPr>
        <w:pStyle w:val="NormalWeb"/>
        <w:numPr>
          <w:ilvl w:val="1"/>
          <w:numId w:val="12"/>
        </w:numPr>
        <w:spacing w:before="0" w:beforeAutospacing="0" w:after="0" w:afterAutospacing="0"/>
        <w:rPr>
          <w:rFonts w:ascii="Times New Roman" w:hAnsi="Times New Roman" w:cs="Times New Roman"/>
          <w:b/>
          <w:strike/>
          <w:color w:val="auto"/>
        </w:rPr>
      </w:pPr>
      <w:r w:rsidRPr="00602F42">
        <w:rPr>
          <w:rFonts w:ascii="Times New Roman" w:hAnsi="Times New Roman" w:cs="Times New Roman"/>
          <w:strike/>
          <w:color w:val="auto"/>
        </w:rPr>
        <w:t>For DNA extracted from filter paper or culture-adapted strains, p</w:t>
      </w:r>
      <w:r w:rsidR="00987DC6" w:rsidRPr="00602F42">
        <w:rPr>
          <w:rFonts w:ascii="Times New Roman" w:hAnsi="Times New Roman" w:cs="Times New Roman"/>
          <w:strike/>
          <w:color w:val="auto"/>
        </w:rPr>
        <w:t>repa</w:t>
      </w:r>
      <w:r w:rsidR="003D4472" w:rsidRPr="00602F42">
        <w:rPr>
          <w:rFonts w:ascii="Times New Roman" w:hAnsi="Times New Roman" w:cs="Times New Roman"/>
          <w:strike/>
          <w:color w:val="auto"/>
        </w:rPr>
        <w:t xml:space="preserve">re template dilutions </w:t>
      </w:r>
      <w:proofErr w:type="gramStart"/>
      <w:r w:rsidR="003D4472" w:rsidRPr="00602F42">
        <w:rPr>
          <w:rFonts w:ascii="Times New Roman" w:hAnsi="Times New Roman" w:cs="Times New Roman"/>
          <w:strike/>
          <w:color w:val="auto"/>
        </w:rPr>
        <w:t xml:space="preserve">of </w:t>
      </w:r>
      <w:r w:rsidRPr="00602F42">
        <w:rPr>
          <w:rFonts w:ascii="Times New Roman" w:hAnsi="Times New Roman" w:cs="Times New Roman"/>
          <w:strike/>
          <w:color w:val="auto"/>
        </w:rPr>
        <w:t xml:space="preserve">10 pg to </w:t>
      </w:r>
      <w:r w:rsidR="00987DC6" w:rsidRPr="00602F42">
        <w:rPr>
          <w:rFonts w:ascii="Times New Roman" w:hAnsi="Times New Roman" w:cs="Times New Roman"/>
          <w:strike/>
          <w:color w:val="auto"/>
        </w:rPr>
        <w:t>10 ng per µL</w:t>
      </w:r>
      <w:r w:rsidR="00D668A7" w:rsidRPr="00602F42">
        <w:rPr>
          <w:rFonts w:ascii="Times New Roman" w:hAnsi="Times New Roman" w:cs="Times New Roman"/>
          <w:strike/>
          <w:color w:val="auto"/>
        </w:rPr>
        <w:t xml:space="preserve"> </w:t>
      </w:r>
      <w:r w:rsidR="003D4472" w:rsidRPr="00602F42">
        <w:rPr>
          <w:rFonts w:ascii="Times New Roman" w:hAnsi="Times New Roman" w:cs="Times New Roman"/>
          <w:strike/>
          <w:color w:val="auto"/>
        </w:rPr>
        <w:t>for each 10 µL reaction, using 1X TE</w:t>
      </w:r>
      <w:proofErr w:type="gramEnd"/>
      <w:r w:rsidR="003D4472" w:rsidRPr="00602F42">
        <w:rPr>
          <w:rFonts w:ascii="Times New Roman" w:hAnsi="Times New Roman" w:cs="Times New Roman"/>
          <w:strike/>
          <w:color w:val="auto"/>
        </w:rPr>
        <w:t>.</w:t>
      </w:r>
      <w:r w:rsidR="00D668A7" w:rsidRPr="00602F42">
        <w:rPr>
          <w:rFonts w:ascii="Times New Roman" w:hAnsi="Times New Roman" w:cs="Times New Roman"/>
          <w:strike/>
          <w:color w:val="auto"/>
        </w:rPr>
        <w:t xml:space="preserve"> </w:t>
      </w:r>
      <w:r w:rsidR="00127FE8" w:rsidRPr="00602F42">
        <w:rPr>
          <w:rFonts w:ascii="Times New Roman" w:hAnsi="Times New Roman" w:cs="Times New Roman"/>
          <w:b/>
          <w:strike/>
          <w:color w:val="auto"/>
        </w:rPr>
        <w:t>[2.4.1 – MED]</w:t>
      </w:r>
    </w:p>
    <w:p w14:paraId="11D2C626" w14:textId="77777777" w:rsidR="00D877C8" w:rsidRPr="00602F42" w:rsidRDefault="00D877C8" w:rsidP="00D877C8">
      <w:pPr>
        <w:pStyle w:val="NormalWeb"/>
        <w:spacing w:before="0" w:beforeAutospacing="0" w:after="0" w:afterAutospacing="0"/>
        <w:ind w:left="1080"/>
        <w:rPr>
          <w:rFonts w:ascii="Times New Roman" w:hAnsi="Times New Roman" w:cs="Times New Roman"/>
          <w:b/>
          <w:strike/>
          <w:color w:val="auto"/>
        </w:rPr>
      </w:pPr>
    </w:p>
    <w:p w14:paraId="7500B67C" w14:textId="43543DC7" w:rsidR="00D877C8" w:rsidRPr="00602F42" w:rsidRDefault="00D877C8" w:rsidP="00D877C8">
      <w:pPr>
        <w:pStyle w:val="NormalWeb"/>
        <w:numPr>
          <w:ilvl w:val="2"/>
          <w:numId w:val="12"/>
        </w:numPr>
        <w:spacing w:before="0" w:beforeAutospacing="0" w:after="0" w:afterAutospacing="0"/>
        <w:rPr>
          <w:rFonts w:ascii="Times New Roman" w:hAnsi="Times New Roman" w:cs="Times New Roman"/>
          <w:b/>
          <w:strike/>
          <w:color w:val="auto"/>
        </w:rPr>
      </w:pPr>
      <w:r w:rsidRPr="00602F42">
        <w:rPr>
          <w:rFonts w:ascii="Times New Roman" w:hAnsi="Times New Roman" w:cs="Times New Roman"/>
          <w:strike/>
          <w:color w:val="auto"/>
        </w:rPr>
        <w:t>Talent making the dilutions.</w:t>
      </w:r>
    </w:p>
    <w:p w14:paraId="19EA536D" w14:textId="2CEFEBF3" w:rsidR="00374A75" w:rsidRPr="00987DC6" w:rsidRDefault="00374A75" w:rsidP="00374A75">
      <w:pPr>
        <w:pStyle w:val="NormalWeb"/>
        <w:spacing w:before="0" w:beforeAutospacing="0" w:after="0" w:afterAutospacing="0"/>
        <w:ind w:left="1080"/>
        <w:rPr>
          <w:rFonts w:ascii="Times New Roman" w:hAnsi="Times New Roman" w:cs="Times New Roman"/>
          <w:b/>
          <w:color w:val="auto"/>
        </w:rPr>
      </w:pPr>
    </w:p>
    <w:p w14:paraId="4D8F4521" w14:textId="326CC303" w:rsidR="00987DC6" w:rsidRDefault="00D668A7" w:rsidP="00987DC6">
      <w:pPr>
        <w:pStyle w:val="NormalWeb"/>
        <w:numPr>
          <w:ilvl w:val="1"/>
          <w:numId w:val="12"/>
        </w:numPr>
        <w:spacing w:before="0" w:beforeAutospacing="0" w:after="0" w:afterAutospacing="0"/>
        <w:rPr>
          <w:rFonts w:ascii="Times New Roman" w:hAnsi="Times New Roman" w:cs="Times New Roman"/>
          <w:b/>
          <w:color w:val="auto"/>
        </w:rPr>
      </w:pPr>
      <w:r w:rsidRPr="00D668A7">
        <w:rPr>
          <w:rFonts w:ascii="Times New Roman" w:hAnsi="Times New Roman" w:cs="Times New Roman"/>
          <w:color w:val="auto"/>
        </w:rPr>
        <w:t>For d</w:t>
      </w:r>
      <w:r w:rsidR="00987DC6" w:rsidRPr="00D668A7">
        <w:rPr>
          <w:rFonts w:ascii="Times New Roman" w:hAnsi="Times New Roman" w:cs="Times New Roman"/>
          <w:color w:val="auto"/>
        </w:rPr>
        <w:t>irect amplificatio</w:t>
      </w:r>
      <w:r w:rsidRPr="00D668A7">
        <w:rPr>
          <w:rFonts w:ascii="Times New Roman" w:hAnsi="Times New Roman" w:cs="Times New Roman"/>
          <w:color w:val="auto"/>
        </w:rPr>
        <w:t>n from pelleted red blood cells, first</w:t>
      </w:r>
      <w:r w:rsidR="00987DC6" w:rsidRPr="00987DC6">
        <w:rPr>
          <w:rFonts w:ascii="Times New Roman" w:hAnsi="Times New Roman" w:cs="Times New Roman"/>
          <w:b/>
          <w:color w:val="auto"/>
        </w:rPr>
        <w:t xml:space="preserve"> </w:t>
      </w:r>
      <w:r>
        <w:rPr>
          <w:rFonts w:ascii="Times New Roman" w:hAnsi="Times New Roman" w:cs="Times New Roman"/>
          <w:color w:val="auto"/>
        </w:rPr>
        <w:t>d</w:t>
      </w:r>
      <w:r w:rsidR="00987DC6" w:rsidRPr="00987DC6">
        <w:rPr>
          <w:rFonts w:ascii="Times New Roman" w:hAnsi="Times New Roman" w:cs="Times New Roman"/>
          <w:color w:val="auto"/>
        </w:rPr>
        <w:t xml:space="preserve">etermine </w:t>
      </w:r>
      <w:r w:rsidR="001308E8">
        <w:rPr>
          <w:rFonts w:ascii="Times New Roman" w:hAnsi="Times New Roman" w:cs="Times New Roman"/>
          <w:color w:val="auto"/>
        </w:rPr>
        <w:t xml:space="preserve">the </w:t>
      </w:r>
      <w:r w:rsidR="00987DC6" w:rsidRPr="00987DC6">
        <w:rPr>
          <w:rFonts w:ascii="Times New Roman" w:hAnsi="Times New Roman" w:cs="Times New Roman"/>
          <w:color w:val="auto"/>
        </w:rPr>
        <w:t xml:space="preserve">parasitemia of </w:t>
      </w:r>
      <w:r w:rsidR="001308E8">
        <w:rPr>
          <w:rFonts w:ascii="Times New Roman" w:hAnsi="Times New Roman" w:cs="Times New Roman"/>
          <w:color w:val="auto"/>
        </w:rPr>
        <w:t xml:space="preserve">the </w:t>
      </w:r>
      <w:r w:rsidR="00987DC6" w:rsidRPr="00987DC6">
        <w:rPr>
          <w:rFonts w:ascii="Times New Roman" w:hAnsi="Times New Roman" w:cs="Times New Roman"/>
          <w:color w:val="auto"/>
        </w:rPr>
        <w:t>red blood cells using thin-smear microscopy</w:t>
      </w:r>
      <w:r w:rsidR="001308E8">
        <w:rPr>
          <w:rFonts w:ascii="Times New Roman" w:hAnsi="Times New Roman" w:cs="Times New Roman"/>
          <w:color w:val="auto"/>
        </w:rPr>
        <w:t xml:space="preserve"> following</w:t>
      </w:r>
      <w:r>
        <w:rPr>
          <w:rFonts w:ascii="Times New Roman" w:hAnsi="Times New Roman" w:cs="Times New Roman"/>
          <w:color w:val="auto"/>
        </w:rPr>
        <w:t xml:space="preserve"> the procedure from the </w:t>
      </w:r>
      <w:r w:rsidRPr="00987DC6">
        <w:rPr>
          <w:rFonts w:ascii="Times New Roman" w:hAnsi="Times New Roman" w:cs="Times New Roman"/>
          <w:color w:val="auto"/>
        </w:rPr>
        <w:t>Centers for Disea</w:t>
      </w:r>
      <w:r>
        <w:rPr>
          <w:rFonts w:ascii="Times New Roman" w:hAnsi="Times New Roman" w:cs="Times New Roman"/>
          <w:color w:val="auto"/>
        </w:rPr>
        <w:t>se Control and Prevention.</w:t>
      </w:r>
      <w:r w:rsidRPr="00987DC6">
        <w:rPr>
          <w:rFonts w:ascii="Times New Roman" w:hAnsi="Times New Roman" w:cs="Times New Roman"/>
          <w:color w:val="auto"/>
        </w:rPr>
        <w:t xml:space="preserve"> </w:t>
      </w:r>
      <w:r w:rsidR="00987DC6" w:rsidRPr="00987DC6">
        <w:rPr>
          <w:rFonts w:ascii="Times New Roman" w:hAnsi="Times New Roman" w:cs="Times New Roman"/>
          <w:b/>
          <w:color w:val="auto"/>
        </w:rPr>
        <w:t xml:space="preserve"> </w:t>
      </w:r>
      <w:r w:rsidR="00D877C8">
        <w:rPr>
          <w:rFonts w:ascii="Times New Roman" w:hAnsi="Times New Roman" w:cs="Times New Roman"/>
          <w:b/>
          <w:color w:val="auto"/>
        </w:rPr>
        <w:t xml:space="preserve">[2.5.1. – MED] </w:t>
      </w:r>
    </w:p>
    <w:p w14:paraId="121708D2" w14:textId="77777777" w:rsidR="00D877C8" w:rsidRPr="00D877C8" w:rsidRDefault="00D877C8" w:rsidP="00D877C8">
      <w:pPr>
        <w:pStyle w:val="NormalWeb"/>
        <w:spacing w:before="0" w:beforeAutospacing="0" w:after="0" w:afterAutospacing="0"/>
        <w:ind w:left="1080"/>
        <w:rPr>
          <w:rFonts w:ascii="Times New Roman" w:hAnsi="Times New Roman" w:cs="Times New Roman"/>
          <w:b/>
          <w:color w:val="auto"/>
        </w:rPr>
      </w:pPr>
    </w:p>
    <w:p w14:paraId="2A3A257E" w14:textId="34CF5C5C" w:rsidR="00D877C8" w:rsidRPr="00D877C8" w:rsidRDefault="00D877C8" w:rsidP="00D877C8">
      <w:pPr>
        <w:pStyle w:val="NormalWeb"/>
        <w:numPr>
          <w:ilvl w:val="2"/>
          <w:numId w:val="12"/>
        </w:numPr>
        <w:spacing w:before="0" w:beforeAutospacing="0" w:after="0" w:afterAutospacing="0"/>
        <w:rPr>
          <w:rFonts w:ascii="Times New Roman" w:hAnsi="Times New Roman" w:cs="Times New Roman"/>
          <w:b/>
          <w:color w:val="auto"/>
        </w:rPr>
      </w:pPr>
      <w:r w:rsidRPr="00D877C8">
        <w:rPr>
          <w:rFonts w:ascii="Times New Roman" w:hAnsi="Times New Roman" w:cs="Times New Roman"/>
          <w:color w:val="auto"/>
        </w:rPr>
        <w:t>Talent examining sample under a microscope.</w:t>
      </w:r>
    </w:p>
    <w:p w14:paraId="0C5BD63D" w14:textId="77777777" w:rsidR="00987DC6" w:rsidRPr="00987DC6" w:rsidRDefault="00987DC6" w:rsidP="00987DC6">
      <w:pPr>
        <w:pStyle w:val="NormalWeb"/>
        <w:spacing w:before="0" w:beforeAutospacing="0" w:after="0" w:afterAutospacing="0"/>
        <w:ind w:left="1080"/>
        <w:rPr>
          <w:rFonts w:ascii="Times New Roman" w:hAnsi="Times New Roman" w:cs="Times New Roman"/>
          <w:b/>
          <w:color w:val="auto"/>
        </w:rPr>
      </w:pPr>
    </w:p>
    <w:p w14:paraId="3A368E12" w14:textId="5122EE78" w:rsidR="00987DC6" w:rsidRDefault="001308E8" w:rsidP="00987DC6">
      <w:pPr>
        <w:pStyle w:val="NormalWeb"/>
        <w:numPr>
          <w:ilvl w:val="1"/>
          <w:numId w:val="12"/>
        </w:numPr>
        <w:spacing w:before="0" w:beforeAutospacing="0" w:after="0" w:afterAutospacing="0"/>
        <w:rPr>
          <w:rFonts w:ascii="Times New Roman" w:hAnsi="Times New Roman" w:cs="Times New Roman"/>
          <w:b/>
          <w:color w:val="auto"/>
        </w:rPr>
      </w:pPr>
      <w:r>
        <w:rPr>
          <w:rFonts w:ascii="Times New Roman" w:hAnsi="Times New Roman" w:cs="Times New Roman"/>
          <w:color w:val="auto"/>
        </w:rPr>
        <w:t>R</w:t>
      </w:r>
      <w:r w:rsidRPr="00987DC6">
        <w:rPr>
          <w:rFonts w:ascii="Times New Roman" w:hAnsi="Times New Roman" w:cs="Times New Roman"/>
          <w:color w:val="auto"/>
        </w:rPr>
        <w:t xml:space="preserve">ed blood cells </w:t>
      </w:r>
      <w:r>
        <w:rPr>
          <w:rFonts w:ascii="Times New Roman" w:hAnsi="Times New Roman" w:cs="Times New Roman"/>
          <w:color w:val="auto"/>
        </w:rPr>
        <w:t xml:space="preserve">with </w:t>
      </w:r>
      <w:r w:rsidR="00987DC6" w:rsidRPr="00987DC6">
        <w:rPr>
          <w:rFonts w:ascii="Times New Roman" w:hAnsi="Times New Roman" w:cs="Times New Roman"/>
          <w:color w:val="auto"/>
        </w:rPr>
        <w:t xml:space="preserve">parasitemias above 0.5% </w:t>
      </w:r>
      <w:r>
        <w:rPr>
          <w:rFonts w:ascii="Times New Roman" w:hAnsi="Times New Roman" w:cs="Times New Roman"/>
          <w:color w:val="auto"/>
        </w:rPr>
        <w:t xml:space="preserve">are then diluted </w:t>
      </w:r>
      <w:r w:rsidR="00987DC6" w:rsidRPr="00987DC6">
        <w:rPr>
          <w:rFonts w:ascii="Times New Roman" w:hAnsi="Times New Roman" w:cs="Times New Roman"/>
          <w:color w:val="auto"/>
        </w:rPr>
        <w:t xml:space="preserve">1:400 in </w:t>
      </w:r>
      <w:r w:rsidR="003D4472">
        <w:rPr>
          <w:rFonts w:ascii="Times New Roman" w:hAnsi="Times New Roman" w:cs="Times New Roman"/>
          <w:color w:val="auto"/>
        </w:rPr>
        <w:t>TE</w:t>
      </w:r>
      <w:r w:rsidR="00D668A7">
        <w:rPr>
          <w:rFonts w:ascii="Times New Roman" w:hAnsi="Times New Roman" w:cs="Times New Roman"/>
          <w:color w:val="auto"/>
        </w:rPr>
        <w:t xml:space="preserve">. </w:t>
      </w:r>
      <w:r w:rsidR="00987DC6" w:rsidRPr="00987DC6">
        <w:rPr>
          <w:rFonts w:ascii="Times New Roman" w:hAnsi="Times New Roman" w:cs="Times New Roman"/>
          <w:color w:val="auto"/>
        </w:rPr>
        <w:t xml:space="preserve">3 µL </w:t>
      </w:r>
      <w:r>
        <w:rPr>
          <w:rFonts w:ascii="Times New Roman" w:hAnsi="Times New Roman" w:cs="Times New Roman"/>
          <w:color w:val="auto"/>
        </w:rPr>
        <w:t xml:space="preserve">of diluted red blood cells </w:t>
      </w:r>
      <w:r w:rsidR="00D668A7">
        <w:rPr>
          <w:rFonts w:ascii="Times New Roman" w:hAnsi="Times New Roman" w:cs="Times New Roman"/>
          <w:color w:val="auto"/>
        </w:rPr>
        <w:t xml:space="preserve">will be used </w:t>
      </w:r>
      <w:r w:rsidR="00AA470B">
        <w:rPr>
          <w:rFonts w:ascii="Times New Roman" w:hAnsi="Times New Roman" w:cs="Times New Roman"/>
          <w:color w:val="auto"/>
        </w:rPr>
        <w:t xml:space="preserve">for each 5 – 10 </w:t>
      </w:r>
      <w:r w:rsidR="00987DC6" w:rsidRPr="00987DC6">
        <w:rPr>
          <w:rFonts w:ascii="Times New Roman" w:hAnsi="Times New Roman" w:cs="Times New Roman"/>
          <w:color w:val="auto"/>
        </w:rPr>
        <w:t xml:space="preserve">µL reaction. </w:t>
      </w:r>
      <w:r w:rsidR="00D877C8">
        <w:rPr>
          <w:rFonts w:ascii="Times New Roman" w:hAnsi="Times New Roman" w:cs="Times New Roman"/>
          <w:color w:val="auto"/>
        </w:rPr>
        <w:t>[</w:t>
      </w:r>
      <w:r w:rsidR="00D877C8" w:rsidRPr="00D877C8">
        <w:rPr>
          <w:rFonts w:ascii="Times New Roman" w:hAnsi="Times New Roman" w:cs="Times New Roman"/>
          <w:b/>
          <w:color w:val="auto"/>
        </w:rPr>
        <w:t>2.6.1 – MED]</w:t>
      </w:r>
    </w:p>
    <w:p w14:paraId="18C60385" w14:textId="77777777" w:rsidR="00D877C8" w:rsidRDefault="00D877C8" w:rsidP="00D877C8">
      <w:pPr>
        <w:pStyle w:val="NormalWeb"/>
        <w:spacing w:before="0" w:beforeAutospacing="0" w:after="0" w:afterAutospacing="0"/>
        <w:ind w:left="1080"/>
        <w:rPr>
          <w:rFonts w:ascii="Times New Roman" w:hAnsi="Times New Roman" w:cs="Times New Roman"/>
          <w:b/>
          <w:color w:val="auto"/>
        </w:rPr>
      </w:pPr>
    </w:p>
    <w:p w14:paraId="44235FAA" w14:textId="25506882" w:rsidR="00D877C8" w:rsidRPr="00D877C8" w:rsidRDefault="00D877C8" w:rsidP="00D877C8">
      <w:pPr>
        <w:pStyle w:val="NormalWeb"/>
        <w:numPr>
          <w:ilvl w:val="2"/>
          <w:numId w:val="12"/>
        </w:numPr>
        <w:spacing w:before="0" w:beforeAutospacing="0" w:after="0" w:afterAutospacing="0"/>
        <w:rPr>
          <w:rFonts w:ascii="Times New Roman" w:hAnsi="Times New Roman" w:cs="Times New Roman"/>
          <w:color w:val="auto"/>
        </w:rPr>
      </w:pPr>
      <w:r w:rsidRPr="00D877C8">
        <w:rPr>
          <w:rFonts w:ascii="Times New Roman" w:hAnsi="Times New Roman" w:cs="Times New Roman"/>
          <w:color w:val="auto"/>
        </w:rPr>
        <w:t>Talent diluting red blood cells.</w:t>
      </w:r>
    </w:p>
    <w:p w14:paraId="59F50CF3" w14:textId="095C3517" w:rsidR="00987DC6" w:rsidRPr="00987DC6" w:rsidRDefault="00987DC6" w:rsidP="00987DC6">
      <w:pPr>
        <w:pStyle w:val="NormalWeb"/>
        <w:spacing w:before="0" w:beforeAutospacing="0" w:after="0" w:afterAutospacing="0"/>
        <w:ind w:left="1080"/>
        <w:rPr>
          <w:rFonts w:ascii="Times New Roman" w:hAnsi="Times New Roman" w:cs="Times New Roman"/>
          <w:b/>
          <w:color w:val="auto"/>
        </w:rPr>
      </w:pPr>
    </w:p>
    <w:p w14:paraId="28FE99E6" w14:textId="4B6600BA" w:rsidR="00987DC6" w:rsidRPr="00D877C8" w:rsidRDefault="00B32783" w:rsidP="00B32783">
      <w:pPr>
        <w:pStyle w:val="NormalWeb"/>
        <w:numPr>
          <w:ilvl w:val="1"/>
          <w:numId w:val="12"/>
        </w:numPr>
        <w:spacing w:before="0" w:beforeAutospacing="0" w:after="0" w:afterAutospacing="0"/>
        <w:rPr>
          <w:rFonts w:ascii="Times New Roman" w:hAnsi="Times New Roman" w:cs="Times New Roman"/>
          <w:color w:val="auto"/>
        </w:rPr>
      </w:pPr>
      <w:r w:rsidRPr="00B32783">
        <w:rPr>
          <w:rFonts w:ascii="Times New Roman" w:hAnsi="Times New Roman" w:cs="Times New Roman"/>
          <w:color w:val="auto"/>
        </w:rPr>
        <w:t>Due to between-run variability, positive and negative c</w:t>
      </w:r>
      <w:r w:rsidR="00987DC6" w:rsidRPr="00B32783">
        <w:rPr>
          <w:rFonts w:ascii="Times New Roman" w:hAnsi="Times New Roman" w:cs="Times New Roman"/>
          <w:color w:val="auto"/>
        </w:rPr>
        <w:t>ontrols</w:t>
      </w:r>
      <w:r w:rsidR="00E27AB3" w:rsidRPr="00B32783">
        <w:rPr>
          <w:rFonts w:ascii="Times New Roman" w:hAnsi="Times New Roman" w:cs="Times New Roman"/>
          <w:color w:val="auto"/>
        </w:rPr>
        <w:t xml:space="preserve"> must a</w:t>
      </w:r>
      <w:r w:rsidR="001308E8">
        <w:rPr>
          <w:rFonts w:ascii="Times New Roman" w:hAnsi="Times New Roman" w:cs="Times New Roman"/>
          <w:color w:val="auto"/>
        </w:rPr>
        <w:t>lways be included in HRM analyse</w:t>
      </w:r>
      <w:r w:rsidRPr="00B32783">
        <w:rPr>
          <w:rFonts w:ascii="Times New Roman" w:hAnsi="Times New Roman" w:cs="Times New Roman"/>
          <w:color w:val="auto"/>
        </w:rPr>
        <w:t>s.</w:t>
      </w:r>
      <w:r>
        <w:rPr>
          <w:rFonts w:ascii="Times New Roman" w:hAnsi="Times New Roman" w:cs="Times New Roman"/>
          <w:color w:val="auto"/>
        </w:rPr>
        <w:t xml:space="preserve"> </w:t>
      </w:r>
      <w:r w:rsidR="00D877C8">
        <w:rPr>
          <w:rFonts w:ascii="Times New Roman" w:hAnsi="Times New Roman" w:cs="Times New Roman"/>
          <w:b/>
          <w:color w:val="auto"/>
        </w:rPr>
        <w:t>[2.7.1</w:t>
      </w:r>
      <w:r w:rsidR="00D877C8" w:rsidRPr="00D877C8">
        <w:rPr>
          <w:rFonts w:ascii="Times New Roman" w:hAnsi="Times New Roman" w:cs="Times New Roman"/>
          <w:b/>
          <w:color w:val="auto"/>
        </w:rPr>
        <w:t xml:space="preserve"> – MED]</w:t>
      </w:r>
      <w:r w:rsidR="00D877C8">
        <w:rPr>
          <w:rFonts w:ascii="Times New Roman" w:hAnsi="Times New Roman" w:cs="Times New Roman"/>
          <w:b/>
          <w:color w:val="auto"/>
        </w:rPr>
        <w:t xml:space="preserve"> </w:t>
      </w:r>
      <w:r w:rsidR="00F51816">
        <w:rPr>
          <w:rFonts w:ascii="Times New Roman" w:hAnsi="Times New Roman" w:cs="Times New Roman"/>
          <w:color w:val="auto"/>
        </w:rPr>
        <w:t xml:space="preserve">Prepare 10 pg – </w:t>
      </w:r>
      <w:r w:rsidR="00987DC6" w:rsidRPr="00B32783">
        <w:rPr>
          <w:rFonts w:ascii="Times New Roman" w:hAnsi="Times New Roman" w:cs="Times New Roman"/>
          <w:color w:val="auto"/>
        </w:rPr>
        <w:t>10 ng per 1 µL dilutions of plasmid or standards with sequence-verified SNP genotypes</w:t>
      </w:r>
      <w:r w:rsidRPr="00B32783">
        <w:rPr>
          <w:rFonts w:ascii="Times New Roman" w:hAnsi="Times New Roman" w:cs="Times New Roman"/>
          <w:color w:val="auto"/>
        </w:rPr>
        <w:t xml:space="preserve"> as positive controls.</w:t>
      </w:r>
      <w:r w:rsidR="00D877C8">
        <w:rPr>
          <w:rFonts w:ascii="Times New Roman" w:hAnsi="Times New Roman" w:cs="Times New Roman"/>
          <w:color w:val="auto"/>
        </w:rPr>
        <w:t xml:space="preserve"> </w:t>
      </w:r>
      <w:r w:rsidR="00D877C8">
        <w:rPr>
          <w:rFonts w:ascii="Times New Roman" w:hAnsi="Times New Roman" w:cs="Times New Roman"/>
          <w:b/>
          <w:color w:val="auto"/>
        </w:rPr>
        <w:t>[2.7.2</w:t>
      </w:r>
      <w:r w:rsidR="00D877C8" w:rsidRPr="00D877C8">
        <w:rPr>
          <w:rFonts w:ascii="Times New Roman" w:hAnsi="Times New Roman" w:cs="Times New Roman"/>
          <w:b/>
          <w:color w:val="auto"/>
        </w:rPr>
        <w:t xml:space="preserve"> –</w:t>
      </w:r>
      <w:r w:rsidR="00D877C8">
        <w:rPr>
          <w:rFonts w:ascii="Times New Roman" w:hAnsi="Times New Roman" w:cs="Times New Roman"/>
          <w:b/>
          <w:color w:val="auto"/>
        </w:rPr>
        <w:t xml:space="preserve"> CU</w:t>
      </w:r>
      <w:r w:rsidR="00D877C8" w:rsidRPr="00D877C8">
        <w:rPr>
          <w:rFonts w:ascii="Times New Roman" w:hAnsi="Times New Roman" w:cs="Times New Roman"/>
          <w:b/>
          <w:color w:val="auto"/>
        </w:rPr>
        <w:t>]</w:t>
      </w:r>
    </w:p>
    <w:p w14:paraId="67A7AE54" w14:textId="77777777" w:rsidR="00D877C8" w:rsidRPr="00D877C8" w:rsidRDefault="00D877C8" w:rsidP="00D877C8">
      <w:pPr>
        <w:pStyle w:val="NormalWeb"/>
        <w:spacing w:before="0" w:beforeAutospacing="0" w:after="0" w:afterAutospacing="0"/>
        <w:ind w:left="1080"/>
        <w:rPr>
          <w:rFonts w:ascii="Times New Roman" w:hAnsi="Times New Roman" w:cs="Times New Roman"/>
          <w:color w:val="auto"/>
        </w:rPr>
      </w:pPr>
    </w:p>
    <w:p w14:paraId="2336C3D4" w14:textId="378FDCB6" w:rsidR="00D877C8" w:rsidRDefault="00D877C8" w:rsidP="00D877C8">
      <w:pPr>
        <w:pStyle w:val="NormalWeb"/>
        <w:numPr>
          <w:ilvl w:val="2"/>
          <w:numId w:val="12"/>
        </w:numPr>
        <w:spacing w:before="0" w:beforeAutospacing="0" w:after="0" w:afterAutospacing="0"/>
        <w:rPr>
          <w:rFonts w:ascii="Times New Roman" w:hAnsi="Times New Roman" w:cs="Times New Roman"/>
          <w:color w:val="auto"/>
        </w:rPr>
      </w:pPr>
      <w:r w:rsidRPr="00D877C8">
        <w:rPr>
          <w:rFonts w:ascii="Times New Roman" w:hAnsi="Times New Roman" w:cs="Times New Roman"/>
          <w:color w:val="auto"/>
        </w:rPr>
        <w:t>Talent setting out DNA for positive control and tubes, etc.</w:t>
      </w:r>
    </w:p>
    <w:p w14:paraId="25130B35" w14:textId="66A1C8F8" w:rsidR="00D877C8" w:rsidRPr="00D877C8" w:rsidRDefault="00D877C8" w:rsidP="00D877C8">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Talent making positive control dilutions.</w:t>
      </w:r>
    </w:p>
    <w:p w14:paraId="4A62DB4E" w14:textId="77777777" w:rsidR="00987DC6" w:rsidRPr="00987DC6" w:rsidRDefault="00987DC6" w:rsidP="00987DC6">
      <w:pPr>
        <w:pStyle w:val="NormalWeb"/>
        <w:spacing w:before="0" w:beforeAutospacing="0" w:after="0" w:afterAutospacing="0"/>
        <w:ind w:left="1080"/>
        <w:rPr>
          <w:rFonts w:ascii="Times New Roman" w:hAnsi="Times New Roman" w:cs="Times New Roman"/>
          <w:b/>
          <w:color w:val="auto"/>
        </w:rPr>
      </w:pPr>
    </w:p>
    <w:p w14:paraId="4D841581" w14:textId="67DFC1A0" w:rsidR="00CE10F2" w:rsidRDefault="00987DC6" w:rsidP="00193C68">
      <w:pPr>
        <w:pStyle w:val="NormalWeb"/>
        <w:numPr>
          <w:ilvl w:val="1"/>
          <w:numId w:val="12"/>
        </w:numPr>
        <w:spacing w:before="0" w:beforeAutospacing="0" w:after="0" w:afterAutospacing="0"/>
        <w:rPr>
          <w:rFonts w:ascii="Times New Roman" w:hAnsi="Times New Roman" w:cs="Times New Roman"/>
          <w:b/>
          <w:color w:val="auto"/>
        </w:rPr>
      </w:pPr>
      <w:r w:rsidRPr="00987DC6">
        <w:rPr>
          <w:rFonts w:ascii="Times New Roman" w:hAnsi="Times New Roman" w:cs="Times New Roman"/>
          <w:color w:val="auto"/>
        </w:rPr>
        <w:t xml:space="preserve">Use PCR grade water as a no-template </w:t>
      </w:r>
      <w:r w:rsidR="001308E8">
        <w:rPr>
          <w:rFonts w:ascii="Times New Roman" w:hAnsi="Times New Roman" w:cs="Times New Roman"/>
          <w:color w:val="auto"/>
        </w:rPr>
        <w:t>negative control</w:t>
      </w:r>
      <w:r w:rsidRPr="00987DC6">
        <w:rPr>
          <w:rFonts w:ascii="Times New Roman" w:hAnsi="Times New Roman" w:cs="Times New Roman"/>
          <w:color w:val="auto"/>
        </w:rPr>
        <w:t xml:space="preserve"> for the amplification reactions. </w:t>
      </w:r>
      <w:r w:rsidR="00D877C8" w:rsidRPr="00D877C8">
        <w:rPr>
          <w:rFonts w:ascii="Times New Roman" w:hAnsi="Times New Roman" w:cs="Times New Roman"/>
          <w:b/>
          <w:color w:val="auto"/>
        </w:rPr>
        <w:t>[2.8.1 – CU]</w:t>
      </w:r>
    </w:p>
    <w:p w14:paraId="30A80787" w14:textId="77777777" w:rsidR="00D877C8" w:rsidRPr="00D877C8" w:rsidRDefault="00D877C8" w:rsidP="00D877C8">
      <w:pPr>
        <w:pStyle w:val="NormalWeb"/>
        <w:spacing w:before="0" w:beforeAutospacing="0" w:after="0" w:afterAutospacing="0"/>
        <w:ind w:left="1080"/>
        <w:rPr>
          <w:rFonts w:ascii="Times New Roman" w:hAnsi="Times New Roman" w:cs="Times New Roman"/>
          <w:b/>
          <w:color w:val="auto"/>
        </w:rPr>
      </w:pPr>
    </w:p>
    <w:p w14:paraId="26D7BD5C" w14:textId="6211BF96" w:rsidR="00D877C8" w:rsidRDefault="00D877C8" w:rsidP="00D877C8">
      <w:pPr>
        <w:pStyle w:val="NormalWeb"/>
        <w:numPr>
          <w:ilvl w:val="2"/>
          <w:numId w:val="12"/>
        </w:numPr>
        <w:spacing w:before="0" w:beforeAutospacing="0" w:after="0" w:afterAutospacing="0"/>
        <w:rPr>
          <w:rFonts w:ascii="Times New Roman" w:hAnsi="Times New Roman" w:cs="Times New Roman"/>
          <w:color w:val="auto"/>
        </w:rPr>
      </w:pPr>
      <w:r w:rsidRPr="00D877C8">
        <w:rPr>
          <w:rFonts w:ascii="Times New Roman" w:hAnsi="Times New Roman" w:cs="Times New Roman"/>
          <w:color w:val="auto"/>
        </w:rPr>
        <w:t>A shot</w:t>
      </w:r>
      <w:r>
        <w:rPr>
          <w:rFonts w:ascii="Times New Roman" w:hAnsi="Times New Roman" w:cs="Times New Roman"/>
          <w:color w:val="auto"/>
        </w:rPr>
        <w:t xml:space="preserve"> of the PCR-grade water (clearly</w:t>
      </w:r>
      <w:r w:rsidRPr="00D877C8">
        <w:rPr>
          <w:rFonts w:ascii="Times New Roman" w:hAnsi="Times New Roman" w:cs="Times New Roman"/>
          <w:color w:val="auto"/>
        </w:rPr>
        <w:t xml:space="preserve"> labeled)</w:t>
      </w:r>
    </w:p>
    <w:p w14:paraId="1D63FFC8" w14:textId="77777777" w:rsidR="00B00F7E" w:rsidRPr="00D877C8" w:rsidRDefault="00B00F7E" w:rsidP="00B00F7E">
      <w:pPr>
        <w:pStyle w:val="NormalWeb"/>
        <w:spacing w:before="0" w:beforeAutospacing="0" w:after="0" w:afterAutospacing="0"/>
        <w:ind w:left="1368"/>
        <w:rPr>
          <w:rFonts w:ascii="Times New Roman" w:hAnsi="Times New Roman" w:cs="Times New Roman"/>
          <w:color w:val="auto"/>
        </w:rPr>
      </w:pPr>
    </w:p>
    <w:p w14:paraId="5F39CB5B" w14:textId="77777777" w:rsidR="00CE10F2" w:rsidRPr="00B00F7E" w:rsidRDefault="00193C68" w:rsidP="00B00F7E">
      <w:pPr>
        <w:numPr>
          <w:ilvl w:val="0"/>
          <w:numId w:val="12"/>
        </w:numPr>
        <w:jc w:val="both"/>
        <w:outlineLvl w:val="0"/>
        <w:rPr>
          <w:rFonts w:ascii="Times New Roman" w:hAnsi="Times New Roman"/>
          <w:b/>
          <w:szCs w:val="24"/>
        </w:rPr>
      </w:pPr>
      <w:r w:rsidRPr="00666D29">
        <w:rPr>
          <w:rFonts w:cs="Arial"/>
          <w:b/>
        </w:rPr>
        <w:t>PCR amplification</w:t>
      </w:r>
    </w:p>
    <w:p w14:paraId="20586982" w14:textId="77777777" w:rsidR="00B00F7E" w:rsidRPr="00C02782" w:rsidRDefault="00B00F7E" w:rsidP="00B00F7E">
      <w:pPr>
        <w:ind w:left="360"/>
        <w:jc w:val="both"/>
        <w:outlineLvl w:val="0"/>
        <w:rPr>
          <w:rFonts w:ascii="Times New Roman" w:hAnsi="Times New Roman"/>
          <w:b/>
          <w:szCs w:val="24"/>
        </w:rPr>
      </w:pPr>
    </w:p>
    <w:p w14:paraId="11CBC843" w14:textId="0E2E7892" w:rsidR="00B00F7E" w:rsidRPr="00D87669" w:rsidRDefault="0075113A" w:rsidP="00B00F7E">
      <w:pPr>
        <w:numPr>
          <w:ilvl w:val="1"/>
          <w:numId w:val="12"/>
        </w:numPr>
        <w:jc w:val="both"/>
        <w:outlineLvl w:val="0"/>
        <w:rPr>
          <w:rFonts w:ascii="Times New Roman" w:hAnsi="Times New Roman"/>
          <w:szCs w:val="24"/>
        </w:rPr>
      </w:pPr>
      <w:r>
        <w:rPr>
          <w:rFonts w:cs="Arial"/>
        </w:rPr>
        <w:t>Begin this procedure by preparing</w:t>
      </w:r>
      <w:r w:rsidR="00110BD6" w:rsidRPr="00666D29">
        <w:rPr>
          <w:rFonts w:cs="Arial"/>
        </w:rPr>
        <w:t xml:space="preserve"> </w:t>
      </w:r>
      <w:r>
        <w:rPr>
          <w:rFonts w:cs="Arial"/>
        </w:rPr>
        <w:t>10x working stocks of the</w:t>
      </w:r>
      <w:r w:rsidR="00F31E2F" w:rsidRPr="0075113A">
        <w:rPr>
          <w:rFonts w:cs="Arial"/>
        </w:rPr>
        <w:t xml:space="preserve"> primers and probes</w:t>
      </w:r>
      <w:r w:rsidRPr="0075113A">
        <w:rPr>
          <w:rFonts w:cs="Arial"/>
        </w:rPr>
        <w:t>.</w:t>
      </w:r>
      <w:r>
        <w:rPr>
          <w:rFonts w:cs="Arial"/>
        </w:rPr>
        <w:t xml:space="preserve">  </w:t>
      </w:r>
      <w:r w:rsidR="00B00F7E" w:rsidRPr="00B00F7E">
        <w:rPr>
          <w:rFonts w:cs="Arial"/>
          <w:b/>
        </w:rPr>
        <w:t xml:space="preserve">[3.1.1 – MED] </w:t>
      </w:r>
      <w:r w:rsidRPr="00D87669">
        <w:rPr>
          <w:rFonts w:cs="Arial"/>
        </w:rPr>
        <w:t>The same protocol is applicable to assays using 96-well plates, 384-well plates, 8-tube strips,</w:t>
      </w:r>
      <w:r w:rsidR="00B00F7E" w:rsidRPr="00D87669">
        <w:rPr>
          <w:rFonts w:cs="Arial"/>
        </w:rPr>
        <w:t xml:space="preserve"> or glass capillaries, but for the purpose of this demonstration, only 96-well plates and glass capillaries will be used. </w:t>
      </w:r>
      <w:r w:rsidR="00B00F7E" w:rsidRPr="00D87669">
        <w:rPr>
          <w:rFonts w:cs="Arial"/>
          <w:b/>
        </w:rPr>
        <w:t>[3.1.2</w:t>
      </w:r>
      <w:r w:rsidRPr="00D87669">
        <w:rPr>
          <w:rFonts w:cs="Arial"/>
          <w:b/>
        </w:rPr>
        <w:t xml:space="preserve"> – MED]</w:t>
      </w:r>
    </w:p>
    <w:p w14:paraId="153EE7E2" w14:textId="692102B6" w:rsidR="00B00F7E" w:rsidRPr="00B00F7E" w:rsidRDefault="00B00F7E" w:rsidP="00CA52A3">
      <w:pPr>
        <w:jc w:val="both"/>
        <w:outlineLvl w:val="0"/>
        <w:rPr>
          <w:rFonts w:ascii="Times New Roman" w:hAnsi="Times New Roman"/>
          <w:szCs w:val="24"/>
        </w:rPr>
      </w:pPr>
    </w:p>
    <w:p w14:paraId="0F389871" w14:textId="00C8C580" w:rsidR="00B00F7E" w:rsidRPr="00B00F7E" w:rsidRDefault="00B00F7E" w:rsidP="00B00F7E">
      <w:pPr>
        <w:numPr>
          <w:ilvl w:val="2"/>
          <w:numId w:val="12"/>
        </w:numPr>
        <w:jc w:val="both"/>
        <w:outlineLvl w:val="0"/>
        <w:rPr>
          <w:rFonts w:ascii="Times New Roman" w:hAnsi="Times New Roman"/>
          <w:szCs w:val="24"/>
        </w:rPr>
      </w:pPr>
      <w:r>
        <w:rPr>
          <w:rFonts w:cs="Arial"/>
        </w:rPr>
        <w:t>Talent making the 10X stocks of primers and probes.</w:t>
      </w:r>
    </w:p>
    <w:p w14:paraId="093CE924" w14:textId="7830E9AE" w:rsidR="00B00F7E" w:rsidRPr="00B00F7E" w:rsidRDefault="00B00F7E" w:rsidP="00B00F7E">
      <w:pPr>
        <w:numPr>
          <w:ilvl w:val="2"/>
          <w:numId w:val="12"/>
        </w:numPr>
        <w:jc w:val="both"/>
        <w:outlineLvl w:val="0"/>
        <w:rPr>
          <w:rFonts w:ascii="Times New Roman" w:hAnsi="Times New Roman"/>
          <w:szCs w:val="24"/>
        </w:rPr>
      </w:pPr>
      <w:r>
        <w:rPr>
          <w:rFonts w:cs="Arial"/>
        </w:rPr>
        <w:t>Talent setting out a 96-well plate and glass capillaries.</w:t>
      </w:r>
      <w:r w:rsidR="000B6748">
        <w:rPr>
          <w:rFonts w:cs="Arial"/>
        </w:rPr>
        <w:t xml:space="preserve">  </w:t>
      </w:r>
    </w:p>
    <w:p w14:paraId="7AD46F7F" w14:textId="77777777" w:rsidR="00B00F7E" w:rsidRPr="00B00F7E" w:rsidRDefault="00B00F7E" w:rsidP="00B00F7E">
      <w:pPr>
        <w:ind w:left="1080"/>
        <w:jc w:val="both"/>
        <w:outlineLvl w:val="0"/>
        <w:rPr>
          <w:rFonts w:ascii="Times New Roman" w:hAnsi="Times New Roman"/>
          <w:szCs w:val="24"/>
        </w:rPr>
      </w:pPr>
    </w:p>
    <w:p w14:paraId="3EA4BE5B" w14:textId="65F7C932" w:rsidR="00CE10F2" w:rsidRPr="002D020D" w:rsidRDefault="003A55C1" w:rsidP="00B00F7E">
      <w:pPr>
        <w:numPr>
          <w:ilvl w:val="1"/>
          <w:numId w:val="12"/>
        </w:numPr>
        <w:jc w:val="both"/>
        <w:outlineLvl w:val="0"/>
        <w:rPr>
          <w:rFonts w:ascii="Times New Roman" w:hAnsi="Times New Roman"/>
          <w:szCs w:val="24"/>
        </w:rPr>
      </w:pPr>
      <w:r>
        <w:rPr>
          <w:rFonts w:cs="Arial"/>
        </w:rPr>
        <w:t>This table</w:t>
      </w:r>
      <w:r w:rsidR="00F908A6" w:rsidRPr="00B00F7E">
        <w:rPr>
          <w:rFonts w:cs="Arial"/>
        </w:rPr>
        <w:t xml:space="preserve"> </w:t>
      </w:r>
      <w:r w:rsidR="00F31E2F" w:rsidRPr="00B00F7E">
        <w:rPr>
          <w:rFonts w:cs="Arial"/>
        </w:rPr>
        <w:t>shows</w:t>
      </w:r>
      <w:r w:rsidR="00110BD6" w:rsidRPr="00B00F7E">
        <w:rPr>
          <w:rFonts w:cs="Arial"/>
        </w:rPr>
        <w:t xml:space="preserve"> recommended 10x working stock concentrations as well as final concentrations for blocked-probe-based HRM genotyping.</w:t>
      </w:r>
      <w:r w:rsidR="0075113A" w:rsidRPr="00B00F7E">
        <w:rPr>
          <w:rFonts w:cs="Arial"/>
        </w:rPr>
        <w:t xml:space="preserve"> </w:t>
      </w:r>
      <w:r w:rsidR="00B00F7E">
        <w:rPr>
          <w:rFonts w:cs="Arial"/>
          <w:b/>
        </w:rPr>
        <w:t>[3.2.1</w:t>
      </w:r>
      <w:r w:rsidR="0075113A" w:rsidRPr="00B00F7E">
        <w:rPr>
          <w:rFonts w:cs="Arial"/>
          <w:b/>
        </w:rPr>
        <w:t xml:space="preserve"> – LM]</w:t>
      </w:r>
    </w:p>
    <w:p w14:paraId="087DE852" w14:textId="77777777" w:rsidR="002D020D" w:rsidRPr="002D020D" w:rsidRDefault="002D020D" w:rsidP="002D020D">
      <w:pPr>
        <w:ind w:left="1080"/>
        <w:jc w:val="both"/>
        <w:outlineLvl w:val="0"/>
        <w:rPr>
          <w:rFonts w:ascii="Times New Roman" w:hAnsi="Times New Roman"/>
          <w:szCs w:val="24"/>
        </w:rPr>
      </w:pPr>
    </w:p>
    <w:p w14:paraId="67192773" w14:textId="0D1C0F26" w:rsidR="002D020D" w:rsidRPr="00B00F7E" w:rsidRDefault="002D020D" w:rsidP="002D020D">
      <w:pPr>
        <w:numPr>
          <w:ilvl w:val="2"/>
          <w:numId w:val="12"/>
        </w:numPr>
        <w:jc w:val="both"/>
        <w:outlineLvl w:val="0"/>
        <w:rPr>
          <w:rFonts w:ascii="Times New Roman" w:hAnsi="Times New Roman"/>
          <w:szCs w:val="24"/>
        </w:rPr>
      </w:pPr>
      <w:r>
        <w:rPr>
          <w:rFonts w:ascii="Times New Roman" w:hAnsi="Times New Roman"/>
          <w:szCs w:val="24"/>
        </w:rPr>
        <w:t>Table 1_revised.xlsx</w:t>
      </w:r>
    </w:p>
    <w:p w14:paraId="42C66215" w14:textId="77777777" w:rsidR="00B00F7E" w:rsidRPr="00B00F7E" w:rsidRDefault="00B00F7E" w:rsidP="00B00F7E">
      <w:pPr>
        <w:ind w:left="1080"/>
        <w:jc w:val="both"/>
        <w:outlineLvl w:val="0"/>
        <w:rPr>
          <w:rFonts w:ascii="Times New Roman" w:hAnsi="Times New Roman"/>
          <w:szCs w:val="24"/>
        </w:rPr>
      </w:pPr>
    </w:p>
    <w:p w14:paraId="51278140" w14:textId="69387C95" w:rsidR="00CE10F2" w:rsidRPr="003A55C1" w:rsidRDefault="0010383D" w:rsidP="00B00F7E">
      <w:pPr>
        <w:numPr>
          <w:ilvl w:val="1"/>
          <w:numId w:val="12"/>
        </w:numPr>
        <w:jc w:val="both"/>
        <w:outlineLvl w:val="0"/>
        <w:rPr>
          <w:rFonts w:ascii="Times New Roman" w:hAnsi="Times New Roman"/>
          <w:szCs w:val="24"/>
        </w:rPr>
      </w:pPr>
      <w:r w:rsidRPr="00666D29">
        <w:rPr>
          <w:rFonts w:cs="Arial"/>
        </w:rPr>
        <w:t>Prepare reaction mixtures</w:t>
      </w:r>
      <w:r>
        <w:rPr>
          <w:rFonts w:cs="Arial"/>
        </w:rPr>
        <w:t>: to each well</w:t>
      </w:r>
      <w:r w:rsidRPr="00666D29">
        <w:rPr>
          <w:rFonts w:cs="Arial"/>
        </w:rPr>
        <w:t>, add 1 µL</w:t>
      </w:r>
      <w:r w:rsidRPr="00666D29" w:rsidDel="004F4C10">
        <w:rPr>
          <w:rFonts w:cs="Arial"/>
        </w:rPr>
        <w:t xml:space="preserve"> </w:t>
      </w:r>
      <w:r>
        <w:rPr>
          <w:rFonts w:cs="Arial"/>
        </w:rPr>
        <w:t xml:space="preserve">of </w:t>
      </w:r>
      <w:r w:rsidR="00A835E9">
        <w:rPr>
          <w:rFonts w:cs="Arial"/>
        </w:rPr>
        <w:t xml:space="preserve">each of </w:t>
      </w:r>
      <w:r>
        <w:rPr>
          <w:rFonts w:cs="Arial"/>
        </w:rPr>
        <w:t xml:space="preserve">the </w:t>
      </w:r>
      <w:r w:rsidRPr="00666D29">
        <w:rPr>
          <w:rFonts w:cs="Arial"/>
        </w:rPr>
        <w:t>10x working stock forward and reverse primers and probes, 4.0 – 5.0 µL</w:t>
      </w:r>
      <w:r w:rsidRPr="00666D29" w:rsidDel="004F4C10">
        <w:rPr>
          <w:rFonts w:cs="Arial"/>
        </w:rPr>
        <w:t xml:space="preserve"> </w:t>
      </w:r>
      <w:r w:rsidR="00A835E9">
        <w:rPr>
          <w:rFonts w:cs="Arial"/>
        </w:rPr>
        <w:t>of the</w:t>
      </w:r>
      <w:r w:rsidRPr="00666D29">
        <w:rPr>
          <w:rFonts w:cs="Arial"/>
        </w:rPr>
        <w:t xml:space="preserve"> HRM master mix, 1 µL</w:t>
      </w:r>
      <w:r w:rsidRPr="00666D29" w:rsidDel="004F4C10">
        <w:rPr>
          <w:rFonts w:cs="Arial"/>
        </w:rPr>
        <w:t xml:space="preserve"> </w:t>
      </w:r>
      <w:r w:rsidR="00A835E9">
        <w:rPr>
          <w:rFonts w:cs="Arial"/>
        </w:rPr>
        <w:t xml:space="preserve">of </w:t>
      </w:r>
      <w:r w:rsidRPr="00666D29">
        <w:rPr>
          <w:rFonts w:cs="Arial"/>
        </w:rPr>
        <w:t>template, and PCR grade water for a total reaction volume of 10 µL.</w:t>
      </w:r>
      <w:r>
        <w:rPr>
          <w:rFonts w:cs="Arial"/>
        </w:rPr>
        <w:t xml:space="preserve">  </w:t>
      </w:r>
      <w:r w:rsidR="003A55C1" w:rsidRPr="003A55C1">
        <w:rPr>
          <w:rFonts w:cs="Arial"/>
          <w:b/>
        </w:rPr>
        <w:t>[3.3.1 – CU]</w:t>
      </w:r>
      <w:r w:rsidR="003A55C1">
        <w:rPr>
          <w:rFonts w:cs="Arial"/>
        </w:rPr>
        <w:t xml:space="preserve"> </w:t>
      </w:r>
      <w:r w:rsidR="003A55C1" w:rsidRPr="00D87669">
        <w:rPr>
          <w:rFonts w:cs="Arial"/>
        </w:rPr>
        <w:t>Do the same for each glass capillary.</w:t>
      </w:r>
      <w:r w:rsidR="003A55C1">
        <w:rPr>
          <w:rFonts w:cs="Arial"/>
        </w:rPr>
        <w:t xml:space="preserve"> </w:t>
      </w:r>
      <w:r w:rsidR="003A55C1" w:rsidRPr="003A55C1">
        <w:rPr>
          <w:rFonts w:cs="Arial"/>
          <w:b/>
        </w:rPr>
        <w:t>[3.3.2 – CU]</w:t>
      </w:r>
      <w:r w:rsidR="003A55C1">
        <w:rPr>
          <w:rFonts w:cs="Arial"/>
        </w:rPr>
        <w:t xml:space="preserve"> </w:t>
      </w:r>
    </w:p>
    <w:p w14:paraId="76D4F684" w14:textId="77777777" w:rsidR="003A55C1" w:rsidRPr="003A55C1" w:rsidRDefault="003A55C1" w:rsidP="003A55C1">
      <w:pPr>
        <w:ind w:left="1080"/>
        <w:jc w:val="both"/>
        <w:outlineLvl w:val="0"/>
        <w:rPr>
          <w:rFonts w:ascii="Times New Roman" w:hAnsi="Times New Roman"/>
          <w:szCs w:val="24"/>
        </w:rPr>
      </w:pPr>
    </w:p>
    <w:p w14:paraId="58B25591" w14:textId="4F6E4622" w:rsidR="003A55C1" w:rsidRPr="003A55C1" w:rsidRDefault="003A55C1" w:rsidP="003A55C1">
      <w:pPr>
        <w:numPr>
          <w:ilvl w:val="2"/>
          <w:numId w:val="12"/>
        </w:numPr>
        <w:jc w:val="both"/>
        <w:outlineLvl w:val="0"/>
        <w:rPr>
          <w:rFonts w:ascii="Times New Roman" w:hAnsi="Times New Roman"/>
          <w:szCs w:val="24"/>
        </w:rPr>
      </w:pPr>
      <w:r>
        <w:rPr>
          <w:rFonts w:cs="Arial"/>
        </w:rPr>
        <w:t>Reagents being added to the wells of the 96-well plate.</w:t>
      </w:r>
    </w:p>
    <w:p w14:paraId="4C896ED9" w14:textId="06333DC2" w:rsidR="003A55C1" w:rsidRPr="00B00F7E" w:rsidRDefault="003A55C1" w:rsidP="003A55C1">
      <w:pPr>
        <w:numPr>
          <w:ilvl w:val="2"/>
          <w:numId w:val="12"/>
        </w:numPr>
        <w:jc w:val="both"/>
        <w:outlineLvl w:val="0"/>
        <w:rPr>
          <w:rFonts w:ascii="Times New Roman" w:hAnsi="Times New Roman"/>
          <w:szCs w:val="24"/>
        </w:rPr>
      </w:pPr>
      <w:r>
        <w:rPr>
          <w:rFonts w:cs="Arial"/>
        </w:rPr>
        <w:t>Reagents being added to a glass capillary.</w:t>
      </w:r>
    </w:p>
    <w:p w14:paraId="4FAD9EB6" w14:textId="77777777" w:rsidR="00B00F7E" w:rsidRPr="00AA470B" w:rsidRDefault="00B00F7E" w:rsidP="00B00F7E">
      <w:pPr>
        <w:ind w:left="1080"/>
        <w:jc w:val="both"/>
        <w:outlineLvl w:val="0"/>
        <w:rPr>
          <w:rFonts w:ascii="Times New Roman" w:hAnsi="Times New Roman"/>
          <w:szCs w:val="24"/>
        </w:rPr>
      </w:pPr>
    </w:p>
    <w:p w14:paraId="73964612" w14:textId="4A3339F6" w:rsidR="00434CC6" w:rsidRPr="000B6748" w:rsidRDefault="00AA470B" w:rsidP="00B00F7E">
      <w:pPr>
        <w:numPr>
          <w:ilvl w:val="1"/>
          <w:numId w:val="12"/>
        </w:numPr>
        <w:jc w:val="both"/>
        <w:outlineLvl w:val="0"/>
        <w:rPr>
          <w:rFonts w:ascii="Times New Roman" w:hAnsi="Times New Roman"/>
          <w:szCs w:val="24"/>
        </w:rPr>
      </w:pPr>
      <w:r w:rsidRPr="00666D29">
        <w:rPr>
          <w:rFonts w:cs="Arial"/>
        </w:rPr>
        <w:t xml:space="preserve">Cover </w:t>
      </w:r>
      <w:r>
        <w:rPr>
          <w:rFonts w:cs="Arial"/>
        </w:rPr>
        <w:t xml:space="preserve">the </w:t>
      </w:r>
      <w:r w:rsidR="000B6748">
        <w:rPr>
          <w:rFonts w:cs="Arial"/>
        </w:rPr>
        <w:t>plates and glass capillaries</w:t>
      </w:r>
      <w:r>
        <w:rPr>
          <w:rFonts w:cs="Arial"/>
        </w:rPr>
        <w:t>: u</w:t>
      </w:r>
      <w:r w:rsidRPr="00666D29">
        <w:rPr>
          <w:rFonts w:cs="Arial"/>
        </w:rPr>
        <w:t xml:space="preserve">se optical plate seals for plate-based amplification, </w:t>
      </w:r>
      <w:r w:rsidR="000B6748" w:rsidRPr="000B6748">
        <w:rPr>
          <w:rFonts w:cs="Arial"/>
          <w:b/>
        </w:rPr>
        <w:t>[3.4.1 – CU]</w:t>
      </w:r>
      <w:r w:rsidR="000B6748">
        <w:rPr>
          <w:rFonts w:cs="Arial"/>
        </w:rPr>
        <w:t xml:space="preserve"> and </w:t>
      </w:r>
      <w:r w:rsidRPr="00A835E9">
        <w:rPr>
          <w:rFonts w:cs="Arial"/>
        </w:rPr>
        <w:t>plastic c</w:t>
      </w:r>
      <w:r w:rsidR="000B6748">
        <w:rPr>
          <w:rFonts w:cs="Arial"/>
        </w:rPr>
        <w:t>aps for capillary-based systems.</w:t>
      </w:r>
      <w:r w:rsidRPr="00666D29">
        <w:rPr>
          <w:rFonts w:cs="Arial"/>
        </w:rPr>
        <w:t xml:space="preserve"> </w:t>
      </w:r>
      <w:r w:rsidR="000B6748" w:rsidRPr="000B6748">
        <w:rPr>
          <w:rFonts w:cs="Arial"/>
          <w:b/>
        </w:rPr>
        <w:t>[3.4.2. – CU]</w:t>
      </w:r>
      <w:r w:rsidR="000B6748">
        <w:rPr>
          <w:rFonts w:cs="Arial"/>
        </w:rPr>
        <w:t xml:space="preserve"> </w:t>
      </w:r>
      <w:r w:rsidR="00A835E9">
        <w:rPr>
          <w:rFonts w:cs="Arial"/>
        </w:rPr>
        <w:t xml:space="preserve">Make </w:t>
      </w:r>
      <w:r w:rsidRPr="00666D29">
        <w:rPr>
          <w:rFonts w:cs="Arial"/>
        </w:rPr>
        <w:t xml:space="preserve">sure </w:t>
      </w:r>
      <w:r w:rsidRPr="00A835E9">
        <w:rPr>
          <w:rFonts w:cs="Arial"/>
        </w:rPr>
        <w:t>coverage is complete and plates and caps are completely sealed and secured to prevent evaporation during amplification.</w:t>
      </w:r>
      <w:r w:rsidR="000B6748">
        <w:rPr>
          <w:rFonts w:cs="Arial"/>
        </w:rPr>
        <w:t xml:space="preserve"> </w:t>
      </w:r>
      <w:r w:rsidR="000B6748" w:rsidRPr="000B6748">
        <w:rPr>
          <w:rFonts w:cs="Arial"/>
          <w:b/>
        </w:rPr>
        <w:t>[3.4.3. – MED]</w:t>
      </w:r>
    </w:p>
    <w:p w14:paraId="4A78C5D2" w14:textId="77777777" w:rsidR="000B6748" w:rsidRPr="000B6748" w:rsidRDefault="000B6748" w:rsidP="000B6748">
      <w:pPr>
        <w:ind w:left="1080"/>
        <w:jc w:val="both"/>
        <w:outlineLvl w:val="0"/>
        <w:rPr>
          <w:rFonts w:ascii="Times New Roman" w:hAnsi="Times New Roman"/>
          <w:szCs w:val="24"/>
        </w:rPr>
      </w:pPr>
    </w:p>
    <w:p w14:paraId="2A437D24" w14:textId="6A5C1EC6" w:rsidR="000B6748" w:rsidRPr="000B6748" w:rsidRDefault="000B6748" w:rsidP="000B6748">
      <w:pPr>
        <w:numPr>
          <w:ilvl w:val="2"/>
          <w:numId w:val="12"/>
        </w:numPr>
        <w:jc w:val="both"/>
        <w:outlineLvl w:val="0"/>
        <w:rPr>
          <w:rFonts w:ascii="Times New Roman" w:hAnsi="Times New Roman"/>
          <w:szCs w:val="24"/>
        </w:rPr>
      </w:pPr>
      <w:r>
        <w:rPr>
          <w:rFonts w:cs="Arial"/>
        </w:rPr>
        <w:t>A plate being covered with an optical plate seal.</w:t>
      </w:r>
    </w:p>
    <w:p w14:paraId="7A24A1B2" w14:textId="3509FA3B" w:rsidR="000B6748" w:rsidRPr="000B6748" w:rsidRDefault="000B6748" w:rsidP="000B6748">
      <w:pPr>
        <w:numPr>
          <w:ilvl w:val="2"/>
          <w:numId w:val="12"/>
        </w:numPr>
        <w:jc w:val="both"/>
        <w:outlineLvl w:val="0"/>
        <w:rPr>
          <w:rFonts w:ascii="Times New Roman" w:hAnsi="Times New Roman"/>
          <w:szCs w:val="24"/>
        </w:rPr>
      </w:pPr>
      <w:r>
        <w:rPr>
          <w:rFonts w:cs="Arial"/>
        </w:rPr>
        <w:t>Glass capillaries being covered with plastic caps.</w:t>
      </w:r>
    </w:p>
    <w:p w14:paraId="6B158E88" w14:textId="4BA9C1B3" w:rsidR="000B6748" w:rsidRPr="00B00F7E" w:rsidRDefault="000B6748" w:rsidP="000B6748">
      <w:pPr>
        <w:numPr>
          <w:ilvl w:val="2"/>
          <w:numId w:val="12"/>
        </w:numPr>
        <w:jc w:val="both"/>
        <w:outlineLvl w:val="0"/>
        <w:rPr>
          <w:rFonts w:ascii="Times New Roman" w:hAnsi="Times New Roman"/>
          <w:szCs w:val="24"/>
        </w:rPr>
      </w:pPr>
      <w:r>
        <w:rPr>
          <w:rFonts w:cs="Arial"/>
        </w:rPr>
        <w:t>Talent checking that plates and caps are completely sealed and secure.</w:t>
      </w:r>
    </w:p>
    <w:p w14:paraId="52AE9936" w14:textId="77777777" w:rsidR="00B00F7E" w:rsidRPr="00A835E9" w:rsidRDefault="00B00F7E" w:rsidP="00B00F7E">
      <w:pPr>
        <w:ind w:left="1080"/>
        <w:jc w:val="both"/>
        <w:outlineLvl w:val="0"/>
        <w:rPr>
          <w:rFonts w:ascii="Times New Roman" w:hAnsi="Times New Roman"/>
          <w:szCs w:val="24"/>
        </w:rPr>
      </w:pPr>
    </w:p>
    <w:p w14:paraId="78A25A3B" w14:textId="7DE1117F" w:rsidR="001E3E3C" w:rsidRPr="000B6748" w:rsidRDefault="00434CC6" w:rsidP="000B6748">
      <w:pPr>
        <w:numPr>
          <w:ilvl w:val="1"/>
          <w:numId w:val="12"/>
        </w:numPr>
        <w:jc w:val="both"/>
        <w:outlineLvl w:val="0"/>
        <w:rPr>
          <w:rFonts w:ascii="Times New Roman" w:hAnsi="Times New Roman"/>
          <w:szCs w:val="24"/>
        </w:rPr>
      </w:pPr>
      <w:r w:rsidRPr="00A835E9">
        <w:rPr>
          <w:rFonts w:cs="Arial"/>
        </w:rPr>
        <w:t xml:space="preserve">Spin </w:t>
      </w:r>
      <w:r w:rsidR="00A835E9" w:rsidRPr="00A835E9">
        <w:rPr>
          <w:rFonts w:cs="Arial"/>
        </w:rPr>
        <w:t xml:space="preserve">the </w:t>
      </w:r>
      <w:r w:rsidRPr="00A835E9">
        <w:rPr>
          <w:rFonts w:cs="Arial"/>
        </w:rPr>
        <w:t>samples</w:t>
      </w:r>
      <w:r w:rsidR="000B6748">
        <w:rPr>
          <w:rFonts w:cs="Arial"/>
        </w:rPr>
        <w:t xml:space="preserve"> to remove air bubbles</w:t>
      </w:r>
      <w:r w:rsidRPr="00A835E9">
        <w:rPr>
          <w:rFonts w:cs="Arial"/>
        </w:rPr>
        <w:t xml:space="preserve">: spin plates </w:t>
      </w:r>
      <w:r w:rsidR="000B6748">
        <w:rPr>
          <w:rFonts w:cs="Arial"/>
        </w:rPr>
        <w:t xml:space="preserve">in a tabletop centrifuge </w:t>
      </w:r>
      <w:r w:rsidRPr="00A835E9">
        <w:rPr>
          <w:rFonts w:cs="Arial"/>
        </w:rPr>
        <w:t>for three mi</w:t>
      </w:r>
      <w:r w:rsidR="000B6748">
        <w:rPr>
          <w:rFonts w:cs="Arial"/>
        </w:rPr>
        <w:t>nutes at 1800 x g</w:t>
      </w:r>
      <w:r w:rsidRPr="00A835E9">
        <w:rPr>
          <w:rFonts w:cs="Arial"/>
        </w:rPr>
        <w:t>.</w:t>
      </w:r>
      <w:r w:rsidR="00A835E9" w:rsidRPr="00A835E9">
        <w:rPr>
          <w:rFonts w:cs="Arial"/>
        </w:rPr>
        <w:t xml:space="preserve"> </w:t>
      </w:r>
      <w:r w:rsidR="000B6748">
        <w:rPr>
          <w:rFonts w:cs="Arial"/>
        </w:rPr>
        <w:t xml:space="preserve"> </w:t>
      </w:r>
      <w:r w:rsidR="000B6748" w:rsidRPr="000B6748">
        <w:rPr>
          <w:rFonts w:cs="Arial"/>
          <w:b/>
        </w:rPr>
        <w:t xml:space="preserve">[3.5.1. – MED] </w:t>
      </w:r>
      <w:r w:rsidR="000B6748">
        <w:rPr>
          <w:rFonts w:cs="Arial"/>
        </w:rPr>
        <w:t>Spin glass capillaries in a picofuge</w:t>
      </w:r>
      <w:r w:rsidR="00D87669">
        <w:rPr>
          <w:rFonts w:cs="Arial"/>
        </w:rPr>
        <w:t xml:space="preserve"> for 10-15 seconds</w:t>
      </w:r>
      <w:r w:rsidR="000B6748">
        <w:rPr>
          <w:rFonts w:cs="Arial"/>
        </w:rPr>
        <w:t xml:space="preserve">. </w:t>
      </w:r>
      <w:r w:rsidR="000B6748" w:rsidRPr="000B6748">
        <w:rPr>
          <w:rFonts w:cs="Arial"/>
          <w:b/>
        </w:rPr>
        <w:t>[3.5.2 – MED]</w:t>
      </w:r>
      <w:r w:rsidR="000B6748">
        <w:rPr>
          <w:rFonts w:cs="Arial"/>
        </w:rPr>
        <w:t xml:space="preserve">  </w:t>
      </w:r>
    </w:p>
    <w:p w14:paraId="54AFA7B7" w14:textId="77777777" w:rsidR="000B6748" w:rsidRPr="000B6748" w:rsidRDefault="000B6748" w:rsidP="000B6748">
      <w:pPr>
        <w:ind w:left="1080"/>
        <w:jc w:val="both"/>
        <w:outlineLvl w:val="0"/>
        <w:rPr>
          <w:rFonts w:ascii="Times New Roman" w:hAnsi="Times New Roman"/>
          <w:szCs w:val="24"/>
        </w:rPr>
      </w:pPr>
    </w:p>
    <w:p w14:paraId="49B5E69B" w14:textId="6078D496" w:rsidR="000B6748" w:rsidRPr="000B6748" w:rsidRDefault="000B6748" w:rsidP="000B6748">
      <w:pPr>
        <w:numPr>
          <w:ilvl w:val="2"/>
          <w:numId w:val="12"/>
        </w:numPr>
        <w:jc w:val="both"/>
        <w:outlineLvl w:val="0"/>
        <w:rPr>
          <w:rFonts w:ascii="Times New Roman" w:hAnsi="Times New Roman"/>
          <w:szCs w:val="24"/>
        </w:rPr>
      </w:pPr>
      <w:r>
        <w:rPr>
          <w:rFonts w:cs="Arial"/>
        </w:rPr>
        <w:t>Talent putting 96-well plates into tabletop centrifuge and starting the spin.</w:t>
      </w:r>
    </w:p>
    <w:p w14:paraId="330EF925" w14:textId="168057A9" w:rsidR="000B6748" w:rsidRPr="000B6748" w:rsidRDefault="000B6748" w:rsidP="000B6748">
      <w:pPr>
        <w:numPr>
          <w:ilvl w:val="2"/>
          <w:numId w:val="12"/>
        </w:numPr>
        <w:jc w:val="both"/>
        <w:outlineLvl w:val="0"/>
        <w:rPr>
          <w:rFonts w:ascii="Times New Roman" w:hAnsi="Times New Roman"/>
          <w:szCs w:val="24"/>
        </w:rPr>
      </w:pPr>
      <w:r>
        <w:rPr>
          <w:rFonts w:cs="Arial"/>
        </w:rPr>
        <w:t>Talent putting glass capillaries into picofuge and starting the spin.</w:t>
      </w:r>
    </w:p>
    <w:p w14:paraId="384FF439" w14:textId="77777777" w:rsidR="000B6748" w:rsidRPr="000B6748" w:rsidRDefault="000B6748" w:rsidP="000B6748">
      <w:pPr>
        <w:ind w:left="1080"/>
        <w:jc w:val="both"/>
        <w:outlineLvl w:val="0"/>
        <w:rPr>
          <w:rFonts w:ascii="Times New Roman" w:hAnsi="Times New Roman"/>
          <w:szCs w:val="24"/>
        </w:rPr>
      </w:pPr>
    </w:p>
    <w:p w14:paraId="2D3995B5" w14:textId="44A94C76" w:rsidR="00434CC6" w:rsidRPr="00131A44" w:rsidRDefault="00434CC6" w:rsidP="00B00F7E">
      <w:pPr>
        <w:numPr>
          <w:ilvl w:val="1"/>
          <w:numId w:val="12"/>
        </w:numPr>
        <w:jc w:val="both"/>
        <w:outlineLvl w:val="0"/>
        <w:rPr>
          <w:rFonts w:ascii="Times New Roman" w:hAnsi="Times New Roman"/>
          <w:szCs w:val="24"/>
        </w:rPr>
      </w:pPr>
      <w:r w:rsidRPr="00A835E9">
        <w:rPr>
          <w:rFonts w:cs="Arial"/>
        </w:rPr>
        <w:t xml:space="preserve">Place </w:t>
      </w:r>
      <w:r w:rsidR="002E618F">
        <w:rPr>
          <w:rFonts w:cs="Arial"/>
        </w:rPr>
        <w:t xml:space="preserve">the </w:t>
      </w:r>
      <w:r w:rsidR="00D87669">
        <w:rPr>
          <w:rFonts w:cs="Arial"/>
        </w:rPr>
        <w:t>reaction plate</w:t>
      </w:r>
      <w:r w:rsidR="000B6748">
        <w:rPr>
          <w:rFonts w:cs="Arial"/>
        </w:rPr>
        <w:t xml:space="preserve"> and glass capillaries</w:t>
      </w:r>
      <w:r w:rsidRPr="00A835E9">
        <w:rPr>
          <w:rFonts w:cs="Arial"/>
        </w:rPr>
        <w:t xml:space="preserve"> in a thermal cycler. </w:t>
      </w:r>
      <w:r w:rsidR="000B6748" w:rsidRPr="000B6748">
        <w:rPr>
          <w:rFonts w:cs="Arial"/>
          <w:b/>
        </w:rPr>
        <w:t xml:space="preserve">[3.6.1 – MED] </w:t>
      </w:r>
      <w:r w:rsidR="00D87669">
        <w:rPr>
          <w:rFonts w:cs="Arial"/>
          <w:b/>
        </w:rPr>
        <w:t>[3.6.2</w:t>
      </w:r>
      <w:r w:rsidR="00D87669" w:rsidRPr="000B6748">
        <w:rPr>
          <w:rFonts w:cs="Arial"/>
          <w:b/>
        </w:rPr>
        <w:t xml:space="preserve"> – MED] </w:t>
      </w:r>
      <w:r w:rsidRPr="00A835E9">
        <w:rPr>
          <w:rFonts w:cs="Arial"/>
        </w:rPr>
        <w:t>Run standard</w:t>
      </w:r>
      <w:r w:rsidRPr="00666D29">
        <w:rPr>
          <w:rFonts w:cs="Arial"/>
        </w:rPr>
        <w:t xml:space="preserve"> blocked-probe or MAAB amplification protocols</w:t>
      </w:r>
      <w:r w:rsidR="00131A44">
        <w:rPr>
          <w:rFonts w:cs="Arial"/>
        </w:rPr>
        <w:t>.</w:t>
      </w:r>
      <w:r w:rsidRPr="00666D29">
        <w:rPr>
          <w:rFonts w:cs="Arial"/>
        </w:rPr>
        <w:t xml:space="preserve"> </w:t>
      </w:r>
      <w:r w:rsidR="00D87669">
        <w:rPr>
          <w:rFonts w:cs="Arial"/>
          <w:b/>
        </w:rPr>
        <w:t>[3.6.3</w:t>
      </w:r>
      <w:r w:rsidR="000B6748" w:rsidRPr="000B6748">
        <w:rPr>
          <w:rFonts w:cs="Arial"/>
          <w:b/>
        </w:rPr>
        <w:t xml:space="preserve"> – MED – TXT]</w:t>
      </w:r>
    </w:p>
    <w:p w14:paraId="623E925B" w14:textId="77777777" w:rsidR="00131A44" w:rsidRPr="000B6748" w:rsidRDefault="00131A44" w:rsidP="00131A44">
      <w:pPr>
        <w:ind w:left="1080"/>
        <w:jc w:val="both"/>
        <w:outlineLvl w:val="0"/>
        <w:rPr>
          <w:rFonts w:ascii="Times New Roman" w:hAnsi="Times New Roman"/>
          <w:szCs w:val="24"/>
        </w:rPr>
      </w:pPr>
    </w:p>
    <w:p w14:paraId="4BD2239A" w14:textId="3019AD60" w:rsidR="000B6748" w:rsidRPr="00D87669" w:rsidRDefault="000B6748" w:rsidP="000B6748">
      <w:pPr>
        <w:numPr>
          <w:ilvl w:val="2"/>
          <w:numId w:val="12"/>
        </w:numPr>
        <w:jc w:val="both"/>
        <w:outlineLvl w:val="0"/>
        <w:rPr>
          <w:rFonts w:ascii="Times New Roman" w:hAnsi="Times New Roman"/>
          <w:szCs w:val="24"/>
        </w:rPr>
      </w:pPr>
      <w:r>
        <w:rPr>
          <w:rFonts w:cs="Arial"/>
        </w:rPr>
        <w:t>Talent</w:t>
      </w:r>
      <w:r w:rsidR="00D87669">
        <w:rPr>
          <w:rFonts w:cs="Arial"/>
        </w:rPr>
        <w:t xml:space="preserve"> putting plate </w:t>
      </w:r>
      <w:r>
        <w:rPr>
          <w:rFonts w:cs="Arial"/>
        </w:rPr>
        <w:t xml:space="preserve">into </w:t>
      </w:r>
      <w:r w:rsidRPr="00A835E9">
        <w:rPr>
          <w:rFonts w:cs="Arial"/>
        </w:rPr>
        <w:t>a thermal cycler</w:t>
      </w:r>
      <w:r>
        <w:rPr>
          <w:rFonts w:cs="Arial"/>
        </w:rPr>
        <w:t>.</w:t>
      </w:r>
      <w:r w:rsidR="006E3B3E">
        <w:rPr>
          <w:rFonts w:cs="Arial"/>
        </w:rPr>
        <w:t xml:space="preserve">  </w:t>
      </w:r>
    </w:p>
    <w:p w14:paraId="735EDEC9" w14:textId="2E0B3AB8" w:rsidR="00D87669" w:rsidRPr="000B6748" w:rsidRDefault="00D87669" w:rsidP="000B6748">
      <w:pPr>
        <w:numPr>
          <w:ilvl w:val="2"/>
          <w:numId w:val="12"/>
        </w:numPr>
        <w:jc w:val="both"/>
        <w:outlineLvl w:val="0"/>
        <w:rPr>
          <w:rFonts w:ascii="Times New Roman" w:hAnsi="Times New Roman"/>
          <w:szCs w:val="24"/>
        </w:rPr>
      </w:pPr>
      <w:r>
        <w:rPr>
          <w:rFonts w:cs="Arial"/>
        </w:rPr>
        <w:t xml:space="preserve">Talent putting glass capillaries into </w:t>
      </w:r>
      <w:r w:rsidRPr="00A835E9">
        <w:rPr>
          <w:rFonts w:cs="Arial"/>
        </w:rPr>
        <w:t>a</w:t>
      </w:r>
      <w:r>
        <w:rPr>
          <w:rFonts w:cs="Arial"/>
        </w:rPr>
        <w:t>nother</w:t>
      </w:r>
      <w:r w:rsidRPr="00A835E9">
        <w:rPr>
          <w:rFonts w:cs="Arial"/>
        </w:rPr>
        <w:t xml:space="preserve"> thermal cycler</w:t>
      </w:r>
    </w:p>
    <w:p w14:paraId="0F149D20" w14:textId="467B9155" w:rsidR="000B6748" w:rsidRPr="00F51816" w:rsidRDefault="000B6748" w:rsidP="000B6748">
      <w:pPr>
        <w:numPr>
          <w:ilvl w:val="2"/>
          <w:numId w:val="12"/>
        </w:numPr>
        <w:jc w:val="both"/>
        <w:outlineLvl w:val="0"/>
        <w:rPr>
          <w:rFonts w:ascii="Times New Roman" w:hAnsi="Times New Roman"/>
          <w:szCs w:val="24"/>
        </w:rPr>
      </w:pPr>
      <w:r>
        <w:rPr>
          <w:rFonts w:cs="Arial"/>
        </w:rPr>
        <w:t xml:space="preserve">Talent starting </w:t>
      </w:r>
      <w:r w:rsidR="008A0324">
        <w:rPr>
          <w:rFonts w:cs="Arial"/>
        </w:rPr>
        <w:t>the PCR</w:t>
      </w:r>
      <w:r>
        <w:rPr>
          <w:rFonts w:cs="Arial"/>
        </w:rPr>
        <w:t xml:space="preserve"> run</w:t>
      </w:r>
      <w:r w:rsidR="00D87669">
        <w:rPr>
          <w:rFonts w:cs="Arial"/>
        </w:rPr>
        <w:t xml:space="preserve"> for the thermal cycler with the plate</w:t>
      </w:r>
      <w:r>
        <w:rPr>
          <w:rFonts w:cs="Arial"/>
        </w:rPr>
        <w:t xml:space="preserve">. </w:t>
      </w:r>
      <w:r w:rsidR="00131A44">
        <w:rPr>
          <w:rFonts w:cs="Arial"/>
        </w:rPr>
        <w:t xml:space="preserve">TEXT: Refer to </w:t>
      </w:r>
      <w:r w:rsidR="00131A44" w:rsidRPr="00666D29">
        <w:rPr>
          <w:rFonts w:cs="Arial"/>
        </w:rPr>
        <w:t>Tables 2 and 3</w:t>
      </w:r>
      <w:r w:rsidR="00131A44">
        <w:rPr>
          <w:rFonts w:cs="Arial"/>
        </w:rPr>
        <w:t xml:space="preserve"> in the protocol text for</w:t>
      </w:r>
      <w:r w:rsidR="00131A44" w:rsidRPr="00434CC6">
        <w:rPr>
          <w:rFonts w:cs="Arial"/>
        </w:rPr>
        <w:t xml:space="preserve"> </w:t>
      </w:r>
      <w:r w:rsidR="00131A44">
        <w:rPr>
          <w:rFonts w:cs="Arial"/>
        </w:rPr>
        <w:t>amplification conditions</w:t>
      </w:r>
      <w:r w:rsidR="00131A44" w:rsidRPr="00666D29">
        <w:rPr>
          <w:rFonts w:cs="Arial"/>
        </w:rPr>
        <w:t>.</w:t>
      </w:r>
    </w:p>
    <w:p w14:paraId="1531143A" w14:textId="77777777" w:rsidR="00F51816" w:rsidRPr="00996974" w:rsidRDefault="00F51816" w:rsidP="00B00F7E">
      <w:pPr>
        <w:ind w:left="1080"/>
        <w:jc w:val="both"/>
        <w:outlineLvl w:val="0"/>
        <w:rPr>
          <w:rFonts w:ascii="Times New Roman" w:hAnsi="Times New Roman"/>
          <w:szCs w:val="24"/>
        </w:rPr>
      </w:pPr>
    </w:p>
    <w:p w14:paraId="16E1B5E3" w14:textId="77777777" w:rsidR="0083114A" w:rsidRPr="00F51816" w:rsidRDefault="0083114A" w:rsidP="00F51816">
      <w:pPr>
        <w:numPr>
          <w:ilvl w:val="0"/>
          <w:numId w:val="12"/>
        </w:numPr>
        <w:jc w:val="both"/>
        <w:outlineLvl w:val="0"/>
        <w:rPr>
          <w:rFonts w:ascii="Times New Roman" w:hAnsi="Times New Roman"/>
          <w:szCs w:val="24"/>
        </w:rPr>
      </w:pPr>
      <w:r w:rsidRPr="00666D29">
        <w:rPr>
          <w:rFonts w:cs="Arial"/>
          <w:b/>
        </w:rPr>
        <w:t>HRM analysis</w:t>
      </w:r>
      <w:r w:rsidRPr="00996974">
        <w:rPr>
          <w:rFonts w:ascii="Times New Roman" w:hAnsi="Times New Roman"/>
          <w:b/>
          <w:szCs w:val="24"/>
        </w:rPr>
        <w:t xml:space="preserve"> </w:t>
      </w:r>
    </w:p>
    <w:p w14:paraId="6C0B7D82" w14:textId="77777777" w:rsidR="00F51816" w:rsidRPr="00CF5726" w:rsidRDefault="00F51816" w:rsidP="00F51816">
      <w:pPr>
        <w:ind w:left="360"/>
        <w:jc w:val="both"/>
        <w:outlineLvl w:val="0"/>
        <w:rPr>
          <w:rFonts w:ascii="Times New Roman" w:hAnsi="Times New Roman"/>
          <w:szCs w:val="24"/>
        </w:rPr>
      </w:pPr>
    </w:p>
    <w:p w14:paraId="67F1447A" w14:textId="638FEB77" w:rsidR="001E3E3C" w:rsidRPr="006E3B3E" w:rsidRDefault="00CF5726" w:rsidP="006E3B3E">
      <w:pPr>
        <w:numPr>
          <w:ilvl w:val="1"/>
          <w:numId w:val="12"/>
        </w:numPr>
        <w:jc w:val="both"/>
        <w:outlineLvl w:val="0"/>
        <w:rPr>
          <w:rFonts w:ascii="Times New Roman" w:hAnsi="Times New Roman"/>
          <w:szCs w:val="24"/>
        </w:rPr>
      </w:pPr>
      <w:r w:rsidRPr="00666D29">
        <w:rPr>
          <w:rFonts w:cs="Arial"/>
        </w:rPr>
        <w:t xml:space="preserve">After PCR amplification, proceed to </w:t>
      </w:r>
      <w:r>
        <w:rPr>
          <w:rFonts w:cs="Arial"/>
        </w:rPr>
        <w:t xml:space="preserve">the </w:t>
      </w:r>
      <w:r w:rsidRPr="00666D29">
        <w:rPr>
          <w:rFonts w:cs="Arial"/>
        </w:rPr>
        <w:t>melting analysis.</w:t>
      </w:r>
      <w:r w:rsidR="006E3B3E">
        <w:rPr>
          <w:rFonts w:cs="Arial"/>
        </w:rPr>
        <w:t xml:space="preserve"> </w:t>
      </w:r>
      <w:r w:rsidR="006E3B3E" w:rsidRPr="006E3B3E">
        <w:rPr>
          <w:rFonts w:cs="Arial"/>
          <w:b/>
        </w:rPr>
        <w:t>[4.1.1 –</w:t>
      </w:r>
      <w:r w:rsidR="006E3B3E">
        <w:rPr>
          <w:rFonts w:cs="Arial"/>
          <w:b/>
        </w:rPr>
        <w:t xml:space="preserve"> WIDE</w:t>
      </w:r>
      <w:r w:rsidR="006E3B3E" w:rsidRPr="006E3B3E">
        <w:rPr>
          <w:rFonts w:cs="Arial"/>
          <w:b/>
        </w:rPr>
        <w:t>]</w:t>
      </w:r>
      <w:r w:rsidRPr="00666D29">
        <w:rPr>
          <w:rFonts w:cs="Arial"/>
        </w:rPr>
        <w:t xml:space="preserve"> </w:t>
      </w:r>
      <w:r w:rsidRPr="006E3B3E">
        <w:rPr>
          <w:rFonts w:cs="Arial"/>
        </w:rPr>
        <w:t xml:space="preserve">From the system software interface, melt the plate from </w:t>
      </w:r>
      <w:r w:rsidR="00016894">
        <w:rPr>
          <w:rFonts w:cs="Arial"/>
        </w:rPr>
        <w:t>40</w:t>
      </w:r>
      <w:r w:rsidR="00016894" w:rsidRPr="006E3B3E">
        <w:rPr>
          <w:rFonts w:cs="Arial"/>
        </w:rPr>
        <w:t xml:space="preserve">°C </w:t>
      </w:r>
      <w:r w:rsidRPr="006E3B3E">
        <w:rPr>
          <w:rFonts w:cs="Arial"/>
        </w:rPr>
        <w:t>– 80°C to produce both probe and amplicon melting peaks.</w:t>
      </w:r>
      <w:r w:rsidR="006E3B3E">
        <w:rPr>
          <w:rFonts w:cs="Arial"/>
        </w:rPr>
        <w:t xml:space="preserve"> </w:t>
      </w:r>
      <w:r w:rsidR="006E3B3E" w:rsidRPr="006E3B3E">
        <w:rPr>
          <w:rFonts w:cs="Arial"/>
          <w:b/>
        </w:rPr>
        <w:t>[4.1.2 – MED]</w:t>
      </w:r>
    </w:p>
    <w:p w14:paraId="57809B0C" w14:textId="77777777" w:rsidR="006E3B3E" w:rsidRPr="006E3B3E" w:rsidRDefault="006E3B3E" w:rsidP="006E3B3E">
      <w:pPr>
        <w:ind w:left="1080"/>
        <w:jc w:val="both"/>
        <w:outlineLvl w:val="0"/>
        <w:rPr>
          <w:rFonts w:ascii="Times New Roman" w:hAnsi="Times New Roman"/>
          <w:szCs w:val="24"/>
        </w:rPr>
      </w:pPr>
    </w:p>
    <w:p w14:paraId="1A36CFFC" w14:textId="43D5AEE5" w:rsidR="006E3B3E" w:rsidRPr="006E3B3E" w:rsidRDefault="006E3B3E" w:rsidP="006E3B3E">
      <w:pPr>
        <w:numPr>
          <w:ilvl w:val="2"/>
          <w:numId w:val="12"/>
        </w:numPr>
        <w:jc w:val="both"/>
        <w:outlineLvl w:val="0"/>
        <w:rPr>
          <w:rFonts w:ascii="Times New Roman" w:hAnsi="Times New Roman"/>
          <w:szCs w:val="24"/>
        </w:rPr>
      </w:pPr>
      <w:r w:rsidRPr="006E3B3E">
        <w:rPr>
          <w:rFonts w:cs="Arial"/>
        </w:rPr>
        <w:t>Talent approaching the Light Cycler to start HRM analysis.</w:t>
      </w:r>
    </w:p>
    <w:p w14:paraId="77A35171" w14:textId="4F785C7A" w:rsidR="006E3B3E" w:rsidRPr="006E3B3E" w:rsidRDefault="006E3B3E" w:rsidP="006E3B3E">
      <w:pPr>
        <w:numPr>
          <w:ilvl w:val="2"/>
          <w:numId w:val="12"/>
        </w:numPr>
        <w:jc w:val="both"/>
        <w:outlineLvl w:val="0"/>
        <w:rPr>
          <w:rFonts w:ascii="Times New Roman" w:hAnsi="Times New Roman"/>
          <w:szCs w:val="24"/>
        </w:rPr>
      </w:pPr>
      <w:r>
        <w:rPr>
          <w:rFonts w:cs="Arial"/>
        </w:rPr>
        <w:t>Talent starting the melting, using the software.</w:t>
      </w:r>
    </w:p>
    <w:p w14:paraId="394B502E" w14:textId="77777777" w:rsidR="006E3B3E" w:rsidRDefault="006E3B3E" w:rsidP="006E3B3E">
      <w:pPr>
        <w:ind w:left="1080"/>
        <w:jc w:val="both"/>
        <w:outlineLvl w:val="0"/>
        <w:rPr>
          <w:rFonts w:ascii="Times New Roman" w:hAnsi="Times New Roman"/>
          <w:szCs w:val="24"/>
        </w:rPr>
      </w:pPr>
    </w:p>
    <w:p w14:paraId="477CAFDA" w14:textId="7F2DBDAE" w:rsidR="00154ED5" w:rsidRPr="00154ED5" w:rsidRDefault="00154ED5" w:rsidP="006E3B3E">
      <w:pPr>
        <w:ind w:left="1080"/>
        <w:jc w:val="both"/>
        <w:outlineLvl w:val="0"/>
        <w:rPr>
          <w:rFonts w:ascii="Times New Roman" w:hAnsi="Times New Roman"/>
          <w:szCs w:val="24"/>
        </w:rPr>
      </w:pPr>
      <w:r w:rsidRPr="00154ED5">
        <w:rPr>
          <w:rFonts w:ascii="Times New Roman" w:hAnsi="Times New Roman"/>
          <w:szCs w:val="24"/>
          <w:highlight w:val="green"/>
        </w:rPr>
        <w:t>Note change of order of steps 4.2. – 4.4</w:t>
      </w:r>
    </w:p>
    <w:p w14:paraId="15730E72" w14:textId="77777777" w:rsidR="00154ED5" w:rsidRPr="001547E8" w:rsidRDefault="00154ED5" w:rsidP="006E3B3E">
      <w:pPr>
        <w:ind w:left="1080"/>
        <w:jc w:val="both"/>
        <w:outlineLvl w:val="0"/>
        <w:rPr>
          <w:rFonts w:ascii="Times New Roman" w:hAnsi="Times New Roman"/>
          <w:szCs w:val="24"/>
        </w:rPr>
      </w:pPr>
    </w:p>
    <w:p w14:paraId="7944299C" w14:textId="100A1326" w:rsidR="001547E8" w:rsidRPr="00A12B56" w:rsidRDefault="00154ED5" w:rsidP="00F51816">
      <w:pPr>
        <w:numPr>
          <w:ilvl w:val="1"/>
          <w:numId w:val="12"/>
        </w:numPr>
        <w:jc w:val="both"/>
        <w:outlineLvl w:val="0"/>
        <w:rPr>
          <w:rFonts w:ascii="Times New Roman" w:hAnsi="Times New Roman"/>
          <w:szCs w:val="24"/>
        </w:rPr>
      </w:pPr>
      <w:r w:rsidRPr="00154ED5">
        <w:rPr>
          <w:rFonts w:cs="Arial"/>
          <w:highlight w:val="green"/>
        </w:rPr>
        <w:t>4.4</w:t>
      </w:r>
      <w:r w:rsidRPr="00154ED5">
        <w:rPr>
          <w:rFonts w:cs="Arial"/>
        </w:rPr>
        <w:t xml:space="preserve"> </w:t>
      </w:r>
      <w:r w:rsidRPr="00154ED5">
        <w:rPr>
          <w:rFonts w:cs="Arial"/>
          <w:color w:val="FF0000"/>
        </w:rPr>
        <w:t xml:space="preserve">If necessary, manually re-assign samples to specific groups. </w:t>
      </w:r>
      <w:r w:rsidRPr="00154ED5">
        <w:rPr>
          <w:rFonts w:cs="Arial"/>
          <w:b/>
          <w:color w:val="FF0000"/>
        </w:rPr>
        <w:t>[4.4.2 – SCREEN]</w:t>
      </w:r>
      <w:r w:rsidRPr="00154ED5">
        <w:rPr>
          <w:rFonts w:ascii="Times New Roman" w:hAnsi="Times New Roman"/>
          <w:color w:val="FF0000"/>
          <w:szCs w:val="24"/>
        </w:rPr>
        <w:t xml:space="preserve">. </w:t>
      </w:r>
      <w:r>
        <w:rPr>
          <w:rFonts w:ascii="Times New Roman" w:hAnsi="Times New Roman"/>
          <w:color w:val="FF0000"/>
          <w:szCs w:val="24"/>
        </w:rPr>
        <w:t xml:space="preserve">Select </w:t>
      </w:r>
      <w:r w:rsidR="001547E8" w:rsidRPr="00A64FB4">
        <w:rPr>
          <w:rFonts w:cs="Arial"/>
        </w:rPr>
        <w:t>samples that did not amplify or</w:t>
      </w:r>
      <w:r>
        <w:rPr>
          <w:rFonts w:cs="Arial"/>
        </w:rPr>
        <w:t xml:space="preserve"> that have jagged melting peaks, </w:t>
      </w:r>
      <w:r>
        <w:rPr>
          <w:rFonts w:cs="Arial"/>
          <w:color w:val="FF0000"/>
        </w:rPr>
        <w:t xml:space="preserve">then </w:t>
      </w:r>
      <w:r>
        <w:rPr>
          <w:rFonts w:cs="Arial"/>
        </w:rPr>
        <w:t>go to “New Call</w:t>
      </w:r>
      <w:r w:rsidRPr="00664ECF">
        <w:rPr>
          <w:rFonts w:cs="Arial"/>
        </w:rPr>
        <w:t xml:space="preserve">” </w:t>
      </w:r>
      <w:r w:rsidRPr="00752630">
        <w:rPr>
          <w:rFonts w:cs="Arial"/>
          <w:color w:val="FF0000"/>
        </w:rPr>
        <w:t xml:space="preserve">and select “Negative” </w:t>
      </w:r>
      <w:r w:rsidRPr="00513944">
        <w:rPr>
          <w:rFonts w:cs="Arial"/>
          <w:b/>
        </w:rPr>
        <w:t>[4.2.1 – SCREEN]</w:t>
      </w:r>
      <w:r>
        <w:rPr>
          <w:rFonts w:cs="Arial"/>
          <w:b/>
        </w:rPr>
        <w:t xml:space="preserve"> </w:t>
      </w:r>
      <w:proofErr w:type="gramStart"/>
      <w:r w:rsidR="001547E8" w:rsidRPr="00664ECF">
        <w:rPr>
          <w:rFonts w:cs="Arial"/>
        </w:rPr>
        <w:t>After</w:t>
      </w:r>
      <w:proofErr w:type="gramEnd"/>
      <w:r w:rsidR="001547E8" w:rsidRPr="00664ECF">
        <w:rPr>
          <w:rFonts w:cs="Arial"/>
        </w:rPr>
        <w:t xml:space="preserve"> selecting </w:t>
      </w:r>
      <w:r>
        <w:rPr>
          <w:rFonts w:cs="Arial"/>
          <w:color w:val="FF0000"/>
        </w:rPr>
        <w:t xml:space="preserve">any remaining </w:t>
      </w:r>
      <w:r w:rsidR="001547E8" w:rsidRPr="00664ECF">
        <w:rPr>
          <w:rFonts w:cs="Arial"/>
        </w:rPr>
        <w:t xml:space="preserve">misclassified samples, </w:t>
      </w:r>
      <w:r w:rsidRPr="00752630">
        <w:rPr>
          <w:rFonts w:cs="Arial"/>
          <w:color w:val="FF0000"/>
        </w:rPr>
        <w:t>go to “New Call,”</w:t>
      </w:r>
      <w:r>
        <w:rPr>
          <w:rFonts w:cs="Arial"/>
          <w:color w:val="FF0000"/>
        </w:rPr>
        <w:t xml:space="preserve"> </w:t>
      </w:r>
      <w:r w:rsidR="001547E8" w:rsidRPr="00664ECF">
        <w:rPr>
          <w:rFonts w:cs="Arial"/>
        </w:rPr>
        <w:t>select the appropriate grouping, and click “Apply Change.”</w:t>
      </w:r>
      <w:r w:rsidR="00513944">
        <w:rPr>
          <w:rFonts w:cs="Arial"/>
        </w:rPr>
        <w:t xml:space="preserve"> </w:t>
      </w:r>
      <w:r w:rsidR="00513944" w:rsidRPr="00513944">
        <w:rPr>
          <w:rFonts w:cs="Arial"/>
          <w:b/>
        </w:rPr>
        <w:t>[4.2.2 – SCREEN]</w:t>
      </w:r>
    </w:p>
    <w:p w14:paraId="246CA1CB" w14:textId="77777777" w:rsidR="00A12B56" w:rsidRPr="00513944" w:rsidRDefault="00A12B56" w:rsidP="00A12B56">
      <w:pPr>
        <w:ind w:left="1080"/>
        <w:jc w:val="both"/>
        <w:outlineLvl w:val="0"/>
        <w:rPr>
          <w:rFonts w:ascii="Times New Roman" w:hAnsi="Times New Roman"/>
          <w:szCs w:val="24"/>
        </w:rPr>
      </w:pPr>
    </w:p>
    <w:p w14:paraId="56D5605D" w14:textId="7B9C6464" w:rsidR="00513944" w:rsidRPr="00B17052" w:rsidRDefault="00A12B56" w:rsidP="00513944">
      <w:pPr>
        <w:numPr>
          <w:ilvl w:val="2"/>
          <w:numId w:val="12"/>
        </w:numPr>
        <w:jc w:val="both"/>
        <w:outlineLvl w:val="0"/>
        <w:rPr>
          <w:rFonts w:ascii="Times New Roman" w:hAnsi="Times New Roman"/>
          <w:szCs w:val="24"/>
        </w:rPr>
      </w:pPr>
      <w:r w:rsidRPr="00154ED5">
        <w:rPr>
          <w:rFonts w:cs="Arial"/>
          <w:strike/>
        </w:rPr>
        <w:t>Curves to be removed</w:t>
      </w:r>
      <w:r>
        <w:rPr>
          <w:rFonts w:cs="Arial"/>
        </w:rPr>
        <w:t xml:space="preserve"> </w:t>
      </w:r>
      <w:r w:rsidR="00154ED5" w:rsidRPr="00154ED5">
        <w:rPr>
          <w:rFonts w:cs="Arial"/>
          <w:color w:val="FF0000"/>
        </w:rPr>
        <w:t>Negatives</w:t>
      </w:r>
      <w:r w:rsidR="00154ED5" w:rsidRPr="00154ED5">
        <w:rPr>
          <w:rFonts w:cs="Arial"/>
          <w:color w:val="FF0000"/>
        </w:rPr>
        <w:t xml:space="preserve"> </w:t>
      </w:r>
      <w:r>
        <w:rPr>
          <w:rFonts w:cs="Arial"/>
        </w:rPr>
        <w:t>being selected</w:t>
      </w:r>
      <w:r w:rsidR="00154ED5">
        <w:rPr>
          <w:rFonts w:cs="Arial"/>
        </w:rPr>
        <w:t xml:space="preserve"> </w:t>
      </w:r>
      <w:r w:rsidR="00154ED5" w:rsidRPr="00154ED5">
        <w:rPr>
          <w:rFonts w:cs="Arial"/>
          <w:color w:val="FF0000"/>
        </w:rPr>
        <w:t>and grouped</w:t>
      </w:r>
      <w:r>
        <w:rPr>
          <w:rFonts w:cs="Arial"/>
        </w:rPr>
        <w:t>.</w:t>
      </w:r>
    </w:p>
    <w:p w14:paraId="45E8A75F" w14:textId="084E8623" w:rsidR="00B17052" w:rsidRPr="00B17052" w:rsidRDefault="00A12B56" w:rsidP="00513944">
      <w:pPr>
        <w:numPr>
          <w:ilvl w:val="2"/>
          <w:numId w:val="12"/>
        </w:numPr>
        <w:jc w:val="both"/>
        <w:outlineLvl w:val="0"/>
        <w:rPr>
          <w:rFonts w:ascii="Times New Roman" w:hAnsi="Times New Roman"/>
          <w:szCs w:val="24"/>
        </w:rPr>
      </w:pPr>
      <w:r w:rsidRPr="00154ED5">
        <w:rPr>
          <w:rFonts w:ascii="Times New Roman" w:hAnsi="Times New Roman"/>
          <w:strike/>
          <w:szCs w:val="24"/>
        </w:rPr>
        <w:t>Appropriate</w:t>
      </w:r>
      <w:r>
        <w:rPr>
          <w:rFonts w:ascii="Times New Roman" w:hAnsi="Times New Roman"/>
          <w:szCs w:val="24"/>
        </w:rPr>
        <w:t xml:space="preserve"> </w:t>
      </w:r>
      <w:r w:rsidR="00154ED5" w:rsidRPr="00154ED5">
        <w:rPr>
          <w:rFonts w:ascii="Times New Roman" w:hAnsi="Times New Roman"/>
          <w:color w:val="FF0000"/>
          <w:szCs w:val="24"/>
        </w:rPr>
        <w:t xml:space="preserve">Wrong </w:t>
      </w:r>
      <w:r>
        <w:rPr>
          <w:rFonts w:ascii="Times New Roman" w:hAnsi="Times New Roman"/>
          <w:szCs w:val="24"/>
        </w:rPr>
        <w:t xml:space="preserve">grouping being </w:t>
      </w:r>
      <w:r w:rsidRPr="00154ED5">
        <w:rPr>
          <w:rFonts w:ascii="Times New Roman" w:hAnsi="Times New Roman"/>
          <w:strike/>
          <w:szCs w:val="24"/>
        </w:rPr>
        <w:t xml:space="preserve">selected and the </w:t>
      </w:r>
      <w:r w:rsidRPr="00154ED5">
        <w:rPr>
          <w:rFonts w:cs="Arial"/>
          <w:strike/>
        </w:rPr>
        <w:t>“Apply Change” is clicked</w:t>
      </w:r>
      <w:r w:rsidR="00154ED5" w:rsidRPr="00154ED5">
        <w:rPr>
          <w:rFonts w:ascii="Times New Roman" w:hAnsi="Times New Roman"/>
          <w:szCs w:val="24"/>
        </w:rPr>
        <w:t xml:space="preserve"> </w:t>
      </w:r>
      <w:r w:rsidR="00154ED5">
        <w:rPr>
          <w:rFonts w:ascii="Times New Roman" w:hAnsi="Times New Roman"/>
          <w:color w:val="FF0000"/>
          <w:szCs w:val="24"/>
        </w:rPr>
        <w:t>c</w:t>
      </w:r>
      <w:r w:rsidR="00154ED5" w:rsidRPr="00154ED5">
        <w:rPr>
          <w:rFonts w:ascii="Times New Roman" w:hAnsi="Times New Roman"/>
          <w:color w:val="FF0000"/>
          <w:szCs w:val="24"/>
        </w:rPr>
        <w:t>orrected</w:t>
      </w:r>
      <w:r w:rsidR="00154ED5">
        <w:rPr>
          <w:rFonts w:ascii="Times New Roman" w:hAnsi="Times New Roman"/>
          <w:color w:val="FF0000"/>
          <w:szCs w:val="24"/>
        </w:rPr>
        <w:t>.</w:t>
      </w:r>
    </w:p>
    <w:p w14:paraId="46FD4892" w14:textId="77777777" w:rsidR="00F51816" w:rsidRPr="00664ECF" w:rsidRDefault="00F51816" w:rsidP="00F51816">
      <w:pPr>
        <w:ind w:left="1080"/>
        <w:jc w:val="both"/>
        <w:outlineLvl w:val="0"/>
        <w:rPr>
          <w:rFonts w:ascii="Times New Roman" w:hAnsi="Times New Roman"/>
          <w:szCs w:val="24"/>
        </w:rPr>
      </w:pPr>
    </w:p>
    <w:p w14:paraId="7DD5EF76" w14:textId="423187F3" w:rsidR="00D02D6A" w:rsidRPr="00D520A6" w:rsidRDefault="00154ED5" w:rsidP="00154ED5">
      <w:pPr>
        <w:numPr>
          <w:ilvl w:val="1"/>
          <w:numId w:val="12"/>
        </w:numPr>
        <w:jc w:val="both"/>
        <w:outlineLvl w:val="0"/>
        <w:rPr>
          <w:rFonts w:ascii="Times New Roman" w:hAnsi="Times New Roman"/>
          <w:szCs w:val="24"/>
        </w:rPr>
      </w:pPr>
      <w:r w:rsidRPr="00154ED5">
        <w:rPr>
          <w:rFonts w:cs="Arial"/>
          <w:highlight w:val="green"/>
        </w:rPr>
        <w:t>4.2</w:t>
      </w:r>
      <w:r>
        <w:rPr>
          <w:rFonts w:cs="Arial"/>
        </w:rPr>
        <w:t xml:space="preserve"> </w:t>
      </w:r>
      <w:r w:rsidR="00FF5BDF">
        <w:rPr>
          <w:rFonts w:cs="Arial"/>
        </w:rPr>
        <w:t xml:space="preserve">The </w:t>
      </w:r>
      <w:r w:rsidRPr="00154ED5">
        <w:rPr>
          <w:rFonts w:cs="Arial"/>
          <w:color w:val="FF0000"/>
        </w:rPr>
        <w:t>first</w:t>
      </w:r>
      <w:r w:rsidR="00FF5BDF" w:rsidRPr="00154ED5">
        <w:rPr>
          <w:rFonts w:cs="Arial"/>
          <w:color w:val="FF0000"/>
        </w:rPr>
        <w:t xml:space="preserve"> </w:t>
      </w:r>
      <w:r w:rsidR="00FF5BDF">
        <w:rPr>
          <w:rFonts w:cs="Arial"/>
        </w:rPr>
        <w:t xml:space="preserve">step </w:t>
      </w:r>
      <w:r w:rsidRPr="00752630">
        <w:rPr>
          <w:rFonts w:cs="Arial"/>
          <w:color w:val="FF0000"/>
        </w:rPr>
        <w:t>for melting anal</w:t>
      </w:r>
      <w:r>
        <w:rPr>
          <w:rFonts w:cs="Arial"/>
          <w:color w:val="FF0000"/>
        </w:rPr>
        <w:t xml:space="preserve">ysis on the </w:t>
      </w:r>
      <w:proofErr w:type="spellStart"/>
      <w:r>
        <w:rPr>
          <w:rFonts w:cs="Arial"/>
          <w:color w:val="FF0000"/>
        </w:rPr>
        <w:t>LightCycler</w:t>
      </w:r>
      <w:proofErr w:type="spellEnd"/>
      <w:r>
        <w:rPr>
          <w:rFonts w:cs="Arial"/>
          <w:color w:val="FF0000"/>
        </w:rPr>
        <w:t xml:space="preserve"> 480 </w:t>
      </w:r>
      <w:r w:rsidR="00FF5BDF">
        <w:rPr>
          <w:rFonts w:cs="Arial"/>
        </w:rPr>
        <w:t>is normalization: f</w:t>
      </w:r>
      <w:r w:rsidR="001547E8" w:rsidRPr="001547E8">
        <w:rPr>
          <w:rFonts w:cs="Arial"/>
        </w:rPr>
        <w:t>rom the negative derivative of normalized fluorescence with respect to temper</w:t>
      </w:r>
      <w:r w:rsidR="00D520A6">
        <w:rPr>
          <w:rFonts w:cs="Arial"/>
        </w:rPr>
        <w:t>ature</w:t>
      </w:r>
      <w:r w:rsidR="001547E8" w:rsidRPr="001547E8">
        <w:rPr>
          <w:rFonts w:cs="Arial"/>
        </w:rPr>
        <w:t xml:space="preserve"> view, move normalization bars to surround the probe melt region. The probe melt region is the lower temperature of the two melting regions. The normalization bars should be </w:t>
      </w:r>
      <w:r w:rsidR="00D520A6">
        <w:rPr>
          <w:rFonts w:cs="Arial"/>
        </w:rPr>
        <w:t>at the base of the melt peaks.</w:t>
      </w:r>
      <w:r w:rsidR="00D520A6" w:rsidRPr="00D520A6">
        <w:rPr>
          <w:rFonts w:cs="Arial"/>
        </w:rPr>
        <w:t xml:space="preserve"> </w:t>
      </w:r>
      <w:r w:rsidR="00D520A6" w:rsidRPr="00D520A6">
        <w:rPr>
          <w:rFonts w:cs="Arial"/>
          <w:b/>
        </w:rPr>
        <w:t>[4.</w:t>
      </w:r>
      <w:r w:rsidRPr="00154ED5">
        <w:rPr>
          <w:rFonts w:cs="Arial"/>
          <w:b/>
          <w:color w:val="FF0000"/>
        </w:rPr>
        <w:t>2</w:t>
      </w:r>
      <w:r w:rsidR="00D520A6" w:rsidRPr="00D520A6">
        <w:rPr>
          <w:rFonts w:cs="Arial"/>
          <w:b/>
        </w:rPr>
        <w:t>.1 – SCREEN]</w:t>
      </w:r>
    </w:p>
    <w:p w14:paraId="280744CC" w14:textId="77777777" w:rsidR="00D520A6" w:rsidRPr="00D520A6" w:rsidRDefault="00D520A6" w:rsidP="00D520A6">
      <w:pPr>
        <w:ind w:left="1080"/>
        <w:jc w:val="both"/>
        <w:outlineLvl w:val="0"/>
        <w:rPr>
          <w:rFonts w:ascii="Times New Roman" w:hAnsi="Times New Roman"/>
          <w:szCs w:val="24"/>
        </w:rPr>
      </w:pPr>
    </w:p>
    <w:p w14:paraId="49771803" w14:textId="740F2BE2" w:rsidR="00D520A6" w:rsidRPr="00D520A6" w:rsidRDefault="00154ED5" w:rsidP="00D520A6">
      <w:pPr>
        <w:numPr>
          <w:ilvl w:val="2"/>
          <w:numId w:val="12"/>
        </w:numPr>
        <w:jc w:val="both"/>
        <w:outlineLvl w:val="0"/>
        <w:rPr>
          <w:rFonts w:ascii="Times New Roman" w:hAnsi="Times New Roman"/>
          <w:szCs w:val="24"/>
        </w:rPr>
      </w:pPr>
      <w:r w:rsidRPr="00154ED5">
        <w:rPr>
          <w:rFonts w:cs="Arial"/>
          <w:highlight w:val="green"/>
        </w:rPr>
        <w:t>4.2.1</w:t>
      </w:r>
      <w:r>
        <w:rPr>
          <w:rFonts w:cs="Arial"/>
        </w:rPr>
        <w:t xml:space="preserve"> </w:t>
      </w:r>
      <w:r w:rsidR="00D520A6" w:rsidRPr="00D520A6">
        <w:rPr>
          <w:rFonts w:cs="Arial"/>
        </w:rPr>
        <w:t>Normalization bars being moved to surround the probe melt region.</w:t>
      </w:r>
    </w:p>
    <w:p w14:paraId="13508DB0" w14:textId="77777777" w:rsidR="00F51816" w:rsidRDefault="00F51816" w:rsidP="00F51816">
      <w:pPr>
        <w:ind w:left="1080"/>
        <w:jc w:val="both"/>
        <w:outlineLvl w:val="0"/>
        <w:rPr>
          <w:rFonts w:ascii="Times New Roman" w:hAnsi="Times New Roman"/>
          <w:szCs w:val="24"/>
        </w:rPr>
      </w:pPr>
    </w:p>
    <w:p w14:paraId="14584A51" w14:textId="013958A3" w:rsidR="00D02D6A" w:rsidRPr="00BC4166" w:rsidRDefault="00154ED5" w:rsidP="00F51816">
      <w:pPr>
        <w:numPr>
          <w:ilvl w:val="1"/>
          <w:numId w:val="12"/>
        </w:numPr>
        <w:jc w:val="both"/>
        <w:outlineLvl w:val="0"/>
        <w:rPr>
          <w:rFonts w:ascii="Times New Roman" w:hAnsi="Times New Roman"/>
          <w:szCs w:val="24"/>
        </w:rPr>
      </w:pPr>
      <w:r w:rsidRPr="00154ED5">
        <w:rPr>
          <w:rFonts w:cs="Arial"/>
          <w:highlight w:val="green"/>
        </w:rPr>
        <w:t>4.3</w:t>
      </w:r>
      <w:r>
        <w:rPr>
          <w:rFonts w:cs="Arial"/>
        </w:rPr>
        <w:t xml:space="preserve"> </w:t>
      </w:r>
      <w:r w:rsidR="00D02D6A" w:rsidRPr="00D02D6A">
        <w:rPr>
          <w:rFonts w:cs="Arial"/>
        </w:rPr>
        <w:t>After normalization, select ‘Calculate groups’ to automatically assign samples to groups.</w:t>
      </w:r>
      <w:r w:rsidR="00D02D6A">
        <w:rPr>
          <w:rFonts w:cs="Arial"/>
        </w:rPr>
        <w:t xml:space="preserve"> </w:t>
      </w:r>
      <w:r w:rsidR="00BC4166" w:rsidRPr="00BC4166">
        <w:rPr>
          <w:rFonts w:cs="Arial"/>
          <w:b/>
        </w:rPr>
        <w:t>[4.</w:t>
      </w:r>
      <w:r w:rsidRPr="00154ED5">
        <w:rPr>
          <w:rFonts w:cs="Arial"/>
          <w:b/>
          <w:color w:val="FF0000"/>
        </w:rPr>
        <w:t>3</w:t>
      </w:r>
      <w:r w:rsidR="00BC4166" w:rsidRPr="00BC4166">
        <w:rPr>
          <w:rFonts w:cs="Arial"/>
          <w:b/>
        </w:rPr>
        <w:t>.1 – SCREEN]</w:t>
      </w:r>
      <w:r w:rsidR="00BC4166">
        <w:rPr>
          <w:rFonts w:cs="Arial"/>
          <w:b/>
        </w:rPr>
        <w:t xml:space="preserve"> </w:t>
      </w:r>
    </w:p>
    <w:p w14:paraId="720F0214" w14:textId="77777777" w:rsidR="00BC4166" w:rsidRPr="00BC4166" w:rsidRDefault="00BC4166" w:rsidP="00BC4166">
      <w:pPr>
        <w:ind w:left="1080"/>
        <w:jc w:val="both"/>
        <w:outlineLvl w:val="0"/>
        <w:rPr>
          <w:rFonts w:ascii="Times New Roman" w:hAnsi="Times New Roman"/>
          <w:szCs w:val="24"/>
        </w:rPr>
      </w:pPr>
    </w:p>
    <w:p w14:paraId="11EC5D58" w14:textId="25AEE91B" w:rsidR="00BC4166" w:rsidRPr="00BC4166" w:rsidRDefault="00154ED5" w:rsidP="00BC4166">
      <w:pPr>
        <w:numPr>
          <w:ilvl w:val="2"/>
          <w:numId w:val="12"/>
        </w:numPr>
        <w:jc w:val="both"/>
        <w:outlineLvl w:val="0"/>
        <w:rPr>
          <w:rFonts w:ascii="Times New Roman" w:hAnsi="Times New Roman"/>
          <w:szCs w:val="24"/>
        </w:rPr>
      </w:pPr>
      <w:r w:rsidRPr="00154ED5">
        <w:rPr>
          <w:rFonts w:cs="Arial"/>
          <w:highlight w:val="green"/>
        </w:rPr>
        <w:t>4.3.1</w:t>
      </w:r>
      <w:r>
        <w:rPr>
          <w:rFonts w:cs="Arial"/>
        </w:rPr>
        <w:t xml:space="preserve"> </w:t>
      </w:r>
      <w:r w:rsidR="00BC4166" w:rsidRPr="00BC4166">
        <w:rPr>
          <w:rFonts w:cs="Arial"/>
        </w:rPr>
        <w:t>Samples being assigned to groups by selecting ‘</w:t>
      </w:r>
      <w:r w:rsidR="00BC4166" w:rsidRPr="00D02D6A">
        <w:rPr>
          <w:rFonts w:cs="Arial"/>
        </w:rPr>
        <w:t>C</w:t>
      </w:r>
      <w:r w:rsidR="00BC4166">
        <w:rPr>
          <w:rFonts w:cs="Arial"/>
        </w:rPr>
        <w:t xml:space="preserve">alculate groups.’ </w:t>
      </w:r>
    </w:p>
    <w:p w14:paraId="14EA4970" w14:textId="339B90CE" w:rsidR="00BC4166" w:rsidRPr="00154ED5" w:rsidRDefault="00BC4166" w:rsidP="00BC4166">
      <w:pPr>
        <w:numPr>
          <w:ilvl w:val="2"/>
          <w:numId w:val="12"/>
        </w:numPr>
        <w:jc w:val="both"/>
        <w:outlineLvl w:val="0"/>
        <w:rPr>
          <w:rFonts w:ascii="Times New Roman" w:hAnsi="Times New Roman"/>
          <w:strike/>
          <w:szCs w:val="24"/>
        </w:rPr>
      </w:pPr>
      <w:r w:rsidRPr="00154ED5">
        <w:rPr>
          <w:rFonts w:ascii="Times New Roman" w:hAnsi="Times New Roman"/>
          <w:strike/>
          <w:szCs w:val="24"/>
        </w:rPr>
        <w:t>Samples being manually assigned to specific groups.</w:t>
      </w:r>
    </w:p>
    <w:p w14:paraId="1A27D3CE" w14:textId="77777777" w:rsidR="00F51816" w:rsidRPr="00D02D6A" w:rsidRDefault="00F51816" w:rsidP="00F51816">
      <w:pPr>
        <w:ind w:left="1080"/>
        <w:jc w:val="both"/>
        <w:outlineLvl w:val="0"/>
        <w:rPr>
          <w:rFonts w:ascii="Times New Roman" w:hAnsi="Times New Roman"/>
          <w:szCs w:val="24"/>
        </w:rPr>
      </w:pPr>
    </w:p>
    <w:p w14:paraId="04F5392A" w14:textId="6F1D1BC3" w:rsidR="001547E8" w:rsidRPr="00460B4C" w:rsidRDefault="000B6763" w:rsidP="00F51816">
      <w:pPr>
        <w:numPr>
          <w:ilvl w:val="1"/>
          <w:numId w:val="12"/>
        </w:numPr>
        <w:jc w:val="both"/>
        <w:outlineLvl w:val="0"/>
        <w:rPr>
          <w:rFonts w:ascii="Times New Roman" w:hAnsi="Times New Roman"/>
          <w:szCs w:val="24"/>
        </w:rPr>
      </w:pPr>
      <w:r w:rsidRPr="00666D29">
        <w:rPr>
          <w:rFonts w:cs="Arial"/>
        </w:rPr>
        <w:t xml:space="preserve">Assign genotypes for each group based on </w:t>
      </w:r>
      <w:r w:rsidR="00FF5BDF">
        <w:rPr>
          <w:rFonts w:cs="Arial"/>
        </w:rPr>
        <w:t>the standards</w:t>
      </w:r>
      <w:r w:rsidRPr="00666D29">
        <w:rPr>
          <w:rFonts w:cs="Arial"/>
        </w:rPr>
        <w:t>.</w:t>
      </w:r>
      <w:r w:rsidRPr="000B6763">
        <w:rPr>
          <w:rFonts w:cs="Arial"/>
        </w:rPr>
        <w:t xml:space="preserve"> </w:t>
      </w:r>
      <w:r w:rsidR="00FF5BDF">
        <w:rPr>
          <w:rFonts w:cs="Arial"/>
        </w:rPr>
        <w:t>After confirming</w:t>
      </w:r>
      <w:r w:rsidRPr="00666D29">
        <w:rPr>
          <w:rFonts w:cs="Arial"/>
        </w:rPr>
        <w:t xml:space="preserve"> that the comput</w:t>
      </w:r>
      <w:r>
        <w:rPr>
          <w:rFonts w:cs="Arial"/>
        </w:rPr>
        <w:t>ed groups are correct</w:t>
      </w:r>
      <w:r w:rsidRPr="00666D29">
        <w:rPr>
          <w:rFonts w:cs="Arial"/>
        </w:rPr>
        <w:t>, select “Edit Group Names” under the “Grouping” tab.</w:t>
      </w:r>
      <w:r w:rsidR="006B01EB">
        <w:rPr>
          <w:rFonts w:cs="Arial"/>
        </w:rPr>
        <w:t xml:space="preserve"> </w:t>
      </w:r>
      <w:r w:rsidR="006B01EB" w:rsidRPr="006B01EB">
        <w:rPr>
          <w:rFonts w:cs="Arial"/>
          <w:b/>
        </w:rPr>
        <w:t>[4.5.1 – SCREEN]</w:t>
      </w:r>
    </w:p>
    <w:p w14:paraId="0D29D81E" w14:textId="77777777" w:rsidR="00460B4C" w:rsidRPr="00460B4C" w:rsidRDefault="00460B4C" w:rsidP="00460B4C">
      <w:pPr>
        <w:ind w:left="1080"/>
        <w:jc w:val="both"/>
        <w:outlineLvl w:val="0"/>
        <w:rPr>
          <w:rFonts w:ascii="Times New Roman" w:hAnsi="Times New Roman"/>
          <w:szCs w:val="24"/>
        </w:rPr>
      </w:pPr>
    </w:p>
    <w:p w14:paraId="1E0DFDE8" w14:textId="6AB06BF0" w:rsidR="00460B4C" w:rsidRPr="00460B4C" w:rsidRDefault="00460B4C" w:rsidP="00460B4C">
      <w:pPr>
        <w:numPr>
          <w:ilvl w:val="2"/>
          <w:numId w:val="12"/>
        </w:numPr>
        <w:jc w:val="both"/>
        <w:outlineLvl w:val="0"/>
        <w:rPr>
          <w:rFonts w:ascii="Times New Roman" w:hAnsi="Times New Roman"/>
          <w:szCs w:val="24"/>
        </w:rPr>
      </w:pPr>
      <w:r w:rsidRPr="00460B4C">
        <w:rPr>
          <w:rFonts w:cs="Arial"/>
        </w:rPr>
        <w:t>Genotypes being assigned for each group, then “Edit Group Names” being selected.</w:t>
      </w:r>
    </w:p>
    <w:p w14:paraId="4E9EC3FE" w14:textId="77777777" w:rsidR="00F51816" w:rsidRPr="00D303E1" w:rsidRDefault="00F51816" w:rsidP="00F51816">
      <w:pPr>
        <w:ind w:left="1080"/>
        <w:jc w:val="both"/>
        <w:outlineLvl w:val="0"/>
        <w:rPr>
          <w:rFonts w:ascii="Times New Roman" w:hAnsi="Times New Roman"/>
          <w:szCs w:val="24"/>
        </w:rPr>
      </w:pPr>
    </w:p>
    <w:p w14:paraId="3BD1C8E8" w14:textId="68C1B26F" w:rsidR="00F51816" w:rsidRPr="00592919" w:rsidRDefault="00D303E1" w:rsidP="00F51816">
      <w:pPr>
        <w:numPr>
          <w:ilvl w:val="1"/>
          <w:numId w:val="12"/>
        </w:numPr>
        <w:jc w:val="both"/>
        <w:outlineLvl w:val="0"/>
        <w:rPr>
          <w:rFonts w:ascii="Times New Roman" w:hAnsi="Times New Roman"/>
          <w:szCs w:val="24"/>
        </w:rPr>
      </w:pPr>
      <w:r w:rsidRPr="00666D29">
        <w:rPr>
          <w:rFonts w:cs="Arial"/>
        </w:rPr>
        <w:t>Enter the genotypes of the standards into</w:t>
      </w:r>
      <w:r>
        <w:rPr>
          <w:rFonts w:cs="Arial"/>
        </w:rPr>
        <w:t xml:space="preserve"> the corresponding colored box.  F</w:t>
      </w:r>
      <w:r w:rsidRPr="00666D29">
        <w:rPr>
          <w:rFonts w:cs="Arial"/>
        </w:rPr>
        <w:t xml:space="preserve">or example, if standard 3d7 has a known </w:t>
      </w:r>
      <w:r w:rsidR="00475430">
        <w:rPr>
          <w:rFonts w:cs="Arial"/>
        </w:rPr>
        <w:t>‘</w:t>
      </w:r>
      <w:r w:rsidRPr="00666D29">
        <w:rPr>
          <w:rFonts w:cs="Arial"/>
        </w:rPr>
        <w:t>A</w:t>
      </w:r>
      <w:r w:rsidR="00475430">
        <w:rPr>
          <w:rFonts w:cs="Arial"/>
        </w:rPr>
        <w:t>’</w:t>
      </w:r>
      <w:r w:rsidRPr="00666D29">
        <w:rPr>
          <w:rFonts w:cs="Arial"/>
        </w:rPr>
        <w:t xml:space="preserve"> genotype and is in </w:t>
      </w:r>
      <w:r w:rsidR="00ED1B50" w:rsidRPr="00752630">
        <w:rPr>
          <w:rFonts w:cs="Arial"/>
          <w:color w:val="FF0000"/>
        </w:rPr>
        <w:t>Group</w:t>
      </w:r>
      <w:r w:rsidR="00ED1B50">
        <w:rPr>
          <w:rFonts w:cs="Arial"/>
        </w:rPr>
        <w:t xml:space="preserve"> </w:t>
      </w:r>
      <w:r w:rsidR="00ED1B50" w:rsidRPr="00752630">
        <w:rPr>
          <w:rFonts w:cs="Arial"/>
          <w:color w:val="FF0000"/>
        </w:rPr>
        <w:t>1</w:t>
      </w:r>
      <w:r>
        <w:rPr>
          <w:rFonts w:cs="Arial"/>
        </w:rPr>
        <w:t xml:space="preserve">, </w:t>
      </w:r>
      <w:r w:rsidR="00ED1B50" w:rsidRPr="00FA65D8">
        <w:rPr>
          <w:rFonts w:cs="Arial"/>
          <w:color w:val="FF0000"/>
        </w:rPr>
        <w:t>then all samples in Group 1 have</w:t>
      </w:r>
      <w:r>
        <w:rPr>
          <w:rFonts w:cs="Arial"/>
        </w:rPr>
        <w:t xml:space="preserve"> genotype </w:t>
      </w:r>
      <w:r w:rsidR="00475430">
        <w:rPr>
          <w:rFonts w:cs="Arial"/>
        </w:rPr>
        <w:t>‘</w:t>
      </w:r>
      <w:r>
        <w:rPr>
          <w:rFonts w:cs="Arial"/>
        </w:rPr>
        <w:t>A</w:t>
      </w:r>
      <w:r w:rsidR="00475430">
        <w:rPr>
          <w:rFonts w:cs="Arial"/>
        </w:rPr>
        <w:t>’</w:t>
      </w:r>
      <w:r w:rsidRPr="00666D29">
        <w:rPr>
          <w:rFonts w:cs="Arial"/>
        </w:rPr>
        <w:t>.  Press “</w:t>
      </w:r>
      <w:r w:rsidR="00ED1B50" w:rsidRPr="00FA65D8">
        <w:rPr>
          <w:rFonts w:cs="Arial"/>
          <w:color w:val="FF0000"/>
        </w:rPr>
        <w:t>Results</w:t>
      </w:r>
      <w:r w:rsidRPr="00666D29">
        <w:rPr>
          <w:rFonts w:cs="Arial"/>
        </w:rPr>
        <w:t xml:space="preserve">” </w:t>
      </w:r>
      <w:r>
        <w:rPr>
          <w:rFonts w:cs="Arial"/>
        </w:rPr>
        <w:t xml:space="preserve">and </w:t>
      </w:r>
      <w:r w:rsidRPr="00666D29">
        <w:rPr>
          <w:rFonts w:cs="Arial"/>
        </w:rPr>
        <w:t xml:space="preserve">the </w:t>
      </w:r>
      <w:r w:rsidR="00ED1B50" w:rsidRPr="00FA65D8">
        <w:rPr>
          <w:rFonts w:cs="Arial"/>
          <w:color w:val="FF0000"/>
        </w:rPr>
        <w:t xml:space="preserve">genotypes are displayed beside </w:t>
      </w:r>
      <w:r w:rsidR="00ED1B50">
        <w:rPr>
          <w:rFonts w:cs="Arial"/>
          <w:color w:val="FF0000"/>
        </w:rPr>
        <w:t xml:space="preserve">the </w:t>
      </w:r>
      <w:r w:rsidR="00ED1B50" w:rsidRPr="00FA65D8">
        <w:rPr>
          <w:rFonts w:cs="Arial"/>
          <w:color w:val="FF0000"/>
        </w:rPr>
        <w:t>samples</w:t>
      </w:r>
      <w:r w:rsidRPr="00666D29">
        <w:rPr>
          <w:rFonts w:cs="Arial"/>
        </w:rPr>
        <w:t>.</w:t>
      </w:r>
      <w:r w:rsidR="00592919">
        <w:rPr>
          <w:rFonts w:cs="Arial"/>
        </w:rPr>
        <w:t xml:space="preserve"> </w:t>
      </w:r>
      <w:r w:rsidR="00592919" w:rsidRPr="00592919">
        <w:rPr>
          <w:rFonts w:cs="Arial"/>
          <w:b/>
        </w:rPr>
        <w:t>[4.6.1 –SCREEN]</w:t>
      </w:r>
    </w:p>
    <w:p w14:paraId="73BBCF6A" w14:textId="77777777" w:rsidR="00592919" w:rsidRPr="00592919" w:rsidRDefault="00592919" w:rsidP="00592919">
      <w:pPr>
        <w:ind w:left="1080"/>
        <w:jc w:val="both"/>
        <w:outlineLvl w:val="0"/>
        <w:rPr>
          <w:rFonts w:ascii="Times New Roman" w:hAnsi="Times New Roman"/>
          <w:szCs w:val="24"/>
        </w:rPr>
      </w:pPr>
    </w:p>
    <w:p w14:paraId="1E84F52D" w14:textId="16B54C1F" w:rsidR="00592919" w:rsidRPr="00592919" w:rsidRDefault="00592919" w:rsidP="00592919">
      <w:pPr>
        <w:numPr>
          <w:ilvl w:val="2"/>
          <w:numId w:val="12"/>
        </w:numPr>
        <w:jc w:val="both"/>
        <w:outlineLvl w:val="0"/>
        <w:rPr>
          <w:rFonts w:ascii="Times New Roman" w:hAnsi="Times New Roman"/>
          <w:szCs w:val="24"/>
        </w:rPr>
      </w:pPr>
      <w:r w:rsidRPr="00ED1B50">
        <w:rPr>
          <w:rFonts w:cs="Arial"/>
          <w:strike/>
        </w:rPr>
        <w:t>Genotype A being entered into the red box</w:t>
      </w:r>
      <w:r w:rsidRPr="00592919">
        <w:rPr>
          <w:rFonts w:cs="Arial"/>
        </w:rPr>
        <w:t>.</w:t>
      </w:r>
      <w:r>
        <w:rPr>
          <w:rFonts w:cs="Arial"/>
        </w:rPr>
        <w:t xml:space="preserve"> </w:t>
      </w:r>
      <w:r w:rsidR="00ED1B50" w:rsidRPr="00FA65D8">
        <w:rPr>
          <w:rFonts w:cs="Arial"/>
          <w:color w:val="FF0000"/>
        </w:rPr>
        <w:t xml:space="preserve">Groups 1, 2, and 3 are relabeled by their genotype. </w:t>
      </w:r>
      <w:r>
        <w:rPr>
          <w:rFonts w:cs="Arial"/>
        </w:rPr>
        <w:t xml:space="preserve"> “</w:t>
      </w:r>
      <w:r w:rsidRPr="00ED1B50">
        <w:rPr>
          <w:rFonts w:cs="Arial"/>
          <w:strike/>
        </w:rPr>
        <w:t>OK</w:t>
      </w:r>
      <w:r w:rsidR="00ED1B50">
        <w:rPr>
          <w:rFonts w:cs="Arial"/>
        </w:rPr>
        <w:t xml:space="preserve"> </w:t>
      </w:r>
      <w:r w:rsidR="00ED1B50" w:rsidRPr="00ED1B50">
        <w:rPr>
          <w:rFonts w:cs="Arial"/>
          <w:color w:val="FF0000"/>
        </w:rPr>
        <w:t>Results</w:t>
      </w:r>
      <w:r>
        <w:rPr>
          <w:rFonts w:cs="Arial"/>
        </w:rPr>
        <w:t>” is then pressed.</w:t>
      </w:r>
    </w:p>
    <w:p w14:paraId="7A1539C1" w14:textId="77777777" w:rsidR="00F51816" w:rsidRPr="00F51816" w:rsidRDefault="00F51816" w:rsidP="00F51816">
      <w:pPr>
        <w:ind w:left="1080"/>
        <w:jc w:val="both"/>
        <w:outlineLvl w:val="0"/>
        <w:rPr>
          <w:rFonts w:ascii="Times New Roman" w:hAnsi="Times New Roman"/>
          <w:szCs w:val="24"/>
        </w:rPr>
      </w:pPr>
    </w:p>
    <w:p w14:paraId="1B559A46" w14:textId="2221B138" w:rsidR="00F51816" w:rsidRPr="00592919" w:rsidRDefault="001974EB" w:rsidP="00F51816">
      <w:pPr>
        <w:numPr>
          <w:ilvl w:val="1"/>
          <w:numId w:val="12"/>
        </w:numPr>
        <w:jc w:val="both"/>
        <w:outlineLvl w:val="0"/>
        <w:rPr>
          <w:rFonts w:ascii="Times New Roman" w:hAnsi="Times New Roman"/>
          <w:szCs w:val="24"/>
        </w:rPr>
      </w:pPr>
      <w:r>
        <w:rPr>
          <w:rFonts w:cs="Arial"/>
        </w:rPr>
        <w:lastRenderedPageBreak/>
        <w:t>Lastly, e</w:t>
      </w:r>
      <w:r w:rsidR="00D303E1">
        <w:rPr>
          <w:rFonts w:cs="Arial"/>
        </w:rPr>
        <w:t>xport the results</w:t>
      </w:r>
      <w:r w:rsidR="00D303E1" w:rsidRPr="00666D29">
        <w:rPr>
          <w:rFonts w:cs="Arial"/>
        </w:rPr>
        <w:t xml:space="preserve"> as a</w:t>
      </w:r>
      <w:r w:rsidR="00ED1B50" w:rsidRPr="00FA65D8">
        <w:rPr>
          <w:rFonts w:cs="Arial"/>
          <w:color w:val="FF0000"/>
        </w:rPr>
        <w:t>.txt file</w:t>
      </w:r>
      <w:r w:rsidR="00ED1B50" w:rsidRPr="00666D29">
        <w:rPr>
          <w:rFonts w:cs="Arial"/>
        </w:rPr>
        <w:t xml:space="preserve"> </w:t>
      </w:r>
      <w:r w:rsidR="00D303E1" w:rsidRPr="00666D29">
        <w:rPr>
          <w:rFonts w:cs="Arial"/>
        </w:rPr>
        <w:t>for further sample population analysis.</w:t>
      </w:r>
      <w:r w:rsidR="00592919">
        <w:rPr>
          <w:rFonts w:cs="Arial"/>
        </w:rPr>
        <w:t xml:space="preserve"> </w:t>
      </w:r>
      <w:r w:rsidR="00592919" w:rsidRPr="00592919">
        <w:rPr>
          <w:rFonts w:cs="Arial"/>
          <w:b/>
        </w:rPr>
        <w:t xml:space="preserve">[4.7.1 – </w:t>
      </w:r>
      <w:r w:rsidR="00592919" w:rsidRPr="00ED1B50">
        <w:rPr>
          <w:rFonts w:cs="Arial"/>
          <w:b/>
          <w:strike/>
        </w:rPr>
        <w:t>MED</w:t>
      </w:r>
      <w:r w:rsidR="00ED1B50">
        <w:rPr>
          <w:rFonts w:cs="Arial"/>
          <w:b/>
        </w:rPr>
        <w:t xml:space="preserve"> </w:t>
      </w:r>
      <w:r w:rsidR="00ED1B50" w:rsidRPr="00ED1B50">
        <w:rPr>
          <w:rFonts w:cs="Arial"/>
          <w:b/>
          <w:color w:val="FF0000"/>
        </w:rPr>
        <w:t>SCREEN</w:t>
      </w:r>
      <w:r w:rsidR="00592919" w:rsidRPr="00592919">
        <w:rPr>
          <w:rFonts w:cs="Arial"/>
          <w:b/>
        </w:rPr>
        <w:t>]</w:t>
      </w:r>
    </w:p>
    <w:p w14:paraId="070F1957" w14:textId="77777777" w:rsidR="00592919" w:rsidRPr="00592919" w:rsidRDefault="00592919" w:rsidP="00592919">
      <w:pPr>
        <w:ind w:left="1080"/>
        <w:jc w:val="both"/>
        <w:outlineLvl w:val="0"/>
        <w:rPr>
          <w:rFonts w:ascii="Times New Roman" w:hAnsi="Times New Roman"/>
          <w:szCs w:val="24"/>
        </w:rPr>
      </w:pPr>
    </w:p>
    <w:p w14:paraId="67F7ECB8" w14:textId="77777777" w:rsidR="00ED1B50" w:rsidRPr="00ED1B50" w:rsidRDefault="00592919" w:rsidP="00ED1B50">
      <w:pPr>
        <w:numPr>
          <w:ilvl w:val="2"/>
          <w:numId w:val="12"/>
        </w:numPr>
        <w:jc w:val="both"/>
        <w:outlineLvl w:val="0"/>
        <w:rPr>
          <w:rFonts w:ascii="Times New Roman" w:hAnsi="Times New Roman"/>
          <w:szCs w:val="24"/>
        </w:rPr>
      </w:pPr>
      <w:r w:rsidRPr="00592919">
        <w:rPr>
          <w:rFonts w:cs="Arial"/>
        </w:rPr>
        <w:t xml:space="preserve">Talent exporting results </w:t>
      </w:r>
      <w:r w:rsidRPr="00ED1B50">
        <w:rPr>
          <w:rFonts w:cs="Arial"/>
          <w:strike/>
        </w:rPr>
        <w:t>as a spreadsheet</w:t>
      </w:r>
      <w:r w:rsidRPr="00592919">
        <w:rPr>
          <w:rFonts w:cs="Arial"/>
        </w:rPr>
        <w:t>.</w:t>
      </w:r>
    </w:p>
    <w:p w14:paraId="38C8277A" w14:textId="77777777" w:rsidR="00ED1B50" w:rsidRPr="00ED1B50" w:rsidRDefault="00ED1B50" w:rsidP="00ED1B50">
      <w:pPr>
        <w:ind w:left="1368"/>
        <w:jc w:val="both"/>
        <w:outlineLvl w:val="0"/>
        <w:rPr>
          <w:rFonts w:ascii="Times New Roman" w:hAnsi="Times New Roman"/>
          <w:color w:val="FF0000"/>
          <w:szCs w:val="24"/>
        </w:rPr>
      </w:pPr>
    </w:p>
    <w:p w14:paraId="33F7631F" w14:textId="77777777" w:rsidR="00ED1B50" w:rsidRPr="00ED1B50" w:rsidRDefault="00ED1B50" w:rsidP="00ED1B50">
      <w:pPr>
        <w:numPr>
          <w:ilvl w:val="1"/>
          <w:numId w:val="12"/>
        </w:numPr>
        <w:jc w:val="both"/>
        <w:outlineLvl w:val="0"/>
        <w:rPr>
          <w:rFonts w:ascii="Times New Roman" w:hAnsi="Times New Roman"/>
          <w:color w:val="FF0000"/>
          <w:szCs w:val="24"/>
        </w:rPr>
      </w:pPr>
      <w:r w:rsidRPr="00ED1B50">
        <w:rPr>
          <w:rFonts w:ascii="Times New Roman" w:hAnsi="Times New Roman"/>
          <w:color w:val="FF0000"/>
          <w:szCs w:val="24"/>
        </w:rPr>
        <w:t xml:space="preserve">After the run finishes on the </w:t>
      </w:r>
      <w:proofErr w:type="spellStart"/>
      <w:r w:rsidRPr="00ED1B50">
        <w:rPr>
          <w:rFonts w:ascii="Times New Roman" w:hAnsi="Times New Roman"/>
          <w:color w:val="FF0000"/>
          <w:szCs w:val="24"/>
        </w:rPr>
        <w:t>LightCycler</w:t>
      </w:r>
      <w:proofErr w:type="spellEnd"/>
      <w:r w:rsidRPr="00ED1B50">
        <w:rPr>
          <w:rFonts w:ascii="Times New Roman" w:hAnsi="Times New Roman"/>
          <w:color w:val="FF0000"/>
          <w:szCs w:val="24"/>
        </w:rPr>
        <w:t xml:space="preserve"> 2.0, record the sample names and positions under “Sample Data.”</w:t>
      </w:r>
      <w:r w:rsidRPr="00ED1B50">
        <w:rPr>
          <w:rFonts w:ascii="Times New Roman" w:hAnsi="Times New Roman"/>
          <w:color w:val="FF0000"/>
          <w:szCs w:val="24"/>
        </w:rPr>
        <w:t xml:space="preserve">  </w:t>
      </w:r>
      <w:r w:rsidRPr="00ED1B50">
        <w:rPr>
          <w:rFonts w:ascii="Times New Roman" w:hAnsi="Times New Roman"/>
          <w:color w:val="FF0000"/>
          <w:szCs w:val="24"/>
        </w:rPr>
        <w:t>Before starting the analysis, label the negative controls and the genotypes of the Melting Standards.</w:t>
      </w:r>
      <w:r w:rsidRPr="00ED1B50">
        <w:rPr>
          <w:rFonts w:ascii="Times New Roman" w:hAnsi="Times New Roman"/>
          <w:color w:val="FF0000"/>
          <w:szCs w:val="24"/>
        </w:rPr>
        <w:tab/>
      </w:r>
    </w:p>
    <w:p w14:paraId="14209F94" w14:textId="77777777" w:rsidR="00ED1B50" w:rsidRPr="00ED1B50" w:rsidRDefault="00ED1B50" w:rsidP="00ED1B50">
      <w:pPr>
        <w:numPr>
          <w:ilvl w:val="2"/>
          <w:numId w:val="12"/>
        </w:numPr>
        <w:jc w:val="both"/>
        <w:outlineLvl w:val="0"/>
        <w:rPr>
          <w:rFonts w:ascii="Times New Roman" w:hAnsi="Times New Roman"/>
          <w:color w:val="FF0000"/>
          <w:szCs w:val="24"/>
        </w:rPr>
      </w:pPr>
      <w:r w:rsidRPr="00ED1B50">
        <w:rPr>
          <w:rFonts w:ascii="Times New Roman" w:hAnsi="Times New Roman"/>
          <w:color w:val="FF0000"/>
          <w:szCs w:val="24"/>
        </w:rPr>
        <w:t>SCREEN</w:t>
      </w:r>
      <w:bookmarkStart w:id="0" w:name="_GoBack"/>
      <w:bookmarkEnd w:id="0"/>
    </w:p>
    <w:p w14:paraId="292D446E" w14:textId="77777777" w:rsidR="00ED1B50" w:rsidRPr="00ED1B50" w:rsidRDefault="00ED1B50" w:rsidP="00ED1B50">
      <w:pPr>
        <w:ind w:left="1368"/>
        <w:jc w:val="both"/>
        <w:outlineLvl w:val="0"/>
        <w:rPr>
          <w:rFonts w:ascii="Times New Roman" w:hAnsi="Times New Roman"/>
          <w:color w:val="FF0000"/>
          <w:szCs w:val="24"/>
        </w:rPr>
      </w:pPr>
    </w:p>
    <w:p w14:paraId="70C95669" w14:textId="77777777" w:rsidR="00ED1B50" w:rsidRPr="00ED1B50" w:rsidRDefault="00ED1B50" w:rsidP="00ED1B50">
      <w:pPr>
        <w:numPr>
          <w:ilvl w:val="1"/>
          <w:numId w:val="12"/>
        </w:numPr>
        <w:jc w:val="both"/>
        <w:outlineLvl w:val="0"/>
        <w:rPr>
          <w:rFonts w:ascii="Times New Roman" w:hAnsi="Times New Roman"/>
          <w:color w:val="FF0000"/>
          <w:szCs w:val="24"/>
        </w:rPr>
      </w:pPr>
      <w:r w:rsidRPr="00ED1B50">
        <w:rPr>
          <w:rFonts w:ascii="Times New Roman" w:hAnsi="Times New Roman"/>
          <w:color w:val="FF0000"/>
          <w:szCs w:val="24"/>
        </w:rPr>
        <w:t xml:space="preserve">Begin the melt analysis by selecting “Analysis,” choosing “Genotyping” under Melting Curve Analysis, and pressing “OK.” </w:t>
      </w:r>
    </w:p>
    <w:p w14:paraId="52722E4A" w14:textId="77777777" w:rsidR="00ED1B50" w:rsidRPr="00ED1B50" w:rsidRDefault="00ED1B50" w:rsidP="00ED1B50">
      <w:pPr>
        <w:numPr>
          <w:ilvl w:val="2"/>
          <w:numId w:val="12"/>
        </w:numPr>
        <w:jc w:val="both"/>
        <w:outlineLvl w:val="0"/>
        <w:rPr>
          <w:rFonts w:ascii="Times New Roman" w:hAnsi="Times New Roman"/>
          <w:color w:val="FF0000"/>
          <w:szCs w:val="24"/>
        </w:rPr>
      </w:pPr>
      <w:r w:rsidRPr="00ED1B50">
        <w:rPr>
          <w:rFonts w:ascii="Times New Roman" w:hAnsi="Times New Roman"/>
          <w:color w:val="FF0000"/>
          <w:szCs w:val="24"/>
        </w:rPr>
        <w:t>The above steps</w:t>
      </w:r>
    </w:p>
    <w:p w14:paraId="590B84E8" w14:textId="77777777" w:rsidR="00ED1B50" w:rsidRPr="00ED1B50" w:rsidRDefault="00ED1B50" w:rsidP="00ED1B50">
      <w:pPr>
        <w:ind w:left="1368"/>
        <w:jc w:val="both"/>
        <w:outlineLvl w:val="0"/>
        <w:rPr>
          <w:rFonts w:ascii="Times New Roman" w:hAnsi="Times New Roman"/>
          <w:color w:val="FF0000"/>
          <w:szCs w:val="24"/>
        </w:rPr>
      </w:pPr>
    </w:p>
    <w:p w14:paraId="0DFFA6FE" w14:textId="77777777" w:rsidR="00ED1B50" w:rsidRPr="00ED1B50" w:rsidRDefault="00ED1B50" w:rsidP="00ED1B50">
      <w:pPr>
        <w:numPr>
          <w:ilvl w:val="1"/>
          <w:numId w:val="12"/>
        </w:numPr>
        <w:jc w:val="both"/>
        <w:outlineLvl w:val="0"/>
        <w:rPr>
          <w:rFonts w:ascii="Times New Roman" w:hAnsi="Times New Roman"/>
          <w:color w:val="FF0000"/>
          <w:szCs w:val="24"/>
        </w:rPr>
      </w:pPr>
      <w:r w:rsidRPr="00ED1B50">
        <w:rPr>
          <w:rFonts w:ascii="Times New Roman" w:hAnsi="Times New Roman"/>
          <w:color w:val="FF0000"/>
          <w:szCs w:val="24"/>
        </w:rPr>
        <w:t xml:space="preserve">To increase the sensitivity of the </w:t>
      </w:r>
      <w:proofErr w:type="spellStart"/>
      <w:r w:rsidRPr="00ED1B50">
        <w:rPr>
          <w:rFonts w:ascii="Times New Roman" w:hAnsi="Times New Roman"/>
          <w:color w:val="FF0000"/>
          <w:szCs w:val="24"/>
        </w:rPr>
        <w:t>autogrouping</w:t>
      </w:r>
      <w:proofErr w:type="spellEnd"/>
      <w:r w:rsidRPr="00ED1B50">
        <w:rPr>
          <w:rFonts w:ascii="Times New Roman" w:hAnsi="Times New Roman"/>
          <w:color w:val="FF0000"/>
          <w:szCs w:val="24"/>
        </w:rPr>
        <w:t>, select all of the samples so that they display in the Melting Curves plot. Slide the normalization bar to the upper boundary of the probe melting peaks.</w:t>
      </w:r>
    </w:p>
    <w:p w14:paraId="46D8F45B" w14:textId="77777777" w:rsidR="00ED1B50" w:rsidRPr="00ED1B50" w:rsidRDefault="00ED1B50" w:rsidP="00ED1B50">
      <w:pPr>
        <w:numPr>
          <w:ilvl w:val="2"/>
          <w:numId w:val="12"/>
        </w:numPr>
        <w:jc w:val="both"/>
        <w:outlineLvl w:val="0"/>
        <w:rPr>
          <w:rFonts w:ascii="Times New Roman" w:hAnsi="Times New Roman"/>
          <w:color w:val="FF0000"/>
          <w:szCs w:val="24"/>
        </w:rPr>
      </w:pPr>
      <w:r w:rsidRPr="00ED1B50">
        <w:rPr>
          <w:rFonts w:ascii="Times New Roman" w:hAnsi="Times New Roman"/>
          <w:color w:val="FF0000"/>
          <w:szCs w:val="24"/>
        </w:rPr>
        <w:t>SCREEN</w:t>
      </w:r>
    </w:p>
    <w:p w14:paraId="39E8B248" w14:textId="77777777" w:rsidR="00ED1B50" w:rsidRPr="00ED1B50" w:rsidRDefault="00ED1B50" w:rsidP="00ED1B50">
      <w:pPr>
        <w:ind w:left="1368"/>
        <w:jc w:val="both"/>
        <w:outlineLvl w:val="0"/>
        <w:rPr>
          <w:rFonts w:ascii="Times New Roman" w:hAnsi="Times New Roman"/>
          <w:color w:val="FF0000"/>
          <w:szCs w:val="24"/>
        </w:rPr>
      </w:pPr>
    </w:p>
    <w:p w14:paraId="6CE68A3A" w14:textId="77777777" w:rsidR="00ED1B50" w:rsidRPr="00ED1B50" w:rsidRDefault="00ED1B50" w:rsidP="00ED1B50">
      <w:pPr>
        <w:numPr>
          <w:ilvl w:val="1"/>
          <w:numId w:val="12"/>
        </w:numPr>
        <w:jc w:val="both"/>
        <w:outlineLvl w:val="0"/>
        <w:rPr>
          <w:rFonts w:ascii="Times New Roman" w:hAnsi="Times New Roman"/>
          <w:color w:val="FF0000"/>
          <w:szCs w:val="24"/>
        </w:rPr>
      </w:pPr>
      <w:r w:rsidRPr="00ED1B50">
        <w:rPr>
          <w:rFonts w:ascii="Times New Roman" w:hAnsi="Times New Roman"/>
          <w:color w:val="FF0000"/>
          <w:szCs w:val="24"/>
        </w:rPr>
        <w:t>Confirm that the samples have been correctly grouped by individually selecting each group beneath “Group Name.”</w:t>
      </w:r>
    </w:p>
    <w:p w14:paraId="05683DB7" w14:textId="77777777" w:rsidR="00ED1B50" w:rsidRPr="00ED1B50" w:rsidRDefault="00ED1B50" w:rsidP="00ED1B50">
      <w:pPr>
        <w:numPr>
          <w:ilvl w:val="2"/>
          <w:numId w:val="12"/>
        </w:numPr>
        <w:jc w:val="both"/>
        <w:outlineLvl w:val="0"/>
        <w:rPr>
          <w:rFonts w:ascii="Times New Roman" w:hAnsi="Times New Roman"/>
          <w:color w:val="FF0000"/>
          <w:szCs w:val="24"/>
        </w:rPr>
      </w:pPr>
      <w:r w:rsidRPr="00ED1B50">
        <w:rPr>
          <w:rFonts w:ascii="Times New Roman" w:hAnsi="Times New Roman"/>
          <w:color w:val="FF0000"/>
          <w:szCs w:val="24"/>
        </w:rPr>
        <w:t>SCREEN</w:t>
      </w:r>
    </w:p>
    <w:p w14:paraId="21F54B0F" w14:textId="77777777" w:rsidR="00ED1B50" w:rsidRPr="00ED1B50" w:rsidRDefault="00ED1B50" w:rsidP="00ED1B50">
      <w:pPr>
        <w:ind w:left="1368"/>
        <w:jc w:val="both"/>
        <w:outlineLvl w:val="0"/>
        <w:rPr>
          <w:rFonts w:ascii="Times New Roman" w:hAnsi="Times New Roman"/>
          <w:color w:val="FF0000"/>
          <w:szCs w:val="24"/>
        </w:rPr>
      </w:pPr>
    </w:p>
    <w:p w14:paraId="76777B65" w14:textId="77777777" w:rsidR="00ED1B50" w:rsidRPr="00ED1B50" w:rsidRDefault="00ED1B50" w:rsidP="00ED1B50">
      <w:pPr>
        <w:numPr>
          <w:ilvl w:val="1"/>
          <w:numId w:val="12"/>
        </w:numPr>
        <w:jc w:val="both"/>
        <w:outlineLvl w:val="0"/>
        <w:rPr>
          <w:rFonts w:ascii="Times New Roman" w:hAnsi="Times New Roman"/>
          <w:color w:val="FF0000"/>
          <w:szCs w:val="24"/>
        </w:rPr>
      </w:pPr>
      <w:r w:rsidRPr="00ED1B50">
        <w:rPr>
          <w:rFonts w:ascii="Times New Roman" w:hAnsi="Times New Roman"/>
          <w:color w:val="FF0000"/>
          <w:szCs w:val="24"/>
        </w:rPr>
        <w:t>Export the genotypes for each sample by selecting all of the samples, copying the data, and pasting into a worksheet.</w:t>
      </w:r>
    </w:p>
    <w:p w14:paraId="4C7B9E27" w14:textId="1C54DB15" w:rsidR="00ED1B50" w:rsidRPr="00ED1B50" w:rsidRDefault="00ED1B50" w:rsidP="00ED1B50">
      <w:pPr>
        <w:numPr>
          <w:ilvl w:val="2"/>
          <w:numId w:val="12"/>
        </w:numPr>
        <w:jc w:val="both"/>
        <w:outlineLvl w:val="0"/>
        <w:rPr>
          <w:rFonts w:ascii="Times New Roman" w:hAnsi="Times New Roman"/>
          <w:color w:val="FF0000"/>
          <w:szCs w:val="24"/>
        </w:rPr>
      </w:pPr>
      <w:r w:rsidRPr="00ED1B50">
        <w:rPr>
          <w:rFonts w:ascii="Times New Roman" w:hAnsi="Times New Roman"/>
          <w:color w:val="FF0000"/>
          <w:szCs w:val="24"/>
        </w:rPr>
        <w:t>SCREEN</w:t>
      </w:r>
    </w:p>
    <w:p w14:paraId="0A4C3E75" w14:textId="77777777" w:rsidR="00C2482A" w:rsidRPr="00592919" w:rsidRDefault="00C2482A" w:rsidP="00C2482A">
      <w:pPr>
        <w:ind w:left="1368"/>
        <w:jc w:val="both"/>
        <w:outlineLvl w:val="0"/>
        <w:rPr>
          <w:rFonts w:ascii="Times New Roman" w:hAnsi="Times New Roman"/>
          <w:szCs w:val="24"/>
        </w:rPr>
      </w:pPr>
    </w:p>
    <w:p w14:paraId="3E0C3E54" w14:textId="77777777" w:rsidR="002B0A14" w:rsidRPr="00C2482A" w:rsidRDefault="00CE10F2" w:rsidP="00C2482A">
      <w:pPr>
        <w:numPr>
          <w:ilvl w:val="0"/>
          <w:numId w:val="12"/>
        </w:numPr>
        <w:jc w:val="both"/>
        <w:outlineLvl w:val="0"/>
        <w:rPr>
          <w:rFonts w:ascii="Times New Roman" w:hAnsi="Times New Roman"/>
          <w:szCs w:val="24"/>
        </w:rPr>
      </w:pPr>
      <w:r w:rsidRPr="00F44851">
        <w:rPr>
          <w:rFonts w:ascii="Times New Roman" w:hAnsi="Times New Roman"/>
          <w:b/>
          <w:szCs w:val="24"/>
        </w:rPr>
        <w:t>Results:</w:t>
      </w:r>
      <w:r w:rsidR="00F44851" w:rsidRPr="00F44851">
        <w:rPr>
          <w:rFonts w:ascii="Times New Roman" w:hAnsi="Times New Roman"/>
          <w:b/>
          <w:szCs w:val="24"/>
        </w:rPr>
        <w:t xml:space="preserve"> </w:t>
      </w:r>
      <w:r w:rsidR="00F44851" w:rsidRPr="00F44851">
        <w:rPr>
          <w:rFonts w:cs="Arial"/>
          <w:b/>
        </w:rPr>
        <w:t>blocke</w:t>
      </w:r>
      <w:r w:rsidR="00FD7E87">
        <w:rPr>
          <w:rFonts w:cs="Arial"/>
          <w:b/>
        </w:rPr>
        <w:t>d-probe-based and MAAB increases</w:t>
      </w:r>
      <w:r w:rsidR="00F44851" w:rsidRPr="00F44851">
        <w:rPr>
          <w:rFonts w:cs="Arial"/>
          <w:b/>
        </w:rPr>
        <w:t xml:space="preserve"> HRM genotyping sensitivity</w:t>
      </w:r>
    </w:p>
    <w:p w14:paraId="2A04D71C" w14:textId="77777777" w:rsidR="00C2482A" w:rsidRPr="00F44851" w:rsidRDefault="00C2482A" w:rsidP="00C2482A">
      <w:pPr>
        <w:ind w:left="360"/>
        <w:jc w:val="both"/>
        <w:outlineLvl w:val="0"/>
        <w:rPr>
          <w:rFonts w:ascii="Times New Roman" w:hAnsi="Times New Roman"/>
          <w:szCs w:val="24"/>
        </w:rPr>
      </w:pPr>
    </w:p>
    <w:p w14:paraId="269503AE" w14:textId="352627FE" w:rsidR="00C2482A" w:rsidRPr="00C2698F" w:rsidRDefault="00D95BE9" w:rsidP="00C2482A">
      <w:pPr>
        <w:numPr>
          <w:ilvl w:val="1"/>
          <w:numId w:val="12"/>
        </w:numPr>
        <w:jc w:val="both"/>
        <w:outlineLvl w:val="0"/>
        <w:rPr>
          <w:rFonts w:ascii="Times New Roman" w:hAnsi="Times New Roman"/>
          <w:szCs w:val="24"/>
        </w:rPr>
      </w:pPr>
      <w:r>
        <w:rPr>
          <w:rFonts w:cs="Arial"/>
        </w:rPr>
        <w:t>A</w:t>
      </w:r>
      <w:r w:rsidR="002B0A14" w:rsidRPr="002B0A14">
        <w:rPr>
          <w:rFonts w:cs="Arial"/>
        </w:rPr>
        <w:t xml:space="preserve"> plot of the negative derivative of normalized fluorescence </w:t>
      </w:r>
      <w:r w:rsidR="00FD7E87">
        <w:rPr>
          <w:rFonts w:cs="Arial"/>
        </w:rPr>
        <w:t>with respect to temperature</w:t>
      </w:r>
      <w:r>
        <w:rPr>
          <w:rFonts w:cs="Arial"/>
        </w:rPr>
        <w:t xml:space="preserve"> against temperature</w:t>
      </w:r>
      <w:r w:rsidR="002B0A14" w:rsidRPr="002B0A14">
        <w:rPr>
          <w:rFonts w:cs="Arial"/>
        </w:rPr>
        <w:t xml:space="preserve"> is </w:t>
      </w:r>
      <w:r>
        <w:rPr>
          <w:rFonts w:cs="Arial"/>
        </w:rPr>
        <w:t>typically the most straightforward way to visualize</w:t>
      </w:r>
      <w:r w:rsidR="002B0A14" w:rsidRPr="002B0A14">
        <w:rPr>
          <w:rFonts w:cs="Arial"/>
        </w:rPr>
        <w:t xml:space="preserve"> melting p</w:t>
      </w:r>
      <w:r>
        <w:rPr>
          <w:rFonts w:cs="Arial"/>
        </w:rPr>
        <w:t>eaks and determine</w:t>
      </w:r>
      <w:r w:rsidR="002B0A14">
        <w:rPr>
          <w:rFonts w:cs="Arial"/>
        </w:rPr>
        <w:t xml:space="preserve"> genotypes.</w:t>
      </w:r>
      <w:r w:rsidR="00C2482A">
        <w:rPr>
          <w:rFonts w:cs="Arial"/>
        </w:rPr>
        <w:t xml:space="preserve"> </w:t>
      </w:r>
      <w:r w:rsidR="00C2482A" w:rsidRPr="00C2482A">
        <w:rPr>
          <w:rFonts w:cs="Arial"/>
          <w:b/>
        </w:rPr>
        <w:t>[5.1.1 – LM]</w:t>
      </w:r>
    </w:p>
    <w:p w14:paraId="3B82E369" w14:textId="77777777" w:rsidR="00C2698F" w:rsidRPr="00C2698F" w:rsidRDefault="00C2698F" w:rsidP="00C2698F">
      <w:pPr>
        <w:ind w:left="1080"/>
        <w:jc w:val="both"/>
        <w:outlineLvl w:val="0"/>
        <w:rPr>
          <w:rFonts w:ascii="Times New Roman" w:hAnsi="Times New Roman"/>
          <w:szCs w:val="24"/>
        </w:rPr>
      </w:pPr>
    </w:p>
    <w:p w14:paraId="5233FE41" w14:textId="2FADD9A2" w:rsidR="00C2698F" w:rsidRPr="00C2698F" w:rsidRDefault="00C2698F" w:rsidP="00C2698F">
      <w:pPr>
        <w:numPr>
          <w:ilvl w:val="2"/>
          <w:numId w:val="12"/>
        </w:numPr>
        <w:jc w:val="both"/>
        <w:outlineLvl w:val="0"/>
        <w:rPr>
          <w:rFonts w:ascii="Times New Roman" w:hAnsi="Times New Roman"/>
          <w:szCs w:val="24"/>
        </w:rPr>
      </w:pPr>
      <w:r w:rsidRPr="00C2698F">
        <w:rPr>
          <w:rFonts w:cs="Arial"/>
        </w:rPr>
        <w:t>Figure 1.pdf</w:t>
      </w:r>
    </w:p>
    <w:p w14:paraId="16BD2763" w14:textId="77777777" w:rsidR="00C2482A" w:rsidRPr="00C2482A" w:rsidRDefault="00C2482A" w:rsidP="00C2482A">
      <w:pPr>
        <w:ind w:left="1080"/>
        <w:jc w:val="both"/>
        <w:outlineLvl w:val="0"/>
        <w:rPr>
          <w:rFonts w:ascii="Times New Roman" w:hAnsi="Times New Roman"/>
          <w:szCs w:val="24"/>
        </w:rPr>
      </w:pPr>
    </w:p>
    <w:p w14:paraId="3EE4A103" w14:textId="366BAB00" w:rsidR="002B0A14" w:rsidRPr="00C2698F" w:rsidRDefault="002B0A14" w:rsidP="00C2482A">
      <w:pPr>
        <w:numPr>
          <w:ilvl w:val="1"/>
          <w:numId w:val="12"/>
        </w:numPr>
        <w:jc w:val="both"/>
        <w:outlineLvl w:val="0"/>
        <w:rPr>
          <w:rFonts w:ascii="Times New Roman" w:hAnsi="Times New Roman"/>
          <w:szCs w:val="24"/>
        </w:rPr>
      </w:pPr>
      <w:r w:rsidRPr="002B0A14">
        <w:rPr>
          <w:rFonts w:cs="Arial"/>
        </w:rPr>
        <w:t>Setting the analysis window to just the probe region results in clear differentiation of peaks</w:t>
      </w:r>
      <w:r w:rsidR="00ED29C1">
        <w:rPr>
          <w:rFonts w:cs="Arial"/>
        </w:rPr>
        <w:t xml:space="preserve"> corresponding to specific SNPs.</w:t>
      </w:r>
      <w:r w:rsidR="002D4741" w:rsidRPr="002D4741">
        <w:rPr>
          <w:rFonts w:cs="Arial"/>
        </w:rPr>
        <w:t xml:space="preserve"> </w:t>
      </w:r>
      <w:r w:rsidR="002D4741" w:rsidRPr="00D95BE9">
        <w:rPr>
          <w:rFonts w:cs="Arial"/>
        </w:rPr>
        <w:t>Perfect match</w:t>
      </w:r>
      <w:r w:rsidR="002D4741">
        <w:rPr>
          <w:rFonts w:cs="Arial"/>
        </w:rPr>
        <w:t>es result in higher melting peaks, indicated in red</w:t>
      </w:r>
      <w:r w:rsidR="002D4741" w:rsidRPr="00D95BE9">
        <w:rPr>
          <w:rFonts w:cs="Arial"/>
        </w:rPr>
        <w:t>, while SNP mismatches have low</w:t>
      </w:r>
      <w:r w:rsidR="002D4741">
        <w:rPr>
          <w:rFonts w:cs="Arial"/>
        </w:rPr>
        <w:t>er melting temperatures, indicate in grey.</w:t>
      </w:r>
      <w:r w:rsidR="00C2698F" w:rsidRPr="00C2698F">
        <w:rPr>
          <w:rFonts w:cs="Arial"/>
          <w:b/>
        </w:rPr>
        <w:t xml:space="preserve"> </w:t>
      </w:r>
      <w:r w:rsidR="00C2698F">
        <w:rPr>
          <w:rFonts w:cs="Arial"/>
          <w:b/>
        </w:rPr>
        <w:t>[5.2</w:t>
      </w:r>
      <w:r w:rsidR="00C2698F" w:rsidRPr="00C2482A">
        <w:rPr>
          <w:rFonts w:cs="Arial"/>
          <w:b/>
        </w:rPr>
        <w:t>.1 – LM]</w:t>
      </w:r>
    </w:p>
    <w:p w14:paraId="7559EDC6" w14:textId="77777777" w:rsidR="00C2698F" w:rsidRPr="00C2698F" w:rsidRDefault="00C2698F" w:rsidP="00C2698F">
      <w:pPr>
        <w:ind w:left="1080"/>
        <w:jc w:val="both"/>
        <w:outlineLvl w:val="0"/>
        <w:rPr>
          <w:rFonts w:ascii="Times New Roman" w:hAnsi="Times New Roman"/>
          <w:szCs w:val="24"/>
        </w:rPr>
      </w:pPr>
    </w:p>
    <w:p w14:paraId="2B42F397" w14:textId="2AF44E81" w:rsidR="00C2698F" w:rsidRPr="00C2698F" w:rsidRDefault="00C2698F" w:rsidP="00C2698F">
      <w:pPr>
        <w:numPr>
          <w:ilvl w:val="2"/>
          <w:numId w:val="12"/>
        </w:numPr>
        <w:jc w:val="both"/>
        <w:outlineLvl w:val="0"/>
        <w:rPr>
          <w:rFonts w:ascii="Times New Roman" w:hAnsi="Times New Roman"/>
          <w:szCs w:val="24"/>
        </w:rPr>
      </w:pPr>
      <w:r>
        <w:rPr>
          <w:rFonts w:cs="Arial"/>
        </w:rPr>
        <w:t>Figure 2</w:t>
      </w:r>
      <w:r w:rsidRPr="00C2698F">
        <w:rPr>
          <w:rFonts w:cs="Arial"/>
        </w:rPr>
        <w:t>.pdf</w:t>
      </w:r>
    </w:p>
    <w:p w14:paraId="719CCF1D" w14:textId="77777777" w:rsidR="00C2482A" w:rsidRDefault="00C2482A" w:rsidP="00C2482A">
      <w:pPr>
        <w:ind w:left="1080"/>
        <w:jc w:val="both"/>
        <w:outlineLvl w:val="0"/>
        <w:rPr>
          <w:rFonts w:ascii="Times New Roman" w:hAnsi="Times New Roman"/>
          <w:szCs w:val="24"/>
        </w:rPr>
      </w:pPr>
    </w:p>
    <w:p w14:paraId="6401D46B" w14:textId="2B835554" w:rsidR="00DC05BD" w:rsidRPr="00C2698F" w:rsidRDefault="00DC05BD" w:rsidP="00C2482A">
      <w:pPr>
        <w:numPr>
          <w:ilvl w:val="1"/>
          <w:numId w:val="12"/>
        </w:numPr>
        <w:jc w:val="both"/>
        <w:outlineLvl w:val="0"/>
        <w:rPr>
          <w:rFonts w:ascii="Times New Roman" w:hAnsi="Times New Roman"/>
          <w:szCs w:val="24"/>
        </w:rPr>
      </w:pPr>
      <w:r w:rsidRPr="00D95BE9">
        <w:rPr>
          <w:rFonts w:cs="Arial"/>
        </w:rPr>
        <w:t xml:space="preserve">When both alleles are present in a sample, probe-based HRM analysis represents </w:t>
      </w:r>
      <w:r>
        <w:rPr>
          <w:rFonts w:cs="Arial"/>
        </w:rPr>
        <w:t>both alleles as two-peak curves, shown in orange,</w:t>
      </w:r>
      <w:r w:rsidRPr="00D95BE9">
        <w:rPr>
          <w:rFonts w:cs="Arial"/>
        </w:rPr>
        <w:t xml:space="preserve"> with peaks that match single-allele samples</w:t>
      </w:r>
      <w:r>
        <w:rPr>
          <w:rFonts w:cs="Arial"/>
        </w:rPr>
        <w:t>, shown in red and grey</w:t>
      </w:r>
      <w:r w:rsidRPr="00D95BE9">
        <w:rPr>
          <w:rFonts w:cs="Arial"/>
        </w:rPr>
        <w:t xml:space="preserve">. </w:t>
      </w:r>
      <w:r w:rsidR="00C2698F">
        <w:rPr>
          <w:rFonts w:cs="Arial"/>
          <w:b/>
        </w:rPr>
        <w:t>[5.3</w:t>
      </w:r>
      <w:r w:rsidR="00C2698F" w:rsidRPr="00C2482A">
        <w:rPr>
          <w:rFonts w:cs="Arial"/>
          <w:b/>
        </w:rPr>
        <w:t>.1 – LM]</w:t>
      </w:r>
    </w:p>
    <w:p w14:paraId="100FAE31" w14:textId="77777777" w:rsidR="00C2698F" w:rsidRPr="00C2698F" w:rsidRDefault="00C2698F" w:rsidP="00C2698F">
      <w:pPr>
        <w:ind w:left="1080"/>
        <w:jc w:val="both"/>
        <w:outlineLvl w:val="0"/>
        <w:rPr>
          <w:rFonts w:ascii="Times New Roman" w:hAnsi="Times New Roman"/>
          <w:szCs w:val="24"/>
        </w:rPr>
      </w:pPr>
    </w:p>
    <w:p w14:paraId="372DDB61" w14:textId="61E31AD8" w:rsidR="00C2698F" w:rsidRPr="00C2698F" w:rsidRDefault="004F2A71" w:rsidP="00C2698F">
      <w:pPr>
        <w:numPr>
          <w:ilvl w:val="2"/>
          <w:numId w:val="12"/>
        </w:numPr>
        <w:jc w:val="both"/>
        <w:outlineLvl w:val="0"/>
        <w:rPr>
          <w:rFonts w:ascii="Times New Roman" w:hAnsi="Times New Roman"/>
          <w:szCs w:val="24"/>
        </w:rPr>
      </w:pPr>
      <w:r>
        <w:rPr>
          <w:rFonts w:cs="Arial"/>
        </w:rPr>
        <w:t>Figure 3</w:t>
      </w:r>
      <w:r w:rsidR="00C2698F" w:rsidRPr="00C2698F">
        <w:rPr>
          <w:rFonts w:cs="Arial"/>
        </w:rPr>
        <w:t>.pdf</w:t>
      </w:r>
    </w:p>
    <w:p w14:paraId="27C276AF" w14:textId="77777777" w:rsidR="00C2482A" w:rsidRPr="00DC05BD" w:rsidRDefault="00C2482A" w:rsidP="00C2482A">
      <w:pPr>
        <w:ind w:left="1080"/>
        <w:jc w:val="both"/>
        <w:outlineLvl w:val="0"/>
        <w:rPr>
          <w:rFonts w:ascii="Times New Roman" w:hAnsi="Times New Roman"/>
          <w:szCs w:val="24"/>
        </w:rPr>
      </w:pPr>
    </w:p>
    <w:p w14:paraId="353EEF07" w14:textId="5A85EC07" w:rsidR="00DC05BD" w:rsidRPr="004F2A71" w:rsidRDefault="00DC05BD" w:rsidP="00C2482A">
      <w:pPr>
        <w:numPr>
          <w:ilvl w:val="1"/>
          <w:numId w:val="12"/>
        </w:numPr>
        <w:jc w:val="both"/>
        <w:outlineLvl w:val="0"/>
        <w:rPr>
          <w:rFonts w:ascii="Times New Roman" w:hAnsi="Times New Roman"/>
          <w:szCs w:val="24"/>
        </w:rPr>
      </w:pPr>
      <w:r>
        <w:rPr>
          <w:rFonts w:cs="Arial"/>
        </w:rPr>
        <w:lastRenderedPageBreak/>
        <w:t>P</w:t>
      </w:r>
      <w:r w:rsidR="002B0A14" w:rsidRPr="002B0A14">
        <w:rPr>
          <w:rFonts w:cs="Arial"/>
        </w:rPr>
        <w:t>rogressively reducing the annealing temperat</w:t>
      </w:r>
      <w:r>
        <w:rPr>
          <w:rFonts w:cs="Arial"/>
        </w:rPr>
        <w:t xml:space="preserve">ure during amplification </w:t>
      </w:r>
      <w:r w:rsidR="002B0A14" w:rsidRPr="002B0A14">
        <w:rPr>
          <w:rFonts w:cs="Arial"/>
        </w:rPr>
        <w:t xml:space="preserve">results in a </w:t>
      </w:r>
      <w:r w:rsidR="004F2A71">
        <w:rPr>
          <w:rFonts w:cs="Arial"/>
        </w:rPr>
        <w:t>bias towards the mutant allele, represented by the left-side peak,</w:t>
      </w:r>
      <w:r w:rsidR="002B0A14" w:rsidRPr="002B0A14">
        <w:rPr>
          <w:rFonts w:cs="Arial"/>
        </w:rPr>
        <w:t xml:space="preserve"> </w:t>
      </w:r>
      <w:r w:rsidRPr="00D95BE9">
        <w:rPr>
          <w:rFonts w:cs="Arial"/>
        </w:rPr>
        <w:t>in a pol</w:t>
      </w:r>
      <w:r>
        <w:rPr>
          <w:rFonts w:cs="Arial"/>
        </w:rPr>
        <w:t>ygenomic or polyallelic sample.</w:t>
      </w:r>
      <w:r w:rsidR="004F2A71">
        <w:rPr>
          <w:rFonts w:cs="Arial"/>
        </w:rPr>
        <w:t xml:space="preserve"> </w:t>
      </w:r>
      <w:r w:rsidR="004F2A71" w:rsidRPr="004F2A71">
        <w:rPr>
          <w:rFonts w:cs="Arial"/>
          <w:b/>
        </w:rPr>
        <w:t>[5.4.1 – LM]</w:t>
      </w:r>
    </w:p>
    <w:p w14:paraId="364E7AD8" w14:textId="77777777" w:rsidR="004F2A71" w:rsidRPr="004F2A71" w:rsidRDefault="004F2A71" w:rsidP="004F2A71">
      <w:pPr>
        <w:ind w:left="1080"/>
        <w:jc w:val="both"/>
        <w:outlineLvl w:val="0"/>
        <w:rPr>
          <w:rFonts w:ascii="Times New Roman" w:hAnsi="Times New Roman"/>
          <w:szCs w:val="24"/>
        </w:rPr>
      </w:pPr>
    </w:p>
    <w:p w14:paraId="7F147762" w14:textId="27DA4503" w:rsidR="004F2A71" w:rsidRPr="004F2A71" w:rsidRDefault="00CA52A3" w:rsidP="004F2A71">
      <w:pPr>
        <w:numPr>
          <w:ilvl w:val="2"/>
          <w:numId w:val="12"/>
        </w:numPr>
        <w:jc w:val="both"/>
        <w:outlineLvl w:val="0"/>
        <w:rPr>
          <w:rFonts w:ascii="Times New Roman" w:hAnsi="Times New Roman"/>
          <w:szCs w:val="24"/>
        </w:rPr>
      </w:pPr>
      <w:r>
        <w:rPr>
          <w:rFonts w:cs="Arial"/>
        </w:rPr>
        <w:t>‘</w:t>
      </w:r>
      <w:r w:rsidR="004F2A71">
        <w:rPr>
          <w:rFonts w:cs="Arial"/>
        </w:rPr>
        <w:t>A</w:t>
      </w:r>
      <w:r>
        <w:rPr>
          <w:rFonts w:cs="Arial"/>
        </w:rPr>
        <w:t>’</w:t>
      </w:r>
      <w:r w:rsidR="004F2A71">
        <w:rPr>
          <w:rFonts w:cs="Arial"/>
        </w:rPr>
        <w:t xml:space="preserve"> only of Figure 4</w:t>
      </w:r>
      <w:r w:rsidR="004F2A71" w:rsidRPr="00C2698F">
        <w:rPr>
          <w:rFonts w:cs="Arial"/>
        </w:rPr>
        <w:t>.pdf</w:t>
      </w:r>
      <w:r w:rsidR="004F2A71">
        <w:rPr>
          <w:rFonts w:cs="Arial"/>
        </w:rPr>
        <w:t xml:space="preserve">.  Show one panel as a time in order of decreasing temperature: 59, 58, 56 and 52.  </w:t>
      </w:r>
    </w:p>
    <w:p w14:paraId="6A4FE7D2" w14:textId="77777777" w:rsidR="00C2482A" w:rsidRPr="00DC05BD" w:rsidRDefault="00C2482A" w:rsidP="00C2482A">
      <w:pPr>
        <w:ind w:left="1080"/>
        <w:jc w:val="both"/>
        <w:outlineLvl w:val="0"/>
        <w:rPr>
          <w:rFonts w:ascii="Times New Roman" w:hAnsi="Times New Roman"/>
          <w:szCs w:val="24"/>
        </w:rPr>
      </w:pPr>
    </w:p>
    <w:p w14:paraId="4A64B76F" w14:textId="3E3B7E8A" w:rsidR="00CE10F2" w:rsidRPr="004F2A71" w:rsidRDefault="002E683D" w:rsidP="00C2482A">
      <w:pPr>
        <w:numPr>
          <w:ilvl w:val="1"/>
          <w:numId w:val="12"/>
        </w:numPr>
        <w:jc w:val="both"/>
        <w:outlineLvl w:val="0"/>
        <w:rPr>
          <w:rFonts w:ascii="Times New Roman" w:hAnsi="Times New Roman"/>
          <w:szCs w:val="24"/>
        </w:rPr>
      </w:pPr>
      <w:r>
        <w:rPr>
          <w:rFonts w:cs="Arial"/>
        </w:rPr>
        <w:t xml:space="preserve">This </w:t>
      </w:r>
      <w:r w:rsidRPr="002E683D">
        <w:rPr>
          <w:rFonts w:cs="Arial"/>
        </w:rPr>
        <w:t>mutant allele amplification bias</w:t>
      </w:r>
      <w:r w:rsidR="00D95BE9" w:rsidRPr="002E683D">
        <w:rPr>
          <w:rFonts w:cs="Arial"/>
        </w:rPr>
        <w:t xml:space="preserve"> results in HRM sensitivity to detect minor alleles present at less than 1% in polygenomic or polyallelic samples. </w:t>
      </w:r>
      <w:r w:rsidR="004F2A71" w:rsidRPr="004F2A71">
        <w:rPr>
          <w:rFonts w:cs="Arial"/>
          <w:b/>
        </w:rPr>
        <w:t>[5.5.1 – LM]</w:t>
      </w:r>
    </w:p>
    <w:p w14:paraId="0B724D00" w14:textId="77777777" w:rsidR="004F2A71" w:rsidRPr="004F2A71" w:rsidRDefault="004F2A71" w:rsidP="004F2A71">
      <w:pPr>
        <w:ind w:left="1080"/>
        <w:jc w:val="both"/>
        <w:outlineLvl w:val="0"/>
        <w:rPr>
          <w:rFonts w:ascii="Times New Roman" w:hAnsi="Times New Roman"/>
          <w:szCs w:val="24"/>
        </w:rPr>
      </w:pPr>
    </w:p>
    <w:p w14:paraId="7DA4AC24" w14:textId="1C22EF9D" w:rsidR="0015410C" w:rsidRPr="00D87669" w:rsidRDefault="00CA52A3" w:rsidP="00D87669">
      <w:pPr>
        <w:numPr>
          <w:ilvl w:val="2"/>
          <w:numId w:val="12"/>
        </w:numPr>
        <w:jc w:val="both"/>
        <w:outlineLvl w:val="0"/>
        <w:rPr>
          <w:rFonts w:ascii="Times New Roman" w:hAnsi="Times New Roman"/>
          <w:szCs w:val="24"/>
        </w:rPr>
      </w:pPr>
      <w:r>
        <w:rPr>
          <w:rFonts w:cs="Arial"/>
        </w:rPr>
        <w:t>‘</w:t>
      </w:r>
      <w:r w:rsidR="004F2A71">
        <w:rPr>
          <w:rFonts w:cs="Arial"/>
        </w:rPr>
        <w:t>B</w:t>
      </w:r>
      <w:r>
        <w:rPr>
          <w:rFonts w:cs="Arial"/>
        </w:rPr>
        <w:t>’</w:t>
      </w:r>
      <w:r w:rsidR="004F2A71">
        <w:rPr>
          <w:rFonts w:cs="Arial"/>
        </w:rPr>
        <w:t xml:space="preserve"> only of Figure 4</w:t>
      </w:r>
      <w:r w:rsidR="004F2A71" w:rsidRPr="00C2698F">
        <w:rPr>
          <w:rFonts w:cs="Arial"/>
        </w:rPr>
        <w:t>.pdf</w:t>
      </w:r>
      <w:r w:rsidR="004F2A71">
        <w:rPr>
          <w:rFonts w:cs="Arial"/>
        </w:rPr>
        <w:t xml:space="preserve">.  </w:t>
      </w:r>
      <w:r w:rsidR="0015410C">
        <w:rPr>
          <w:rFonts w:cs="Arial"/>
        </w:rPr>
        <w:t>Show graph without the small black circle indicating the 0.79% mutant allele, then add the circle and ‘.79% mutant allele’</w:t>
      </w:r>
    </w:p>
    <w:p w14:paraId="316CDFC8" w14:textId="77777777" w:rsidR="0015410C" w:rsidRPr="00996974" w:rsidRDefault="0015410C" w:rsidP="00852510">
      <w:pPr>
        <w:spacing w:before="240"/>
        <w:ind w:left="1080"/>
        <w:jc w:val="both"/>
        <w:outlineLvl w:val="0"/>
        <w:rPr>
          <w:rFonts w:ascii="Times New Roman" w:hAnsi="Times New Roman"/>
          <w:szCs w:val="24"/>
        </w:rPr>
      </w:pPr>
    </w:p>
    <w:p w14:paraId="73235BBD" w14:textId="5F6436CB" w:rsidR="00CE10F2" w:rsidRPr="00621F06" w:rsidRDefault="00CE10F2" w:rsidP="00621F06">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14:paraId="7FE9BD11" w14:textId="589D2A9B" w:rsidR="00CE10F2" w:rsidRPr="00996974" w:rsidRDefault="00315E7C" w:rsidP="00CE10F2">
      <w:pPr>
        <w:numPr>
          <w:ilvl w:val="1"/>
          <w:numId w:val="12"/>
        </w:numPr>
        <w:spacing w:before="240"/>
        <w:jc w:val="both"/>
        <w:outlineLvl w:val="0"/>
        <w:rPr>
          <w:rFonts w:ascii="Times New Roman" w:hAnsi="Times New Roman"/>
          <w:szCs w:val="24"/>
        </w:rPr>
      </w:pPr>
      <w:r w:rsidRPr="00315E7C">
        <w:rPr>
          <w:rFonts w:ascii="Times New Roman" w:hAnsi="Times New Roman"/>
          <w:szCs w:val="24"/>
          <w:u w:val="single"/>
        </w:rPr>
        <w:t>Katelyn Durfee</w:t>
      </w:r>
      <w:r w:rsidR="00CE10F2" w:rsidRPr="00996974">
        <w:rPr>
          <w:rFonts w:ascii="Times New Roman" w:hAnsi="Times New Roman"/>
          <w:szCs w:val="24"/>
        </w:rPr>
        <w:t xml:space="preserve">: While attempting this procedure, it’s important to remember </w:t>
      </w:r>
      <w:r w:rsidR="001E3E3C">
        <w:rPr>
          <w:rFonts w:ascii="Times New Roman" w:hAnsi="Times New Roman"/>
          <w:szCs w:val="24"/>
        </w:rPr>
        <w:t xml:space="preserve">that sample quality is key – minor differences in buffer concentrations can </w:t>
      </w:r>
      <w:r>
        <w:rPr>
          <w:rFonts w:ascii="Times New Roman" w:hAnsi="Times New Roman"/>
          <w:szCs w:val="24"/>
        </w:rPr>
        <w:t>shift</w:t>
      </w:r>
      <w:r w:rsidR="001E3E3C">
        <w:rPr>
          <w:rFonts w:ascii="Times New Roman" w:hAnsi="Times New Roman"/>
          <w:szCs w:val="24"/>
        </w:rPr>
        <w:t xml:space="preserve"> the HRM curves. Using controls is a useful way to standardize results</w:t>
      </w:r>
      <w:r w:rsidR="00CE10F2" w:rsidRPr="00996974">
        <w:rPr>
          <w:rFonts w:ascii="Times New Roman" w:hAnsi="Times New Roman"/>
          <w:szCs w:val="24"/>
        </w:rPr>
        <w:t>.</w:t>
      </w:r>
    </w:p>
    <w:p w14:paraId="2580DD50" w14:textId="39DB649B" w:rsidR="00CE10F2" w:rsidRPr="00996974" w:rsidRDefault="00315E7C" w:rsidP="00CE10F2">
      <w:pPr>
        <w:numPr>
          <w:ilvl w:val="1"/>
          <w:numId w:val="12"/>
        </w:numPr>
        <w:spacing w:before="240"/>
        <w:jc w:val="both"/>
        <w:outlineLvl w:val="0"/>
        <w:rPr>
          <w:rFonts w:ascii="Times New Roman" w:hAnsi="Times New Roman"/>
          <w:szCs w:val="24"/>
        </w:rPr>
      </w:pPr>
      <w:r w:rsidRPr="00315E7C">
        <w:rPr>
          <w:rFonts w:ascii="Times New Roman" w:hAnsi="Times New Roman"/>
          <w:szCs w:val="24"/>
          <w:u w:val="single"/>
        </w:rPr>
        <w:t>Katelyn Durfee</w:t>
      </w:r>
      <w:r w:rsidR="00CE10F2" w:rsidRPr="00996974">
        <w:rPr>
          <w:rFonts w:ascii="Times New Roman" w:hAnsi="Times New Roman"/>
          <w:szCs w:val="24"/>
        </w:rPr>
        <w:t>_: After watching this video, you should have a good understanding of how to</w:t>
      </w:r>
      <w:r>
        <w:rPr>
          <w:rFonts w:ascii="Times New Roman" w:hAnsi="Times New Roman"/>
          <w:szCs w:val="24"/>
        </w:rPr>
        <w:t xml:space="preserve"> use probe-based asymmetric PCR and muta</w:t>
      </w:r>
      <w:r w:rsidR="00016894">
        <w:rPr>
          <w:rFonts w:ascii="Times New Roman" w:hAnsi="Times New Roman"/>
          <w:szCs w:val="24"/>
        </w:rPr>
        <w:t xml:space="preserve">nt allele amplification bias to </w:t>
      </w:r>
      <w:r>
        <w:rPr>
          <w:rFonts w:ascii="Times New Roman" w:hAnsi="Times New Roman"/>
          <w:szCs w:val="24"/>
        </w:rPr>
        <w:t>accurately and sensitively genotype malaria SNPs from a variety of sample types</w:t>
      </w:r>
      <w:r w:rsidR="00621F06">
        <w:rPr>
          <w:rFonts w:ascii="Times New Roman" w:hAnsi="Times New Roman"/>
          <w:szCs w:val="24"/>
        </w:rPr>
        <w:t>.</w:t>
      </w:r>
    </w:p>
    <w:p w14:paraId="362913F7" w14:textId="65EA9D5C" w:rsidR="00CE10F2" w:rsidRPr="00996974" w:rsidRDefault="00CE10F2" w:rsidP="00CE10F2">
      <w:pPr>
        <w:jc w:val="both"/>
        <w:rPr>
          <w:rFonts w:ascii="Times New Roman" w:hAnsi="Times New Roman"/>
          <w:i/>
          <w:szCs w:val="24"/>
        </w:rPr>
      </w:pPr>
    </w:p>
    <w:p w14:paraId="60EFAC37" w14:textId="77777777" w:rsidR="00CE10F2" w:rsidRDefault="00CE10F2">
      <w:pPr>
        <w:pStyle w:val="BodyText"/>
        <w:rPr>
          <w:rFonts w:ascii="Times New Roman" w:hAnsi="Times New Roman"/>
          <w:i w:val="0"/>
          <w:szCs w:val="24"/>
        </w:rPr>
      </w:pPr>
    </w:p>
    <w:p w14:paraId="30AF6F58" w14:textId="77777777" w:rsidR="00016894" w:rsidRPr="00996974" w:rsidRDefault="00016894">
      <w:pPr>
        <w:pStyle w:val="BodyText"/>
        <w:rPr>
          <w:rFonts w:ascii="Times New Roman" w:hAnsi="Times New Roman"/>
          <w:i w:val="0"/>
          <w:szCs w:val="24"/>
        </w:rPr>
      </w:pPr>
    </w:p>
    <w:p w14:paraId="65AEB0BD" w14:textId="77777777" w:rsidR="00CE10F2" w:rsidRPr="00996974" w:rsidRDefault="00CE10F2"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14:paraId="79BF3F0A" w14:textId="77777777" w:rsidR="00CE10F2" w:rsidRPr="00996974" w:rsidRDefault="00CE10F2" w:rsidP="00CE10F2">
      <w:pPr>
        <w:pStyle w:val="BodyText"/>
        <w:outlineLvl w:val="0"/>
        <w:rPr>
          <w:rFonts w:ascii="Times New Roman" w:hAnsi="Times New Roman"/>
          <w:b/>
          <w:i w:val="0"/>
          <w:szCs w:val="24"/>
          <w:u w:val="single"/>
        </w:rPr>
      </w:pPr>
    </w:p>
    <w:p w14:paraId="38E2508E"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sidDel="0049479B">
        <w:rPr>
          <w:rFonts w:ascii="Times New Roman" w:hAnsi="Times New Roman"/>
          <w:i w:val="0"/>
          <w:szCs w:val="24"/>
        </w:rPr>
        <w:t xml:space="preserve">Authors, </w:t>
      </w:r>
      <w:r w:rsidRPr="00996974">
        <w:rPr>
          <w:rFonts w:ascii="Times New Roman" w:hAnsi="Times New Roman"/>
          <w:i w:val="0"/>
          <w:szCs w:val="24"/>
        </w:rPr>
        <w:t>Please list all images, movie files, or 3-D rendered animations that can be included in the video per editor’s request.  The step in the script/video where these images will be inserted should be specified.   For example:</w:t>
      </w:r>
    </w:p>
    <w:p w14:paraId="5D391D0B"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31C1771"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6.2 – </w:t>
      </w:r>
      <w:r w:rsidRPr="00996974">
        <w:rPr>
          <w:rFonts w:ascii="Times New Roman" w:hAnsi="Times New Roman"/>
          <w:szCs w:val="24"/>
        </w:rPr>
        <w:t xml:space="preserve"> 0123_PIname_Figure1.tif</w:t>
      </w:r>
      <w:r w:rsidRPr="00996974">
        <w:rPr>
          <w:rFonts w:ascii="Times New Roman" w:hAnsi="Times New Roman"/>
          <w:i w:val="0"/>
          <w:szCs w:val="24"/>
        </w:rPr>
        <w:t xml:space="preserve"> -  dual color imaging of tumor angiogenesis at 40X </w:t>
      </w:r>
    </w:p>
    <w:p w14:paraId="17BC5233"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6.2 – </w:t>
      </w:r>
      <w:r w:rsidRPr="00996974">
        <w:rPr>
          <w:rFonts w:ascii="Times New Roman" w:hAnsi="Times New Roman"/>
          <w:szCs w:val="24"/>
        </w:rPr>
        <w:t xml:space="preserve"> 0123_PIname_Figure2.tif</w:t>
      </w:r>
      <w:r w:rsidRPr="00996974">
        <w:rPr>
          <w:rFonts w:ascii="Times New Roman" w:hAnsi="Times New Roman"/>
          <w:i w:val="0"/>
          <w:szCs w:val="24"/>
        </w:rPr>
        <w:t xml:space="preserve"> -  dual color imaging of tumor angiogenesis at 100X</w:t>
      </w:r>
    </w:p>
    <w:p w14:paraId="2EAA23A7"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50268F30"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u w:val="single"/>
        </w:rPr>
        <w:t>Formats:</w:t>
      </w:r>
      <w:r w:rsidRPr="00996974">
        <w:rPr>
          <w:rFonts w:ascii="Times New Roman" w:hAnsi="Times New Roman"/>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72501640" w14:textId="77777777" w:rsidR="00CE10F2" w:rsidRDefault="00CE10F2">
      <w:pPr>
        <w:pStyle w:val="BodyText"/>
        <w:rPr>
          <w:rFonts w:ascii="Times New Roman" w:hAnsi="Times New Roman"/>
          <w:i w:val="0"/>
          <w:szCs w:val="24"/>
        </w:rPr>
      </w:pPr>
    </w:p>
    <w:p w14:paraId="35D56742" w14:textId="362072DF" w:rsidR="000A2BFE" w:rsidRPr="00996974" w:rsidRDefault="000A2BFE">
      <w:pPr>
        <w:pStyle w:val="BodyText"/>
        <w:rPr>
          <w:rFonts w:ascii="Times New Roman" w:hAnsi="Times New Roman"/>
          <w:i w:val="0"/>
          <w:szCs w:val="24"/>
        </w:rPr>
      </w:pPr>
      <w:r>
        <w:rPr>
          <w:rFonts w:ascii="Times New Roman" w:hAnsi="Times New Roman"/>
          <w:i w:val="0"/>
          <w:szCs w:val="24"/>
        </w:rPr>
        <w:t xml:space="preserve">1A. Schematic overview graphics </w:t>
      </w:r>
      <w:r w:rsidRPr="000A2BFE">
        <w:rPr>
          <w:rFonts w:ascii="Times New Roman" w:hAnsi="Times New Roman"/>
          <w:i w:val="0"/>
          <w:szCs w:val="24"/>
          <w:highlight w:val="yellow"/>
        </w:rPr>
        <w:t>(to be provided by author)</w:t>
      </w:r>
    </w:p>
    <w:p w14:paraId="2C2CD78E" w14:textId="4F561E4E" w:rsidR="000A2BFE" w:rsidRDefault="000A2BFE" w:rsidP="000A2BFE">
      <w:pPr>
        <w:jc w:val="both"/>
        <w:outlineLvl w:val="0"/>
        <w:rPr>
          <w:rFonts w:ascii="Times New Roman" w:hAnsi="Times New Roman"/>
          <w:szCs w:val="24"/>
        </w:rPr>
      </w:pPr>
      <w:r>
        <w:rPr>
          <w:rFonts w:ascii="Times New Roman" w:hAnsi="Times New Roman"/>
          <w:szCs w:val="24"/>
        </w:rPr>
        <w:t>3.2. Table 1_revised.xlsx</w:t>
      </w:r>
    </w:p>
    <w:p w14:paraId="4B1F2985" w14:textId="06A85133" w:rsidR="00621F06" w:rsidRDefault="00621F06" w:rsidP="000A2BFE">
      <w:pPr>
        <w:jc w:val="both"/>
        <w:outlineLvl w:val="0"/>
        <w:rPr>
          <w:rFonts w:ascii="Times New Roman" w:hAnsi="Times New Roman"/>
          <w:szCs w:val="24"/>
        </w:rPr>
      </w:pPr>
      <w:r>
        <w:rPr>
          <w:rFonts w:ascii="Times New Roman" w:hAnsi="Times New Roman"/>
          <w:szCs w:val="24"/>
        </w:rPr>
        <w:t xml:space="preserve">Screen capture files for segment 4 </w:t>
      </w:r>
      <w:r w:rsidRPr="00621F06">
        <w:rPr>
          <w:rFonts w:ascii="Times New Roman" w:hAnsi="Times New Roman"/>
          <w:szCs w:val="24"/>
          <w:highlight w:val="yellow"/>
        </w:rPr>
        <w:t>(to be provided by author)</w:t>
      </w:r>
    </w:p>
    <w:p w14:paraId="0F031CFC" w14:textId="77777777" w:rsidR="00621F06" w:rsidRDefault="00621F06" w:rsidP="00621F06">
      <w:pPr>
        <w:jc w:val="both"/>
        <w:outlineLvl w:val="0"/>
        <w:rPr>
          <w:rFonts w:cs="Arial"/>
        </w:rPr>
      </w:pPr>
      <w:r>
        <w:rPr>
          <w:rFonts w:ascii="Times New Roman" w:hAnsi="Times New Roman"/>
          <w:szCs w:val="24"/>
        </w:rPr>
        <w:t xml:space="preserve">5.1. </w:t>
      </w:r>
      <w:r w:rsidRPr="00C2698F">
        <w:rPr>
          <w:rFonts w:cs="Arial"/>
        </w:rPr>
        <w:t>Figure 1.pdf</w:t>
      </w:r>
    </w:p>
    <w:p w14:paraId="364A2BB2" w14:textId="77777777" w:rsidR="00621F06" w:rsidRDefault="00621F06" w:rsidP="00621F06">
      <w:pPr>
        <w:jc w:val="both"/>
        <w:outlineLvl w:val="0"/>
        <w:rPr>
          <w:rFonts w:cs="Arial"/>
        </w:rPr>
      </w:pPr>
      <w:r>
        <w:rPr>
          <w:rFonts w:cs="Arial"/>
        </w:rPr>
        <w:t>5.2. Figure 2</w:t>
      </w:r>
      <w:r w:rsidRPr="00C2698F">
        <w:rPr>
          <w:rFonts w:cs="Arial"/>
        </w:rPr>
        <w:t>.pdf</w:t>
      </w:r>
    </w:p>
    <w:p w14:paraId="1411FC34" w14:textId="71AD49DD" w:rsidR="00621F06" w:rsidRDefault="00621F06" w:rsidP="00621F06">
      <w:pPr>
        <w:jc w:val="both"/>
        <w:outlineLvl w:val="0"/>
        <w:rPr>
          <w:rFonts w:cs="Arial"/>
        </w:rPr>
      </w:pPr>
      <w:r>
        <w:rPr>
          <w:rFonts w:cs="Arial"/>
        </w:rPr>
        <w:t>5.3. Figure 3</w:t>
      </w:r>
      <w:r w:rsidRPr="00C2698F">
        <w:rPr>
          <w:rFonts w:cs="Arial"/>
        </w:rPr>
        <w:t>.pdf</w:t>
      </w:r>
    </w:p>
    <w:p w14:paraId="6024725F" w14:textId="52A5F9F9" w:rsidR="00621F06" w:rsidRPr="00C2698F" w:rsidRDefault="00621F06" w:rsidP="00621F06">
      <w:pPr>
        <w:jc w:val="both"/>
        <w:outlineLvl w:val="0"/>
        <w:rPr>
          <w:rFonts w:ascii="Times New Roman" w:hAnsi="Times New Roman"/>
          <w:szCs w:val="24"/>
        </w:rPr>
      </w:pPr>
      <w:r>
        <w:rPr>
          <w:rFonts w:cs="Arial"/>
        </w:rPr>
        <w:t>5.4., 5.5. Figure 4</w:t>
      </w:r>
      <w:r w:rsidRPr="00C2698F">
        <w:rPr>
          <w:rFonts w:cs="Arial"/>
        </w:rPr>
        <w:t>.pdf</w:t>
      </w:r>
    </w:p>
    <w:p w14:paraId="175AFAC9" w14:textId="77777777" w:rsidR="00CE10F2" w:rsidRPr="00996974" w:rsidRDefault="00CE10F2">
      <w:pPr>
        <w:pStyle w:val="BodyText"/>
        <w:rPr>
          <w:rFonts w:ascii="Times New Roman" w:hAnsi="Times New Roman"/>
          <w:i w:val="0"/>
          <w:szCs w:val="24"/>
        </w:rPr>
      </w:pPr>
    </w:p>
    <w:p w14:paraId="1853AB9E" w14:textId="77777777" w:rsidR="00CE10F2" w:rsidRPr="00996974" w:rsidRDefault="00CE10F2">
      <w:pPr>
        <w:pStyle w:val="BodyText"/>
        <w:rPr>
          <w:rFonts w:ascii="Times New Roman" w:hAnsi="Times New Roman"/>
          <w:b/>
          <w:i w:val="0"/>
          <w:szCs w:val="24"/>
        </w:rPr>
      </w:pPr>
    </w:p>
    <w:p w14:paraId="5CEB8185"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lastRenderedPageBreak/>
        <w:t>General Preparation</w:t>
      </w:r>
    </w:p>
    <w:p w14:paraId="51D4C333"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14:paraId="6A516D57"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14:paraId="50DC9F6F"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ADD56B1"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14:paraId="58539752"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19E10885"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14:paraId="6910A716"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EE6EFDA"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14:paraId="3C8C5783"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6F0603D8" w14:textId="77777777"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46C3F" w14:textId="77777777" w:rsidR="00BC4B81" w:rsidRDefault="00BC4B81">
      <w:r>
        <w:separator/>
      </w:r>
    </w:p>
  </w:endnote>
  <w:endnote w:type="continuationSeparator" w:id="0">
    <w:p w14:paraId="10EB8BCA" w14:textId="77777777" w:rsidR="00BC4B81" w:rsidRDefault="00BC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5C833" w14:textId="77777777" w:rsidR="005841B2" w:rsidRDefault="005841B2" w:rsidP="00CE10F2">
    <w:pPr>
      <w:pStyle w:val="Footer"/>
      <w:jc w:val="center"/>
    </w:pPr>
    <w:r>
      <w:sym w:font="Symbol" w:char="F0D3"/>
    </w:r>
    <w:r>
      <w:t xml:space="preserve"> 201</w:t>
    </w:r>
    <w:r>
      <w:rPr>
        <w:lang w:val="en-US"/>
      </w:rPr>
      <w:t>4</w:t>
    </w:r>
    <w:r>
      <w:t>, Journal of Visualized Experiments</w:t>
    </w:r>
  </w:p>
  <w:p w14:paraId="6B3E3A72" w14:textId="77777777" w:rsidR="005841B2" w:rsidRDefault="005841B2"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343FB" w14:textId="77777777" w:rsidR="00BC4B81" w:rsidRDefault="00BC4B81">
      <w:r>
        <w:separator/>
      </w:r>
    </w:p>
  </w:footnote>
  <w:footnote w:type="continuationSeparator" w:id="0">
    <w:p w14:paraId="6BFC52D2" w14:textId="77777777" w:rsidR="00BC4B81" w:rsidRDefault="00BC4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F2779A3"/>
    <w:multiLevelType w:val="multilevel"/>
    <w:tmpl w:val="65A629A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6ECAA73E"/>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
  </w:num>
  <w:num w:numId="3">
    <w:abstractNumId w:val="4"/>
  </w:num>
  <w:num w:numId="4">
    <w:abstractNumId w:val="2"/>
  </w:num>
  <w:num w:numId="5">
    <w:abstractNumId w:val="6"/>
  </w:num>
  <w:num w:numId="6">
    <w:abstractNumId w:val="12"/>
  </w:num>
  <w:num w:numId="7">
    <w:abstractNumId w:val="0"/>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37D"/>
    <w:rsid w:val="0001394D"/>
    <w:rsid w:val="00016894"/>
    <w:rsid w:val="00053489"/>
    <w:rsid w:val="00053D4A"/>
    <w:rsid w:val="000823C8"/>
    <w:rsid w:val="00094E9C"/>
    <w:rsid w:val="000A2BFE"/>
    <w:rsid w:val="000B6748"/>
    <w:rsid w:val="000B6763"/>
    <w:rsid w:val="000D7A89"/>
    <w:rsid w:val="0010383D"/>
    <w:rsid w:val="00110BD6"/>
    <w:rsid w:val="00127FE8"/>
    <w:rsid w:val="001302F2"/>
    <w:rsid w:val="001308E8"/>
    <w:rsid w:val="00131A44"/>
    <w:rsid w:val="0014097F"/>
    <w:rsid w:val="0015410C"/>
    <w:rsid w:val="001547E8"/>
    <w:rsid w:val="00154ED5"/>
    <w:rsid w:val="00192EC9"/>
    <w:rsid w:val="00193C68"/>
    <w:rsid w:val="00195BDB"/>
    <w:rsid w:val="001974EB"/>
    <w:rsid w:val="001E3E3C"/>
    <w:rsid w:val="002501EF"/>
    <w:rsid w:val="00275770"/>
    <w:rsid w:val="002B0A14"/>
    <w:rsid w:val="002B303B"/>
    <w:rsid w:val="002D020D"/>
    <w:rsid w:val="002D4741"/>
    <w:rsid w:val="002E618F"/>
    <w:rsid w:val="002E683D"/>
    <w:rsid w:val="00315E7C"/>
    <w:rsid w:val="00374A75"/>
    <w:rsid w:val="003A55C1"/>
    <w:rsid w:val="003D4472"/>
    <w:rsid w:val="003F0088"/>
    <w:rsid w:val="004076DF"/>
    <w:rsid w:val="00434CC6"/>
    <w:rsid w:val="00460B4C"/>
    <w:rsid w:val="00475430"/>
    <w:rsid w:val="004A0D3D"/>
    <w:rsid w:val="004D6C82"/>
    <w:rsid w:val="004F2A71"/>
    <w:rsid w:val="00513944"/>
    <w:rsid w:val="00524F6C"/>
    <w:rsid w:val="005841B2"/>
    <w:rsid w:val="00592919"/>
    <w:rsid w:val="005A1F5E"/>
    <w:rsid w:val="005A4961"/>
    <w:rsid w:val="005B4F47"/>
    <w:rsid w:val="005C0B5B"/>
    <w:rsid w:val="00602F42"/>
    <w:rsid w:val="00610E9B"/>
    <w:rsid w:val="00621F06"/>
    <w:rsid w:val="006556DE"/>
    <w:rsid w:val="00664ECF"/>
    <w:rsid w:val="00677D18"/>
    <w:rsid w:val="00685F02"/>
    <w:rsid w:val="0069385F"/>
    <w:rsid w:val="006A2740"/>
    <w:rsid w:val="006B01EB"/>
    <w:rsid w:val="006C08AE"/>
    <w:rsid w:val="006C4280"/>
    <w:rsid w:val="006D7529"/>
    <w:rsid w:val="006E3B3E"/>
    <w:rsid w:val="0070759F"/>
    <w:rsid w:val="00721AF6"/>
    <w:rsid w:val="0075113A"/>
    <w:rsid w:val="00767DED"/>
    <w:rsid w:val="00773E74"/>
    <w:rsid w:val="00785F9A"/>
    <w:rsid w:val="0079415F"/>
    <w:rsid w:val="007C2E5A"/>
    <w:rsid w:val="007D55DC"/>
    <w:rsid w:val="007E54BA"/>
    <w:rsid w:val="00827B26"/>
    <w:rsid w:val="0083114A"/>
    <w:rsid w:val="00841238"/>
    <w:rsid w:val="00852510"/>
    <w:rsid w:val="008A0324"/>
    <w:rsid w:val="008B19A0"/>
    <w:rsid w:val="008D58EC"/>
    <w:rsid w:val="008F4DD0"/>
    <w:rsid w:val="00917A92"/>
    <w:rsid w:val="009202AE"/>
    <w:rsid w:val="009203E8"/>
    <w:rsid w:val="009633A3"/>
    <w:rsid w:val="00987DC6"/>
    <w:rsid w:val="00996974"/>
    <w:rsid w:val="009B372C"/>
    <w:rsid w:val="009E62D5"/>
    <w:rsid w:val="00A12B56"/>
    <w:rsid w:val="00A64E52"/>
    <w:rsid w:val="00A64FB4"/>
    <w:rsid w:val="00A835E9"/>
    <w:rsid w:val="00AA470B"/>
    <w:rsid w:val="00B00F7E"/>
    <w:rsid w:val="00B04070"/>
    <w:rsid w:val="00B17052"/>
    <w:rsid w:val="00B32783"/>
    <w:rsid w:val="00BC4166"/>
    <w:rsid w:val="00BC4B81"/>
    <w:rsid w:val="00BF392B"/>
    <w:rsid w:val="00C02782"/>
    <w:rsid w:val="00C2482A"/>
    <w:rsid w:val="00C2698F"/>
    <w:rsid w:val="00C72122"/>
    <w:rsid w:val="00C72653"/>
    <w:rsid w:val="00CA119B"/>
    <w:rsid w:val="00CA52A3"/>
    <w:rsid w:val="00CD5858"/>
    <w:rsid w:val="00CE10F2"/>
    <w:rsid w:val="00CF5726"/>
    <w:rsid w:val="00D02D6A"/>
    <w:rsid w:val="00D30333"/>
    <w:rsid w:val="00D303E1"/>
    <w:rsid w:val="00D34018"/>
    <w:rsid w:val="00D520A6"/>
    <w:rsid w:val="00D668A7"/>
    <w:rsid w:val="00D845DA"/>
    <w:rsid w:val="00D87669"/>
    <w:rsid w:val="00D877C8"/>
    <w:rsid w:val="00D917F9"/>
    <w:rsid w:val="00D95BE9"/>
    <w:rsid w:val="00DB1C9E"/>
    <w:rsid w:val="00DC05BD"/>
    <w:rsid w:val="00DC34D4"/>
    <w:rsid w:val="00DC67D8"/>
    <w:rsid w:val="00E27AB3"/>
    <w:rsid w:val="00E729F8"/>
    <w:rsid w:val="00E77C25"/>
    <w:rsid w:val="00EA5FF2"/>
    <w:rsid w:val="00ED1B50"/>
    <w:rsid w:val="00ED29C1"/>
    <w:rsid w:val="00F31E2F"/>
    <w:rsid w:val="00F32883"/>
    <w:rsid w:val="00F44851"/>
    <w:rsid w:val="00F51816"/>
    <w:rsid w:val="00F53CF4"/>
    <w:rsid w:val="00F908A6"/>
    <w:rsid w:val="00FB21E6"/>
    <w:rsid w:val="00FD7E87"/>
    <w:rsid w:val="00FE390B"/>
    <w:rsid w:val="00FF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E4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85F0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85F0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aniels@fas.harvard.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ple.com/quick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durfee@hsph.harvard.edu" TargetMode="External"/><Relationship Id="rId4" Type="http://schemas.openxmlformats.org/officeDocument/2006/relationships/settings" Target="settings.xml"/><Relationship Id="rId9" Type="http://schemas.openxmlformats.org/officeDocument/2006/relationships/hyperlink" Target="mailto:ejhamilt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16708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11</cp:revision>
  <dcterms:created xsi:type="dcterms:W3CDTF">2015-03-23T17:14:00Z</dcterms:created>
  <dcterms:modified xsi:type="dcterms:W3CDTF">2015-04-23T23:51:00Z</dcterms:modified>
</cp:coreProperties>
</file>