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77AB5" w14:textId="09CE2A65" w:rsidR="008A1B5D" w:rsidRPr="003A3EEA" w:rsidRDefault="00324FC7" w:rsidP="003A3EEA">
      <w:pPr>
        <w:widowControl w:val="0"/>
        <w:autoSpaceDE w:val="0"/>
        <w:autoSpaceDN w:val="0"/>
        <w:adjustRightInd w:val="0"/>
        <w:rPr>
          <w:rFonts w:ascii="Calibri" w:hAnsi="Calibri" w:cs="Arial"/>
          <w:b/>
        </w:rPr>
      </w:pPr>
      <w:r w:rsidRPr="003A3EEA">
        <w:rPr>
          <w:rFonts w:ascii="Calibri" w:hAnsi="Calibri" w:cs="Arial"/>
          <w:b/>
        </w:rPr>
        <w:t>TITLE:</w:t>
      </w:r>
    </w:p>
    <w:p w14:paraId="029B3CB0" w14:textId="280B6242" w:rsidR="00622B26" w:rsidRPr="003A3EEA" w:rsidRDefault="00622B26" w:rsidP="003A3EEA">
      <w:pPr>
        <w:widowControl w:val="0"/>
        <w:autoSpaceDE w:val="0"/>
        <w:autoSpaceDN w:val="0"/>
        <w:adjustRightInd w:val="0"/>
        <w:rPr>
          <w:rFonts w:ascii="Calibri" w:hAnsi="Calibri" w:cs="Arial"/>
          <w:b/>
        </w:rPr>
      </w:pPr>
      <w:r w:rsidRPr="003A3EEA">
        <w:rPr>
          <w:rFonts w:ascii="Calibri" w:hAnsi="Calibri" w:cs="Arial"/>
          <w:b/>
        </w:rPr>
        <w:t xml:space="preserve">A method for remotely silencing neural activity </w:t>
      </w:r>
      <w:r w:rsidR="00611871" w:rsidRPr="003A3EEA">
        <w:rPr>
          <w:rFonts w:ascii="Calibri" w:hAnsi="Calibri" w:cs="Arial"/>
          <w:b/>
        </w:rPr>
        <w:t xml:space="preserve">in rodents </w:t>
      </w:r>
      <w:r w:rsidRPr="003A3EEA">
        <w:rPr>
          <w:rFonts w:ascii="Calibri" w:hAnsi="Calibri" w:cs="Arial"/>
          <w:b/>
        </w:rPr>
        <w:t>dur</w:t>
      </w:r>
      <w:r w:rsidR="008A1B5D" w:rsidRPr="003A3EEA">
        <w:rPr>
          <w:rFonts w:ascii="Calibri" w:hAnsi="Calibri" w:cs="Arial"/>
          <w:b/>
        </w:rPr>
        <w:t>ing discrete phases of learning</w:t>
      </w:r>
    </w:p>
    <w:p w14:paraId="1873D1A1" w14:textId="77777777" w:rsidR="00622B26" w:rsidRPr="003A3EEA" w:rsidRDefault="00622B26" w:rsidP="003A3EEA">
      <w:pPr>
        <w:widowControl w:val="0"/>
        <w:autoSpaceDE w:val="0"/>
        <w:autoSpaceDN w:val="0"/>
        <w:adjustRightInd w:val="0"/>
        <w:rPr>
          <w:rFonts w:ascii="Calibri" w:hAnsi="Calibri" w:cs="Arial"/>
        </w:rPr>
      </w:pPr>
    </w:p>
    <w:p w14:paraId="47C3B99A" w14:textId="7550DB99" w:rsidR="008A1B5D" w:rsidRPr="003A3EEA" w:rsidRDefault="00324FC7" w:rsidP="003A3EEA">
      <w:pPr>
        <w:widowControl w:val="0"/>
        <w:autoSpaceDE w:val="0"/>
        <w:autoSpaceDN w:val="0"/>
        <w:adjustRightInd w:val="0"/>
        <w:rPr>
          <w:rFonts w:ascii="Calibri" w:hAnsi="Calibri" w:cs="Arial"/>
        </w:rPr>
      </w:pPr>
      <w:r w:rsidRPr="003A3EEA">
        <w:rPr>
          <w:rFonts w:ascii="Calibri" w:hAnsi="Calibri" w:cs="Arial"/>
          <w:b/>
        </w:rPr>
        <w:t>AUTHORS:</w:t>
      </w:r>
    </w:p>
    <w:p w14:paraId="006AB3AC" w14:textId="77777777" w:rsidR="00324FC7" w:rsidRPr="003A3EEA" w:rsidRDefault="008A1B5D" w:rsidP="003A3EEA">
      <w:pPr>
        <w:widowControl w:val="0"/>
        <w:autoSpaceDE w:val="0"/>
        <w:autoSpaceDN w:val="0"/>
        <w:adjustRightInd w:val="0"/>
        <w:rPr>
          <w:rFonts w:ascii="Calibri" w:hAnsi="Calibri" w:cs="Arial"/>
          <w:b/>
        </w:rPr>
      </w:pPr>
      <w:r w:rsidRPr="003A3EEA">
        <w:rPr>
          <w:rFonts w:ascii="Calibri" w:hAnsi="Calibri" w:cs="Arial"/>
          <w:b/>
        </w:rPr>
        <w:t>Siobhan Robinson</w:t>
      </w:r>
    </w:p>
    <w:p w14:paraId="116DF8CA" w14:textId="77777777" w:rsidR="00324FC7" w:rsidRPr="003A3EEA" w:rsidRDefault="00324FC7" w:rsidP="003A3EEA">
      <w:pPr>
        <w:widowControl w:val="0"/>
        <w:autoSpaceDE w:val="0"/>
        <w:autoSpaceDN w:val="0"/>
        <w:adjustRightInd w:val="0"/>
        <w:rPr>
          <w:rFonts w:ascii="Calibri" w:hAnsi="Calibri" w:cs="Arial"/>
        </w:rPr>
      </w:pPr>
      <w:r w:rsidRPr="003A3EEA">
        <w:rPr>
          <w:rFonts w:ascii="Calibri" w:hAnsi="Calibri" w:cs="Arial"/>
        </w:rPr>
        <w:t>Department of Neuroscience</w:t>
      </w:r>
    </w:p>
    <w:p w14:paraId="42EE0EFC" w14:textId="77777777" w:rsidR="00324FC7" w:rsidRPr="003A3EEA" w:rsidRDefault="00324FC7" w:rsidP="003A3EEA">
      <w:pPr>
        <w:widowControl w:val="0"/>
        <w:autoSpaceDE w:val="0"/>
        <w:autoSpaceDN w:val="0"/>
        <w:adjustRightInd w:val="0"/>
        <w:rPr>
          <w:rFonts w:ascii="Calibri" w:hAnsi="Calibri" w:cs="Arial"/>
        </w:rPr>
      </w:pPr>
      <w:r w:rsidRPr="003A3EEA">
        <w:rPr>
          <w:rFonts w:ascii="Calibri" w:hAnsi="Calibri" w:cs="Arial"/>
        </w:rPr>
        <w:t>Oberlin College</w:t>
      </w:r>
    </w:p>
    <w:p w14:paraId="1A109FBF" w14:textId="08A87DFD" w:rsidR="00324FC7" w:rsidRPr="003A3EEA" w:rsidRDefault="00324FC7" w:rsidP="003A3EEA">
      <w:pPr>
        <w:widowControl w:val="0"/>
        <w:autoSpaceDE w:val="0"/>
        <w:autoSpaceDN w:val="0"/>
        <w:adjustRightInd w:val="0"/>
        <w:rPr>
          <w:rFonts w:ascii="Calibri" w:hAnsi="Calibri" w:cs="Arial"/>
        </w:rPr>
      </w:pPr>
      <w:r w:rsidRPr="003A3EEA">
        <w:rPr>
          <w:rFonts w:ascii="Calibri" w:hAnsi="Calibri" w:cs="Arial"/>
        </w:rPr>
        <w:t>Oberlin</w:t>
      </w:r>
      <w:r w:rsidR="0091394B" w:rsidRPr="003A3EEA">
        <w:rPr>
          <w:rFonts w:ascii="Calibri" w:hAnsi="Calibri" w:cs="Arial"/>
        </w:rPr>
        <w:t>,</w:t>
      </w:r>
      <w:r w:rsidRPr="003A3EEA">
        <w:rPr>
          <w:rFonts w:ascii="Calibri" w:hAnsi="Calibri" w:cs="Arial"/>
        </w:rPr>
        <w:t xml:space="preserve"> OH</w:t>
      </w:r>
    </w:p>
    <w:p w14:paraId="32A0C139" w14:textId="05653B6F" w:rsidR="00324FC7" w:rsidRPr="003A3EEA" w:rsidRDefault="004566C1" w:rsidP="003A3EEA">
      <w:pPr>
        <w:widowControl w:val="0"/>
        <w:autoSpaceDE w:val="0"/>
        <w:autoSpaceDN w:val="0"/>
        <w:adjustRightInd w:val="0"/>
        <w:rPr>
          <w:rFonts w:ascii="Calibri" w:hAnsi="Calibri" w:cs="Arial"/>
        </w:rPr>
      </w:pPr>
      <w:r w:rsidRPr="003A3EEA">
        <w:rPr>
          <w:rFonts w:ascii="Calibri" w:hAnsi="Calibri"/>
        </w:rPr>
        <w:t>S</w:t>
      </w:r>
      <w:r w:rsidR="00324FC7" w:rsidRPr="003A3EEA">
        <w:rPr>
          <w:rFonts w:ascii="Calibri" w:hAnsi="Calibri"/>
        </w:rPr>
        <w:t>iobhan.</w:t>
      </w:r>
      <w:r w:rsidRPr="003A3EEA">
        <w:rPr>
          <w:rFonts w:ascii="Calibri" w:hAnsi="Calibri"/>
        </w:rPr>
        <w:t>R</w:t>
      </w:r>
      <w:r w:rsidR="00324FC7" w:rsidRPr="003A3EEA">
        <w:rPr>
          <w:rFonts w:ascii="Calibri" w:hAnsi="Calibri"/>
        </w:rPr>
        <w:t>obinson@oberlin.edu</w:t>
      </w:r>
    </w:p>
    <w:p w14:paraId="173C4EFC" w14:textId="77777777" w:rsidR="00324FC7" w:rsidRPr="003A3EEA" w:rsidRDefault="00324FC7" w:rsidP="003A3EEA">
      <w:pPr>
        <w:widowControl w:val="0"/>
        <w:autoSpaceDE w:val="0"/>
        <w:autoSpaceDN w:val="0"/>
        <w:adjustRightInd w:val="0"/>
        <w:rPr>
          <w:rFonts w:ascii="Calibri" w:hAnsi="Calibri" w:cs="Arial"/>
          <w:b/>
        </w:rPr>
      </w:pPr>
    </w:p>
    <w:p w14:paraId="2BC12987" w14:textId="7BF6465A" w:rsidR="008A1B5D" w:rsidRPr="003A3EEA" w:rsidRDefault="00622B26" w:rsidP="003A3EEA">
      <w:pPr>
        <w:widowControl w:val="0"/>
        <w:autoSpaceDE w:val="0"/>
        <w:autoSpaceDN w:val="0"/>
        <w:adjustRightInd w:val="0"/>
        <w:rPr>
          <w:rFonts w:ascii="Calibri" w:hAnsi="Calibri" w:cs="Arial"/>
        </w:rPr>
      </w:pPr>
      <w:r w:rsidRPr="003A3EEA">
        <w:rPr>
          <w:rFonts w:ascii="Calibri" w:hAnsi="Calibri" w:cs="Arial"/>
          <w:b/>
        </w:rPr>
        <w:t xml:space="preserve">Julia </w:t>
      </w:r>
      <w:r w:rsidR="00793049" w:rsidRPr="003A3EEA">
        <w:rPr>
          <w:rFonts w:ascii="Calibri" w:hAnsi="Calibri" w:cs="Arial"/>
          <w:b/>
        </w:rPr>
        <w:t xml:space="preserve">S. </w:t>
      </w:r>
      <w:r w:rsidRPr="003A3EEA">
        <w:rPr>
          <w:rFonts w:ascii="Calibri" w:hAnsi="Calibri" w:cs="Arial"/>
          <w:b/>
        </w:rPr>
        <w:t>Adelman</w:t>
      </w:r>
    </w:p>
    <w:p w14:paraId="11555B10" w14:textId="17A5BF55" w:rsidR="00324FC7" w:rsidRPr="003A3EEA" w:rsidRDefault="008A1B5D" w:rsidP="003A3EEA">
      <w:pPr>
        <w:widowControl w:val="0"/>
        <w:autoSpaceDE w:val="0"/>
        <w:autoSpaceDN w:val="0"/>
        <w:adjustRightInd w:val="0"/>
        <w:rPr>
          <w:rFonts w:ascii="Calibri" w:hAnsi="Calibri" w:cs="Arial"/>
        </w:rPr>
      </w:pPr>
      <w:r w:rsidRPr="003A3EEA">
        <w:rPr>
          <w:rFonts w:ascii="Calibri" w:hAnsi="Calibri" w:cs="Arial"/>
        </w:rPr>
        <w:t>Department of Neuroscience</w:t>
      </w:r>
    </w:p>
    <w:p w14:paraId="1C7A7F91" w14:textId="31F5E488" w:rsidR="00324FC7" w:rsidRPr="003A3EEA" w:rsidRDefault="008A1B5D" w:rsidP="003A3EEA">
      <w:pPr>
        <w:widowControl w:val="0"/>
        <w:autoSpaceDE w:val="0"/>
        <w:autoSpaceDN w:val="0"/>
        <w:adjustRightInd w:val="0"/>
        <w:rPr>
          <w:rFonts w:ascii="Calibri" w:hAnsi="Calibri" w:cs="Arial"/>
        </w:rPr>
      </w:pPr>
      <w:r w:rsidRPr="003A3EEA">
        <w:rPr>
          <w:rFonts w:ascii="Calibri" w:hAnsi="Calibri" w:cs="Arial"/>
        </w:rPr>
        <w:t>Oberlin College</w:t>
      </w:r>
    </w:p>
    <w:p w14:paraId="6C38C359" w14:textId="4FD82B92" w:rsidR="008A1B5D" w:rsidRPr="003A3EEA" w:rsidRDefault="008A1B5D" w:rsidP="003A3EEA">
      <w:pPr>
        <w:widowControl w:val="0"/>
        <w:autoSpaceDE w:val="0"/>
        <w:autoSpaceDN w:val="0"/>
        <w:adjustRightInd w:val="0"/>
        <w:rPr>
          <w:rFonts w:ascii="Calibri" w:hAnsi="Calibri" w:cs="Arial"/>
        </w:rPr>
      </w:pPr>
      <w:r w:rsidRPr="003A3EEA">
        <w:rPr>
          <w:rFonts w:ascii="Calibri" w:hAnsi="Calibri" w:cs="Arial"/>
        </w:rPr>
        <w:t>Oberlin</w:t>
      </w:r>
      <w:r w:rsidR="0091394B" w:rsidRPr="003A3EEA">
        <w:rPr>
          <w:rFonts w:ascii="Calibri" w:hAnsi="Calibri" w:cs="Arial"/>
        </w:rPr>
        <w:t>,</w:t>
      </w:r>
      <w:r w:rsidRPr="003A3EEA">
        <w:rPr>
          <w:rFonts w:ascii="Calibri" w:hAnsi="Calibri" w:cs="Arial"/>
        </w:rPr>
        <w:t xml:space="preserve"> OH</w:t>
      </w:r>
    </w:p>
    <w:p w14:paraId="3DB1DA47" w14:textId="1746B4A4" w:rsidR="00793049" w:rsidRPr="003A3EEA" w:rsidRDefault="00324FC7" w:rsidP="003A3EEA">
      <w:pPr>
        <w:widowControl w:val="0"/>
        <w:autoSpaceDE w:val="0"/>
        <w:autoSpaceDN w:val="0"/>
        <w:adjustRightInd w:val="0"/>
        <w:rPr>
          <w:rFonts w:ascii="Calibri" w:hAnsi="Calibri" w:cs="Arial"/>
        </w:rPr>
      </w:pPr>
      <w:r w:rsidRPr="003A3EEA">
        <w:rPr>
          <w:rFonts w:ascii="Calibri" w:hAnsi="Calibri" w:cs="Arial"/>
        </w:rPr>
        <w:t>jadelman@oberlin.edu</w:t>
      </w:r>
    </w:p>
    <w:p w14:paraId="23FAF352" w14:textId="77777777" w:rsidR="005A28BB" w:rsidRPr="003A3EEA" w:rsidRDefault="005A28BB" w:rsidP="003A3EEA">
      <w:pPr>
        <w:widowControl w:val="0"/>
        <w:autoSpaceDE w:val="0"/>
        <w:autoSpaceDN w:val="0"/>
        <w:adjustRightInd w:val="0"/>
        <w:rPr>
          <w:rFonts w:ascii="Calibri" w:hAnsi="Calibri" w:cs="Arial"/>
        </w:rPr>
      </w:pPr>
    </w:p>
    <w:p w14:paraId="3D167371" w14:textId="330A2F00" w:rsidR="005A28BB" w:rsidRPr="003A3EEA" w:rsidRDefault="005A28BB" w:rsidP="003A3EEA">
      <w:pPr>
        <w:widowControl w:val="0"/>
        <w:autoSpaceDE w:val="0"/>
        <w:autoSpaceDN w:val="0"/>
        <w:adjustRightInd w:val="0"/>
        <w:rPr>
          <w:rFonts w:ascii="Calibri" w:hAnsi="Calibri" w:cs="Arial"/>
          <w:b/>
        </w:rPr>
      </w:pPr>
      <w:r w:rsidRPr="003A3EEA">
        <w:rPr>
          <w:rFonts w:ascii="Calibri" w:hAnsi="Calibri" w:cs="Arial"/>
          <w:b/>
        </w:rPr>
        <w:t xml:space="preserve">Corresponding Author: </w:t>
      </w:r>
    </w:p>
    <w:p w14:paraId="336D34A0" w14:textId="7753D9A3" w:rsidR="005A28BB" w:rsidRPr="003A3EEA" w:rsidRDefault="005A28BB" w:rsidP="003A3EEA">
      <w:pPr>
        <w:widowControl w:val="0"/>
        <w:autoSpaceDE w:val="0"/>
        <w:autoSpaceDN w:val="0"/>
        <w:adjustRightInd w:val="0"/>
        <w:rPr>
          <w:rFonts w:ascii="Calibri" w:hAnsi="Calibri" w:cs="Arial"/>
        </w:rPr>
      </w:pPr>
      <w:r w:rsidRPr="003A3EEA">
        <w:rPr>
          <w:rFonts w:ascii="Calibri" w:hAnsi="Calibri" w:cs="Arial"/>
        </w:rPr>
        <w:t>Name</w:t>
      </w:r>
      <w:r w:rsidR="00865197" w:rsidRPr="003A3EEA">
        <w:rPr>
          <w:rFonts w:ascii="Calibri" w:hAnsi="Calibri" w:cs="Arial"/>
        </w:rPr>
        <w:t>: Siobhan Robinson</w:t>
      </w:r>
      <w:r w:rsidR="00865197" w:rsidRPr="003A3EEA">
        <w:rPr>
          <w:rFonts w:ascii="Calibri" w:hAnsi="Calibri" w:cs="Arial"/>
        </w:rPr>
        <w:tab/>
      </w:r>
    </w:p>
    <w:p w14:paraId="73864AE1" w14:textId="4B6B7050" w:rsidR="005A28BB" w:rsidRPr="003A3EEA" w:rsidRDefault="005A28BB" w:rsidP="003A3EEA">
      <w:pPr>
        <w:widowControl w:val="0"/>
        <w:autoSpaceDE w:val="0"/>
        <w:autoSpaceDN w:val="0"/>
        <w:adjustRightInd w:val="0"/>
        <w:rPr>
          <w:rFonts w:ascii="Calibri" w:hAnsi="Calibri" w:cs="Arial"/>
        </w:rPr>
      </w:pPr>
      <w:r w:rsidRPr="003A3EEA">
        <w:rPr>
          <w:rFonts w:ascii="Calibri" w:hAnsi="Calibri" w:cs="Arial"/>
        </w:rPr>
        <w:t>Phone:</w:t>
      </w:r>
      <w:r w:rsidR="006B463A" w:rsidRPr="003A3EEA">
        <w:rPr>
          <w:rFonts w:ascii="Calibri" w:hAnsi="Calibri" w:cs="Arial"/>
        </w:rPr>
        <w:t xml:space="preserve"> 440.775.</w:t>
      </w:r>
      <w:r w:rsidR="00B5789D" w:rsidRPr="003A3EEA">
        <w:rPr>
          <w:rFonts w:ascii="Calibri" w:hAnsi="Calibri" w:cs="Arial"/>
        </w:rPr>
        <w:t>62</w:t>
      </w:r>
      <w:r w:rsidR="002331F4" w:rsidRPr="003A3EEA">
        <w:rPr>
          <w:rFonts w:ascii="Calibri" w:hAnsi="Calibri" w:cs="Arial"/>
        </w:rPr>
        <w:t>58</w:t>
      </w:r>
    </w:p>
    <w:p w14:paraId="6039DFB7" w14:textId="4C824980" w:rsidR="005A28BB" w:rsidRPr="003A3EEA" w:rsidRDefault="005A28BB" w:rsidP="003A3EEA">
      <w:pPr>
        <w:widowControl w:val="0"/>
        <w:autoSpaceDE w:val="0"/>
        <w:autoSpaceDN w:val="0"/>
        <w:adjustRightInd w:val="0"/>
        <w:rPr>
          <w:rFonts w:ascii="Calibri" w:hAnsi="Calibri" w:cs="Arial"/>
        </w:rPr>
      </w:pPr>
      <w:r w:rsidRPr="003A3EEA">
        <w:rPr>
          <w:rFonts w:ascii="Calibri" w:hAnsi="Calibri" w:cs="Arial"/>
        </w:rPr>
        <w:t>Fax:</w:t>
      </w:r>
      <w:r w:rsidR="004D3C57" w:rsidRPr="003A3EEA">
        <w:rPr>
          <w:rFonts w:ascii="Calibri" w:hAnsi="Calibri" w:cs="Arial"/>
        </w:rPr>
        <w:t xml:space="preserve"> </w:t>
      </w:r>
      <w:r w:rsidR="006B463A" w:rsidRPr="003A3EEA">
        <w:rPr>
          <w:rFonts w:ascii="Calibri" w:hAnsi="Calibri" w:cs="Arial"/>
        </w:rPr>
        <w:t xml:space="preserve">440.775.5397 </w:t>
      </w:r>
    </w:p>
    <w:p w14:paraId="2362F318" w14:textId="70B84D4B" w:rsidR="00401D5E" w:rsidRPr="003A3EEA" w:rsidRDefault="00865197" w:rsidP="003A3EEA">
      <w:pPr>
        <w:widowControl w:val="0"/>
        <w:autoSpaceDE w:val="0"/>
        <w:autoSpaceDN w:val="0"/>
        <w:adjustRightInd w:val="0"/>
        <w:rPr>
          <w:rFonts w:ascii="Calibri" w:hAnsi="Calibri" w:cs="Arial"/>
        </w:rPr>
      </w:pPr>
      <w:r w:rsidRPr="003A3EEA">
        <w:rPr>
          <w:rFonts w:ascii="Calibri" w:hAnsi="Calibri" w:cs="Arial"/>
        </w:rPr>
        <w:t>Siobhan.Robinson@oberlin.edu</w:t>
      </w:r>
    </w:p>
    <w:p w14:paraId="27A40825" w14:textId="77777777" w:rsidR="00324FC7" w:rsidRPr="003A3EEA" w:rsidRDefault="00324FC7" w:rsidP="003A3EEA">
      <w:pPr>
        <w:rPr>
          <w:rFonts w:ascii="Calibri" w:hAnsi="Calibri" w:cs="Arial"/>
          <w:b/>
          <w:bCs/>
        </w:rPr>
      </w:pPr>
    </w:p>
    <w:p w14:paraId="42E8889D" w14:textId="3236BE59" w:rsidR="00401D5E" w:rsidRPr="003A3EEA" w:rsidRDefault="009D44D7" w:rsidP="003A3EEA">
      <w:pPr>
        <w:rPr>
          <w:rFonts w:ascii="Calibri" w:hAnsi="Calibri" w:cs="Arial"/>
          <w:bCs/>
        </w:rPr>
      </w:pPr>
      <w:r w:rsidRPr="003A3EEA">
        <w:rPr>
          <w:rFonts w:ascii="Calibri" w:hAnsi="Calibri" w:cs="Arial"/>
          <w:b/>
          <w:bCs/>
        </w:rPr>
        <w:t>KEYWORDS</w:t>
      </w:r>
      <w:r w:rsidR="00324FC7" w:rsidRPr="003A3EEA">
        <w:rPr>
          <w:rFonts w:ascii="Calibri" w:hAnsi="Calibri" w:cs="Arial"/>
          <w:b/>
          <w:bCs/>
        </w:rPr>
        <w:t>:</w:t>
      </w:r>
    </w:p>
    <w:p w14:paraId="3B88BF4D" w14:textId="4EBFF9DE" w:rsidR="00401D5E" w:rsidRPr="003A3EEA" w:rsidRDefault="008951F9" w:rsidP="003A3EEA">
      <w:pPr>
        <w:widowControl w:val="0"/>
        <w:autoSpaceDE w:val="0"/>
        <w:autoSpaceDN w:val="0"/>
        <w:adjustRightInd w:val="0"/>
        <w:rPr>
          <w:rFonts w:ascii="Calibri" w:hAnsi="Calibri" w:cs="Arial"/>
          <w:bCs/>
        </w:rPr>
      </w:pPr>
      <w:r w:rsidRPr="003A3EEA">
        <w:rPr>
          <w:rFonts w:ascii="Calibri" w:hAnsi="Calibri" w:cs="Arial"/>
          <w:bCs/>
        </w:rPr>
        <w:t>Pharmacogenetics;</w:t>
      </w:r>
      <w:r w:rsidR="001C6DBC" w:rsidRPr="003A3EEA">
        <w:rPr>
          <w:rFonts w:ascii="Calibri" w:hAnsi="Calibri" w:cs="Arial"/>
          <w:bCs/>
        </w:rPr>
        <w:t xml:space="preserve"> </w:t>
      </w:r>
      <w:r w:rsidRPr="003A3EEA">
        <w:rPr>
          <w:rFonts w:ascii="Calibri" w:hAnsi="Calibri" w:cs="Arial"/>
          <w:bCs/>
        </w:rPr>
        <w:t>behavior;</w:t>
      </w:r>
      <w:r w:rsidR="00095DAF" w:rsidRPr="003A3EEA">
        <w:rPr>
          <w:rFonts w:ascii="Calibri" w:hAnsi="Calibri" w:cs="Arial"/>
          <w:bCs/>
        </w:rPr>
        <w:t xml:space="preserve"> n</w:t>
      </w:r>
      <w:r w:rsidRPr="003A3EEA">
        <w:rPr>
          <w:rFonts w:ascii="Calibri" w:hAnsi="Calibri" w:cs="Arial"/>
          <w:bCs/>
        </w:rPr>
        <w:t>euroscience;</w:t>
      </w:r>
      <w:r w:rsidR="00401D5E" w:rsidRPr="003A3EEA">
        <w:rPr>
          <w:rFonts w:ascii="Calibri" w:hAnsi="Calibri" w:cs="Arial"/>
          <w:bCs/>
        </w:rPr>
        <w:t xml:space="preserve"> </w:t>
      </w:r>
      <w:r w:rsidRPr="003A3EEA">
        <w:rPr>
          <w:rFonts w:ascii="Calibri" w:hAnsi="Calibri" w:cs="Arial"/>
          <w:bCs/>
        </w:rPr>
        <w:t>temporary neural inactivation;</w:t>
      </w:r>
      <w:r w:rsidR="00095DAF" w:rsidRPr="003A3EEA">
        <w:rPr>
          <w:rFonts w:ascii="Calibri" w:hAnsi="Calibri" w:cs="Arial"/>
          <w:bCs/>
        </w:rPr>
        <w:t xml:space="preserve"> sensory p</w:t>
      </w:r>
      <w:r w:rsidRPr="003A3EEA">
        <w:rPr>
          <w:rFonts w:ascii="Calibri" w:hAnsi="Calibri" w:cs="Arial"/>
          <w:bCs/>
        </w:rPr>
        <w:t>reconditioning; rodent; cortex; adeno-associated virus; DREADDs;</w:t>
      </w:r>
      <w:r w:rsidR="00095DAF" w:rsidRPr="003A3EEA">
        <w:rPr>
          <w:rFonts w:ascii="Calibri" w:hAnsi="Calibri" w:cs="Arial"/>
          <w:bCs/>
        </w:rPr>
        <w:t xml:space="preserve"> learning</w:t>
      </w:r>
      <w:r w:rsidRPr="003A3EEA">
        <w:rPr>
          <w:rFonts w:ascii="Calibri" w:hAnsi="Calibri" w:cs="Arial"/>
          <w:bCs/>
        </w:rPr>
        <w:t>;</w:t>
      </w:r>
      <w:r w:rsidR="001C6DBC" w:rsidRPr="003A3EEA">
        <w:rPr>
          <w:rFonts w:ascii="Calibri" w:hAnsi="Calibri" w:cs="Arial"/>
          <w:bCs/>
        </w:rPr>
        <w:t xml:space="preserve"> stereotaxic surgery</w:t>
      </w:r>
    </w:p>
    <w:p w14:paraId="693ABBAF" w14:textId="77777777" w:rsidR="00401D5E" w:rsidRPr="003A3EEA" w:rsidRDefault="00401D5E" w:rsidP="003A3EEA">
      <w:pPr>
        <w:widowControl w:val="0"/>
        <w:autoSpaceDE w:val="0"/>
        <w:autoSpaceDN w:val="0"/>
        <w:adjustRightInd w:val="0"/>
        <w:rPr>
          <w:rFonts w:ascii="Calibri" w:hAnsi="Calibri" w:cs="Arial"/>
          <w:bCs/>
        </w:rPr>
      </w:pPr>
    </w:p>
    <w:p w14:paraId="38E21F3F" w14:textId="4079610F" w:rsidR="00622B26" w:rsidRPr="003A3EEA" w:rsidRDefault="009D44D7" w:rsidP="003A3EEA">
      <w:pPr>
        <w:widowControl w:val="0"/>
        <w:autoSpaceDE w:val="0"/>
        <w:autoSpaceDN w:val="0"/>
        <w:adjustRightInd w:val="0"/>
        <w:rPr>
          <w:rFonts w:ascii="Calibri" w:hAnsi="Calibri" w:cs="Arial"/>
          <w:b/>
          <w:bCs/>
        </w:rPr>
      </w:pPr>
      <w:r w:rsidRPr="003A3EEA">
        <w:rPr>
          <w:rFonts w:ascii="Calibri" w:hAnsi="Calibri" w:cs="Arial"/>
          <w:b/>
          <w:bCs/>
        </w:rPr>
        <w:t>SHORT ABSTRACT</w:t>
      </w:r>
      <w:r w:rsidR="00324FC7" w:rsidRPr="003A3EEA">
        <w:rPr>
          <w:rFonts w:ascii="Calibri" w:hAnsi="Calibri" w:cs="Arial"/>
          <w:b/>
          <w:bCs/>
        </w:rPr>
        <w:t>:</w:t>
      </w:r>
    </w:p>
    <w:p w14:paraId="61A183A2" w14:textId="0BDBE154" w:rsidR="00401D5E" w:rsidRPr="003A3EEA" w:rsidRDefault="000F140E" w:rsidP="003A3EEA">
      <w:pPr>
        <w:widowControl w:val="0"/>
        <w:autoSpaceDE w:val="0"/>
        <w:autoSpaceDN w:val="0"/>
        <w:adjustRightInd w:val="0"/>
        <w:rPr>
          <w:rFonts w:ascii="Calibri" w:hAnsi="Calibri" w:cs="Arial"/>
        </w:rPr>
      </w:pPr>
      <w:r w:rsidRPr="003A3EEA">
        <w:rPr>
          <w:rFonts w:ascii="Calibri" w:hAnsi="Calibri" w:cs="Arial"/>
        </w:rPr>
        <w:t xml:space="preserve">This protocol describes how to temporarily and remotely silence neuronal activity in discrete brain regions while </w:t>
      </w:r>
      <w:r w:rsidR="004D7245" w:rsidRPr="003A3EEA">
        <w:rPr>
          <w:rFonts w:ascii="Calibri" w:hAnsi="Calibri" w:cs="Arial"/>
        </w:rPr>
        <w:t>rats</w:t>
      </w:r>
      <w:r w:rsidRPr="003A3EEA">
        <w:rPr>
          <w:rFonts w:ascii="Calibri" w:hAnsi="Calibri" w:cs="Arial"/>
        </w:rPr>
        <w:t xml:space="preserve"> are engaged in learning and memory tasks.</w:t>
      </w:r>
      <w:r w:rsidR="004D3C57" w:rsidRPr="003A3EEA">
        <w:rPr>
          <w:rFonts w:ascii="Calibri" w:hAnsi="Calibri" w:cs="Arial"/>
        </w:rPr>
        <w:t xml:space="preserve"> </w:t>
      </w:r>
      <w:r w:rsidRPr="003A3EEA">
        <w:rPr>
          <w:rFonts w:ascii="Calibri" w:hAnsi="Calibri" w:cs="Arial"/>
        </w:rPr>
        <w:t>The approach comb</w:t>
      </w:r>
      <w:r w:rsidR="00E223BC" w:rsidRPr="003A3EEA">
        <w:rPr>
          <w:rFonts w:ascii="Calibri" w:hAnsi="Calibri" w:cs="Arial"/>
        </w:rPr>
        <w:t>ines pharmacogenetics (Designer-Receptors-Exclusively-Activated-by-Designer-</w:t>
      </w:r>
      <w:r w:rsidRPr="003A3EEA">
        <w:rPr>
          <w:rFonts w:ascii="Calibri" w:hAnsi="Calibri" w:cs="Arial"/>
        </w:rPr>
        <w:t>Drugs) with a behavioral paradigm (sensory preconditioning) that is designed to dis</w:t>
      </w:r>
      <w:r w:rsidR="007E4B24" w:rsidRPr="003A3EEA">
        <w:rPr>
          <w:rFonts w:ascii="Calibri" w:hAnsi="Calibri" w:cs="Arial"/>
        </w:rPr>
        <w:t>tinguish between different components</w:t>
      </w:r>
      <w:r w:rsidRPr="003A3EEA">
        <w:rPr>
          <w:rFonts w:ascii="Calibri" w:hAnsi="Calibri" w:cs="Arial"/>
        </w:rPr>
        <w:t xml:space="preserve"> of learning.</w:t>
      </w:r>
    </w:p>
    <w:p w14:paraId="445B665F" w14:textId="77777777" w:rsidR="009B2245" w:rsidRPr="003A3EEA" w:rsidRDefault="009B2245" w:rsidP="003A3EEA">
      <w:pPr>
        <w:widowControl w:val="0"/>
        <w:autoSpaceDE w:val="0"/>
        <w:autoSpaceDN w:val="0"/>
        <w:adjustRightInd w:val="0"/>
        <w:rPr>
          <w:rFonts w:ascii="Calibri" w:hAnsi="Calibri" w:cs="Arial"/>
        </w:rPr>
      </w:pPr>
    </w:p>
    <w:p w14:paraId="0910F67B" w14:textId="4510DDE7" w:rsidR="009B2245" w:rsidRPr="003A3EEA" w:rsidRDefault="009D44D7" w:rsidP="003A3EEA">
      <w:pPr>
        <w:widowControl w:val="0"/>
        <w:autoSpaceDE w:val="0"/>
        <w:autoSpaceDN w:val="0"/>
        <w:adjustRightInd w:val="0"/>
        <w:rPr>
          <w:rFonts w:ascii="Calibri" w:hAnsi="Calibri" w:cs="Arial"/>
          <w:b/>
        </w:rPr>
      </w:pPr>
      <w:r w:rsidRPr="003A3EEA">
        <w:rPr>
          <w:rFonts w:ascii="Calibri" w:hAnsi="Calibri" w:cs="Arial"/>
          <w:b/>
        </w:rPr>
        <w:t>LONG ABSTRACT</w:t>
      </w:r>
      <w:r w:rsidR="00324FC7" w:rsidRPr="003A3EEA">
        <w:rPr>
          <w:rFonts w:ascii="Calibri" w:hAnsi="Calibri" w:cs="Arial"/>
          <w:b/>
        </w:rPr>
        <w:t>:</w:t>
      </w:r>
    </w:p>
    <w:p w14:paraId="55D57F43" w14:textId="2E5E5CCE" w:rsidR="008167FB" w:rsidRPr="003A3EEA" w:rsidRDefault="00865197" w:rsidP="003A3EEA">
      <w:pPr>
        <w:rPr>
          <w:rFonts w:ascii="Calibri" w:hAnsi="Calibri" w:cs="Arial"/>
        </w:rPr>
      </w:pPr>
      <w:r w:rsidRPr="003A3EEA">
        <w:rPr>
          <w:rFonts w:ascii="Calibri" w:hAnsi="Calibri" w:cs="Arial"/>
        </w:rPr>
        <w:t>This protocol</w:t>
      </w:r>
      <w:r w:rsidR="00622B26" w:rsidRPr="003A3EEA">
        <w:rPr>
          <w:rFonts w:ascii="Calibri" w:hAnsi="Calibri" w:cs="Arial"/>
        </w:rPr>
        <w:t xml:space="preserve"> describes how to temporarily and remotely silence neuronal activity in discrete brain regions while animals are engaged in learning and memory tasks.</w:t>
      </w:r>
      <w:r w:rsidR="004D3C57" w:rsidRPr="003A3EEA">
        <w:rPr>
          <w:rFonts w:ascii="Calibri" w:hAnsi="Calibri" w:cs="Arial"/>
        </w:rPr>
        <w:t xml:space="preserve"> </w:t>
      </w:r>
      <w:r w:rsidR="00622B26" w:rsidRPr="003A3EEA">
        <w:rPr>
          <w:rFonts w:ascii="Calibri" w:hAnsi="Calibri" w:cs="Arial"/>
        </w:rPr>
        <w:t>The approach combines pharma</w:t>
      </w:r>
      <w:r w:rsidR="00A33FF8" w:rsidRPr="003A3EEA">
        <w:rPr>
          <w:rFonts w:ascii="Calibri" w:hAnsi="Calibri" w:cs="Arial"/>
        </w:rPr>
        <w:t>cogenetics (Designer-Receptors-Exclusively-Activated-by-Designer-</w:t>
      </w:r>
      <w:r w:rsidR="00622B26" w:rsidRPr="003A3EEA">
        <w:rPr>
          <w:rFonts w:ascii="Calibri" w:hAnsi="Calibri" w:cs="Arial"/>
        </w:rPr>
        <w:t>Drugs) with a behavioral paradigm (sensory preconditioning) that is designed to distinguish between different forms of learning. Specifically, viral-mediated delivery is used to express a g</w:t>
      </w:r>
      <w:r w:rsidR="00B50C00" w:rsidRPr="003A3EEA">
        <w:rPr>
          <w:rFonts w:ascii="Calibri" w:hAnsi="Calibri" w:cs="Arial"/>
        </w:rPr>
        <w:t>enetically modified inhibitory G</w:t>
      </w:r>
      <w:r w:rsidR="00622B26" w:rsidRPr="003A3EEA">
        <w:rPr>
          <w:rFonts w:ascii="Calibri" w:hAnsi="Calibri" w:cs="Arial"/>
        </w:rPr>
        <w:t>-protein coupled receptor (the Designer Receptor) into a discrete brain region in the rodent.</w:t>
      </w:r>
      <w:r w:rsidR="004D3C57" w:rsidRPr="003A3EEA">
        <w:rPr>
          <w:rFonts w:ascii="Calibri" w:hAnsi="Calibri" w:cs="Arial"/>
        </w:rPr>
        <w:t xml:space="preserve"> </w:t>
      </w:r>
      <w:r w:rsidR="00622B26" w:rsidRPr="003A3EEA">
        <w:rPr>
          <w:rFonts w:ascii="Calibri" w:hAnsi="Calibri" w:cs="Arial"/>
        </w:rPr>
        <w:t xml:space="preserve">Three weeks later, </w:t>
      </w:r>
      <w:r w:rsidR="00F858BC" w:rsidRPr="003A3EEA">
        <w:rPr>
          <w:rFonts w:ascii="Calibri" w:hAnsi="Calibri" w:cs="Arial"/>
        </w:rPr>
        <w:t xml:space="preserve">when designer </w:t>
      </w:r>
      <w:r w:rsidR="00622B26" w:rsidRPr="003A3EEA">
        <w:rPr>
          <w:rFonts w:ascii="Calibri" w:hAnsi="Calibri" w:cs="Arial"/>
        </w:rPr>
        <w:t xml:space="preserve">receptor expression levels are high, a pharmacological agent (the Designer Drug) is </w:t>
      </w:r>
      <w:r w:rsidR="004566C1" w:rsidRPr="003A3EEA">
        <w:rPr>
          <w:rFonts w:ascii="Calibri" w:hAnsi="Calibri" w:cs="Arial"/>
        </w:rPr>
        <w:t xml:space="preserve">administered </w:t>
      </w:r>
      <w:r w:rsidR="00A62ED2" w:rsidRPr="003A3EEA">
        <w:rPr>
          <w:rFonts w:ascii="Calibri" w:hAnsi="Calibri" w:cs="Arial"/>
        </w:rPr>
        <w:t>systemically 30</w:t>
      </w:r>
      <w:r w:rsidR="005D1BA6" w:rsidRPr="003A3EEA">
        <w:rPr>
          <w:rFonts w:ascii="Calibri" w:hAnsi="Calibri" w:cs="Arial"/>
        </w:rPr>
        <w:t xml:space="preserve"> </w:t>
      </w:r>
      <w:r w:rsidR="00A62ED2" w:rsidRPr="003A3EEA">
        <w:rPr>
          <w:rFonts w:ascii="Calibri" w:hAnsi="Calibri" w:cs="Arial"/>
        </w:rPr>
        <w:t xml:space="preserve">min </w:t>
      </w:r>
      <w:r w:rsidR="00622B26" w:rsidRPr="003A3EEA">
        <w:rPr>
          <w:rFonts w:ascii="Calibri" w:hAnsi="Calibri" w:cs="Arial"/>
        </w:rPr>
        <w:t xml:space="preserve">prior to </w:t>
      </w:r>
      <w:r w:rsidR="00F858BC" w:rsidRPr="003A3EEA">
        <w:rPr>
          <w:rFonts w:ascii="Calibri" w:hAnsi="Calibri" w:cs="Arial"/>
        </w:rPr>
        <w:t>a specific</w:t>
      </w:r>
      <w:r w:rsidR="00A62ED2" w:rsidRPr="003A3EEA">
        <w:rPr>
          <w:rFonts w:ascii="Calibri" w:hAnsi="Calibri" w:cs="Arial"/>
        </w:rPr>
        <w:t xml:space="preserve"> behavior</w:t>
      </w:r>
      <w:r w:rsidR="00E11FA9" w:rsidRPr="003A3EEA">
        <w:rPr>
          <w:rFonts w:ascii="Calibri" w:hAnsi="Calibri" w:cs="Arial"/>
        </w:rPr>
        <w:t>al session.</w:t>
      </w:r>
      <w:r w:rsidR="004D3C57" w:rsidRPr="003A3EEA">
        <w:rPr>
          <w:rFonts w:ascii="Calibri" w:hAnsi="Calibri" w:cs="Arial"/>
        </w:rPr>
        <w:t xml:space="preserve"> </w:t>
      </w:r>
      <w:r w:rsidR="00E11FA9" w:rsidRPr="003A3EEA">
        <w:rPr>
          <w:rFonts w:ascii="Calibri" w:hAnsi="Calibri" w:cs="Arial"/>
        </w:rPr>
        <w:t>T</w:t>
      </w:r>
      <w:r w:rsidR="00F858BC" w:rsidRPr="003A3EEA">
        <w:rPr>
          <w:rFonts w:ascii="Calibri" w:hAnsi="Calibri" w:cs="Arial"/>
        </w:rPr>
        <w:t>he drug has affinity for the designer receptor</w:t>
      </w:r>
      <w:r w:rsidR="005C5846" w:rsidRPr="003A3EEA">
        <w:rPr>
          <w:rFonts w:ascii="Calibri" w:hAnsi="Calibri" w:cs="Arial"/>
        </w:rPr>
        <w:t xml:space="preserve"> and thus results in inhibition of neurons that express the designer receptor</w:t>
      </w:r>
      <w:r w:rsidR="00F858BC" w:rsidRPr="003A3EEA">
        <w:rPr>
          <w:rFonts w:ascii="Calibri" w:hAnsi="Calibri" w:cs="Arial"/>
        </w:rPr>
        <w:t>, but is otherwise biologically inert.</w:t>
      </w:r>
      <w:r w:rsidR="004D3C57" w:rsidRPr="003A3EEA">
        <w:rPr>
          <w:rFonts w:ascii="Calibri" w:hAnsi="Calibri" w:cs="Arial"/>
        </w:rPr>
        <w:t xml:space="preserve"> </w:t>
      </w:r>
      <w:r w:rsidR="00F858BC" w:rsidRPr="003A3EEA">
        <w:rPr>
          <w:rFonts w:ascii="Calibri" w:hAnsi="Calibri" w:cs="Arial"/>
        </w:rPr>
        <w:t xml:space="preserve">The </w:t>
      </w:r>
      <w:r w:rsidR="00F858BC" w:rsidRPr="003A3EEA">
        <w:rPr>
          <w:rFonts w:ascii="Calibri" w:hAnsi="Calibri" w:cs="Arial"/>
        </w:rPr>
        <w:lastRenderedPageBreak/>
        <w:t>brain region remains silenced for ~2-</w:t>
      </w:r>
      <w:r w:rsidR="008F1712" w:rsidRPr="003A3EEA">
        <w:rPr>
          <w:rFonts w:ascii="Calibri" w:hAnsi="Calibri" w:cs="Arial"/>
        </w:rPr>
        <w:t>5</w:t>
      </w:r>
      <w:r w:rsidR="00F858BC" w:rsidRPr="003A3EEA">
        <w:rPr>
          <w:rFonts w:ascii="Calibri" w:hAnsi="Calibri" w:cs="Arial"/>
        </w:rPr>
        <w:t xml:space="preserve"> </w:t>
      </w:r>
      <w:r w:rsidR="00272024" w:rsidRPr="003A3EEA">
        <w:rPr>
          <w:rFonts w:ascii="Calibri" w:hAnsi="Calibri" w:cs="Arial"/>
        </w:rPr>
        <w:t>h</w:t>
      </w:r>
      <w:r w:rsidR="00272024" w:rsidRPr="003A3EEA">
        <w:rPr>
          <w:rFonts w:ascii="Calibri" w:hAnsi="Calibri" w:cs="Arial"/>
        </w:rPr>
        <w:t xml:space="preserve"> </w:t>
      </w:r>
      <w:r w:rsidR="00F858BC" w:rsidRPr="003A3EEA">
        <w:rPr>
          <w:rFonts w:ascii="Calibri" w:hAnsi="Calibri" w:cs="Arial"/>
        </w:rPr>
        <w:t>(depending on the dose and route of administration).</w:t>
      </w:r>
      <w:r w:rsidR="004D3C57" w:rsidRPr="003A3EEA">
        <w:rPr>
          <w:rFonts w:ascii="Calibri" w:hAnsi="Calibri" w:cs="Arial"/>
        </w:rPr>
        <w:t xml:space="preserve"> </w:t>
      </w:r>
      <w:r w:rsidR="00622B26" w:rsidRPr="003A3EEA">
        <w:rPr>
          <w:rFonts w:ascii="Calibri" w:hAnsi="Calibri" w:cs="Arial"/>
        </w:rPr>
        <w:t xml:space="preserve">Upon completion of the behavioral </w:t>
      </w:r>
      <w:r w:rsidR="00F858BC" w:rsidRPr="003A3EEA">
        <w:rPr>
          <w:rFonts w:ascii="Calibri" w:hAnsi="Calibri" w:cs="Arial"/>
        </w:rPr>
        <w:t>paradigm</w:t>
      </w:r>
      <w:r w:rsidR="00242FC0" w:rsidRPr="003A3EEA">
        <w:rPr>
          <w:rFonts w:ascii="Calibri" w:hAnsi="Calibri" w:cs="Arial"/>
        </w:rPr>
        <w:t>,</w:t>
      </w:r>
      <w:r w:rsidR="00622B26" w:rsidRPr="003A3EEA">
        <w:rPr>
          <w:rFonts w:ascii="Calibri" w:hAnsi="Calibri" w:cs="Arial"/>
        </w:rPr>
        <w:t xml:space="preserve"> brain tissue is assessed for </w:t>
      </w:r>
      <w:r w:rsidR="00A62ED2" w:rsidRPr="003A3EEA">
        <w:rPr>
          <w:rFonts w:ascii="Calibri" w:hAnsi="Calibri" w:cs="Arial"/>
        </w:rPr>
        <w:t>correct placement and receptor expression</w:t>
      </w:r>
      <w:r w:rsidR="00622B26" w:rsidRPr="003A3EEA">
        <w:rPr>
          <w:rFonts w:ascii="Calibri" w:hAnsi="Calibri" w:cs="Arial"/>
        </w:rPr>
        <w:t>. This approach is particularly useful for determining the contribution of individual brain regions to specific components of be</w:t>
      </w:r>
      <w:r w:rsidR="00E24AB4" w:rsidRPr="003A3EEA">
        <w:rPr>
          <w:rFonts w:ascii="Calibri" w:hAnsi="Calibri" w:cs="Arial"/>
        </w:rPr>
        <w:t>havior and can be used across any number of behavioral paradigms.</w:t>
      </w:r>
    </w:p>
    <w:p w14:paraId="060D3FCE" w14:textId="77777777" w:rsidR="000F140E" w:rsidRPr="003A3EEA" w:rsidRDefault="000F140E" w:rsidP="003A3EEA">
      <w:pPr>
        <w:rPr>
          <w:rFonts w:ascii="Calibri" w:hAnsi="Calibri" w:cs="Arial"/>
        </w:rPr>
      </w:pPr>
    </w:p>
    <w:p w14:paraId="754AEE8F" w14:textId="02377FE9" w:rsidR="003A0FC8" w:rsidRPr="003A3EEA" w:rsidRDefault="009D44D7" w:rsidP="003A3EEA">
      <w:pPr>
        <w:rPr>
          <w:rFonts w:ascii="Calibri" w:hAnsi="Calibri" w:cs="Arial"/>
          <w:b/>
        </w:rPr>
      </w:pPr>
      <w:r w:rsidRPr="003A3EEA">
        <w:rPr>
          <w:rFonts w:ascii="Calibri" w:hAnsi="Calibri" w:cs="Arial"/>
          <w:b/>
        </w:rPr>
        <w:t>INTRODUCTION</w:t>
      </w:r>
      <w:r w:rsidR="00324FC7" w:rsidRPr="003A3EEA">
        <w:rPr>
          <w:rFonts w:ascii="Calibri" w:hAnsi="Calibri" w:cs="Arial"/>
          <w:b/>
        </w:rPr>
        <w:t>:</w:t>
      </w:r>
    </w:p>
    <w:p w14:paraId="56AECC40" w14:textId="04F0EAD0" w:rsidR="003A0FC8" w:rsidRPr="003A3EEA" w:rsidRDefault="003A0FC8" w:rsidP="003A3EEA">
      <w:pPr>
        <w:rPr>
          <w:rFonts w:ascii="Calibri" w:hAnsi="Calibri"/>
        </w:rPr>
      </w:pPr>
      <w:r w:rsidRPr="003A3EEA">
        <w:rPr>
          <w:rFonts w:ascii="Calibri" w:hAnsi="Calibri"/>
        </w:rPr>
        <w:t>An exciting challenge within the field of behavioral neuroscience is to determine the neural substrates of complex behaviors.</w:t>
      </w:r>
      <w:r w:rsidR="004D3C57" w:rsidRPr="003A3EEA">
        <w:rPr>
          <w:rFonts w:ascii="Calibri" w:hAnsi="Calibri"/>
        </w:rPr>
        <w:t xml:space="preserve"> </w:t>
      </w:r>
      <w:r w:rsidR="00E34BFD" w:rsidRPr="003A3EEA">
        <w:rPr>
          <w:rFonts w:ascii="Calibri" w:hAnsi="Calibri"/>
        </w:rPr>
        <w:t>A</w:t>
      </w:r>
      <w:r w:rsidR="008F1712" w:rsidRPr="003A3EEA">
        <w:rPr>
          <w:rFonts w:ascii="Calibri" w:hAnsi="Calibri"/>
        </w:rPr>
        <w:t xml:space="preserve"> number of techniques </w:t>
      </w:r>
      <w:r w:rsidRPr="003A3EEA">
        <w:rPr>
          <w:rFonts w:ascii="Calibri" w:hAnsi="Calibri"/>
        </w:rPr>
        <w:t>such as permanent lesions, temporary brain inactivation via cannulae implants and optogenetics have been em</w:t>
      </w:r>
      <w:r w:rsidR="00E34BFD" w:rsidRPr="003A3EEA">
        <w:rPr>
          <w:rFonts w:ascii="Calibri" w:hAnsi="Calibri"/>
        </w:rPr>
        <w:t xml:space="preserve">ployed to identify the </w:t>
      </w:r>
      <w:r w:rsidRPr="003A3EEA">
        <w:rPr>
          <w:rFonts w:ascii="Calibri" w:hAnsi="Calibri"/>
        </w:rPr>
        <w:t>contributions o</w:t>
      </w:r>
      <w:r w:rsidR="00E34BFD" w:rsidRPr="003A3EEA">
        <w:rPr>
          <w:rFonts w:ascii="Calibri" w:hAnsi="Calibri"/>
        </w:rPr>
        <w:t xml:space="preserve">f discrete brain regions to subcomponents of </w:t>
      </w:r>
      <w:r w:rsidRPr="003A3EEA">
        <w:rPr>
          <w:rFonts w:ascii="Calibri" w:hAnsi="Calibri"/>
        </w:rPr>
        <w:t>complex behavior</w:t>
      </w:r>
      <w:r w:rsidR="00E34BFD" w:rsidRPr="003A3EEA">
        <w:rPr>
          <w:rFonts w:ascii="Calibri" w:hAnsi="Calibri"/>
        </w:rPr>
        <w:t>s.</w:t>
      </w:r>
      <w:r w:rsidR="004D3C57" w:rsidRPr="003A3EEA">
        <w:rPr>
          <w:rFonts w:ascii="Calibri" w:hAnsi="Calibri"/>
        </w:rPr>
        <w:t xml:space="preserve"> </w:t>
      </w:r>
      <w:r w:rsidR="00E34BFD" w:rsidRPr="003A3EEA">
        <w:rPr>
          <w:rFonts w:ascii="Calibri" w:hAnsi="Calibri"/>
        </w:rPr>
        <w:t xml:space="preserve">While these approaches </w:t>
      </w:r>
      <w:r w:rsidR="00F576BA" w:rsidRPr="003A3EEA">
        <w:rPr>
          <w:rFonts w:ascii="Calibri" w:hAnsi="Calibri"/>
        </w:rPr>
        <w:t>inform</w:t>
      </w:r>
      <w:r w:rsidRPr="003A3EEA">
        <w:rPr>
          <w:rFonts w:ascii="Calibri" w:hAnsi="Calibri"/>
        </w:rPr>
        <w:t xml:space="preserve"> our understanding of regional specificity during learning, each technique is not without limitations.</w:t>
      </w:r>
      <w:r w:rsidR="004D3C57" w:rsidRPr="003A3EEA">
        <w:rPr>
          <w:rFonts w:ascii="Calibri" w:hAnsi="Calibri"/>
        </w:rPr>
        <w:t xml:space="preserve"> </w:t>
      </w:r>
      <w:r w:rsidRPr="003A3EEA">
        <w:rPr>
          <w:rFonts w:ascii="Calibri" w:hAnsi="Calibri"/>
        </w:rPr>
        <w:t xml:space="preserve">Specifically, permanent lesions are typically conducted </w:t>
      </w:r>
      <w:r w:rsidR="00865197" w:rsidRPr="003A3EEA">
        <w:rPr>
          <w:rFonts w:ascii="Calibri" w:hAnsi="Calibri"/>
        </w:rPr>
        <w:t>prior to behavioral testing, thus</w:t>
      </w:r>
      <w:r w:rsidRPr="003A3EEA">
        <w:rPr>
          <w:rFonts w:ascii="Calibri" w:hAnsi="Calibri"/>
        </w:rPr>
        <w:t xml:space="preserve"> their effects</w:t>
      </w:r>
      <w:r w:rsidR="00865197" w:rsidRPr="003A3EEA">
        <w:rPr>
          <w:rFonts w:ascii="Calibri" w:hAnsi="Calibri"/>
        </w:rPr>
        <w:t xml:space="preserve"> are</w:t>
      </w:r>
      <w:r w:rsidRPr="003A3EEA">
        <w:rPr>
          <w:rFonts w:ascii="Calibri" w:hAnsi="Calibri"/>
        </w:rPr>
        <w:t xml:space="preserve"> p</w:t>
      </w:r>
      <w:r w:rsidR="00F576BA" w:rsidRPr="003A3EEA">
        <w:rPr>
          <w:rFonts w:ascii="Calibri" w:hAnsi="Calibri"/>
        </w:rPr>
        <w:t xml:space="preserve">resent </w:t>
      </w:r>
      <w:r w:rsidR="00865197" w:rsidRPr="003A3EEA">
        <w:rPr>
          <w:rFonts w:ascii="Calibri" w:hAnsi="Calibri"/>
        </w:rPr>
        <w:t>throughout the duration of the paradigm.</w:t>
      </w:r>
      <w:r w:rsidR="004D3C57" w:rsidRPr="003A3EEA">
        <w:rPr>
          <w:rFonts w:ascii="Calibri" w:hAnsi="Calibri"/>
        </w:rPr>
        <w:t xml:space="preserve"> </w:t>
      </w:r>
      <w:r w:rsidRPr="003A3EEA">
        <w:rPr>
          <w:rFonts w:ascii="Calibri" w:hAnsi="Calibri"/>
        </w:rPr>
        <w:t>Cannulation studies that involve the presentation of a</w:t>
      </w:r>
      <w:r w:rsidR="00F576BA" w:rsidRPr="003A3EEA">
        <w:rPr>
          <w:rFonts w:ascii="Calibri" w:hAnsi="Calibri"/>
        </w:rPr>
        <w:t xml:space="preserve"> short-</w:t>
      </w:r>
      <w:r w:rsidR="00E34BFD" w:rsidRPr="003A3EEA">
        <w:rPr>
          <w:rFonts w:ascii="Calibri" w:hAnsi="Calibri"/>
        </w:rPr>
        <w:t>term neural inactivator (</w:t>
      </w:r>
      <w:r w:rsidR="00E34BFD" w:rsidRPr="003A3EEA">
        <w:rPr>
          <w:rFonts w:ascii="Calibri" w:hAnsi="Calibri"/>
          <w:i/>
        </w:rPr>
        <w:t xml:space="preserve">e.g., </w:t>
      </w:r>
      <w:r w:rsidR="00F576BA" w:rsidRPr="003A3EEA">
        <w:rPr>
          <w:rFonts w:ascii="Calibri" w:hAnsi="Calibri"/>
        </w:rPr>
        <w:t>tetrodotoxin)</w:t>
      </w:r>
      <w:r w:rsidRPr="003A3EEA">
        <w:rPr>
          <w:rFonts w:ascii="Calibri" w:hAnsi="Calibri"/>
        </w:rPr>
        <w:t xml:space="preserve"> can produce substantial damage to brain tissue and can induce stress in subjects just prior to behavioral testing.</w:t>
      </w:r>
      <w:r w:rsidR="004D3C57" w:rsidRPr="003A3EEA">
        <w:rPr>
          <w:rFonts w:ascii="Calibri" w:hAnsi="Calibri"/>
        </w:rPr>
        <w:t xml:space="preserve"> </w:t>
      </w:r>
      <w:r w:rsidR="002915F6" w:rsidRPr="003A3EEA">
        <w:rPr>
          <w:rFonts w:ascii="Calibri" w:hAnsi="Calibri"/>
        </w:rPr>
        <w:t xml:space="preserve">Furthermore, inactivation through cannulation is limited to the region of tissue that surrounds the tip of the cannulae. </w:t>
      </w:r>
      <w:r w:rsidRPr="003A3EEA">
        <w:rPr>
          <w:rFonts w:ascii="Calibri" w:hAnsi="Calibri"/>
        </w:rPr>
        <w:t xml:space="preserve">Lastly, </w:t>
      </w:r>
      <w:r w:rsidR="00865197" w:rsidRPr="003A3EEA">
        <w:rPr>
          <w:rFonts w:ascii="Calibri" w:hAnsi="Calibri"/>
        </w:rPr>
        <w:t xml:space="preserve">while </w:t>
      </w:r>
      <w:r w:rsidRPr="003A3EEA">
        <w:rPr>
          <w:rFonts w:ascii="Calibri" w:hAnsi="Calibri"/>
        </w:rPr>
        <w:t>optogenetics offers a range of flexibility for the temporal control of activit</w:t>
      </w:r>
      <w:r w:rsidR="00865197" w:rsidRPr="003A3EEA">
        <w:rPr>
          <w:rFonts w:ascii="Calibri" w:hAnsi="Calibri"/>
        </w:rPr>
        <w:t xml:space="preserve">y </w:t>
      </w:r>
      <w:r w:rsidR="00242FC0" w:rsidRPr="003A3EEA">
        <w:rPr>
          <w:rFonts w:ascii="Calibri" w:hAnsi="Calibri"/>
        </w:rPr>
        <w:t>in</w:t>
      </w:r>
      <w:r w:rsidR="00865197" w:rsidRPr="003A3EEA">
        <w:rPr>
          <w:rFonts w:ascii="Calibri" w:hAnsi="Calibri"/>
        </w:rPr>
        <w:t xml:space="preserve"> specific brain regions, it</w:t>
      </w:r>
      <w:r w:rsidRPr="003A3EEA">
        <w:rPr>
          <w:rFonts w:ascii="Calibri" w:hAnsi="Calibri"/>
        </w:rPr>
        <w:t xml:space="preserve"> is cost prohibitive and technically demanding.</w:t>
      </w:r>
    </w:p>
    <w:p w14:paraId="0ADE8719" w14:textId="77777777" w:rsidR="003A0FC8" w:rsidRPr="003A3EEA" w:rsidRDefault="003A0FC8" w:rsidP="003A3EEA">
      <w:pPr>
        <w:rPr>
          <w:rFonts w:ascii="Calibri" w:hAnsi="Calibri"/>
        </w:rPr>
      </w:pPr>
    </w:p>
    <w:p w14:paraId="5161AD4A" w14:textId="656663FF" w:rsidR="00030CE1" w:rsidRPr="003A3EEA" w:rsidRDefault="003A0FC8" w:rsidP="003A3EEA">
      <w:pPr>
        <w:rPr>
          <w:rFonts w:ascii="Calibri" w:hAnsi="Calibri"/>
        </w:rPr>
      </w:pPr>
      <w:r w:rsidRPr="003A3EEA">
        <w:rPr>
          <w:rFonts w:ascii="Calibri" w:hAnsi="Calibri"/>
        </w:rPr>
        <w:t>These limitations can be surmounted usi</w:t>
      </w:r>
      <w:r w:rsidR="00E11FA9" w:rsidRPr="003A3EEA">
        <w:rPr>
          <w:rFonts w:ascii="Calibri" w:hAnsi="Calibri"/>
        </w:rPr>
        <w:t>ng a pharmacogenetic approach (Designer-Receptors-Exclusively-Activated-by-D</w:t>
      </w:r>
      <w:r w:rsidRPr="003A3EEA">
        <w:rPr>
          <w:rFonts w:ascii="Calibri" w:hAnsi="Calibri"/>
        </w:rPr>
        <w:t>e</w:t>
      </w:r>
      <w:r w:rsidR="00E11FA9" w:rsidRPr="003A3EEA">
        <w:rPr>
          <w:rFonts w:ascii="Calibri" w:hAnsi="Calibri"/>
        </w:rPr>
        <w:t>signer-D</w:t>
      </w:r>
      <w:r w:rsidRPr="003A3EEA">
        <w:rPr>
          <w:rFonts w:ascii="Calibri" w:hAnsi="Calibri"/>
        </w:rPr>
        <w:t>rugs, DRE</w:t>
      </w:r>
      <w:r w:rsidR="00595095" w:rsidRPr="003A3EEA">
        <w:rPr>
          <w:rFonts w:ascii="Calibri" w:hAnsi="Calibri"/>
        </w:rPr>
        <w:t>ADDS</w:t>
      </w:r>
      <w:r w:rsidR="00A95871" w:rsidRPr="003A3EEA">
        <w:rPr>
          <w:rFonts w:ascii="Calibri" w:hAnsi="Calibri"/>
        </w:rPr>
        <w:t>)</w:t>
      </w:r>
      <w:r w:rsidR="00A95871" w:rsidRPr="003A3EEA">
        <w:rPr>
          <w:rFonts w:ascii="Calibri" w:hAnsi="Calibri"/>
          <w:vertAlign w:val="superscript"/>
        </w:rPr>
        <w:t>1</w:t>
      </w:r>
      <w:r w:rsidR="00806B05" w:rsidRPr="003A3EEA">
        <w:rPr>
          <w:rFonts w:ascii="Calibri" w:hAnsi="Calibri"/>
          <w:vertAlign w:val="superscript"/>
        </w:rPr>
        <w:t>,2</w:t>
      </w:r>
      <w:r w:rsidR="00A95871" w:rsidRPr="003A3EEA">
        <w:rPr>
          <w:rFonts w:ascii="Calibri" w:hAnsi="Calibri"/>
        </w:rPr>
        <w:t xml:space="preserve">. </w:t>
      </w:r>
      <w:r w:rsidRPr="003A3EEA">
        <w:rPr>
          <w:rFonts w:ascii="Calibri" w:hAnsi="Calibri"/>
        </w:rPr>
        <w:t>Importantly, while the concept of pharmacogenetics is sophisticated, the execution of the technique is straightforward.</w:t>
      </w:r>
      <w:r w:rsidR="004D3C57" w:rsidRPr="003A3EEA">
        <w:rPr>
          <w:rFonts w:ascii="Calibri" w:hAnsi="Calibri"/>
        </w:rPr>
        <w:t xml:space="preserve"> </w:t>
      </w:r>
      <w:r w:rsidRPr="003A3EEA">
        <w:rPr>
          <w:rFonts w:ascii="Calibri" w:hAnsi="Calibri"/>
        </w:rPr>
        <w:t>Similar to traditional stereotaxic surgical methods that involve infusion of toxin (</w:t>
      </w:r>
      <w:r w:rsidRPr="003A3EEA">
        <w:rPr>
          <w:rFonts w:ascii="Calibri" w:hAnsi="Calibri"/>
          <w:i/>
        </w:rPr>
        <w:t>e.g.</w:t>
      </w:r>
      <w:r w:rsidR="008F1712" w:rsidRPr="003A3EEA">
        <w:rPr>
          <w:rFonts w:ascii="Calibri" w:hAnsi="Calibri"/>
          <w:i/>
        </w:rPr>
        <w:t>,</w:t>
      </w:r>
      <w:r w:rsidRPr="003A3EEA">
        <w:rPr>
          <w:rFonts w:ascii="Calibri" w:hAnsi="Calibri"/>
        </w:rPr>
        <w:t xml:space="preserve"> NMDA, ibotenic acid) into discrete brain regions, thi</w:t>
      </w:r>
      <w:r w:rsidR="008F1712" w:rsidRPr="003A3EEA">
        <w:rPr>
          <w:rFonts w:ascii="Calibri" w:hAnsi="Calibri"/>
        </w:rPr>
        <w:t>s technique involves infusing an adeno-associated virus (AAV) that contains a DNA fragment</w:t>
      </w:r>
      <w:r w:rsidRPr="003A3EEA">
        <w:rPr>
          <w:rFonts w:ascii="Calibri" w:hAnsi="Calibri"/>
        </w:rPr>
        <w:t xml:space="preserve"> for a modified inhibitory </w:t>
      </w:r>
      <w:r w:rsidR="00B5789D" w:rsidRPr="003A3EEA">
        <w:rPr>
          <w:rFonts w:ascii="Calibri" w:hAnsi="Calibri"/>
        </w:rPr>
        <w:t>G-protein coupled</w:t>
      </w:r>
      <w:r w:rsidRPr="003A3EEA">
        <w:rPr>
          <w:rFonts w:ascii="Calibri" w:hAnsi="Calibri"/>
        </w:rPr>
        <w:t xml:space="preserve"> receptor </w:t>
      </w:r>
      <w:r w:rsidR="008F1712" w:rsidRPr="003A3EEA">
        <w:rPr>
          <w:rFonts w:ascii="Calibri" w:hAnsi="Calibri"/>
        </w:rPr>
        <w:t>(</w:t>
      </w:r>
      <w:r w:rsidR="008F1712" w:rsidRPr="003A3EEA">
        <w:rPr>
          <w:rFonts w:ascii="Calibri" w:hAnsi="Calibri" w:cs="Arial"/>
        </w:rPr>
        <w:t>hM4Di</w:t>
      </w:r>
      <w:r w:rsidR="008F1712" w:rsidRPr="003A3EEA">
        <w:rPr>
          <w:rFonts w:ascii="Calibri" w:hAnsi="Calibri"/>
        </w:rPr>
        <w:t xml:space="preserve">; the designer receptor) </w:t>
      </w:r>
      <w:r w:rsidRPr="003A3EEA">
        <w:rPr>
          <w:rFonts w:ascii="Calibri" w:hAnsi="Calibri"/>
        </w:rPr>
        <w:t xml:space="preserve">into </w:t>
      </w:r>
      <w:r w:rsidR="004B4D42" w:rsidRPr="003A3EEA">
        <w:rPr>
          <w:rFonts w:ascii="Calibri" w:hAnsi="Calibri"/>
        </w:rPr>
        <w:t>the region of interest of</w:t>
      </w:r>
      <w:r w:rsidRPr="003A3EEA">
        <w:rPr>
          <w:rFonts w:ascii="Calibri" w:hAnsi="Calibri"/>
        </w:rPr>
        <w:t xml:space="preserve"> standard laboratory rodents</w:t>
      </w:r>
      <w:r w:rsidR="008F1712" w:rsidRPr="003A3EEA">
        <w:rPr>
          <w:rFonts w:ascii="Calibri" w:hAnsi="Calibri"/>
        </w:rPr>
        <w:t xml:space="preserve"> (see Figure 1)</w:t>
      </w:r>
      <w:r w:rsidRPr="003A3EEA">
        <w:rPr>
          <w:rFonts w:ascii="Calibri" w:hAnsi="Calibri"/>
        </w:rPr>
        <w:t>.</w:t>
      </w:r>
      <w:r w:rsidR="004D3C57" w:rsidRPr="003A3EEA">
        <w:rPr>
          <w:rFonts w:ascii="Calibri" w:hAnsi="Calibri"/>
        </w:rPr>
        <w:t xml:space="preserve"> </w:t>
      </w:r>
      <w:r w:rsidRPr="003A3EEA">
        <w:rPr>
          <w:rFonts w:ascii="Calibri" w:hAnsi="Calibri"/>
        </w:rPr>
        <w:t>T</w:t>
      </w:r>
      <w:r w:rsidR="008F1712" w:rsidRPr="003A3EEA">
        <w:rPr>
          <w:rFonts w:ascii="Calibri" w:hAnsi="Calibri"/>
        </w:rPr>
        <w:t>he viral vector also contains</w:t>
      </w:r>
      <w:r w:rsidR="008F1712" w:rsidRPr="003A3EEA">
        <w:rPr>
          <w:rFonts w:ascii="Calibri" w:hAnsi="Calibri" w:cs="Arial"/>
        </w:rPr>
        <w:t xml:space="preserve"> a fluorescent reporter (</w:t>
      </w:r>
      <w:r w:rsidR="002915F6" w:rsidRPr="003A3EEA">
        <w:rPr>
          <w:rFonts w:ascii="Calibri" w:hAnsi="Calibri" w:cs="Arial"/>
        </w:rPr>
        <w:t>mcitrine</w:t>
      </w:r>
      <w:r w:rsidR="008F1712" w:rsidRPr="003A3EEA">
        <w:rPr>
          <w:rFonts w:ascii="Calibri" w:hAnsi="Calibri" w:cs="Arial"/>
        </w:rPr>
        <w:t>).</w:t>
      </w:r>
      <w:r w:rsidR="0091394B" w:rsidRPr="003A3EEA">
        <w:rPr>
          <w:rFonts w:ascii="Calibri" w:hAnsi="Calibri" w:cs="Arial"/>
        </w:rPr>
        <w:t xml:space="preserve"> </w:t>
      </w:r>
      <w:r w:rsidR="008F1712" w:rsidRPr="003A3EEA">
        <w:rPr>
          <w:rFonts w:ascii="Calibri" w:hAnsi="Calibri" w:cs="Arial"/>
        </w:rPr>
        <w:t>Once incorporated into cells, t</w:t>
      </w:r>
      <w:r w:rsidRPr="003A3EEA">
        <w:rPr>
          <w:rFonts w:ascii="Calibri" w:hAnsi="Calibri"/>
        </w:rPr>
        <w:t>he designer receptor</w:t>
      </w:r>
      <w:r w:rsidR="008F1712" w:rsidRPr="003A3EEA">
        <w:rPr>
          <w:rFonts w:ascii="Calibri" w:hAnsi="Calibri"/>
        </w:rPr>
        <w:t xml:space="preserve"> (and reporter protein)</w:t>
      </w:r>
      <w:r w:rsidR="00957479" w:rsidRPr="003A3EEA">
        <w:rPr>
          <w:rFonts w:ascii="Calibri" w:hAnsi="Calibri"/>
        </w:rPr>
        <w:t xml:space="preserve"> are</w:t>
      </w:r>
      <w:r w:rsidRPr="003A3EEA">
        <w:rPr>
          <w:rFonts w:ascii="Calibri" w:hAnsi="Calibri"/>
        </w:rPr>
        <w:t xml:space="preserve"> maximally expressed </w:t>
      </w:r>
      <w:r w:rsidR="00C36A61" w:rsidRPr="003A3EEA">
        <w:rPr>
          <w:rFonts w:ascii="Calibri" w:hAnsi="Calibri"/>
        </w:rPr>
        <w:t>~</w:t>
      </w:r>
      <w:r w:rsidRPr="003A3EEA">
        <w:rPr>
          <w:rFonts w:ascii="Calibri" w:hAnsi="Calibri"/>
        </w:rPr>
        <w:t xml:space="preserve">3 weeks </w:t>
      </w:r>
      <w:r w:rsidR="00E11FA9" w:rsidRPr="003A3EEA">
        <w:rPr>
          <w:rFonts w:ascii="Calibri" w:hAnsi="Calibri"/>
        </w:rPr>
        <w:t>post-</w:t>
      </w:r>
      <w:r w:rsidR="00242FC0" w:rsidRPr="003A3EEA">
        <w:rPr>
          <w:rFonts w:ascii="Calibri" w:hAnsi="Calibri"/>
        </w:rPr>
        <w:t>infusion</w:t>
      </w:r>
      <w:r w:rsidRPr="003A3EEA">
        <w:rPr>
          <w:rFonts w:ascii="Calibri" w:hAnsi="Calibri"/>
        </w:rPr>
        <w:t xml:space="preserve"> and can be selectively activated for ~2</w:t>
      </w:r>
      <w:r w:rsidR="00E11FA9" w:rsidRPr="003A3EEA">
        <w:rPr>
          <w:rFonts w:ascii="Calibri" w:hAnsi="Calibri"/>
        </w:rPr>
        <w:t>-5</w:t>
      </w:r>
      <w:r w:rsidR="00272024" w:rsidRPr="003A3EEA">
        <w:rPr>
          <w:rFonts w:ascii="Calibri" w:hAnsi="Calibri"/>
        </w:rPr>
        <w:t xml:space="preserve"> h</w:t>
      </w:r>
      <w:r w:rsidRPr="003A3EEA">
        <w:rPr>
          <w:rFonts w:ascii="Calibri" w:hAnsi="Calibri"/>
        </w:rPr>
        <w:t xml:space="preserve"> by systemic administration of the otherwise biologically in</w:t>
      </w:r>
      <w:r w:rsidR="008E64A2" w:rsidRPr="003A3EEA">
        <w:rPr>
          <w:rFonts w:ascii="Calibri" w:hAnsi="Calibri"/>
        </w:rPr>
        <w:t>ert designer drug,</w:t>
      </w:r>
      <w:r w:rsidRPr="003A3EEA">
        <w:rPr>
          <w:rFonts w:ascii="Calibri" w:hAnsi="Calibri"/>
        </w:rPr>
        <w:t xml:space="preserve"> </w:t>
      </w:r>
      <w:r w:rsidR="008E64A2" w:rsidRPr="003A3EEA">
        <w:rPr>
          <w:rFonts w:ascii="Calibri" w:hAnsi="Calibri"/>
        </w:rPr>
        <w:t>clozapine-N-oxide</w:t>
      </w:r>
      <w:r w:rsidR="00DD1C1B" w:rsidRPr="003A3EEA">
        <w:rPr>
          <w:rFonts w:ascii="Calibri" w:hAnsi="Calibri"/>
        </w:rPr>
        <w:t xml:space="preserve"> </w:t>
      </w:r>
      <w:r w:rsidR="008E64A2" w:rsidRPr="003A3EEA">
        <w:rPr>
          <w:rFonts w:ascii="Calibri" w:hAnsi="Calibri"/>
        </w:rPr>
        <w:t>(</w:t>
      </w:r>
      <w:r w:rsidRPr="003A3EEA">
        <w:rPr>
          <w:rFonts w:ascii="Calibri" w:hAnsi="Calibri"/>
        </w:rPr>
        <w:t>CNO)</w:t>
      </w:r>
      <w:r w:rsidR="008E64A2" w:rsidRPr="003A3EEA">
        <w:rPr>
          <w:rFonts w:ascii="Calibri" w:hAnsi="Calibri"/>
          <w:vertAlign w:val="superscript"/>
        </w:rPr>
        <w:t>1,</w:t>
      </w:r>
      <w:r w:rsidR="00806B05" w:rsidRPr="003A3EEA">
        <w:rPr>
          <w:rFonts w:ascii="Calibri" w:hAnsi="Calibri"/>
          <w:vertAlign w:val="superscript"/>
        </w:rPr>
        <w:t>3</w:t>
      </w:r>
      <w:r w:rsidRPr="003A3EEA">
        <w:rPr>
          <w:rFonts w:ascii="Calibri" w:hAnsi="Calibri"/>
        </w:rPr>
        <w:t xml:space="preserve">. Because the experimenter is endowed with precise, yet remote temporal control over neural activity in specific brain regions, pharmacogenetics combines particularly well with behavioral paradigms that are conducted in </w:t>
      </w:r>
      <w:r w:rsidR="004B4D42" w:rsidRPr="003A3EEA">
        <w:rPr>
          <w:rFonts w:ascii="Calibri" w:hAnsi="Calibri"/>
        </w:rPr>
        <w:t xml:space="preserve">multiple </w:t>
      </w:r>
      <w:r w:rsidRPr="003A3EEA">
        <w:rPr>
          <w:rFonts w:ascii="Calibri" w:hAnsi="Calibri"/>
        </w:rPr>
        <w:t>phases.</w:t>
      </w:r>
      <w:r w:rsidR="008F1712" w:rsidRPr="003A3EEA">
        <w:rPr>
          <w:rFonts w:ascii="Calibri" w:hAnsi="Calibri"/>
        </w:rPr>
        <w:t xml:space="preserve"> </w:t>
      </w:r>
      <w:r w:rsidR="00457696" w:rsidRPr="003A3EEA">
        <w:rPr>
          <w:rFonts w:ascii="Calibri" w:hAnsi="Calibri"/>
        </w:rPr>
        <w:t>In this example, the cont</w:t>
      </w:r>
      <w:r w:rsidR="00595095" w:rsidRPr="003A3EEA">
        <w:rPr>
          <w:rFonts w:ascii="Calibri" w:hAnsi="Calibri"/>
        </w:rPr>
        <w:t xml:space="preserve">ribution of the </w:t>
      </w:r>
      <w:r w:rsidR="008F1712" w:rsidRPr="003A3EEA">
        <w:rPr>
          <w:rFonts w:ascii="Calibri" w:hAnsi="Calibri"/>
        </w:rPr>
        <w:t>retrosplenial cortex (</w:t>
      </w:r>
      <w:r w:rsidR="00595095" w:rsidRPr="003A3EEA">
        <w:rPr>
          <w:rFonts w:ascii="Calibri" w:hAnsi="Calibri"/>
        </w:rPr>
        <w:t>RSC</w:t>
      </w:r>
      <w:r w:rsidR="008F1712" w:rsidRPr="003A3EEA">
        <w:rPr>
          <w:rFonts w:ascii="Calibri" w:hAnsi="Calibri"/>
        </w:rPr>
        <w:t>)</w:t>
      </w:r>
      <w:r w:rsidR="00595095" w:rsidRPr="003A3EEA">
        <w:rPr>
          <w:rFonts w:ascii="Calibri" w:hAnsi="Calibri"/>
        </w:rPr>
        <w:t xml:space="preserve"> to stimulus-</w:t>
      </w:r>
      <w:r w:rsidR="00457696" w:rsidRPr="003A3EEA">
        <w:rPr>
          <w:rFonts w:ascii="Calibri" w:hAnsi="Calibri"/>
        </w:rPr>
        <w:t>stimulus learning is compared to it</w:t>
      </w:r>
      <w:r w:rsidR="00242FC0" w:rsidRPr="003A3EEA">
        <w:rPr>
          <w:rFonts w:ascii="Calibri" w:hAnsi="Calibri"/>
        </w:rPr>
        <w:t>s</w:t>
      </w:r>
      <w:r w:rsidR="00457696" w:rsidRPr="003A3EEA">
        <w:rPr>
          <w:rFonts w:ascii="Calibri" w:hAnsi="Calibri"/>
        </w:rPr>
        <w:t xml:space="preserve"> role in Pavlovian learning, however</w:t>
      </w:r>
      <w:r w:rsidRPr="003A3EEA">
        <w:rPr>
          <w:rFonts w:ascii="Calibri" w:hAnsi="Calibri"/>
        </w:rPr>
        <w:t xml:space="preserve"> this combination of approaches is well suited to any number of questions that seek to identify how specific brain regions contribute to complex behavior.</w:t>
      </w:r>
      <w:r w:rsidR="002915F6" w:rsidRPr="003A3EEA">
        <w:rPr>
          <w:rFonts w:ascii="Calibri" w:hAnsi="Calibri"/>
        </w:rPr>
        <w:t xml:space="preserve"> </w:t>
      </w:r>
      <w:r w:rsidR="00AE0CA2" w:rsidRPr="003A3EEA">
        <w:rPr>
          <w:rFonts w:ascii="Calibri" w:hAnsi="Calibri"/>
        </w:rPr>
        <w:t xml:space="preserve"> </w:t>
      </w:r>
    </w:p>
    <w:p w14:paraId="7788414D" w14:textId="77777777" w:rsidR="00030CE1" w:rsidRPr="003A3EEA" w:rsidRDefault="00030CE1" w:rsidP="003A3EEA">
      <w:pPr>
        <w:rPr>
          <w:rFonts w:ascii="Calibri" w:hAnsi="Calibri"/>
        </w:rPr>
      </w:pPr>
    </w:p>
    <w:p w14:paraId="40DBE4D4" w14:textId="5E7B1C15" w:rsidR="003A0FC8" w:rsidRPr="003A3EEA" w:rsidRDefault="00030CE1" w:rsidP="003A3EEA">
      <w:pPr>
        <w:rPr>
          <w:rFonts w:ascii="Calibri" w:hAnsi="Calibri"/>
        </w:rPr>
      </w:pPr>
      <w:r w:rsidRPr="003A3EEA">
        <w:rPr>
          <w:rFonts w:ascii="Calibri" w:hAnsi="Calibri"/>
        </w:rPr>
        <w:t xml:space="preserve">In addition, </w:t>
      </w:r>
      <w:r w:rsidR="005221B9" w:rsidRPr="003A3EEA">
        <w:rPr>
          <w:rFonts w:ascii="Calibri" w:hAnsi="Calibri"/>
        </w:rPr>
        <w:t xml:space="preserve">while not described in the present protocol, </w:t>
      </w:r>
      <w:r w:rsidRPr="003A3EEA">
        <w:rPr>
          <w:rFonts w:ascii="Calibri" w:hAnsi="Calibri"/>
        </w:rPr>
        <w:t>viral and transgenic approaches can be used to achieve cell type-specific DREADD expression</w:t>
      </w:r>
      <w:r w:rsidR="00806B05" w:rsidRPr="003A3EEA">
        <w:rPr>
          <w:rFonts w:ascii="Calibri" w:hAnsi="Calibri"/>
          <w:vertAlign w:val="superscript"/>
        </w:rPr>
        <w:t>2</w:t>
      </w:r>
      <w:r w:rsidRPr="003A3EEA">
        <w:rPr>
          <w:rFonts w:ascii="Calibri" w:hAnsi="Calibri"/>
        </w:rPr>
        <w:t xml:space="preserve">.  </w:t>
      </w:r>
      <w:r w:rsidR="002915F6" w:rsidRPr="003A3EEA">
        <w:rPr>
          <w:rFonts w:ascii="Calibri" w:hAnsi="Calibri"/>
        </w:rPr>
        <w:t>As is inherent in behavioral paradigms that involve pharmacologica</w:t>
      </w:r>
      <w:r w:rsidR="00AE0CA2" w:rsidRPr="003A3EEA">
        <w:rPr>
          <w:rFonts w:ascii="Calibri" w:hAnsi="Calibri"/>
        </w:rPr>
        <w:t xml:space="preserve">l and/or other types of experimental manipulations, careful consideration of experimental design and subsequent quantitative analysis is required when </w:t>
      </w:r>
      <w:r w:rsidR="00AE0CA2" w:rsidRPr="003A3EEA">
        <w:rPr>
          <w:rFonts w:ascii="Calibri" w:hAnsi="Calibri"/>
        </w:rPr>
        <w:lastRenderedPageBreak/>
        <w:t>employing the DREADD approach.</w:t>
      </w:r>
      <w:r w:rsidRPr="003A3EEA">
        <w:rPr>
          <w:rFonts w:ascii="Calibri" w:hAnsi="Calibri"/>
        </w:rPr>
        <w:t xml:space="preserve">  Experimenters new to the DREADD approach are referred to a comprehensive review of current DREADD technology</w:t>
      </w:r>
      <w:r w:rsidR="00806B05" w:rsidRPr="003A3EEA">
        <w:rPr>
          <w:rFonts w:ascii="Calibri" w:hAnsi="Calibri"/>
          <w:vertAlign w:val="superscript"/>
        </w:rPr>
        <w:t>2</w:t>
      </w:r>
      <w:r w:rsidRPr="003A3EEA">
        <w:rPr>
          <w:rFonts w:ascii="Calibri" w:hAnsi="Calibri"/>
        </w:rPr>
        <w:t xml:space="preserve">.  </w:t>
      </w:r>
      <w:r w:rsidR="00AE0CA2" w:rsidRPr="003A3EEA">
        <w:rPr>
          <w:rFonts w:ascii="Calibri" w:hAnsi="Calibri"/>
        </w:rPr>
        <w:t xml:space="preserve">  </w:t>
      </w:r>
    </w:p>
    <w:p w14:paraId="5EDE273E" w14:textId="77777777" w:rsidR="00324FC7" w:rsidRPr="003A3EEA" w:rsidRDefault="00324FC7" w:rsidP="003A3EEA">
      <w:pPr>
        <w:rPr>
          <w:rFonts w:ascii="Calibri" w:hAnsi="Calibri"/>
        </w:rPr>
      </w:pPr>
    </w:p>
    <w:p w14:paraId="02AA8224" w14:textId="358A7452" w:rsidR="00457696" w:rsidRPr="003A3EEA" w:rsidRDefault="003A0FC8" w:rsidP="003A3EEA">
      <w:pPr>
        <w:rPr>
          <w:rFonts w:ascii="Calibri" w:hAnsi="Calibri"/>
        </w:rPr>
      </w:pPr>
      <w:r w:rsidRPr="003A3EEA">
        <w:rPr>
          <w:rFonts w:ascii="Calibri" w:hAnsi="Calibri"/>
        </w:rPr>
        <w:t>Each day, organisms learn about new stimuli and events and their relationships to one another.</w:t>
      </w:r>
      <w:r w:rsidR="004D3C57" w:rsidRPr="003A3EEA">
        <w:rPr>
          <w:rFonts w:ascii="Calibri" w:hAnsi="Calibri"/>
        </w:rPr>
        <w:t xml:space="preserve"> </w:t>
      </w:r>
      <w:r w:rsidRPr="003A3EEA">
        <w:rPr>
          <w:rFonts w:ascii="Calibri" w:hAnsi="Calibri"/>
        </w:rPr>
        <w:t>Even in a familiar environment, such as home, one is quick to detect alterations in the relationships between stimuli because these changes may be predictive of meaningful events.</w:t>
      </w:r>
      <w:r w:rsidR="004D3C57" w:rsidRPr="003A3EEA">
        <w:rPr>
          <w:rFonts w:ascii="Calibri" w:hAnsi="Calibri"/>
        </w:rPr>
        <w:t xml:space="preserve"> </w:t>
      </w:r>
      <w:r w:rsidRPr="003A3EEA">
        <w:rPr>
          <w:rFonts w:ascii="Calibri" w:hAnsi="Calibri"/>
        </w:rPr>
        <w:t>Such stimulus-stimulus (</w:t>
      </w:r>
      <w:r w:rsidR="009D44D7" w:rsidRPr="003A3EEA">
        <w:rPr>
          <w:rFonts w:ascii="Calibri" w:hAnsi="Calibri"/>
          <w:i/>
        </w:rPr>
        <w:t>i.e.,</w:t>
      </w:r>
      <w:r w:rsidRPr="003A3EEA">
        <w:rPr>
          <w:rFonts w:ascii="Calibri" w:hAnsi="Calibri"/>
        </w:rPr>
        <w:t xml:space="preserve"> relational) </w:t>
      </w:r>
      <w:r w:rsidR="00D04724" w:rsidRPr="003A3EEA">
        <w:rPr>
          <w:rFonts w:ascii="Calibri" w:hAnsi="Calibri"/>
        </w:rPr>
        <w:t xml:space="preserve">learning </w:t>
      </w:r>
      <w:r w:rsidRPr="003A3EEA">
        <w:rPr>
          <w:rFonts w:ascii="Calibri" w:hAnsi="Calibri"/>
        </w:rPr>
        <w:t>involves the conjoining of multiple stimuli</w:t>
      </w:r>
      <w:r w:rsidR="00C36A61" w:rsidRPr="003A3EEA">
        <w:rPr>
          <w:rFonts w:ascii="Calibri" w:hAnsi="Calibri"/>
        </w:rPr>
        <w:t xml:space="preserve"> and </w:t>
      </w:r>
      <w:r w:rsidRPr="003A3EEA">
        <w:rPr>
          <w:rFonts w:ascii="Calibri" w:hAnsi="Calibri"/>
        </w:rPr>
        <w:t>has traditionally been associated with the hippocampus, which resides centrally within the medial temporal lobe</w:t>
      </w:r>
      <w:r w:rsidR="00800097" w:rsidRPr="003A3EEA">
        <w:rPr>
          <w:rFonts w:ascii="Calibri" w:hAnsi="Calibri"/>
          <w:vertAlign w:val="superscript"/>
        </w:rPr>
        <w:t>4</w:t>
      </w:r>
      <w:r w:rsidRPr="003A3EEA">
        <w:rPr>
          <w:rFonts w:ascii="Calibri" w:hAnsi="Calibri"/>
        </w:rPr>
        <w:t>.</w:t>
      </w:r>
      <w:r w:rsidR="004D3C57" w:rsidRPr="003A3EEA">
        <w:rPr>
          <w:rFonts w:ascii="Calibri" w:hAnsi="Calibri"/>
        </w:rPr>
        <w:t xml:space="preserve"> </w:t>
      </w:r>
      <w:r w:rsidRPr="003A3EEA">
        <w:rPr>
          <w:rFonts w:ascii="Calibri" w:hAnsi="Calibri"/>
        </w:rPr>
        <w:t>However, the hippocampus do</w:t>
      </w:r>
      <w:r w:rsidR="00DD1C1B" w:rsidRPr="003A3EEA">
        <w:rPr>
          <w:rFonts w:ascii="Calibri" w:hAnsi="Calibri"/>
        </w:rPr>
        <w:t>es not exist nor act in isolation</w:t>
      </w:r>
      <w:r w:rsidRPr="003A3EEA">
        <w:rPr>
          <w:rFonts w:ascii="Calibri" w:hAnsi="Calibri"/>
        </w:rPr>
        <w:t>; cortical regions both within and outside of the medial</w:t>
      </w:r>
      <w:r w:rsidR="00A95871" w:rsidRPr="003A3EEA">
        <w:rPr>
          <w:rFonts w:ascii="Calibri" w:hAnsi="Calibri"/>
        </w:rPr>
        <w:t xml:space="preserve"> temporal lobe provide critical </w:t>
      </w:r>
      <w:r w:rsidRPr="003A3EEA">
        <w:rPr>
          <w:rFonts w:ascii="Calibri" w:hAnsi="Calibri"/>
        </w:rPr>
        <w:t>sensory information to the hippocampal formation</w:t>
      </w:r>
      <w:r w:rsidR="00800097" w:rsidRPr="003A3EEA">
        <w:rPr>
          <w:rFonts w:ascii="Calibri" w:hAnsi="Calibri"/>
          <w:vertAlign w:val="superscript"/>
        </w:rPr>
        <w:t>5</w:t>
      </w:r>
      <w:r w:rsidR="00A95871" w:rsidRPr="003A3EEA">
        <w:rPr>
          <w:rFonts w:ascii="Calibri" w:hAnsi="Calibri"/>
          <w:vertAlign w:val="superscript"/>
        </w:rPr>
        <w:t>-</w:t>
      </w:r>
      <w:r w:rsidR="00800097" w:rsidRPr="003A3EEA">
        <w:rPr>
          <w:rFonts w:ascii="Calibri" w:hAnsi="Calibri"/>
          <w:vertAlign w:val="superscript"/>
        </w:rPr>
        <w:t>7</w:t>
      </w:r>
      <w:r w:rsidR="00AB45D0" w:rsidRPr="003A3EEA">
        <w:rPr>
          <w:rFonts w:ascii="Calibri" w:hAnsi="Calibri"/>
        </w:rPr>
        <w:t>.</w:t>
      </w:r>
      <w:r w:rsidR="004D3C57" w:rsidRPr="003A3EEA">
        <w:rPr>
          <w:rFonts w:ascii="Calibri" w:hAnsi="Calibri"/>
        </w:rPr>
        <w:t xml:space="preserve"> </w:t>
      </w:r>
      <w:r w:rsidRPr="003A3EEA">
        <w:rPr>
          <w:rFonts w:ascii="Calibri" w:hAnsi="Calibri"/>
        </w:rPr>
        <w:t>Traditional permanent lesion studies provide compelling evidence for the involvement of a number of cortical regions (</w:t>
      </w:r>
      <w:r w:rsidRPr="003A3EEA">
        <w:rPr>
          <w:rFonts w:ascii="Calibri" w:hAnsi="Calibri"/>
          <w:i/>
        </w:rPr>
        <w:t>e.g.</w:t>
      </w:r>
      <w:r w:rsidR="004A64DD" w:rsidRPr="003A3EEA">
        <w:rPr>
          <w:rFonts w:ascii="Calibri" w:hAnsi="Calibri"/>
          <w:i/>
        </w:rPr>
        <w:t>,</w:t>
      </w:r>
      <w:r w:rsidRPr="003A3EEA">
        <w:rPr>
          <w:rFonts w:ascii="Calibri" w:hAnsi="Calibri"/>
        </w:rPr>
        <w:t xml:space="preserve"> the retrospleni</w:t>
      </w:r>
      <w:r w:rsidR="0012767D" w:rsidRPr="003A3EEA">
        <w:rPr>
          <w:rFonts w:ascii="Calibri" w:hAnsi="Calibri"/>
        </w:rPr>
        <w:t>al, p</w:t>
      </w:r>
      <w:r w:rsidRPr="003A3EEA">
        <w:rPr>
          <w:rFonts w:ascii="Calibri" w:hAnsi="Calibri"/>
        </w:rPr>
        <w:t xml:space="preserve">ostrhinal </w:t>
      </w:r>
      <w:r w:rsidR="0012767D" w:rsidRPr="003A3EEA">
        <w:rPr>
          <w:rFonts w:ascii="Calibri" w:hAnsi="Calibri"/>
        </w:rPr>
        <w:t xml:space="preserve">and entorhinal </w:t>
      </w:r>
      <w:r w:rsidR="00A27635" w:rsidRPr="003A3EEA">
        <w:rPr>
          <w:rFonts w:ascii="Calibri" w:hAnsi="Calibri"/>
        </w:rPr>
        <w:t>cortices) in</w:t>
      </w:r>
      <w:r w:rsidRPr="003A3EEA">
        <w:rPr>
          <w:rFonts w:ascii="Calibri" w:hAnsi="Calibri"/>
        </w:rPr>
        <w:t xml:space="preserve"> hippocampal-dependent learning but are limited in their ability to discern the role of a particular region during discrete phases of learning</w:t>
      </w:r>
      <w:r w:rsidR="00800097" w:rsidRPr="003A3EEA">
        <w:rPr>
          <w:rFonts w:ascii="Calibri" w:hAnsi="Calibri"/>
          <w:vertAlign w:val="superscript"/>
        </w:rPr>
        <w:t>8</w:t>
      </w:r>
      <w:r w:rsidR="00831A2D" w:rsidRPr="003A3EEA">
        <w:rPr>
          <w:rFonts w:ascii="Calibri" w:hAnsi="Calibri"/>
          <w:vertAlign w:val="superscript"/>
        </w:rPr>
        <w:t>-</w:t>
      </w:r>
      <w:r w:rsidR="00800097" w:rsidRPr="003A3EEA">
        <w:rPr>
          <w:rFonts w:ascii="Calibri" w:hAnsi="Calibri"/>
          <w:vertAlign w:val="superscript"/>
        </w:rPr>
        <w:t>10</w:t>
      </w:r>
      <w:r w:rsidR="0012767D" w:rsidRPr="003A3EEA">
        <w:rPr>
          <w:rFonts w:ascii="Calibri" w:hAnsi="Calibri"/>
        </w:rPr>
        <w:t>.</w:t>
      </w:r>
      <w:r w:rsidR="00A95871" w:rsidRPr="003A3EEA">
        <w:rPr>
          <w:rFonts w:ascii="Calibri" w:hAnsi="Calibri"/>
        </w:rPr>
        <w:t xml:space="preserve"> </w:t>
      </w:r>
    </w:p>
    <w:p w14:paraId="0F57B2C9" w14:textId="77777777" w:rsidR="00324FC7" w:rsidRPr="003A3EEA" w:rsidRDefault="00324FC7" w:rsidP="003A3EEA">
      <w:pPr>
        <w:rPr>
          <w:rFonts w:ascii="Calibri" w:hAnsi="Calibri"/>
        </w:rPr>
      </w:pPr>
    </w:p>
    <w:p w14:paraId="4EE671F4" w14:textId="01195538" w:rsidR="003A0FC8" w:rsidRPr="003A3EEA" w:rsidRDefault="003A0FC8" w:rsidP="003A3EEA">
      <w:pPr>
        <w:rPr>
          <w:rFonts w:ascii="Calibri" w:hAnsi="Calibri"/>
        </w:rPr>
      </w:pPr>
      <w:r w:rsidRPr="003A3EEA">
        <w:rPr>
          <w:rFonts w:ascii="Calibri" w:hAnsi="Calibri"/>
        </w:rPr>
        <w:t>The present protocol test</w:t>
      </w:r>
      <w:r w:rsidR="008F1712" w:rsidRPr="003A3EEA">
        <w:rPr>
          <w:rFonts w:ascii="Calibri" w:hAnsi="Calibri"/>
        </w:rPr>
        <w:t>s</w:t>
      </w:r>
      <w:r w:rsidRPr="003A3EEA">
        <w:rPr>
          <w:rFonts w:ascii="Calibri" w:hAnsi="Calibri"/>
        </w:rPr>
        <w:t xml:space="preserve"> the hypothesis that the RSC is necessary for stimulus-stimulus learning by silencing the RSC during a single phase of a 3-phase sensory </w:t>
      </w:r>
      <w:r w:rsidR="00242FC0" w:rsidRPr="003A3EEA">
        <w:rPr>
          <w:rFonts w:ascii="Calibri" w:hAnsi="Calibri"/>
        </w:rPr>
        <w:t>pre</w:t>
      </w:r>
      <w:r w:rsidRPr="003A3EEA">
        <w:rPr>
          <w:rFonts w:ascii="Calibri" w:hAnsi="Calibri"/>
        </w:rPr>
        <w:t>conditioning paradigm</w:t>
      </w:r>
      <w:r w:rsidR="00806B05" w:rsidRPr="003A3EEA">
        <w:rPr>
          <w:rFonts w:ascii="Calibri" w:hAnsi="Calibri"/>
          <w:vertAlign w:val="superscript"/>
        </w:rPr>
        <w:t>11,</w:t>
      </w:r>
      <w:r w:rsidR="00E11FA9" w:rsidRPr="003A3EEA">
        <w:rPr>
          <w:rFonts w:ascii="Calibri" w:hAnsi="Calibri"/>
          <w:vertAlign w:val="superscript"/>
        </w:rPr>
        <w:t xml:space="preserve"> </w:t>
      </w:r>
      <w:r w:rsidR="00A27635" w:rsidRPr="003A3EEA">
        <w:rPr>
          <w:rFonts w:ascii="Calibri" w:hAnsi="Calibri"/>
          <w:vertAlign w:val="superscript"/>
        </w:rPr>
        <w:t>1</w:t>
      </w:r>
      <w:r w:rsidR="00806B05" w:rsidRPr="003A3EEA">
        <w:rPr>
          <w:rFonts w:ascii="Calibri" w:hAnsi="Calibri"/>
          <w:vertAlign w:val="superscript"/>
        </w:rPr>
        <w:t>2</w:t>
      </w:r>
      <w:r w:rsidRPr="003A3EEA">
        <w:rPr>
          <w:rFonts w:ascii="Calibri" w:hAnsi="Calibri"/>
        </w:rPr>
        <w:t>.</w:t>
      </w:r>
      <w:r w:rsidR="004D3C57" w:rsidRPr="003A3EEA">
        <w:rPr>
          <w:rFonts w:ascii="Calibri" w:hAnsi="Calibri"/>
        </w:rPr>
        <w:t xml:space="preserve"> </w:t>
      </w:r>
      <w:r w:rsidR="00957479" w:rsidRPr="003A3EEA">
        <w:rPr>
          <w:rFonts w:ascii="Calibri" w:hAnsi="Calibri"/>
        </w:rPr>
        <w:t>Briefly, rats receive</w:t>
      </w:r>
      <w:r w:rsidRPr="003A3EEA">
        <w:rPr>
          <w:rFonts w:ascii="Calibri" w:hAnsi="Calibri"/>
        </w:rPr>
        <w:t xml:space="preserve"> infusions of an </w:t>
      </w:r>
      <w:r w:rsidR="00E11FA9" w:rsidRPr="003A3EEA">
        <w:rPr>
          <w:rFonts w:ascii="Calibri" w:hAnsi="Calibri"/>
        </w:rPr>
        <w:t xml:space="preserve">AAV </w:t>
      </w:r>
      <w:r w:rsidR="00957479" w:rsidRPr="003A3EEA">
        <w:rPr>
          <w:rFonts w:ascii="Calibri" w:hAnsi="Calibri"/>
        </w:rPr>
        <w:t>that contain</w:t>
      </w:r>
      <w:r w:rsidR="004566C1" w:rsidRPr="003A3EEA">
        <w:rPr>
          <w:rFonts w:ascii="Calibri" w:hAnsi="Calibri"/>
        </w:rPr>
        <w:t>s</w:t>
      </w:r>
      <w:r w:rsidRPr="003A3EEA">
        <w:rPr>
          <w:rFonts w:ascii="Calibri" w:hAnsi="Calibri"/>
        </w:rPr>
        <w:t xml:space="preserve"> the desig</w:t>
      </w:r>
      <w:r w:rsidR="00457696" w:rsidRPr="003A3EEA">
        <w:rPr>
          <w:rFonts w:ascii="Calibri" w:hAnsi="Calibri"/>
        </w:rPr>
        <w:t xml:space="preserve">ner receptor and </w:t>
      </w:r>
      <w:r w:rsidR="003B782F" w:rsidRPr="003A3EEA">
        <w:rPr>
          <w:rFonts w:ascii="Calibri" w:hAnsi="Calibri"/>
        </w:rPr>
        <w:t xml:space="preserve">~3 weeks later </w:t>
      </w:r>
      <w:r w:rsidR="00957479" w:rsidRPr="003A3EEA">
        <w:rPr>
          <w:rFonts w:ascii="Calibri" w:hAnsi="Calibri"/>
        </w:rPr>
        <w:t xml:space="preserve">are </w:t>
      </w:r>
      <w:r w:rsidR="003B782F" w:rsidRPr="003A3EEA">
        <w:rPr>
          <w:rFonts w:ascii="Calibri" w:hAnsi="Calibri"/>
        </w:rPr>
        <w:t xml:space="preserve">administered </w:t>
      </w:r>
      <w:r w:rsidR="006A1503" w:rsidRPr="003A3EEA">
        <w:rPr>
          <w:rFonts w:ascii="Calibri" w:hAnsi="Calibri"/>
        </w:rPr>
        <w:t>the designer drug (</w:t>
      </w:r>
      <w:r w:rsidR="003B782F" w:rsidRPr="003A3EEA">
        <w:rPr>
          <w:rFonts w:ascii="Calibri" w:hAnsi="Calibri"/>
        </w:rPr>
        <w:t>CNO</w:t>
      </w:r>
      <w:r w:rsidR="006A1503" w:rsidRPr="003A3EEA">
        <w:rPr>
          <w:rFonts w:ascii="Calibri" w:hAnsi="Calibri"/>
        </w:rPr>
        <w:t>)</w:t>
      </w:r>
      <w:r w:rsidR="003B782F" w:rsidRPr="003A3EEA">
        <w:rPr>
          <w:rFonts w:ascii="Calibri" w:hAnsi="Calibri"/>
        </w:rPr>
        <w:t xml:space="preserve"> 30 min prior to the start of behavioral testing.  In the present protocol, </w:t>
      </w:r>
      <w:r w:rsidR="006A1503" w:rsidRPr="003A3EEA">
        <w:rPr>
          <w:rFonts w:ascii="Calibri" w:hAnsi="Calibri"/>
        </w:rPr>
        <w:t xml:space="preserve">experimental </w:t>
      </w:r>
      <w:r w:rsidR="003B782F" w:rsidRPr="003A3EEA">
        <w:rPr>
          <w:rFonts w:ascii="Calibri" w:hAnsi="Calibri"/>
        </w:rPr>
        <w:t xml:space="preserve">rats </w:t>
      </w:r>
      <w:r w:rsidR="006A1503" w:rsidRPr="003A3EEA">
        <w:rPr>
          <w:rFonts w:ascii="Calibri" w:hAnsi="Calibri"/>
        </w:rPr>
        <w:t xml:space="preserve">receive CNO </w:t>
      </w:r>
      <w:r w:rsidR="003B782F" w:rsidRPr="003A3EEA">
        <w:rPr>
          <w:rFonts w:ascii="Calibri" w:hAnsi="Calibri"/>
        </w:rPr>
        <w:t>during the first phase of testing (when stimulus-stimulus learning occurs</w:t>
      </w:r>
      <w:r w:rsidR="006A1503" w:rsidRPr="003A3EEA">
        <w:rPr>
          <w:rFonts w:ascii="Calibri" w:hAnsi="Calibri"/>
        </w:rPr>
        <w:t>) and they receive vehicle during the next 2 phases of testing</w:t>
      </w:r>
      <w:r w:rsidR="003B782F" w:rsidRPr="003A3EEA">
        <w:rPr>
          <w:rFonts w:ascii="Calibri" w:hAnsi="Calibri"/>
        </w:rPr>
        <w:t xml:space="preserve">.  To control for inadvertent effects of CNO on behavior, infuse rats with the designer receptor (hM4Di) and inject with vehicle instead of CNO.  To account for general effects of viral infusion and receptor expression, infuse a control virus that does not contain the designer receptor and administer CNO.  </w:t>
      </w:r>
    </w:p>
    <w:p w14:paraId="0CB63405" w14:textId="77777777" w:rsidR="00703169" w:rsidRPr="003A3EEA" w:rsidRDefault="00703169" w:rsidP="003A3EEA">
      <w:pPr>
        <w:rPr>
          <w:rFonts w:ascii="Calibri" w:hAnsi="Calibri" w:cs="Arial"/>
        </w:rPr>
      </w:pPr>
    </w:p>
    <w:p w14:paraId="44F6526C" w14:textId="08664E1B" w:rsidR="00703169" w:rsidRPr="003A3EEA" w:rsidRDefault="005046F3" w:rsidP="003A3EEA">
      <w:r w:rsidRPr="003A3EEA">
        <w:rPr>
          <w:rFonts w:asciiTheme="majorHAnsi" w:hAnsiTheme="majorHAnsi" w:cs="Arial"/>
        </w:rPr>
        <w:t xml:space="preserve">A number of different serotypes of AAV are used to deliver genetic material.  </w:t>
      </w:r>
      <w:r w:rsidR="00015C7A" w:rsidRPr="003A3EEA">
        <w:rPr>
          <w:rFonts w:asciiTheme="majorHAnsi" w:hAnsiTheme="majorHAnsi"/>
        </w:rPr>
        <w:t xml:space="preserve">The current NIH Guidelines for Research Involving Recombinant or Synthetic Molecules maintains that AAV (all serotypes) </w:t>
      </w:r>
      <w:r w:rsidR="00015C7A" w:rsidRPr="003A3EEA">
        <w:rPr>
          <w:rFonts w:asciiTheme="majorHAnsi" w:eastAsia="Times New Roman" w:hAnsiTheme="majorHAnsi" w:cs="Arial"/>
        </w:rPr>
        <w:t>and recombinant or synthetic AAV constructs, in which the transgene does not encode either a potentially tumorigenic gene product or a toxin molecule and are produced in the absence of a helper virus</w:t>
      </w:r>
      <w:r w:rsidR="004566C1" w:rsidRPr="003A3EEA">
        <w:rPr>
          <w:rFonts w:asciiTheme="majorHAnsi" w:eastAsia="Times New Roman" w:hAnsiTheme="majorHAnsi" w:cs="Arial"/>
        </w:rPr>
        <w:t>,</w:t>
      </w:r>
      <w:r w:rsidR="00015C7A" w:rsidRPr="003A3EEA">
        <w:rPr>
          <w:rFonts w:asciiTheme="majorHAnsi" w:eastAsia="Times New Roman" w:hAnsiTheme="majorHAnsi" w:cs="Arial"/>
        </w:rPr>
        <w:t xml:space="preserve"> </w:t>
      </w:r>
      <w:r w:rsidR="00015C7A" w:rsidRPr="003A3EEA">
        <w:rPr>
          <w:rFonts w:asciiTheme="majorHAnsi" w:hAnsiTheme="majorHAnsi"/>
        </w:rPr>
        <w:t>require BSL-1 precautions (Appendix B-1. Risk Group 1 (RG1) Agents))</w:t>
      </w:r>
      <w:r w:rsidR="00015C7A" w:rsidRPr="003A3EEA">
        <w:rPr>
          <w:rFonts w:asciiTheme="majorHAnsi" w:hAnsiTheme="majorHAnsi"/>
          <w:vertAlign w:val="superscript"/>
        </w:rPr>
        <w:t>13</w:t>
      </w:r>
      <w:r w:rsidR="00015C7A" w:rsidRPr="003A3EEA">
        <w:rPr>
          <w:rFonts w:asciiTheme="majorHAnsi" w:hAnsiTheme="majorHAnsi"/>
        </w:rPr>
        <w:t>.  A number of reviews pertaining to AAV structure, utility and safety are available</w:t>
      </w:r>
      <w:r w:rsidR="00642C41" w:rsidRPr="003A3EEA">
        <w:rPr>
          <w:rFonts w:asciiTheme="majorHAnsi" w:hAnsiTheme="majorHAnsi"/>
          <w:vertAlign w:val="superscript"/>
        </w:rPr>
        <w:t>14</w:t>
      </w:r>
      <w:r w:rsidR="007870DE" w:rsidRPr="003A3EEA">
        <w:rPr>
          <w:rFonts w:asciiTheme="majorHAnsi" w:hAnsiTheme="majorHAnsi"/>
          <w:vertAlign w:val="superscript"/>
        </w:rPr>
        <w:t>, 15</w:t>
      </w:r>
      <w:r w:rsidR="00015C7A" w:rsidRPr="003A3EEA">
        <w:rPr>
          <w:rFonts w:asciiTheme="majorHAnsi" w:hAnsiTheme="majorHAnsi"/>
        </w:rPr>
        <w:t>. Notably, though, due to concerns pertaining to possible reproductive</w:t>
      </w:r>
      <w:r w:rsidR="00642C41" w:rsidRPr="003A3EEA">
        <w:rPr>
          <w:rFonts w:asciiTheme="majorHAnsi" w:hAnsiTheme="majorHAnsi"/>
          <w:vertAlign w:val="superscript"/>
        </w:rPr>
        <w:t>16, 17</w:t>
      </w:r>
      <w:r w:rsidR="00015C7A" w:rsidRPr="003A3EEA">
        <w:rPr>
          <w:rFonts w:asciiTheme="majorHAnsi" w:hAnsiTheme="majorHAnsi"/>
        </w:rPr>
        <w:t xml:space="preserve"> and </w:t>
      </w:r>
      <w:r w:rsidR="0057324D" w:rsidRPr="003A3EEA">
        <w:rPr>
          <w:rFonts w:asciiTheme="majorHAnsi" w:hAnsiTheme="majorHAnsi"/>
        </w:rPr>
        <w:t>potential carcinogenic mechanisms</w:t>
      </w:r>
      <w:r w:rsidR="00642C41" w:rsidRPr="003A3EEA">
        <w:rPr>
          <w:rFonts w:asciiTheme="majorHAnsi" w:hAnsiTheme="majorHAnsi"/>
          <w:vertAlign w:val="superscript"/>
        </w:rPr>
        <w:t>18, 19, 20</w:t>
      </w:r>
      <w:r w:rsidR="0057324D" w:rsidRPr="003A3EEA">
        <w:rPr>
          <w:rFonts w:asciiTheme="majorHAnsi" w:hAnsiTheme="majorHAnsi"/>
        </w:rPr>
        <w:t xml:space="preserve"> in rodents</w:t>
      </w:r>
      <w:r w:rsidR="00015C7A" w:rsidRPr="003A3EEA">
        <w:rPr>
          <w:rFonts w:asciiTheme="majorHAnsi" w:hAnsiTheme="majorHAnsi"/>
        </w:rPr>
        <w:t>, some institutions require the use of BSL-2 precautions when working with AAV</w:t>
      </w:r>
      <w:r w:rsidR="00907E1D" w:rsidRPr="003A3EEA">
        <w:rPr>
          <w:rFonts w:asciiTheme="majorHAnsi" w:hAnsiTheme="majorHAnsi" w:cs="Arial"/>
        </w:rPr>
        <w:t xml:space="preserve">.  </w:t>
      </w:r>
      <w:r w:rsidR="002D0C0A" w:rsidRPr="003A3EEA">
        <w:rPr>
          <w:rFonts w:asciiTheme="majorHAnsi" w:hAnsiTheme="majorHAnsi" w:cs="Arial"/>
        </w:rPr>
        <w:t>Verify the appropriate BSL prior to use by c</w:t>
      </w:r>
      <w:r w:rsidR="00703169" w:rsidRPr="003A3EEA">
        <w:rPr>
          <w:rFonts w:asciiTheme="majorHAnsi" w:hAnsiTheme="majorHAnsi" w:cs="Arial"/>
        </w:rPr>
        <w:t>onsult</w:t>
      </w:r>
      <w:r w:rsidR="002D0C0A" w:rsidRPr="003A3EEA">
        <w:rPr>
          <w:rFonts w:asciiTheme="majorHAnsi" w:hAnsiTheme="majorHAnsi" w:cs="Arial"/>
        </w:rPr>
        <w:t>ing</w:t>
      </w:r>
      <w:r w:rsidR="00703169" w:rsidRPr="003A3EEA">
        <w:rPr>
          <w:rFonts w:asciiTheme="majorHAnsi" w:hAnsiTheme="majorHAnsi" w:cs="Arial"/>
        </w:rPr>
        <w:t xml:space="preserve"> </w:t>
      </w:r>
      <w:r w:rsidR="0035781A" w:rsidRPr="003A3EEA">
        <w:rPr>
          <w:rFonts w:asciiTheme="majorHAnsi" w:hAnsiTheme="majorHAnsi" w:cs="Arial"/>
        </w:rPr>
        <w:t xml:space="preserve">with </w:t>
      </w:r>
      <w:r w:rsidR="00015C7A" w:rsidRPr="003A3EEA">
        <w:rPr>
          <w:rFonts w:asciiTheme="majorHAnsi" w:hAnsiTheme="majorHAnsi" w:cs="Arial"/>
        </w:rPr>
        <w:t xml:space="preserve">oversight committees at </w:t>
      </w:r>
      <w:r w:rsidR="0035781A" w:rsidRPr="003A3EEA">
        <w:rPr>
          <w:rFonts w:asciiTheme="majorHAnsi" w:hAnsiTheme="majorHAnsi" w:cs="Arial"/>
        </w:rPr>
        <w:t>indivi</w:t>
      </w:r>
      <w:r w:rsidR="004566C1" w:rsidRPr="003A3EEA">
        <w:rPr>
          <w:rFonts w:asciiTheme="majorHAnsi" w:hAnsiTheme="majorHAnsi" w:cs="Arial"/>
        </w:rPr>
        <w:t>dual institutions where the research</w:t>
      </w:r>
      <w:r w:rsidR="0035781A" w:rsidRPr="003A3EEA">
        <w:rPr>
          <w:rFonts w:asciiTheme="majorHAnsi" w:hAnsiTheme="majorHAnsi" w:cs="Arial"/>
        </w:rPr>
        <w:t xml:space="preserve"> will be conducted, the Centers for Disease Control and </w:t>
      </w:r>
      <w:r w:rsidR="00703169" w:rsidRPr="003A3EEA">
        <w:rPr>
          <w:rFonts w:asciiTheme="majorHAnsi" w:hAnsiTheme="majorHAnsi" w:cs="Arial"/>
        </w:rPr>
        <w:t>the NIH Guidelines for Research Involving Recombinant DNA Molecules</w:t>
      </w:r>
      <w:r w:rsidR="004566C1" w:rsidRPr="003A3EEA">
        <w:rPr>
          <w:rFonts w:asciiTheme="majorHAnsi" w:hAnsiTheme="majorHAnsi" w:cs="Arial"/>
          <w:vertAlign w:val="superscript"/>
        </w:rPr>
        <w:t>13</w:t>
      </w:r>
      <w:r w:rsidR="00703169" w:rsidRPr="003A3EEA">
        <w:rPr>
          <w:rFonts w:asciiTheme="majorHAnsi" w:hAnsiTheme="majorHAnsi" w:cs="Arial"/>
        </w:rPr>
        <w:t xml:space="preserve"> when using viral vectors for gene manipulation in the United States. </w:t>
      </w:r>
      <w:r w:rsidR="00703169" w:rsidRPr="003A3EEA">
        <w:rPr>
          <w:rFonts w:asciiTheme="majorHAnsi" w:eastAsia="Times New Roman" w:hAnsiTheme="majorHAnsi" w:cs="Times New Roman"/>
        </w:rPr>
        <w:t>Personal protection, investigator training, vector containment, decontamination, disposal of decontaminated materials, and post-injection animal housing requi</w:t>
      </w:r>
      <w:r w:rsidR="000E6E83" w:rsidRPr="003A3EEA">
        <w:rPr>
          <w:rFonts w:asciiTheme="majorHAnsi" w:eastAsia="Times New Roman" w:hAnsiTheme="majorHAnsi" w:cs="Times New Roman"/>
        </w:rPr>
        <w:t>rements are specified by these g</w:t>
      </w:r>
      <w:r w:rsidR="00703169" w:rsidRPr="003A3EEA">
        <w:rPr>
          <w:rFonts w:asciiTheme="majorHAnsi" w:eastAsia="Times New Roman" w:hAnsiTheme="majorHAnsi" w:cs="Times New Roman"/>
        </w:rPr>
        <w:t xml:space="preserve">uidelines. </w:t>
      </w:r>
      <w:r w:rsidR="000E6E83" w:rsidRPr="003A3EEA">
        <w:rPr>
          <w:rFonts w:asciiTheme="majorHAnsi" w:hAnsiTheme="majorHAnsi" w:cs="Arial"/>
        </w:rPr>
        <w:t>In addition, c</w:t>
      </w:r>
      <w:r w:rsidR="00703169" w:rsidRPr="003A3EEA">
        <w:rPr>
          <w:rFonts w:asciiTheme="majorHAnsi" w:hAnsiTheme="majorHAnsi" w:cs="Arial"/>
        </w:rPr>
        <w:t xml:space="preserve">onsult and follow appropriate </w:t>
      </w:r>
      <w:r w:rsidR="00B33227" w:rsidRPr="003A3EEA">
        <w:rPr>
          <w:rFonts w:asciiTheme="majorHAnsi" w:hAnsiTheme="majorHAnsi" w:cs="Arial"/>
        </w:rPr>
        <w:t>Institutional Animal Care and Use committee guidelines</w:t>
      </w:r>
      <w:r w:rsidR="00703169" w:rsidRPr="003A3EEA">
        <w:rPr>
          <w:rFonts w:ascii="Calibri" w:hAnsi="Calibri" w:cs="Arial"/>
        </w:rPr>
        <w:t xml:space="preserve"> or equivalent institutional oversight committee guidelines to ensure the safe handling, administration and disposal of</w:t>
      </w:r>
      <w:r w:rsidR="002D0C0A" w:rsidRPr="003A3EEA">
        <w:rPr>
          <w:rFonts w:ascii="Calibri" w:hAnsi="Calibri" w:cs="Arial"/>
        </w:rPr>
        <w:t xml:space="preserve"> AAV</w:t>
      </w:r>
      <w:r w:rsidR="00703169" w:rsidRPr="003A3EEA">
        <w:rPr>
          <w:rFonts w:ascii="Calibri" w:hAnsi="Calibri" w:cs="Arial"/>
        </w:rPr>
        <w:t xml:space="preserve">. </w:t>
      </w:r>
    </w:p>
    <w:p w14:paraId="720B5A27" w14:textId="77777777" w:rsidR="000F140E" w:rsidRPr="003A3EEA" w:rsidRDefault="000F140E" w:rsidP="003A3EEA">
      <w:pPr>
        <w:rPr>
          <w:rFonts w:ascii="Calibri" w:hAnsi="Calibri" w:cs="Arial"/>
          <w:b/>
        </w:rPr>
      </w:pPr>
    </w:p>
    <w:p w14:paraId="157475DA" w14:textId="62EDB648" w:rsidR="009D44D7" w:rsidRPr="003A3EEA" w:rsidRDefault="009D44D7" w:rsidP="003A3EEA">
      <w:pPr>
        <w:rPr>
          <w:rFonts w:ascii="Calibri" w:hAnsi="Calibri" w:cs="Arial"/>
          <w:b/>
        </w:rPr>
      </w:pPr>
      <w:r w:rsidRPr="003A3EEA">
        <w:rPr>
          <w:rFonts w:ascii="Calibri" w:hAnsi="Calibri" w:cs="Arial"/>
          <w:b/>
        </w:rPr>
        <w:lastRenderedPageBreak/>
        <w:t>PROCEDURE</w:t>
      </w:r>
      <w:r w:rsidR="00324FC7" w:rsidRPr="003A3EEA">
        <w:rPr>
          <w:rFonts w:ascii="Calibri" w:hAnsi="Calibri" w:cs="Arial"/>
          <w:b/>
        </w:rPr>
        <w:t>:</w:t>
      </w:r>
    </w:p>
    <w:p w14:paraId="0F845641" w14:textId="77777777" w:rsidR="00324FC7" w:rsidRPr="003A3EEA" w:rsidRDefault="00324FC7" w:rsidP="003A3EEA">
      <w:pPr>
        <w:rPr>
          <w:rFonts w:ascii="Calibri" w:hAnsi="Calibri" w:cs="Arial"/>
          <w:b/>
        </w:rPr>
      </w:pPr>
    </w:p>
    <w:p w14:paraId="6C53DF8F" w14:textId="7474B794" w:rsidR="000F140E" w:rsidRPr="003A3EEA" w:rsidRDefault="00514B4C" w:rsidP="003A3EEA">
      <w:pPr>
        <w:rPr>
          <w:rFonts w:ascii="Calibri" w:hAnsi="Calibri" w:cs="Arial"/>
        </w:rPr>
      </w:pPr>
      <w:r w:rsidRPr="003A3EEA">
        <w:rPr>
          <w:rFonts w:ascii="Calibri" w:hAnsi="Calibri" w:cs="Arial"/>
        </w:rPr>
        <w:t xml:space="preserve">The use of animals </w:t>
      </w:r>
      <w:r w:rsidR="00E11FA9" w:rsidRPr="003A3EEA">
        <w:rPr>
          <w:rFonts w:ascii="Calibri" w:hAnsi="Calibri" w:cs="Arial"/>
        </w:rPr>
        <w:t>are</w:t>
      </w:r>
      <w:r w:rsidR="00250F18" w:rsidRPr="003A3EEA">
        <w:rPr>
          <w:rFonts w:ascii="Calibri" w:hAnsi="Calibri" w:cs="Arial"/>
        </w:rPr>
        <w:t xml:space="preserve"> approved by the Oberlin College Institutional Animal Care and Use committee and are in accordance with the Guide for the Care and Use of Laboratory Animals</w:t>
      </w:r>
      <w:r w:rsidR="00642C41" w:rsidRPr="003A3EEA">
        <w:rPr>
          <w:rFonts w:ascii="Calibri" w:hAnsi="Calibri" w:cs="Arial"/>
          <w:vertAlign w:val="superscript"/>
        </w:rPr>
        <w:t>21</w:t>
      </w:r>
      <w:r w:rsidR="00BC4C68" w:rsidRPr="003A3EEA">
        <w:rPr>
          <w:rFonts w:ascii="Calibri" w:hAnsi="Calibri" w:cs="Arial"/>
        </w:rPr>
        <w:t>.</w:t>
      </w:r>
      <w:r w:rsidR="004D3C57" w:rsidRPr="003A3EEA">
        <w:rPr>
          <w:rFonts w:ascii="Calibri" w:hAnsi="Calibri" w:cs="Arial"/>
        </w:rPr>
        <w:t xml:space="preserve"> </w:t>
      </w:r>
    </w:p>
    <w:p w14:paraId="07A0FA11" w14:textId="77777777" w:rsidR="006821B4" w:rsidRPr="003A3EEA" w:rsidRDefault="006821B4" w:rsidP="003A3EEA">
      <w:pPr>
        <w:rPr>
          <w:rFonts w:ascii="Calibri" w:hAnsi="Calibri" w:cs="Arial"/>
        </w:rPr>
      </w:pPr>
    </w:p>
    <w:p w14:paraId="49FFE983" w14:textId="4E202403" w:rsidR="007465CB" w:rsidRPr="003A3EEA" w:rsidRDefault="00DA653B" w:rsidP="003A3EEA">
      <w:pPr>
        <w:pStyle w:val="ListParagraph"/>
        <w:numPr>
          <w:ilvl w:val="0"/>
          <w:numId w:val="9"/>
        </w:numPr>
        <w:ind w:left="0" w:firstLine="0"/>
        <w:rPr>
          <w:rFonts w:ascii="Calibri" w:hAnsi="Calibri" w:cs="Arial"/>
          <w:b/>
          <w:highlight w:val="yellow"/>
        </w:rPr>
      </w:pPr>
      <w:r w:rsidRPr="003A3EEA">
        <w:rPr>
          <w:rFonts w:ascii="Calibri" w:hAnsi="Calibri" w:cs="Arial"/>
          <w:b/>
          <w:highlight w:val="yellow"/>
        </w:rPr>
        <w:t>Preparation for Viral Infusion</w:t>
      </w:r>
      <w:r w:rsidR="00262612" w:rsidRPr="003A3EEA">
        <w:rPr>
          <w:rFonts w:ascii="Calibri" w:hAnsi="Calibri" w:cs="Arial"/>
          <w:b/>
          <w:highlight w:val="yellow"/>
        </w:rPr>
        <w:t xml:space="preserve"> </w:t>
      </w:r>
    </w:p>
    <w:p w14:paraId="7180C962" w14:textId="77777777" w:rsidR="007465CB" w:rsidRPr="003A3EEA" w:rsidRDefault="007465CB" w:rsidP="003A3EEA">
      <w:pPr>
        <w:rPr>
          <w:rFonts w:ascii="Calibri" w:hAnsi="Calibri" w:cs="Arial"/>
        </w:rPr>
      </w:pPr>
    </w:p>
    <w:p w14:paraId="1C11B6AB" w14:textId="1C679476" w:rsidR="007465CB" w:rsidRPr="003A3EEA" w:rsidRDefault="00703169" w:rsidP="003A3EEA">
      <w:pPr>
        <w:rPr>
          <w:rFonts w:ascii="Calibri" w:hAnsi="Calibri" w:cs="Arial"/>
        </w:rPr>
      </w:pPr>
      <w:r w:rsidRPr="003A3EEA">
        <w:rPr>
          <w:rFonts w:ascii="Calibri" w:hAnsi="Calibri" w:cs="Arial"/>
        </w:rPr>
        <w:t xml:space="preserve">Note: </w:t>
      </w:r>
      <w:r w:rsidR="004566C1" w:rsidRPr="003A3EEA">
        <w:rPr>
          <w:rFonts w:ascii="Calibri" w:hAnsi="Calibri" w:cs="Arial"/>
        </w:rPr>
        <w:t>When employing</w:t>
      </w:r>
      <w:r w:rsidR="00015C7A" w:rsidRPr="003A3EEA">
        <w:rPr>
          <w:rFonts w:ascii="Calibri" w:hAnsi="Calibri" w:cs="Arial"/>
        </w:rPr>
        <w:t xml:space="preserve"> </w:t>
      </w:r>
      <w:r w:rsidR="00BB3188" w:rsidRPr="003A3EEA">
        <w:rPr>
          <w:rFonts w:ascii="Calibri" w:hAnsi="Calibri" w:cs="Arial"/>
        </w:rPr>
        <w:t>BSL-2</w:t>
      </w:r>
      <w:r w:rsidR="007465CB" w:rsidRPr="003A3EEA">
        <w:rPr>
          <w:rFonts w:ascii="Calibri" w:hAnsi="Calibri" w:cs="Arial"/>
        </w:rPr>
        <w:t xml:space="preserve"> </w:t>
      </w:r>
      <w:r w:rsidR="004566C1" w:rsidRPr="003A3EEA">
        <w:rPr>
          <w:rFonts w:ascii="Calibri" w:hAnsi="Calibri" w:cs="Arial"/>
        </w:rPr>
        <w:t>precautions, a</w:t>
      </w:r>
      <w:r w:rsidR="00005458" w:rsidRPr="003A3EEA">
        <w:rPr>
          <w:rFonts w:ascii="Calibri" w:hAnsi="Calibri" w:cs="Arial"/>
        </w:rPr>
        <w:t xml:space="preserve"> disposabl</w:t>
      </w:r>
      <w:r w:rsidR="00944C45" w:rsidRPr="003A3EEA">
        <w:rPr>
          <w:rFonts w:ascii="Calibri" w:hAnsi="Calibri" w:cs="Arial"/>
        </w:rPr>
        <w:t>e lab coat, gloves, shoe covers</w:t>
      </w:r>
      <w:r w:rsidR="00BB3188" w:rsidRPr="003A3EEA">
        <w:rPr>
          <w:rFonts w:ascii="Calibri" w:hAnsi="Calibri" w:cs="Arial"/>
        </w:rPr>
        <w:t>, eye protections</w:t>
      </w:r>
      <w:r w:rsidR="00944C45" w:rsidRPr="003A3EEA">
        <w:rPr>
          <w:rFonts w:ascii="Calibri" w:hAnsi="Calibri" w:cs="Arial"/>
        </w:rPr>
        <w:t xml:space="preserve"> and </w:t>
      </w:r>
      <w:r w:rsidR="00BB3188" w:rsidRPr="003A3EEA">
        <w:rPr>
          <w:rFonts w:ascii="Calibri" w:hAnsi="Calibri" w:cs="Arial"/>
        </w:rPr>
        <w:t xml:space="preserve">a particulate </w:t>
      </w:r>
      <w:r w:rsidR="00944C45" w:rsidRPr="003A3EEA">
        <w:rPr>
          <w:rFonts w:ascii="Calibri" w:hAnsi="Calibri" w:cs="Arial"/>
        </w:rPr>
        <w:t>respirator (type N95)</w:t>
      </w:r>
      <w:r w:rsidR="00005458" w:rsidRPr="003A3EEA">
        <w:rPr>
          <w:rFonts w:ascii="Calibri" w:hAnsi="Calibri" w:cs="Arial"/>
        </w:rPr>
        <w:t xml:space="preserve"> are </w:t>
      </w:r>
      <w:r w:rsidR="00BB3188" w:rsidRPr="003A3EEA">
        <w:rPr>
          <w:rFonts w:ascii="Calibri" w:hAnsi="Calibri" w:cs="Arial"/>
        </w:rPr>
        <w:t>required</w:t>
      </w:r>
      <w:r w:rsidR="00005458" w:rsidRPr="003A3EEA">
        <w:rPr>
          <w:rFonts w:ascii="Calibri" w:hAnsi="Calibri" w:cs="Arial"/>
        </w:rPr>
        <w:t>.</w:t>
      </w:r>
      <w:r w:rsidRPr="003A3EEA">
        <w:rPr>
          <w:rFonts w:ascii="Calibri" w:hAnsi="Calibri" w:cs="Arial"/>
        </w:rPr>
        <w:t xml:space="preserve"> </w:t>
      </w:r>
      <w:r w:rsidR="00005458" w:rsidRPr="003A3EEA">
        <w:rPr>
          <w:rFonts w:ascii="Calibri" w:hAnsi="Calibri" w:cs="Arial"/>
        </w:rPr>
        <w:t xml:space="preserve">All individuals </w:t>
      </w:r>
      <w:r w:rsidR="00DA653B" w:rsidRPr="003A3EEA">
        <w:rPr>
          <w:rFonts w:ascii="Calibri" w:hAnsi="Calibri" w:cs="Arial"/>
        </w:rPr>
        <w:t xml:space="preserve">handling </w:t>
      </w:r>
      <w:r w:rsidR="00881769" w:rsidRPr="003A3EEA">
        <w:rPr>
          <w:rFonts w:ascii="Calibri" w:hAnsi="Calibri" w:cs="Arial"/>
        </w:rPr>
        <w:t>BSL-2 compounds</w:t>
      </w:r>
      <w:r w:rsidR="00DA653B" w:rsidRPr="003A3EEA">
        <w:rPr>
          <w:rFonts w:ascii="Calibri" w:hAnsi="Calibri" w:cs="Arial"/>
        </w:rPr>
        <w:t xml:space="preserve"> must be </w:t>
      </w:r>
      <w:r w:rsidR="00005458" w:rsidRPr="003A3EEA">
        <w:rPr>
          <w:rFonts w:ascii="Calibri" w:hAnsi="Calibri" w:cs="Arial"/>
        </w:rPr>
        <w:t xml:space="preserve">fit tested </w:t>
      </w:r>
      <w:r w:rsidR="00DA653B" w:rsidRPr="003A3EEA">
        <w:rPr>
          <w:rFonts w:ascii="Calibri" w:hAnsi="Calibri" w:cs="Arial"/>
        </w:rPr>
        <w:t xml:space="preserve">for a particulate respirator </w:t>
      </w:r>
      <w:r w:rsidR="00005458" w:rsidRPr="003A3EEA">
        <w:rPr>
          <w:rFonts w:ascii="Calibri" w:hAnsi="Calibri" w:cs="Arial"/>
        </w:rPr>
        <w:t>by a local public health age</w:t>
      </w:r>
      <w:r w:rsidR="00DA653B" w:rsidRPr="003A3EEA">
        <w:rPr>
          <w:rFonts w:ascii="Calibri" w:hAnsi="Calibri" w:cs="Arial"/>
        </w:rPr>
        <w:t xml:space="preserve">ncy. </w:t>
      </w:r>
      <w:r w:rsidR="00015C7A" w:rsidRPr="003A3EEA">
        <w:rPr>
          <w:rFonts w:ascii="Calibri" w:hAnsi="Calibri" w:cs="Arial"/>
        </w:rPr>
        <w:t xml:space="preserve"> Refer to Lowery &amp; Majewska (2010)</w:t>
      </w:r>
      <w:r w:rsidR="00642C41" w:rsidRPr="003A3EEA">
        <w:rPr>
          <w:rFonts w:ascii="Calibri" w:hAnsi="Calibri" w:cs="Arial"/>
          <w:vertAlign w:val="superscript"/>
        </w:rPr>
        <w:t>22</w:t>
      </w:r>
      <w:r w:rsidR="00015C7A" w:rsidRPr="003A3EEA">
        <w:rPr>
          <w:rFonts w:ascii="Calibri" w:hAnsi="Calibri" w:cs="Arial"/>
        </w:rPr>
        <w:t xml:space="preserve"> for additional details on handling and storage of viral vectors.</w:t>
      </w:r>
    </w:p>
    <w:p w14:paraId="6E998167" w14:textId="77777777" w:rsidR="007465CB" w:rsidRPr="003A3EEA" w:rsidRDefault="007465CB" w:rsidP="003A3EEA">
      <w:pPr>
        <w:rPr>
          <w:rFonts w:ascii="Calibri" w:hAnsi="Calibri" w:cs="Arial"/>
        </w:rPr>
      </w:pPr>
    </w:p>
    <w:p w14:paraId="120650F8" w14:textId="29B9CA78" w:rsidR="007465CB" w:rsidRPr="003A3EEA" w:rsidRDefault="00DF129E" w:rsidP="003A3EEA">
      <w:pPr>
        <w:pStyle w:val="ListParagraph"/>
        <w:numPr>
          <w:ilvl w:val="1"/>
          <w:numId w:val="9"/>
        </w:numPr>
        <w:ind w:left="0" w:firstLine="0"/>
        <w:rPr>
          <w:rFonts w:ascii="Calibri" w:hAnsi="Calibri" w:cs="Arial"/>
        </w:rPr>
      </w:pPr>
      <w:r w:rsidRPr="003A3EEA">
        <w:rPr>
          <w:rFonts w:ascii="Calibri" w:hAnsi="Calibri" w:cs="Arial"/>
        </w:rPr>
        <w:t>Upon first use, aliquot and store unused virus</w:t>
      </w:r>
      <w:r w:rsidR="00005458" w:rsidRPr="003A3EEA">
        <w:rPr>
          <w:rFonts w:ascii="Calibri" w:hAnsi="Calibri" w:cs="Arial"/>
        </w:rPr>
        <w:t xml:space="preserve"> </w:t>
      </w:r>
      <w:r w:rsidRPr="003A3EEA">
        <w:rPr>
          <w:rFonts w:ascii="Calibri" w:hAnsi="Calibri" w:cs="Arial"/>
        </w:rPr>
        <w:t>in 20</w:t>
      </w:r>
      <w:r w:rsidR="00703169" w:rsidRPr="003A3EEA">
        <w:rPr>
          <w:rFonts w:ascii="Calibri" w:hAnsi="Calibri" w:cs="Arial"/>
        </w:rPr>
        <w:t xml:space="preserve"> </w:t>
      </w:r>
      <w:r w:rsidR="00272024" w:rsidRPr="003A3EEA">
        <w:rPr>
          <w:rFonts w:ascii="Calibri" w:hAnsi="Calibri"/>
        </w:rPr>
        <w:t>μL</w:t>
      </w:r>
      <w:r w:rsidR="00703169" w:rsidRPr="003A3EEA">
        <w:rPr>
          <w:rFonts w:ascii="Calibri" w:hAnsi="Calibri" w:cs="Arial"/>
        </w:rPr>
        <w:t xml:space="preserve"> </w:t>
      </w:r>
      <w:r w:rsidRPr="003A3EEA">
        <w:rPr>
          <w:rFonts w:ascii="Calibri" w:hAnsi="Calibri" w:cs="Arial"/>
        </w:rPr>
        <w:t xml:space="preserve">microcentrifuge tubes </w:t>
      </w:r>
      <w:r w:rsidR="00005458" w:rsidRPr="003A3EEA">
        <w:rPr>
          <w:rFonts w:ascii="Calibri" w:hAnsi="Calibri" w:cs="Arial"/>
        </w:rPr>
        <w:t>to avoid repeated freezing and thawing.</w:t>
      </w:r>
    </w:p>
    <w:p w14:paraId="175CFA03" w14:textId="77777777" w:rsidR="007465CB" w:rsidRPr="003A3EEA" w:rsidRDefault="007465CB" w:rsidP="003A3EEA">
      <w:pPr>
        <w:rPr>
          <w:rFonts w:ascii="Calibri" w:hAnsi="Calibri"/>
        </w:rPr>
      </w:pPr>
    </w:p>
    <w:p w14:paraId="64EFF63E" w14:textId="3269AB4D" w:rsidR="007465CB" w:rsidRPr="003A3EEA" w:rsidRDefault="004B3809" w:rsidP="003A3EEA">
      <w:pPr>
        <w:pStyle w:val="ListParagraph"/>
        <w:numPr>
          <w:ilvl w:val="1"/>
          <w:numId w:val="9"/>
        </w:numPr>
        <w:ind w:left="0" w:firstLine="0"/>
        <w:rPr>
          <w:rFonts w:ascii="Calibri" w:hAnsi="Calibri"/>
          <w:highlight w:val="yellow"/>
        </w:rPr>
      </w:pPr>
      <w:r w:rsidRPr="003A3EEA">
        <w:rPr>
          <w:rFonts w:ascii="Calibri" w:hAnsi="Calibri"/>
          <w:highlight w:val="yellow"/>
        </w:rPr>
        <w:t xml:space="preserve">Prepare the hood (Biosafety Cabinet Class II) by removing any unnecessary objects and sterilizing </w:t>
      </w:r>
      <w:r w:rsidR="000E6E83" w:rsidRPr="003A3EEA">
        <w:rPr>
          <w:rFonts w:ascii="Calibri" w:hAnsi="Calibri"/>
          <w:highlight w:val="yellow"/>
        </w:rPr>
        <w:t xml:space="preserve">the surface with 70% </w:t>
      </w:r>
      <w:r w:rsidR="00272024" w:rsidRPr="003A3EEA">
        <w:rPr>
          <w:rFonts w:ascii="Calibri" w:hAnsi="Calibri"/>
          <w:highlight w:val="yellow"/>
        </w:rPr>
        <w:t>e</w:t>
      </w:r>
      <w:r w:rsidR="00272024" w:rsidRPr="003A3EEA">
        <w:rPr>
          <w:rFonts w:ascii="Calibri" w:hAnsi="Calibri"/>
          <w:highlight w:val="yellow"/>
        </w:rPr>
        <w:t>thanol</w:t>
      </w:r>
      <w:r w:rsidR="00DF129E" w:rsidRPr="003A3EEA">
        <w:rPr>
          <w:rFonts w:ascii="Calibri" w:hAnsi="Calibri"/>
          <w:highlight w:val="yellow"/>
        </w:rPr>
        <w:t>.</w:t>
      </w:r>
      <w:r w:rsidR="004D3C57" w:rsidRPr="003A3EEA">
        <w:rPr>
          <w:rFonts w:ascii="Calibri" w:hAnsi="Calibri"/>
          <w:highlight w:val="yellow"/>
        </w:rPr>
        <w:t xml:space="preserve"> </w:t>
      </w:r>
      <w:r w:rsidR="00DF129E" w:rsidRPr="003A3EEA">
        <w:rPr>
          <w:rFonts w:ascii="Calibri" w:hAnsi="Calibri"/>
          <w:highlight w:val="yellow"/>
        </w:rPr>
        <w:t>Prepare</w:t>
      </w:r>
      <w:r w:rsidRPr="003A3EEA">
        <w:rPr>
          <w:rFonts w:ascii="Calibri" w:hAnsi="Calibri"/>
          <w:highlight w:val="yellow"/>
        </w:rPr>
        <w:t xml:space="preserve"> a 10% bleach solution for decontaminating AAV waste.</w:t>
      </w:r>
      <w:r w:rsidR="004D3C57" w:rsidRPr="003A3EEA">
        <w:rPr>
          <w:rFonts w:ascii="Calibri" w:hAnsi="Calibri"/>
          <w:highlight w:val="yellow"/>
        </w:rPr>
        <w:t xml:space="preserve"> </w:t>
      </w:r>
      <w:r w:rsidRPr="003A3EEA">
        <w:rPr>
          <w:rFonts w:ascii="Calibri" w:hAnsi="Calibri"/>
          <w:highlight w:val="yellow"/>
        </w:rPr>
        <w:t>Place a beaker full of the bleach solution</w:t>
      </w:r>
      <w:r w:rsidR="00DF129E" w:rsidRPr="003A3EEA">
        <w:rPr>
          <w:rFonts w:ascii="Calibri" w:hAnsi="Calibri"/>
          <w:highlight w:val="yellow"/>
        </w:rPr>
        <w:t xml:space="preserve"> and a sterile 10</w:t>
      </w:r>
      <w:r w:rsidR="000737AC" w:rsidRPr="003A3EEA">
        <w:rPr>
          <w:rFonts w:ascii="Calibri" w:hAnsi="Calibri"/>
          <w:highlight w:val="yellow"/>
        </w:rPr>
        <w:t xml:space="preserve"> </w:t>
      </w:r>
      <w:r w:rsidR="00272024" w:rsidRPr="003A3EEA">
        <w:rPr>
          <w:rFonts w:ascii="Calibri" w:hAnsi="Calibri"/>
          <w:highlight w:val="yellow"/>
        </w:rPr>
        <w:t>μL</w:t>
      </w:r>
      <w:r w:rsidR="00C65A20" w:rsidRPr="003A3EEA">
        <w:rPr>
          <w:rFonts w:ascii="Calibri" w:hAnsi="Calibri"/>
          <w:highlight w:val="yellow"/>
        </w:rPr>
        <w:t xml:space="preserve"> syringe</w:t>
      </w:r>
      <w:r w:rsidR="00DF129E" w:rsidRPr="003A3EEA">
        <w:rPr>
          <w:rFonts w:ascii="Calibri" w:hAnsi="Calibri"/>
          <w:highlight w:val="yellow"/>
        </w:rPr>
        <w:t xml:space="preserve"> </w:t>
      </w:r>
      <w:r w:rsidRPr="003A3EEA">
        <w:rPr>
          <w:rFonts w:ascii="Calibri" w:hAnsi="Calibri"/>
          <w:highlight w:val="yellow"/>
        </w:rPr>
        <w:t>in the hood.</w:t>
      </w:r>
      <w:r w:rsidR="0091394B" w:rsidRPr="003A3EEA">
        <w:rPr>
          <w:rFonts w:ascii="Calibri" w:hAnsi="Calibri"/>
          <w:highlight w:val="yellow"/>
        </w:rPr>
        <w:t xml:space="preserve"> </w:t>
      </w:r>
      <w:r w:rsidR="005A3D99" w:rsidRPr="003A3EEA">
        <w:rPr>
          <w:rFonts w:ascii="Calibri" w:hAnsi="Calibri"/>
          <w:highlight w:val="yellow"/>
        </w:rPr>
        <w:t xml:space="preserve">Place the microcentrifuge tube with the AAV in a container with crushed ice during set up. </w:t>
      </w:r>
    </w:p>
    <w:p w14:paraId="0E53A826" w14:textId="77777777" w:rsidR="007465CB" w:rsidRPr="003A3EEA" w:rsidRDefault="007465CB" w:rsidP="003A3EEA">
      <w:pPr>
        <w:rPr>
          <w:rFonts w:ascii="Calibri" w:hAnsi="Calibri"/>
          <w:highlight w:val="yellow"/>
        </w:rPr>
      </w:pPr>
    </w:p>
    <w:p w14:paraId="2BF0ADB8" w14:textId="283E7F8D" w:rsidR="005A3D99" w:rsidRPr="003A3EEA" w:rsidRDefault="00DF129E" w:rsidP="003A3EEA">
      <w:pPr>
        <w:pStyle w:val="ListParagraph"/>
        <w:numPr>
          <w:ilvl w:val="1"/>
          <w:numId w:val="9"/>
        </w:numPr>
        <w:ind w:left="0" w:firstLine="0"/>
        <w:rPr>
          <w:rFonts w:ascii="Calibri" w:hAnsi="Calibri"/>
          <w:highlight w:val="yellow"/>
        </w:rPr>
      </w:pPr>
      <w:r w:rsidRPr="003A3EEA">
        <w:rPr>
          <w:rFonts w:ascii="Calibri" w:hAnsi="Calibri"/>
          <w:highlight w:val="yellow"/>
        </w:rPr>
        <w:t>Place the microcentrifuge tube with the virus into a standard bench vice.</w:t>
      </w:r>
      <w:r w:rsidR="004D3C57" w:rsidRPr="003A3EEA">
        <w:rPr>
          <w:rFonts w:ascii="Calibri" w:hAnsi="Calibri"/>
          <w:highlight w:val="yellow"/>
        </w:rPr>
        <w:t xml:space="preserve"> </w:t>
      </w:r>
      <w:r w:rsidRPr="003A3EEA">
        <w:rPr>
          <w:rFonts w:ascii="Calibri" w:hAnsi="Calibri"/>
          <w:highlight w:val="yellow"/>
        </w:rPr>
        <w:t>Load</w:t>
      </w:r>
      <w:r w:rsidR="004B3809" w:rsidRPr="003A3EEA">
        <w:rPr>
          <w:rFonts w:ascii="Calibri" w:hAnsi="Calibri"/>
          <w:highlight w:val="yellow"/>
        </w:rPr>
        <w:t xml:space="preserve"> a </w:t>
      </w:r>
      <w:r w:rsidR="002C308C" w:rsidRPr="003A3EEA">
        <w:rPr>
          <w:rFonts w:ascii="Calibri" w:hAnsi="Calibri"/>
          <w:highlight w:val="yellow"/>
        </w:rPr>
        <w:t>10</w:t>
      </w:r>
      <w:r w:rsidR="000E6E83" w:rsidRPr="003A3EEA">
        <w:rPr>
          <w:rFonts w:ascii="Calibri" w:hAnsi="Calibri"/>
          <w:highlight w:val="yellow"/>
        </w:rPr>
        <w:t xml:space="preserve"> </w:t>
      </w:r>
      <w:r w:rsidR="00272024" w:rsidRPr="003A3EEA">
        <w:rPr>
          <w:rFonts w:ascii="Calibri" w:hAnsi="Calibri"/>
          <w:highlight w:val="yellow"/>
        </w:rPr>
        <w:t>μL</w:t>
      </w:r>
      <w:r w:rsidR="0091394B" w:rsidRPr="003A3EEA">
        <w:rPr>
          <w:rFonts w:ascii="Calibri" w:hAnsi="Calibri"/>
          <w:highlight w:val="yellow"/>
        </w:rPr>
        <w:t xml:space="preserve"> </w:t>
      </w:r>
      <w:r w:rsidR="004B3809" w:rsidRPr="003A3EEA">
        <w:rPr>
          <w:rFonts w:ascii="Calibri" w:hAnsi="Calibri"/>
          <w:highlight w:val="yellow"/>
        </w:rPr>
        <w:t xml:space="preserve">syringe with </w:t>
      </w:r>
      <w:r w:rsidR="000E6E83" w:rsidRPr="003A3EEA">
        <w:rPr>
          <w:rFonts w:ascii="Calibri" w:hAnsi="Calibri"/>
          <w:highlight w:val="yellow"/>
        </w:rPr>
        <w:t>at least 4</w:t>
      </w:r>
      <w:r w:rsidR="00566752" w:rsidRPr="003A3EEA">
        <w:rPr>
          <w:rFonts w:ascii="Calibri" w:hAnsi="Calibri"/>
          <w:highlight w:val="yellow"/>
        </w:rPr>
        <w:t xml:space="preserve"> </w:t>
      </w:r>
      <w:r w:rsidR="00272024" w:rsidRPr="003A3EEA">
        <w:rPr>
          <w:rFonts w:ascii="Calibri" w:hAnsi="Calibri"/>
          <w:highlight w:val="yellow"/>
        </w:rPr>
        <w:t>μL</w:t>
      </w:r>
      <w:r w:rsidR="00C65A20" w:rsidRPr="003A3EEA">
        <w:rPr>
          <w:rFonts w:ascii="Calibri" w:hAnsi="Calibri"/>
          <w:highlight w:val="yellow"/>
        </w:rPr>
        <w:t xml:space="preserve"> of </w:t>
      </w:r>
      <w:r w:rsidR="004B3809" w:rsidRPr="003A3EEA">
        <w:rPr>
          <w:rFonts w:ascii="Calibri" w:hAnsi="Calibri"/>
          <w:highlight w:val="yellow"/>
        </w:rPr>
        <w:t>AAV</w:t>
      </w:r>
      <w:r w:rsidR="00566752" w:rsidRPr="003A3EEA">
        <w:rPr>
          <w:rFonts w:ascii="Calibri" w:hAnsi="Calibri"/>
          <w:highlight w:val="yellow"/>
        </w:rPr>
        <w:t>.</w:t>
      </w:r>
      <w:r w:rsidR="0091394B" w:rsidRPr="003A3EEA">
        <w:rPr>
          <w:rFonts w:ascii="Calibri" w:hAnsi="Calibri"/>
          <w:highlight w:val="yellow"/>
        </w:rPr>
        <w:t xml:space="preserve"> </w:t>
      </w:r>
      <w:r w:rsidRPr="003A3EEA">
        <w:rPr>
          <w:rFonts w:ascii="Calibri" w:hAnsi="Calibri"/>
        </w:rPr>
        <w:t>Take care not to bend the tip of the syringe against the bottom of the microcentrifuge tube during loading.</w:t>
      </w:r>
      <w:r w:rsidR="0091394B" w:rsidRPr="003A3EEA">
        <w:rPr>
          <w:rFonts w:ascii="Calibri" w:hAnsi="Calibri"/>
        </w:rPr>
        <w:t xml:space="preserve"> </w:t>
      </w:r>
      <w:r w:rsidR="005A3D99" w:rsidRPr="003A3EEA">
        <w:rPr>
          <w:rFonts w:ascii="Calibri" w:hAnsi="Calibri"/>
        </w:rPr>
        <w:t>Ensure that t</w:t>
      </w:r>
      <w:r w:rsidR="000E6E83" w:rsidRPr="003A3EEA">
        <w:rPr>
          <w:rFonts w:ascii="Calibri" w:hAnsi="Calibri"/>
        </w:rPr>
        <w:t>here are no air bubbles in the 4</w:t>
      </w:r>
      <w:r w:rsidR="005A3D99" w:rsidRPr="003A3EEA">
        <w:rPr>
          <w:rFonts w:ascii="Calibri" w:hAnsi="Calibri"/>
        </w:rPr>
        <w:t xml:space="preserve"> </w:t>
      </w:r>
      <w:r w:rsidR="00272024" w:rsidRPr="003A3EEA">
        <w:rPr>
          <w:rFonts w:ascii="Calibri" w:hAnsi="Calibri"/>
        </w:rPr>
        <w:t>μL</w:t>
      </w:r>
      <w:r w:rsidR="005A3D99" w:rsidRPr="003A3EEA">
        <w:rPr>
          <w:rFonts w:ascii="Calibri" w:hAnsi="Calibri"/>
        </w:rPr>
        <w:t xml:space="preserve"> of AAV solution in the syringe. </w:t>
      </w:r>
    </w:p>
    <w:p w14:paraId="093B7526" w14:textId="77777777" w:rsidR="007465CB" w:rsidRPr="003A3EEA" w:rsidRDefault="007465CB" w:rsidP="003A3EEA">
      <w:pPr>
        <w:pStyle w:val="ListParagraph"/>
        <w:ind w:left="0"/>
        <w:rPr>
          <w:rFonts w:ascii="Calibri" w:hAnsi="Calibri"/>
          <w:highlight w:val="yellow"/>
        </w:rPr>
      </w:pPr>
    </w:p>
    <w:p w14:paraId="4909D99E" w14:textId="12F1CBA9" w:rsidR="007465CB" w:rsidRPr="003A3EEA" w:rsidRDefault="00392642" w:rsidP="003A3EEA">
      <w:pPr>
        <w:pStyle w:val="ListParagraph"/>
        <w:numPr>
          <w:ilvl w:val="1"/>
          <w:numId w:val="9"/>
        </w:numPr>
        <w:ind w:left="0" w:firstLine="0"/>
        <w:rPr>
          <w:rFonts w:ascii="Calibri" w:hAnsi="Calibri"/>
        </w:rPr>
      </w:pPr>
      <w:r w:rsidRPr="003A3EEA">
        <w:rPr>
          <w:rFonts w:ascii="Calibri" w:hAnsi="Calibri"/>
          <w:highlight w:val="yellow"/>
        </w:rPr>
        <w:t>D</w:t>
      </w:r>
      <w:r w:rsidR="00C65A20" w:rsidRPr="003A3EEA">
        <w:rPr>
          <w:rFonts w:ascii="Calibri" w:hAnsi="Calibri"/>
          <w:highlight w:val="yellow"/>
        </w:rPr>
        <w:t>ispose of the empty virus tube in the beaker containing 10% bleach.</w:t>
      </w:r>
      <w:r w:rsidR="004D3C57" w:rsidRPr="003A3EEA">
        <w:rPr>
          <w:rFonts w:ascii="Calibri" w:hAnsi="Calibri"/>
          <w:highlight w:val="yellow"/>
        </w:rPr>
        <w:t xml:space="preserve"> </w:t>
      </w:r>
      <w:r w:rsidRPr="003A3EEA">
        <w:rPr>
          <w:rFonts w:ascii="Calibri" w:hAnsi="Calibri"/>
        </w:rPr>
        <w:t>Store unused portions of the virus as specified by the supplier.</w:t>
      </w:r>
      <w:r w:rsidR="00C65A20" w:rsidRPr="003A3EEA">
        <w:rPr>
          <w:rFonts w:ascii="Calibri" w:hAnsi="Calibri"/>
        </w:rPr>
        <w:t xml:space="preserve"> </w:t>
      </w:r>
    </w:p>
    <w:p w14:paraId="19EE5FB0" w14:textId="77777777" w:rsidR="007465CB" w:rsidRPr="003A3EEA" w:rsidRDefault="007465CB" w:rsidP="003A3EEA">
      <w:pPr>
        <w:pStyle w:val="ListParagraph"/>
        <w:ind w:left="0"/>
        <w:rPr>
          <w:rFonts w:ascii="Calibri" w:hAnsi="Calibri"/>
          <w:highlight w:val="yellow"/>
        </w:rPr>
      </w:pPr>
    </w:p>
    <w:p w14:paraId="68D99BE1" w14:textId="59413CD6" w:rsidR="007465CB" w:rsidRPr="003A3EEA" w:rsidRDefault="00392642" w:rsidP="003A3EEA">
      <w:pPr>
        <w:pStyle w:val="ListParagraph"/>
        <w:numPr>
          <w:ilvl w:val="1"/>
          <w:numId w:val="9"/>
        </w:numPr>
        <w:ind w:left="0" w:firstLine="0"/>
        <w:rPr>
          <w:rFonts w:ascii="Calibri" w:hAnsi="Calibri"/>
          <w:highlight w:val="yellow"/>
        </w:rPr>
      </w:pPr>
      <w:r w:rsidRPr="003A3EEA">
        <w:rPr>
          <w:rFonts w:ascii="Calibri" w:hAnsi="Calibri"/>
          <w:highlight w:val="yellow"/>
        </w:rPr>
        <w:t>A</w:t>
      </w:r>
      <w:r w:rsidR="00C65A20" w:rsidRPr="003A3EEA">
        <w:rPr>
          <w:rFonts w:ascii="Calibri" w:hAnsi="Calibri"/>
          <w:highlight w:val="yellow"/>
        </w:rPr>
        <w:t>dd additional 10% bleach</w:t>
      </w:r>
      <w:r w:rsidRPr="003A3EEA">
        <w:rPr>
          <w:rFonts w:ascii="Calibri" w:hAnsi="Calibri"/>
          <w:highlight w:val="yellow"/>
        </w:rPr>
        <w:t xml:space="preserve"> to the waste container, and allow waste to sit for 30 min </w:t>
      </w:r>
      <w:r w:rsidR="00C65A20" w:rsidRPr="003A3EEA">
        <w:rPr>
          <w:rFonts w:ascii="Calibri" w:hAnsi="Calibri"/>
        </w:rPr>
        <w:t xml:space="preserve">before </w:t>
      </w:r>
      <w:r w:rsidR="00DA653B" w:rsidRPr="003A3EEA">
        <w:rPr>
          <w:rFonts w:ascii="Calibri" w:hAnsi="Calibri"/>
        </w:rPr>
        <w:t>disposing the</w:t>
      </w:r>
      <w:r w:rsidRPr="003A3EEA">
        <w:rPr>
          <w:rFonts w:ascii="Calibri" w:hAnsi="Calibri"/>
        </w:rPr>
        <w:t xml:space="preserve"> decontaminated liquid waste</w:t>
      </w:r>
      <w:r w:rsidR="00C65A20" w:rsidRPr="003A3EEA">
        <w:rPr>
          <w:rFonts w:ascii="Calibri" w:hAnsi="Calibri"/>
        </w:rPr>
        <w:t xml:space="preserve">. </w:t>
      </w:r>
    </w:p>
    <w:p w14:paraId="4F8C16A6" w14:textId="77777777" w:rsidR="009F16DA" w:rsidRPr="003A3EEA" w:rsidRDefault="009F16DA" w:rsidP="003A3EEA">
      <w:pPr>
        <w:pStyle w:val="ListParagraph"/>
        <w:ind w:left="0"/>
        <w:rPr>
          <w:rFonts w:ascii="Calibri" w:hAnsi="Calibri"/>
          <w:highlight w:val="yellow"/>
        </w:rPr>
      </w:pPr>
    </w:p>
    <w:p w14:paraId="09E21A1F" w14:textId="27CF3B18" w:rsidR="007465CB" w:rsidRPr="003A3EEA" w:rsidRDefault="009F16DA" w:rsidP="003A3EEA">
      <w:pPr>
        <w:pStyle w:val="ListParagraph"/>
        <w:numPr>
          <w:ilvl w:val="1"/>
          <w:numId w:val="9"/>
        </w:numPr>
        <w:ind w:left="0" w:firstLine="0"/>
        <w:rPr>
          <w:rFonts w:ascii="Calibri" w:hAnsi="Calibri"/>
          <w:highlight w:val="yellow"/>
        </w:rPr>
      </w:pPr>
      <w:r w:rsidRPr="003A3EEA">
        <w:rPr>
          <w:rFonts w:ascii="Calibri" w:hAnsi="Calibri"/>
          <w:highlight w:val="yellow"/>
        </w:rPr>
        <w:t xml:space="preserve">Dispose of all protective equipment and plastic waste in a biohazard container as instructed by institutional </w:t>
      </w:r>
      <w:r w:rsidR="00392642" w:rsidRPr="003A3EEA">
        <w:rPr>
          <w:rFonts w:ascii="Calibri" w:hAnsi="Calibri"/>
          <w:highlight w:val="yellow"/>
        </w:rPr>
        <w:t>guidelines</w:t>
      </w:r>
      <w:r w:rsidRPr="003A3EEA">
        <w:rPr>
          <w:rFonts w:ascii="Calibri" w:hAnsi="Calibri"/>
          <w:highlight w:val="yellow"/>
        </w:rPr>
        <w:t xml:space="preserve">. </w:t>
      </w:r>
      <w:r w:rsidR="00392642" w:rsidRPr="003A3EEA">
        <w:rPr>
          <w:rFonts w:ascii="Calibri" w:hAnsi="Calibri"/>
          <w:highlight w:val="yellow"/>
        </w:rPr>
        <w:t>Sterilize any equipment or surfaces that came in contact with the virus using 10% bleach.</w:t>
      </w:r>
    </w:p>
    <w:p w14:paraId="6CBAC31E" w14:textId="77777777" w:rsidR="004F5E9A" w:rsidRPr="003A3EEA" w:rsidRDefault="004F5E9A" w:rsidP="003A3EEA">
      <w:pPr>
        <w:rPr>
          <w:rFonts w:ascii="Calibri" w:hAnsi="Calibri" w:cs="Arial"/>
        </w:rPr>
      </w:pPr>
    </w:p>
    <w:p w14:paraId="5763EFA5" w14:textId="2529A9AF" w:rsidR="00120630" w:rsidRPr="003A3EEA" w:rsidRDefault="009F1F51" w:rsidP="003A3EEA">
      <w:pPr>
        <w:pStyle w:val="ListParagraph"/>
        <w:numPr>
          <w:ilvl w:val="0"/>
          <w:numId w:val="9"/>
        </w:numPr>
        <w:ind w:left="0" w:firstLine="0"/>
        <w:rPr>
          <w:rFonts w:ascii="Calibri" w:hAnsi="Calibri" w:cs="Arial"/>
          <w:b/>
          <w:highlight w:val="yellow"/>
        </w:rPr>
      </w:pPr>
      <w:r w:rsidRPr="003A3EEA">
        <w:rPr>
          <w:rFonts w:ascii="Calibri" w:hAnsi="Calibri" w:cs="Arial"/>
          <w:b/>
          <w:highlight w:val="yellow"/>
        </w:rPr>
        <w:t>Surgery</w:t>
      </w:r>
    </w:p>
    <w:p w14:paraId="396DFF7C" w14:textId="77777777" w:rsidR="00120630" w:rsidRPr="003A3EEA" w:rsidRDefault="00120630" w:rsidP="003A3EEA">
      <w:pPr>
        <w:rPr>
          <w:rFonts w:ascii="Calibri" w:hAnsi="Calibri" w:cs="Arial"/>
        </w:rPr>
      </w:pPr>
    </w:p>
    <w:p w14:paraId="08AD5468" w14:textId="5EF2052C" w:rsidR="009F16DA" w:rsidRPr="003A3EEA" w:rsidRDefault="00392642" w:rsidP="003A3EEA">
      <w:pPr>
        <w:pStyle w:val="ListParagraph"/>
        <w:numPr>
          <w:ilvl w:val="1"/>
          <w:numId w:val="9"/>
        </w:numPr>
        <w:ind w:left="0" w:firstLine="0"/>
        <w:rPr>
          <w:rFonts w:ascii="Calibri" w:hAnsi="Calibri"/>
          <w:highlight w:val="yellow"/>
        </w:rPr>
      </w:pPr>
      <w:r w:rsidRPr="003A3EEA">
        <w:rPr>
          <w:rFonts w:ascii="Calibri" w:hAnsi="Calibri"/>
          <w:highlight w:val="yellow"/>
        </w:rPr>
        <w:t>Prepare the surgical area</w:t>
      </w:r>
      <w:r w:rsidR="009F16DA" w:rsidRPr="003A3EEA">
        <w:rPr>
          <w:rFonts w:ascii="Calibri" w:hAnsi="Calibri"/>
          <w:highlight w:val="yellow"/>
        </w:rPr>
        <w:t xml:space="preserve"> by </w:t>
      </w:r>
      <w:r w:rsidRPr="003A3EEA">
        <w:rPr>
          <w:rFonts w:ascii="Calibri" w:hAnsi="Calibri"/>
          <w:highlight w:val="yellow"/>
        </w:rPr>
        <w:t xml:space="preserve">placing </w:t>
      </w:r>
      <w:r w:rsidR="009F16DA" w:rsidRPr="003A3EEA">
        <w:rPr>
          <w:rFonts w:ascii="Calibri" w:hAnsi="Calibri"/>
          <w:highlight w:val="yellow"/>
        </w:rPr>
        <w:t>absorbent bench paper</w:t>
      </w:r>
      <w:r w:rsidRPr="003A3EEA">
        <w:rPr>
          <w:rFonts w:ascii="Calibri" w:hAnsi="Calibri"/>
          <w:highlight w:val="yellow"/>
        </w:rPr>
        <w:t xml:space="preserve"> under </w:t>
      </w:r>
      <w:r w:rsidR="007B4185" w:rsidRPr="003A3EEA">
        <w:rPr>
          <w:rFonts w:ascii="Calibri" w:hAnsi="Calibri"/>
          <w:highlight w:val="yellow"/>
        </w:rPr>
        <w:t>the stereotaxic apparatus and on</w:t>
      </w:r>
      <w:r w:rsidRPr="003A3EEA">
        <w:rPr>
          <w:rFonts w:ascii="Calibri" w:hAnsi="Calibri"/>
          <w:highlight w:val="yellow"/>
        </w:rPr>
        <w:t xml:space="preserve"> an adjacent </w:t>
      </w:r>
      <w:r w:rsidR="007B4185" w:rsidRPr="003A3EEA">
        <w:rPr>
          <w:rFonts w:ascii="Calibri" w:hAnsi="Calibri"/>
          <w:highlight w:val="yellow"/>
        </w:rPr>
        <w:t xml:space="preserve">space designated as a </w:t>
      </w:r>
      <w:r w:rsidRPr="003A3EEA">
        <w:rPr>
          <w:rFonts w:ascii="Calibri" w:hAnsi="Calibri"/>
          <w:highlight w:val="yellow"/>
        </w:rPr>
        <w:t xml:space="preserve">dedicated virus handling area. </w:t>
      </w:r>
    </w:p>
    <w:p w14:paraId="66E5153F" w14:textId="77777777" w:rsidR="009F16DA" w:rsidRPr="003A3EEA" w:rsidRDefault="009F16DA" w:rsidP="003A3EEA">
      <w:pPr>
        <w:pStyle w:val="ListParagraph"/>
        <w:ind w:left="0"/>
        <w:rPr>
          <w:rFonts w:ascii="Calibri" w:hAnsi="Calibri"/>
          <w:highlight w:val="yellow"/>
        </w:rPr>
      </w:pPr>
    </w:p>
    <w:p w14:paraId="44758D19" w14:textId="4B48F4D9" w:rsidR="009F16DA" w:rsidRPr="003A3EEA" w:rsidRDefault="00392642" w:rsidP="003A3EEA">
      <w:pPr>
        <w:pStyle w:val="ListParagraph"/>
        <w:numPr>
          <w:ilvl w:val="2"/>
          <w:numId w:val="9"/>
        </w:numPr>
        <w:ind w:left="0" w:firstLine="0"/>
        <w:rPr>
          <w:rFonts w:ascii="Calibri" w:hAnsi="Calibri"/>
          <w:highlight w:val="yellow"/>
        </w:rPr>
      </w:pPr>
      <w:r w:rsidRPr="003A3EEA">
        <w:rPr>
          <w:rFonts w:ascii="Calibri" w:hAnsi="Calibri"/>
          <w:highlight w:val="yellow"/>
        </w:rPr>
        <w:t>Place a</w:t>
      </w:r>
      <w:r w:rsidR="009F16DA" w:rsidRPr="003A3EEA">
        <w:rPr>
          <w:rFonts w:ascii="Calibri" w:hAnsi="Calibri"/>
          <w:highlight w:val="yellow"/>
        </w:rPr>
        <w:t xml:space="preserve"> 10% bleach waste container in the dedicated virus handling area</w:t>
      </w:r>
      <w:r w:rsidR="002D0C0A" w:rsidRPr="003A3EEA">
        <w:rPr>
          <w:rFonts w:ascii="Calibri" w:hAnsi="Calibri"/>
          <w:highlight w:val="yellow"/>
        </w:rPr>
        <w:t xml:space="preserve"> near the surgical apparatus</w:t>
      </w:r>
      <w:r w:rsidR="009F16DA" w:rsidRPr="003A3EEA">
        <w:rPr>
          <w:rFonts w:ascii="Calibri" w:hAnsi="Calibri"/>
          <w:highlight w:val="yellow"/>
        </w:rPr>
        <w:t>.</w:t>
      </w:r>
      <w:r w:rsidR="006D3646" w:rsidRPr="003A3EEA">
        <w:rPr>
          <w:rFonts w:ascii="Calibri" w:hAnsi="Calibri"/>
          <w:highlight w:val="yellow"/>
        </w:rPr>
        <w:t xml:space="preserve">  Surgery can take place within or outside of a fume hood.</w:t>
      </w:r>
      <w:r w:rsidR="002D0C0A" w:rsidRPr="003A3EEA">
        <w:rPr>
          <w:rFonts w:ascii="Calibri" w:hAnsi="Calibri"/>
          <w:highlight w:val="yellow"/>
        </w:rPr>
        <w:t xml:space="preserve">  </w:t>
      </w:r>
    </w:p>
    <w:p w14:paraId="4A857B6B" w14:textId="77777777" w:rsidR="009F16DA" w:rsidRPr="003A3EEA" w:rsidRDefault="009F16DA" w:rsidP="003A3EEA">
      <w:pPr>
        <w:rPr>
          <w:rFonts w:ascii="Calibri" w:hAnsi="Calibri" w:cs="Arial"/>
        </w:rPr>
      </w:pPr>
    </w:p>
    <w:p w14:paraId="3F93203D" w14:textId="00B009AF" w:rsidR="00EA3E0F" w:rsidRPr="003A3EEA" w:rsidRDefault="006A4B5A" w:rsidP="003A3EEA">
      <w:pPr>
        <w:pStyle w:val="ListParagraph"/>
        <w:numPr>
          <w:ilvl w:val="1"/>
          <w:numId w:val="9"/>
        </w:numPr>
        <w:ind w:left="0" w:firstLine="0"/>
        <w:rPr>
          <w:rFonts w:ascii="Calibri" w:hAnsi="Calibri" w:cs="Arial"/>
        </w:rPr>
      </w:pPr>
      <w:r w:rsidRPr="003A3EEA">
        <w:rPr>
          <w:rFonts w:ascii="Calibri" w:hAnsi="Calibri" w:cs="Arial"/>
        </w:rPr>
        <w:t>Induce a steady level of anesthesia</w:t>
      </w:r>
      <w:r w:rsidR="009F16DA" w:rsidRPr="003A3EEA">
        <w:rPr>
          <w:rFonts w:ascii="Calibri" w:hAnsi="Calibri" w:cs="Arial"/>
        </w:rPr>
        <w:t xml:space="preserve"> and prepare the rat for surgery. </w:t>
      </w:r>
    </w:p>
    <w:p w14:paraId="35739BF2" w14:textId="7F8E15C4" w:rsidR="00487707" w:rsidRPr="003A3EEA" w:rsidRDefault="00487707" w:rsidP="003A3EEA">
      <w:pPr>
        <w:pStyle w:val="ListParagraph"/>
        <w:numPr>
          <w:ilvl w:val="2"/>
          <w:numId w:val="12"/>
        </w:numPr>
        <w:ind w:left="0" w:firstLine="0"/>
        <w:rPr>
          <w:rFonts w:ascii="Calibri" w:hAnsi="Calibri" w:cs="Arial"/>
        </w:rPr>
      </w:pPr>
      <w:r w:rsidRPr="003A3EEA">
        <w:rPr>
          <w:rFonts w:ascii="Calibri" w:hAnsi="Calibri" w:cs="Arial"/>
        </w:rPr>
        <w:lastRenderedPageBreak/>
        <w:t xml:space="preserve">Place </w:t>
      </w:r>
      <w:r w:rsidR="00566752" w:rsidRPr="003A3EEA">
        <w:rPr>
          <w:rFonts w:ascii="Calibri" w:hAnsi="Calibri" w:cs="Arial"/>
        </w:rPr>
        <w:t xml:space="preserve">the </w:t>
      </w:r>
      <w:r w:rsidRPr="003A3EEA">
        <w:rPr>
          <w:rFonts w:ascii="Calibri" w:hAnsi="Calibri" w:cs="Arial"/>
        </w:rPr>
        <w:t>rat in</w:t>
      </w:r>
      <w:r w:rsidR="005A3D99" w:rsidRPr="003A3EEA">
        <w:rPr>
          <w:rFonts w:ascii="Calibri" w:hAnsi="Calibri" w:cs="Arial"/>
        </w:rPr>
        <w:t>to an</w:t>
      </w:r>
      <w:r w:rsidR="00956280" w:rsidRPr="003A3EEA">
        <w:rPr>
          <w:rFonts w:ascii="Calibri" w:hAnsi="Calibri" w:cs="Arial"/>
        </w:rPr>
        <w:t xml:space="preserve"> </w:t>
      </w:r>
      <w:r w:rsidRPr="003A3EEA">
        <w:rPr>
          <w:rFonts w:ascii="Calibri" w:hAnsi="Calibri" w:cs="Arial"/>
        </w:rPr>
        <w:t xml:space="preserve">induction chamber that contains a mixture of </w:t>
      </w:r>
      <w:r w:rsidR="00F3143F" w:rsidRPr="003A3EEA">
        <w:rPr>
          <w:rFonts w:ascii="Calibri" w:hAnsi="Calibri" w:cs="Arial"/>
        </w:rPr>
        <w:t>i</w:t>
      </w:r>
      <w:r w:rsidRPr="003A3EEA">
        <w:rPr>
          <w:rFonts w:ascii="Calibri" w:hAnsi="Calibri" w:cs="Arial"/>
        </w:rPr>
        <w:t>soflurane gas (3%) and oxygen (~1</w:t>
      </w:r>
      <w:r w:rsidR="00F3143F" w:rsidRPr="003A3EEA">
        <w:rPr>
          <w:rFonts w:ascii="Calibri" w:hAnsi="Calibri" w:cs="Arial"/>
        </w:rPr>
        <w:t xml:space="preserve"> </w:t>
      </w:r>
      <w:r w:rsidRPr="003A3EEA">
        <w:rPr>
          <w:rFonts w:ascii="Calibri" w:hAnsi="Calibri" w:cs="Arial"/>
        </w:rPr>
        <w:t>L/m</w:t>
      </w:r>
      <w:r w:rsidR="00566752" w:rsidRPr="003A3EEA">
        <w:rPr>
          <w:rFonts w:ascii="Calibri" w:hAnsi="Calibri" w:cs="Arial"/>
        </w:rPr>
        <w:t>in</w:t>
      </w:r>
      <w:r w:rsidRPr="003A3EEA">
        <w:rPr>
          <w:rFonts w:ascii="Calibri" w:hAnsi="Calibri" w:cs="Arial"/>
        </w:rPr>
        <w:t>) for 6 minutes.</w:t>
      </w:r>
      <w:r w:rsidR="006D3646" w:rsidRPr="003A3EEA">
        <w:rPr>
          <w:rFonts w:ascii="Calibri" w:hAnsi="Calibri" w:cs="Arial"/>
        </w:rPr>
        <w:t xml:space="preserve">  Maintain isoflurane anesthesia throughout the surgical procedure.</w:t>
      </w:r>
      <w:r w:rsidR="0091394B" w:rsidRPr="003A3EEA">
        <w:rPr>
          <w:rFonts w:ascii="Calibri" w:hAnsi="Calibri" w:cs="Arial"/>
        </w:rPr>
        <w:t xml:space="preserve"> </w:t>
      </w:r>
    </w:p>
    <w:p w14:paraId="1DBC89FC" w14:textId="77777777" w:rsidR="00487707" w:rsidRPr="003A3EEA" w:rsidRDefault="00487707" w:rsidP="003A3EEA">
      <w:pPr>
        <w:pStyle w:val="ListParagraph"/>
        <w:ind w:left="0"/>
        <w:rPr>
          <w:rFonts w:ascii="Calibri" w:hAnsi="Calibri" w:cs="Arial"/>
        </w:rPr>
      </w:pPr>
    </w:p>
    <w:p w14:paraId="4783893E" w14:textId="3148C425" w:rsidR="00487707" w:rsidRPr="003A3EEA" w:rsidRDefault="00487707" w:rsidP="003A3EEA">
      <w:pPr>
        <w:pStyle w:val="ListParagraph"/>
        <w:numPr>
          <w:ilvl w:val="2"/>
          <w:numId w:val="12"/>
        </w:numPr>
        <w:ind w:left="0" w:firstLine="0"/>
        <w:rPr>
          <w:rFonts w:ascii="Calibri" w:hAnsi="Calibri" w:cs="Arial"/>
        </w:rPr>
      </w:pPr>
      <w:r w:rsidRPr="003A3EEA">
        <w:rPr>
          <w:rFonts w:ascii="Calibri" w:hAnsi="Calibri" w:cs="Arial"/>
        </w:rPr>
        <w:t xml:space="preserve">After 6 min, shave </w:t>
      </w:r>
      <w:r w:rsidR="00566752" w:rsidRPr="003A3EEA">
        <w:rPr>
          <w:rFonts w:ascii="Calibri" w:hAnsi="Calibri" w:cs="Arial"/>
        </w:rPr>
        <w:t xml:space="preserve">the </w:t>
      </w:r>
      <w:r w:rsidRPr="003A3EEA">
        <w:rPr>
          <w:rFonts w:ascii="Calibri" w:hAnsi="Calibri" w:cs="Arial"/>
        </w:rPr>
        <w:t>rat from between the eyes to slightly behind the ears.</w:t>
      </w:r>
    </w:p>
    <w:p w14:paraId="2C18ABDE" w14:textId="77777777" w:rsidR="00487707" w:rsidRPr="003A3EEA" w:rsidRDefault="00487707" w:rsidP="003A3EEA">
      <w:pPr>
        <w:pStyle w:val="ListParagraph"/>
        <w:ind w:left="0"/>
        <w:rPr>
          <w:rFonts w:ascii="Calibri" w:hAnsi="Calibri" w:cs="Arial"/>
        </w:rPr>
      </w:pPr>
    </w:p>
    <w:p w14:paraId="3D40BCB5" w14:textId="4F998AD2" w:rsidR="00487707" w:rsidRPr="003A3EEA" w:rsidRDefault="00487707" w:rsidP="003A3EEA">
      <w:pPr>
        <w:pStyle w:val="ListParagraph"/>
        <w:numPr>
          <w:ilvl w:val="2"/>
          <w:numId w:val="12"/>
        </w:numPr>
        <w:ind w:left="0" w:firstLine="0"/>
        <w:rPr>
          <w:rFonts w:ascii="Calibri" w:hAnsi="Calibri" w:cs="Arial"/>
        </w:rPr>
      </w:pPr>
      <w:r w:rsidRPr="003A3EEA">
        <w:rPr>
          <w:rFonts w:ascii="Calibri" w:hAnsi="Calibri" w:cs="Arial"/>
        </w:rPr>
        <w:t>Place the rat back into the induction chamber for an additional 3 min.</w:t>
      </w:r>
    </w:p>
    <w:p w14:paraId="3B8E9CF8" w14:textId="77777777" w:rsidR="005A3D99" w:rsidRPr="003A3EEA" w:rsidRDefault="005A3D99" w:rsidP="003A3EEA">
      <w:pPr>
        <w:pStyle w:val="ListParagraph"/>
        <w:ind w:left="0"/>
        <w:rPr>
          <w:rFonts w:ascii="Calibri" w:hAnsi="Calibri" w:cs="Arial"/>
        </w:rPr>
      </w:pPr>
    </w:p>
    <w:p w14:paraId="2DA5B723" w14:textId="5B34A6FC" w:rsidR="005A3D99" w:rsidRPr="003A3EEA" w:rsidRDefault="005A3D99" w:rsidP="003A3EEA">
      <w:pPr>
        <w:pStyle w:val="ListParagraph"/>
        <w:numPr>
          <w:ilvl w:val="2"/>
          <w:numId w:val="12"/>
        </w:numPr>
        <w:ind w:left="0" w:firstLine="0"/>
        <w:rPr>
          <w:rFonts w:ascii="Calibri" w:hAnsi="Calibri" w:cs="Arial"/>
        </w:rPr>
      </w:pPr>
      <w:r w:rsidRPr="003A3EEA">
        <w:rPr>
          <w:rFonts w:ascii="Calibri" w:hAnsi="Calibri" w:cs="Arial"/>
        </w:rPr>
        <w:t xml:space="preserve">Ensure that the </w:t>
      </w:r>
      <w:r w:rsidR="00BC1B43" w:rsidRPr="003A3EEA">
        <w:rPr>
          <w:rFonts w:ascii="Calibri" w:hAnsi="Calibri" w:cs="Arial"/>
        </w:rPr>
        <w:t>isoflurane</w:t>
      </w:r>
      <w:r w:rsidRPr="003A3EEA">
        <w:rPr>
          <w:rFonts w:ascii="Calibri" w:hAnsi="Calibri" w:cs="Arial"/>
        </w:rPr>
        <w:t xml:space="preserve"> anesthesia system is connected to the nose cone of the stereotaxic surgery.</w:t>
      </w:r>
      <w:r w:rsidR="0091394B" w:rsidRPr="003A3EEA">
        <w:rPr>
          <w:rFonts w:ascii="Calibri" w:hAnsi="Calibri" w:cs="Arial"/>
        </w:rPr>
        <w:t xml:space="preserve"> </w:t>
      </w:r>
      <w:r w:rsidRPr="003A3EEA">
        <w:rPr>
          <w:rFonts w:ascii="Calibri" w:hAnsi="Calibri" w:cs="Arial"/>
        </w:rPr>
        <w:t xml:space="preserve">Open the stopcock on the </w:t>
      </w:r>
      <w:r w:rsidR="00BC1B43" w:rsidRPr="003A3EEA">
        <w:rPr>
          <w:rFonts w:ascii="Calibri" w:hAnsi="Calibri" w:cs="Arial"/>
        </w:rPr>
        <w:t>isoflurane</w:t>
      </w:r>
      <w:r w:rsidRPr="003A3EEA">
        <w:rPr>
          <w:rFonts w:ascii="Calibri" w:hAnsi="Calibri" w:cs="Arial"/>
        </w:rPr>
        <w:t xml:space="preserve"> tubing to begin the flow of </w:t>
      </w:r>
      <w:r w:rsidR="00BC1B43" w:rsidRPr="003A3EEA">
        <w:rPr>
          <w:rFonts w:ascii="Calibri" w:hAnsi="Calibri" w:cs="Arial"/>
        </w:rPr>
        <w:t>isoflurane</w:t>
      </w:r>
      <w:r w:rsidRPr="003A3EEA">
        <w:rPr>
          <w:rFonts w:ascii="Calibri" w:hAnsi="Calibri" w:cs="Arial"/>
        </w:rPr>
        <w:t xml:space="preserve"> to the stereotax.</w:t>
      </w:r>
      <w:r w:rsidR="0091394B" w:rsidRPr="003A3EEA">
        <w:rPr>
          <w:rFonts w:ascii="Calibri" w:hAnsi="Calibri" w:cs="Arial"/>
        </w:rPr>
        <w:t xml:space="preserve"> </w:t>
      </w:r>
      <w:r w:rsidR="009735AA" w:rsidRPr="003A3EEA">
        <w:rPr>
          <w:rFonts w:ascii="Calibri" w:hAnsi="Calibri" w:cs="Arial"/>
        </w:rPr>
        <w:t xml:space="preserve">Maintain the </w:t>
      </w:r>
      <w:r w:rsidR="00BC1B43" w:rsidRPr="003A3EEA">
        <w:rPr>
          <w:rFonts w:ascii="Calibri" w:hAnsi="Calibri" w:cs="Arial"/>
        </w:rPr>
        <w:t>isoflurane</w:t>
      </w:r>
      <w:r w:rsidR="000E6E83" w:rsidRPr="003A3EEA">
        <w:rPr>
          <w:rFonts w:ascii="Calibri" w:hAnsi="Calibri" w:cs="Arial"/>
        </w:rPr>
        <w:t xml:space="preserve"> and oxygen at the levels</w:t>
      </w:r>
      <w:r w:rsidR="009735AA" w:rsidRPr="003A3EEA">
        <w:rPr>
          <w:rFonts w:ascii="Calibri" w:hAnsi="Calibri" w:cs="Arial"/>
        </w:rPr>
        <w:t xml:space="preserve"> specified above.</w:t>
      </w:r>
    </w:p>
    <w:p w14:paraId="1FFBF874" w14:textId="77777777" w:rsidR="006A4B5A" w:rsidRPr="003A3EEA" w:rsidRDefault="006A4B5A" w:rsidP="003A3EEA">
      <w:pPr>
        <w:pStyle w:val="ListParagraph"/>
        <w:ind w:left="0"/>
        <w:rPr>
          <w:rFonts w:ascii="Calibri" w:hAnsi="Calibri"/>
        </w:rPr>
      </w:pPr>
    </w:p>
    <w:p w14:paraId="1618719B" w14:textId="00C3260E" w:rsidR="006A4B5A" w:rsidRPr="003A3EEA" w:rsidRDefault="00F34966" w:rsidP="003A3EEA">
      <w:pPr>
        <w:pStyle w:val="ListParagraph"/>
        <w:numPr>
          <w:ilvl w:val="2"/>
          <w:numId w:val="12"/>
        </w:numPr>
        <w:ind w:left="0" w:firstLine="0"/>
        <w:rPr>
          <w:rFonts w:ascii="Calibri" w:hAnsi="Calibri"/>
          <w:highlight w:val="yellow"/>
        </w:rPr>
      </w:pPr>
      <w:r w:rsidRPr="003A3EEA">
        <w:rPr>
          <w:rFonts w:ascii="Calibri" w:hAnsi="Calibri"/>
          <w:highlight w:val="yellow"/>
        </w:rPr>
        <w:t>Place</w:t>
      </w:r>
      <w:r w:rsidR="006A4B5A" w:rsidRPr="003A3EEA">
        <w:rPr>
          <w:rFonts w:ascii="Calibri" w:hAnsi="Calibri"/>
          <w:highlight w:val="yellow"/>
        </w:rPr>
        <w:t xml:space="preserve"> </w:t>
      </w:r>
      <w:r w:rsidR="00EA35F0" w:rsidRPr="003A3EEA">
        <w:rPr>
          <w:rFonts w:ascii="Calibri" w:hAnsi="Calibri"/>
          <w:highlight w:val="yellow"/>
        </w:rPr>
        <w:t xml:space="preserve">the </w:t>
      </w:r>
      <w:r w:rsidR="006A4B5A" w:rsidRPr="003A3EEA">
        <w:rPr>
          <w:rFonts w:ascii="Calibri" w:hAnsi="Calibri"/>
          <w:highlight w:val="yellow"/>
        </w:rPr>
        <w:t xml:space="preserve">rat in </w:t>
      </w:r>
      <w:r w:rsidR="00EA35F0" w:rsidRPr="003A3EEA">
        <w:rPr>
          <w:rFonts w:ascii="Calibri" w:hAnsi="Calibri"/>
          <w:highlight w:val="yellow"/>
        </w:rPr>
        <w:t xml:space="preserve">a </w:t>
      </w:r>
      <w:r w:rsidR="006A4B5A" w:rsidRPr="003A3EEA">
        <w:rPr>
          <w:rFonts w:ascii="Calibri" w:hAnsi="Calibri"/>
          <w:highlight w:val="yellow"/>
        </w:rPr>
        <w:t>stereotaxic apparatu</w:t>
      </w:r>
      <w:r w:rsidR="005A3D99" w:rsidRPr="003A3EEA">
        <w:rPr>
          <w:rFonts w:ascii="Calibri" w:hAnsi="Calibri"/>
          <w:highlight w:val="yellow"/>
        </w:rPr>
        <w:t xml:space="preserve">s </w:t>
      </w:r>
      <w:r w:rsidR="00A62ED2" w:rsidRPr="003A3EEA">
        <w:rPr>
          <w:rFonts w:ascii="Calibri" w:hAnsi="Calibri"/>
          <w:highlight w:val="yellow"/>
        </w:rPr>
        <w:t>by securing the mouth onto the bite bar and securing the ear bars.</w:t>
      </w:r>
      <w:r w:rsidR="0091394B" w:rsidRPr="003A3EEA">
        <w:rPr>
          <w:rFonts w:ascii="Calibri" w:hAnsi="Calibri"/>
          <w:highlight w:val="yellow"/>
        </w:rPr>
        <w:t xml:space="preserve"> </w:t>
      </w:r>
    </w:p>
    <w:p w14:paraId="5A1CE98B" w14:textId="77777777" w:rsidR="00483B19" w:rsidRPr="003A3EEA" w:rsidRDefault="00483B19" w:rsidP="003A3EEA">
      <w:pPr>
        <w:rPr>
          <w:rFonts w:ascii="Calibri" w:hAnsi="Calibri"/>
        </w:rPr>
      </w:pPr>
    </w:p>
    <w:p w14:paraId="47EE3422" w14:textId="6509D52A" w:rsidR="00483B19" w:rsidRPr="003A3EEA" w:rsidRDefault="00F34966" w:rsidP="003A3EEA">
      <w:pPr>
        <w:pStyle w:val="ListParagraph"/>
        <w:numPr>
          <w:ilvl w:val="2"/>
          <w:numId w:val="12"/>
        </w:numPr>
        <w:ind w:left="0" w:firstLine="0"/>
        <w:rPr>
          <w:rFonts w:ascii="Calibri" w:hAnsi="Calibri" w:cs="Arial"/>
        </w:rPr>
      </w:pPr>
      <w:r w:rsidRPr="003A3EEA">
        <w:rPr>
          <w:rFonts w:ascii="Calibri" w:hAnsi="Calibri"/>
        </w:rPr>
        <w:t>Apply</w:t>
      </w:r>
      <w:r w:rsidR="006A4B5A" w:rsidRPr="003A3EEA">
        <w:rPr>
          <w:rFonts w:ascii="Calibri" w:hAnsi="Calibri"/>
        </w:rPr>
        <w:t xml:space="preserve"> eye lubricant to the eyes and betadine to the surgical site.</w:t>
      </w:r>
    </w:p>
    <w:p w14:paraId="0F43A4F7" w14:textId="77777777" w:rsidR="00DA6282" w:rsidRPr="003A3EEA" w:rsidRDefault="00DA6282" w:rsidP="003A3EEA">
      <w:pPr>
        <w:rPr>
          <w:rFonts w:ascii="Calibri" w:hAnsi="Calibri"/>
          <w:b/>
        </w:rPr>
      </w:pPr>
    </w:p>
    <w:p w14:paraId="73900523" w14:textId="0DF6F9ED" w:rsidR="0005631C" w:rsidRPr="003A3EEA" w:rsidRDefault="00FD743F" w:rsidP="003A3EEA">
      <w:pPr>
        <w:pStyle w:val="ListParagraph"/>
        <w:numPr>
          <w:ilvl w:val="1"/>
          <w:numId w:val="12"/>
        </w:numPr>
        <w:ind w:left="0" w:firstLine="0"/>
        <w:rPr>
          <w:rFonts w:ascii="Calibri" w:hAnsi="Calibri"/>
          <w:highlight w:val="yellow"/>
        </w:rPr>
      </w:pPr>
      <w:r w:rsidRPr="003A3EEA">
        <w:rPr>
          <w:rFonts w:ascii="Calibri" w:hAnsi="Calibri"/>
          <w:highlight w:val="yellow"/>
        </w:rPr>
        <w:t>Make a</w:t>
      </w:r>
      <w:r w:rsidR="00487707" w:rsidRPr="003A3EEA">
        <w:rPr>
          <w:rFonts w:ascii="Calibri" w:hAnsi="Calibri"/>
          <w:highlight w:val="yellow"/>
        </w:rPr>
        <w:t xml:space="preserve"> 2.4 cm </w:t>
      </w:r>
      <w:r w:rsidR="009F6F1F" w:rsidRPr="003A3EEA">
        <w:rPr>
          <w:rFonts w:ascii="Calibri" w:hAnsi="Calibri"/>
          <w:highlight w:val="yellow"/>
        </w:rPr>
        <w:t xml:space="preserve">midline </w:t>
      </w:r>
      <w:r w:rsidRPr="003A3EEA">
        <w:rPr>
          <w:rFonts w:ascii="Calibri" w:hAnsi="Calibri"/>
          <w:highlight w:val="yellow"/>
        </w:rPr>
        <w:t xml:space="preserve">incision of </w:t>
      </w:r>
      <w:r w:rsidR="0005631C" w:rsidRPr="003A3EEA">
        <w:rPr>
          <w:rFonts w:ascii="Calibri" w:hAnsi="Calibri"/>
          <w:highlight w:val="yellow"/>
        </w:rPr>
        <w:t>the skin on the dorsal surface of the skull</w:t>
      </w:r>
      <w:r w:rsidR="00487707" w:rsidRPr="003A3EEA">
        <w:rPr>
          <w:rFonts w:ascii="Calibri" w:hAnsi="Calibri"/>
          <w:highlight w:val="yellow"/>
        </w:rPr>
        <w:t xml:space="preserve"> starting </w:t>
      </w:r>
      <w:r w:rsidR="00BF79BD" w:rsidRPr="003A3EEA">
        <w:rPr>
          <w:rFonts w:ascii="Calibri" w:hAnsi="Calibri"/>
          <w:highlight w:val="yellow"/>
        </w:rPr>
        <w:t xml:space="preserve">approximately 2 mm </w:t>
      </w:r>
      <w:r w:rsidR="00487707" w:rsidRPr="003A3EEA">
        <w:rPr>
          <w:rFonts w:ascii="Calibri" w:hAnsi="Calibri"/>
          <w:highlight w:val="yellow"/>
        </w:rPr>
        <w:t>caudal to the eye</w:t>
      </w:r>
      <w:r w:rsidR="00BF79BD" w:rsidRPr="003A3EEA">
        <w:rPr>
          <w:rFonts w:ascii="Calibri" w:hAnsi="Calibri"/>
          <w:highlight w:val="yellow"/>
        </w:rPr>
        <w:t>s.</w:t>
      </w:r>
      <w:r w:rsidR="0091394B" w:rsidRPr="003A3EEA">
        <w:rPr>
          <w:rFonts w:ascii="Calibri" w:hAnsi="Calibri"/>
          <w:highlight w:val="yellow"/>
        </w:rPr>
        <w:t xml:space="preserve"> </w:t>
      </w:r>
      <w:r w:rsidR="00BF79BD" w:rsidRPr="003A3EEA">
        <w:rPr>
          <w:rFonts w:ascii="Calibri" w:hAnsi="Calibri"/>
          <w:highlight w:val="yellow"/>
        </w:rPr>
        <w:t>R</w:t>
      </w:r>
      <w:r w:rsidR="0005631C" w:rsidRPr="003A3EEA">
        <w:rPr>
          <w:rFonts w:ascii="Calibri" w:hAnsi="Calibri"/>
          <w:highlight w:val="yellow"/>
        </w:rPr>
        <w:t>e</w:t>
      </w:r>
      <w:r w:rsidR="006D3646" w:rsidRPr="003A3EEA">
        <w:rPr>
          <w:rFonts w:ascii="Calibri" w:hAnsi="Calibri"/>
          <w:highlight w:val="yellow"/>
        </w:rPr>
        <w:t>tr</w:t>
      </w:r>
      <w:r w:rsidR="0005631C" w:rsidRPr="003A3EEA">
        <w:rPr>
          <w:rFonts w:ascii="Calibri" w:hAnsi="Calibri"/>
          <w:highlight w:val="yellow"/>
        </w:rPr>
        <w:t>act the skin to expose the skull</w:t>
      </w:r>
      <w:r w:rsidR="00852E41" w:rsidRPr="003A3EEA">
        <w:rPr>
          <w:rFonts w:ascii="Calibri" w:hAnsi="Calibri"/>
          <w:highlight w:val="yellow"/>
        </w:rPr>
        <w:t>.</w:t>
      </w:r>
      <w:r w:rsidR="0091394B" w:rsidRPr="003A3EEA">
        <w:rPr>
          <w:rFonts w:ascii="Calibri" w:hAnsi="Calibri"/>
          <w:highlight w:val="yellow"/>
        </w:rPr>
        <w:t xml:space="preserve"> </w:t>
      </w:r>
    </w:p>
    <w:p w14:paraId="4314C2B3" w14:textId="77777777" w:rsidR="0005631C" w:rsidRPr="003A3EEA" w:rsidRDefault="0005631C" w:rsidP="003A3EEA">
      <w:pPr>
        <w:pStyle w:val="ListParagraph"/>
        <w:ind w:left="0"/>
        <w:rPr>
          <w:rFonts w:ascii="Calibri" w:hAnsi="Calibri"/>
          <w:highlight w:val="yellow"/>
        </w:rPr>
      </w:pPr>
    </w:p>
    <w:p w14:paraId="35A62DE9" w14:textId="4DD01548" w:rsidR="00EF308A" w:rsidRPr="003A3EEA" w:rsidRDefault="00DA653B" w:rsidP="003A3EEA">
      <w:pPr>
        <w:pStyle w:val="ListParagraph"/>
        <w:numPr>
          <w:ilvl w:val="1"/>
          <w:numId w:val="12"/>
        </w:numPr>
        <w:ind w:left="0" w:firstLine="0"/>
        <w:rPr>
          <w:rFonts w:ascii="Calibri" w:hAnsi="Calibri"/>
        </w:rPr>
      </w:pPr>
      <w:r w:rsidRPr="003A3EEA">
        <w:rPr>
          <w:rFonts w:ascii="Calibri" w:hAnsi="Calibri"/>
          <w:highlight w:val="yellow"/>
        </w:rPr>
        <w:t>Clear</w:t>
      </w:r>
      <w:r w:rsidR="0005631C" w:rsidRPr="003A3EEA">
        <w:rPr>
          <w:rFonts w:ascii="Calibri" w:hAnsi="Calibri"/>
          <w:highlight w:val="yellow"/>
        </w:rPr>
        <w:t xml:space="preserve"> membranous tissue from the skull</w:t>
      </w:r>
      <w:r w:rsidR="00487707" w:rsidRPr="003A3EEA">
        <w:rPr>
          <w:rFonts w:ascii="Calibri" w:hAnsi="Calibri"/>
          <w:highlight w:val="yellow"/>
        </w:rPr>
        <w:t xml:space="preserve"> until bregma and lambda are clearly visible.</w:t>
      </w:r>
    </w:p>
    <w:p w14:paraId="7BA2ED22" w14:textId="77777777" w:rsidR="00EF308A" w:rsidRPr="003A3EEA" w:rsidRDefault="00EF308A" w:rsidP="003A3EEA">
      <w:pPr>
        <w:rPr>
          <w:rFonts w:ascii="Calibri" w:hAnsi="Calibri"/>
        </w:rPr>
      </w:pPr>
    </w:p>
    <w:p w14:paraId="2566ACEB" w14:textId="722E26F4" w:rsidR="00EF308A" w:rsidRPr="003A3EEA" w:rsidRDefault="0005631C" w:rsidP="003A3EEA">
      <w:pPr>
        <w:pStyle w:val="ListParagraph"/>
        <w:numPr>
          <w:ilvl w:val="1"/>
          <w:numId w:val="12"/>
        </w:numPr>
        <w:ind w:left="0" w:firstLine="0"/>
        <w:rPr>
          <w:rFonts w:ascii="Calibri" w:hAnsi="Calibri" w:cs="Arial"/>
        </w:rPr>
      </w:pPr>
      <w:r w:rsidRPr="003A3EEA">
        <w:rPr>
          <w:rFonts w:ascii="Calibri" w:hAnsi="Calibri" w:cs="Arial"/>
        </w:rPr>
        <w:t>Ensure that the skull is l</w:t>
      </w:r>
      <w:r w:rsidR="00EF308A" w:rsidRPr="003A3EEA">
        <w:rPr>
          <w:rFonts w:ascii="Calibri" w:hAnsi="Calibri" w:cs="Arial"/>
        </w:rPr>
        <w:t xml:space="preserve">evel </w:t>
      </w:r>
      <w:r w:rsidR="00DA653B" w:rsidRPr="003A3EEA">
        <w:rPr>
          <w:rFonts w:ascii="Calibri" w:hAnsi="Calibri" w:cs="Arial"/>
        </w:rPr>
        <w:t>by measuring the dorsal-ventral</w:t>
      </w:r>
      <w:r w:rsidRPr="003A3EEA">
        <w:rPr>
          <w:rFonts w:ascii="Calibri" w:hAnsi="Calibri" w:cs="Arial"/>
        </w:rPr>
        <w:t xml:space="preserve"> coordinates at bregma and </w:t>
      </w:r>
      <w:r w:rsidR="00DA653B" w:rsidRPr="003A3EEA">
        <w:rPr>
          <w:rFonts w:ascii="Calibri" w:hAnsi="Calibri" w:cs="Arial"/>
        </w:rPr>
        <w:t xml:space="preserve">at </w:t>
      </w:r>
      <w:r w:rsidRPr="003A3EEA">
        <w:rPr>
          <w:rFonts w:ascii="Calibri" w:hAnsi="Calibri" w:cs="Arial"/>
        </w:rPr>
        <w:t>lambda.</w:t>
      </w:r>
      <w:r w:rsidR="004D3C57" w:rsidRPr="003A3EEA">
        <w:rPr>
          <w:rFonts w:ascii="Calibri" w:hAnsi="Calibri" w:cs="Arial"/>
        </w:rPr>
        <w:t xml:space="preserve"> </w:t>
      </w:r>
      <w:r w:rsidR="00EF308A" w:rsidRPr="003A3EEA">
        <w:rPr>
          <w:rFonts w:ascii="Calibri" w:hAnsi="Calibri" w:cs="Arial"/>
        </w:rPr>
        <w:t xml:space="preserve">Adjust </w:t>
      </w:r>
      <w:r w:rsidR="00DA653B" w:rsidRPr="003A3EEA">
        <w:rPr>
          <w:rFonts w:ascii="Calibri" w:hAnsi="Calibri" w:cs="Arial"/>
        </w:rPr>
        <w:t xml:space="preserve">the </w:t>
      </w:r>
      <w:r w:rsidR="00EF308A" w:rsidRPr="003A3EEA">
        <w:rPr>
          <w:rFonts w:ascii="Calibri" w:hAnsi="Calibri" w:cs="Arial"/>
        </w:rPr>
        <w:t>stereotaxic device a</w:t>
      </w:r>
      <w:r w:rsidRPr="003A3EEA">
        <w:rPr>
          <w:rFonts w:ascii="Calibri" w:hAnsi="Calibri" w:cs="Arial"/>
        </w:rPr>
        <w:t>ccord</w:t>
      </w:r>
      <w:r w:rsidR="00DA653B" w:rsidRPr="003A3EEA">
        <w:rPr>
          <w:rFonts w:ascii="Calibri" w:hAnsi="Calibri" w:cs="Arial"/>
        </w:rPr>
        <w:t>ingly until dorsal-ventral coordinates at bregma and lambda</w:t>
      </w:r>
      <w:r w:rsidRPr="003A3EEA">
        <w:rPr>
          <w:rFonts w:ascii="Calibri" w:hAnsi="Calibri" w:cs="Arial"/>
        </w:rPr>
        <w:t xml:space="preserve"> differ by no more than 0.04</w:t>
      </w:r>
      <w:r w:rsidR="00D520A5" w:rsidRPr="003A3EEA">
        <w:rPr>
          <w:rFonts w:ascii="Calibri" w:hAnsi="Calibri" w:cs="Arial"/>
        </w:rPr>
        <w:t xml:space="preserve"> </w:t>
      </w:r>
      <w:r w:rsidRPr="003A3EEA">
        <w:rPr>
          <w:rFonts w:ascii="Calibri" w:hAnsi="Calibri" w:cs="Arial"/>
        </w:rPr>
        <w:t>mm.</w:t>
      </w:r>
    </w:p>
    <w:p w14:paraId="20EAD33B" w14:textId="77777777" w:rsidR="009735AA" w:rsidRPr="003A3EEA" w:rsidRDefault="009735AA" w:rsidP="003A3EEA">
      <w:pPr>
        <w:rPr>
          <w:rFonts w:ascii="Calibri" w:hAnsi="Calibri" w:cs="Arial"/>
        </w:rPr>
      </w:pPr>
    </w:p>
    <w:p w14:paraId="5C115B5D" w14:textId="56DEAD8C" w:rsidR="009735AA" w:rsidRPr="003A3EEA" w:rsidRDefault="009735AA" w:rsidP="003A3EEA">
      <w:pPr>
        <w:pStyle w:val="ListParagraph"/>
        <w:numPr>
          <w:ilvl w:val="1"/>
          <w:numId w:val="12"/>
        </w:numPr>
        <w:ind w:left="0" w:firstLine="0"/>
        <w:rPr>
          <w:rFonts w:ascii="Calibri" w:hAnsi="Calibri" w:cs="Arial"/>
        </w:rPr>
      </w:pPr>
      <w:r w:rsidRPr="003A3EEA">
        <w:rPr>
          <w:rFonts w:ascii="Calibri" w:hAnsi="Calibri" w:cs="Arial"/>
        </w:rPr>
        <w:t xml:space="preserve">At this time, reduce the </w:t>
      </w:r>
      <w:r w:rsidR="00BC1B43" w:rsidRPr="003A3EEA">
        <w:rPr>
          <w:rFonts w:ascii="Calibri" w:hAnsi="Calibri" w:cs="Arial"/>
        </w:rPr>
        <w:t>isoflurane</w:t>
      </w:r>
      <w:r w:rsidRPr="003A3EEA">
        <w:rPr>
          <w:rFonts w:ascii="Calibri" w:hAnsi="Calibri" w:cs="Arial"/>
        </w:rPr>
        <w:t xml:space="preserve"> gas to between 2 and 2.5%.</w:t>
      </w:r>
    </w:p>
    <w:p w14:paraId="4817DAB7" w14:textId="77777777" w:rsidR="00EF308A" w:rsidRPr="003A3EEA" w:rsidRDefault="00EF308A" w:rsidP="003A3EEA">
      <w:pPr>
        <w:rPr>
          <w:rFonts w:ascii="Calibri" w:hAnsi="Calibri"/>
        </w:rPr>
      </w:pPr>
    </w:p>
    <w:p w14:paraId="0BE8C387" w14:textId="68D2C1E8" w:rsidR="00EF308A" w:rsidRPr="003A3EEA" w:rsidRDefault="0005631C" w:rsidP="003A3EEA">
      <w:pPr>
        <w:pStyle w:val="ListParagraph"/>
        <w:numPr>
          <w:ilvl w:val="1"/>
          <w:numId w:val="12"/>
        </w:numPr>
        <w:ind w:left="0" w:firstLine="0"/>
        <w:rPr>
          <w:rFonts w:ascii="Calibri" w:hAnsi="Calibri"/>
          <w:highlight w:val="yellow"/>
        </w:rPr>
      </w:pPr>
      <w:r w:rsidRPr="003A3EEA">
        <w:rPr>
          <w:rFonts w:ascii="Calibri" w:hAnsi="Calibri"/>
          <w:highlight w:val="yellow"/>
        </w:rPr>
        <w:t>Return</w:t>
      </w:r>
      <w:r w:rsidR="007B4185" w:rsidRPr="003A3EEA">
        <w:rPr>
          <w:rFonts w:ascii="Calibri" w:hAnsi="Calibri"/>
          <w:highlight w:val="yellow"/>
        </w:rPr>
        <w:t xml:space="preserve"> the drill </w:t>
      </w:r>
      <w:r w:rsidR="00EF308A" w:rsidRPr="003A3EEA">
        <w:rPr>
          <w:rFonts w:ascii="Calibri" w:hAnsi="Calibri"/>
          <w:highlight w:val="yellow"/>
        </w:rPr>
        <w:t>to bregma</w:t>
      </w:r>
      <w:r w:rsidRPr="003A3EEA">
        <w:rPr>
          <w:rFonts w:ascii="Calibri" w:hAnsi="Calibri"/>
          <w:highlight w:val="yellow"/>
        </w:rPr>
        <w:t>,</w:t>
      </w:r>
      <w:r w:rsidR="007B4185" w:rsidRPr="003A3EEA">
        <w:rPr>
          <w:rFonts w:ascii="Calibri" w:hAnsi="Calibri"/>
          <w:highlight w:val="yellow"/>
        </w:rPr>
        <w:t xml:space="preserve"> rezero the coordinates and then move the drill</w:t>
      </w:r>
      <w:r w:rsidRPr="003A3EEA">
        <w:rPr>
          <w:rFonts w:ascii="Calibri" w:hAnsi="Calibri"/>
          <w:highlight w:val="yellow"/>
        </w:rPr>
        <w:t xml:space="preserve"> to the </w:t>
      </w:r>
      <w:r w:rsidR="00764CEC" w:rsidRPr="003A3EEA">
        <w:rPr>
          <w:rFonts w:ascii="Calibri" w:hAnsi="Calibri"/>
          <w:highlight w:val="yellow"/>
        </w:rPr>
        <w:t xml:space="preserve">desired </w:t>
      </w:r>
      <w:r w:rsidR="00DA653B" w:rsidRPr="003A3EEA">
        <w:rPr>
          <w:rFonts w:ascii="Calibri" w:hAnsi="Calibri"/>
          <w:highlight w:val="yellow"/>
        </w:rPr>
        <w:t>medial-lateral and anterior-posterior coordinate</w:t>
      </w:r>
      <w:r w:rsidR="007B4185" w:rsidRPr="003A3EEA">
        <w:rPr>
          <w:rFonts w:ascii="Calibri" w:hAnsi="Calibri"/>
          <w:highlight w:val="yellow"/>
        </w:rPr>
        <w:t>.</w:t>
      </w:r>
    </w:p>
    <w:p w14:paraId="0BC98A21" w14:textId="77777777" w:rsidR="00EF308A" w:rsidRPr="003A3EEA" w:rsidRDefault="00EF308A" w:rsidP="003A3EEA">
      <w:pPr>
        <w:pStyle w:val="ListParagraph"/>
        <w:ind w:left="0"/>
        <w:rPr>
          <w:rFonts w:ascii="Calibri" w:hAnsi="Calibri"/>
          <w:highlight w:val="yellow"/>
        </w:rPr>
      </w:pPr>
    </w:p>
    <w:p w14:paraId="40F22E14" w14:textId="37B4B365" w:rsidR="00EF308A" w:rsidRPr="003A3EEA" w:rsidRDefault="00764CEC" w:rsidP="003A3EEA">
      <w:pPr>
        <w:pStyle w:val="ListParagraph"/>
        <w:numPr>
          <w:ilvl w:val="1"/>
          <w:numId w:val="12"/>
        </w:numPr>
        <w:ind w:left="0" w:firstLine="0"/>
        <w:rPr>
          <w:rFonts w:ascii="Calibri" w:hAnsi="Calibri"/>
        </w:rPr>
      </w:pPr>
      <w:r w:rsidRPr="003A3EEA">
        <w:rPr>
          <w:rFonts w:ascii="Calibri" w:hAnsi="Calibri"/>
          <w:highlight w:val="yellow"/>
        </w:rPr>
        <w:t>D</w:t>
      </w:r>
      <w:r w:rsidR="00EF308A" w:rsidRPr="003A3EEA">
        <w:rPr>
          <w:rFonts w:ascii="Calibri" w:hAnsi="Calibri"/>
          <w:highlight w:val="yellow"/>
        </w:rPr>
        <w:t>rill a h</w:t>
      </w:r>
      <w:r w:rsidR="00DA653B" w:rsidRPr="003A3EEA">
        <w:rPr>
          <w:rFonts w:ascii="Calibri" w:hAnsi="Calibri"/>
          <w:highlight w:val="yellow"/>
        </w:rPr>
        <w:t>ole at the</w:t>
      </w:r>
      <w:r w:rsidR="00FD743F" w:rsidRPr="003A3EEA">
        <w:rPr>
          <w:rFonts w:ascii="Calibri" w:hAnsi="Calibri"/>
          <w:highlight w:val="yellow"/>
        </w:rPr>
        <w:t xml:space="preserve"> coordinate</w:t>
      </w:r>
      <w:r w:rsidR="00F3143F" w:rsidRPr="003A3EEA">
        <w:rPr>
          <w:rFonts w:ascii="Calibri" w:hAnsi="Calibri"/>
          <w:highlight w:val="yellow"/>
        </w:rPr>
        <w:t xml:space="preserve"> </w:t>
      </w:r>
      <w:r w:rsidR="004566C1" w:rsidRPr="003A3EEA">
        <w:rPr>
          <w:rFonts w:ascii="Calibri" w:hAnsi="Calibri"/>
          <w:highlight w:val="yellow"/>
        </w:rPr>
        <w:t>using</w:t>
      </w:r>
      <w:r w:rsidR="00F3143F" w:rsidRPr="003A3EEA">
        <w:rPr>
          <w:rFonts w:ascii="Calibri" w:hAnsi="Calibri"/>
          <w:highlight w:val="yellow"/>
        </w:rPr>
        <w:t xml:space="preserve"> a</w:t>
      </w:r>
      <w:r w:rsidRPr="003A3EEA">
        <w:rPr>
          <w:rFonts w:ascii="Calibri" w:hAnsi="Calibri"/>
          <w:highlight w:val="yellow"/>
        </w:rPr>
        <w:t xml:space="preserve"> 0.</w:t>
      </w:r>
      <w:r w:rsidR="002C308C" w:rsidRPr="003A3EEA">
        <w:rPr>
          <w:rFonts w:ascii="Calibri" w:hAnsi="Calibri"/>
          <w:highlight w:val="yellow"/>
        </w:rPr>
        <w:t>9</w:t>
      </w:r>
      <w:r w:rsidRPr="003A3EEA">
        <w:rPr>
          <w:rFonts w:ascii="Calibri" w:hAnsi="Calibri"/>
          <w:highlight w:val="yellow"/>
        </w:rPr>
        <w:t xml:space="preserve"> mm drill bit</w:t>
      </w:r>
      <w:r w:rsidRPr="003A3EEA">
        <w:rPr>
          <w:rFonts w:ascii="Calibri" w:hAnsi="Calibri"/>
        </w:rPr>
        <w:t xml:space="preserve"> </w:t>
      </w:r>
      <w:r w:rsidR="00F3143F" w:rsidRPr="003A3EEA">
        <w:rPr>
          <w:rFonts w:ascii="Calibri" w:hAnsi="Calibri"/>
        </w:rPr>
        <w:t>as it prod</w:t>
      </w:r>
      <w:r w:rsidR="009E652C" w:rsidRPr="003A3EEA">
        <w:rPr>
          <w:rFonts w:ascii="Calibri" w:hAnsi="Calibri"/>
        </w:rPr>
        <w:t>uces</w:t>
      </w:r>
      <w:r w:rsidR="007B4185" w:rsidRPr="003A3EEA">
        <w:rPr>
          <w:rFonts w:ascii="Calibri" w:hAnsi="Calibri"/>
        </w:rPr>
        <w:t xml:space="preserve"> an appropriate </w:t>
      </w:r>
      <w:r w:rsidR="009E652C" w:rsidRPr="003A3EEA">
        <w:rPr>
          <w:rFonts w:ascii="Calibri" w:hAnsi="Calibri"/>
        </w:rPr>
        <w:t>size</w:t>
      </w:r>
      <w:r w:rsidRPr="003A3EEA">
        <w:rPr>
          <w:rFonts w:ascii="Calibri" w:hAnsi="Calibri"/>
        </w:rPr>
        <w:t xml:space="preserve"> hole for </w:t>
      </w:r>
      <w:r w:rsidR="007B4185" w:rsidRPr="003A3EEA">
        <w:rPr>
          <w:rFonts w:ascii="Calibri" w:hAnsi="Calibri"/>
        </w:rPr>
        <w:t xml:space="preserve">a </w:t>
      </w:r>
      <w:r w:rsidRPr="003A3EEA">
        <w:rPr>
          <w:rFonts w:ascii="Calibri" w:hAnsi="Calibri"/>
        </w:rPr>
        <w:t>28-gauge infusion syringe.</w:t>
      </w:r>
    </w:p>
    <w:p w14:paraId="53E3EC28" w14:textId="77777777" w:rsidR="009E652C" w:rsidRPr="003A3EEA" w:rsidRDefault="009E652C" w:rsidP="003A3EEA">
      <w:pPr>
        <w:pStyle w:val="ListParagraph"/>
        <w:ind w:left="0"/>
        <w:rPr>
          <w:rFonts w:ascii="Calibri" w:hAnsi="Calibri"/>
          <w:highlight w:val="yellow"/>
        </w:rPr>
      </w:pPr>
    </w:p>
    <w:p w14:paraId="032CB583" w14:textId="1C5912E1" w:rsidR="00444017" w:rsidRPr="003A3EEA" w:rsidRDefault="00F34966" w:rsidP="003A3EEA">
      <w:pPr>
        <w:pStyle w:val="ListParagraph"/>
        <w:numPr>
          <w:ilvl w:val="1"/>
          <w:numId w:val="12"/>
        </w:numPr>
        <w:ind w:left="0" w:firstLine="0"/>
        <w:rPr>
          <w:rFonts w:ascii="Calibri" w:hAnsi="Calibri"/>
        </w:rPr>
      </w:pPr>
      <w:r w:rsidRPr="003A3EEA">
        <w:rPr>
          <w:rFonts w:ascii="Calibri" w:hAnsi="Calibri"/>
          <w:highlight w:val="yellow"/>
        </w:rPr>
        <w:t>Set</w:t>
      </w:r>
      <w:r w:rsidR="009E652C" w:rsidRPr="003A3EEA">
        <w:rPr>
          <w:rFonts w:ascii="Calibri" w:hAnsi="Calibri"/>
          <w:highlight w:val="yellow"/>
        </w:rPr>
        <w:t xml:space="preserve"> the infusion pump to d</w:t>
      </w:r>
      <w:r w:rsidR="0062672C" w:rsidRPr="003A3EEA">
        <w:rPr>
          <w:rFonts w:ascii="Calibri" w:hAnsi="Calibri"/>
          <w:highlight w:val="yellow"/>
        </w:rPr>
        <w:t xml:space="preserve">eliver </w:t>
      </w:r>
      <w:r w:rsidR="009E652C" w:rsidRPr="003A3EEA">
        <w:rPr>
          <w:rFonts w:ascii="Calibri" w:hAnsi="Calibri"/>
          <w:highlight w:val="yellow"/>
        </w:rPr>
        <w:t xml:space="preserve">virus </w:t>
      </w:r>
      <w:r w:rsidR="0062672C" w:rsidRPr="003A3EEA">
        <w:rPr>
          <w:rFonts w:ascii="Calibri" w:hAnsi="Calibri"/>
          <w:highlight w:val="yellow"/>
        </w:rPr>
        <w:t>at a rate of 0.2</w:t>
      </w:r>
      <w:r w:rsidR="009E652C" w:rsidRPr="003A3EEA">
        <w:rPr>
          <w:rFonts w:ascii="Calibri" w:hAnsi="Calibri"/>
          <w:highlight w:val="yellow"/>
        </w:rPr>
        <w:t xml:space="preserve"> </w:t>
      </w:r>
      <w:r w:rsidR="00272024" w:rsidRPr="003A3EEA">
        <w:rPr>
          <w:rFonts w:ascii="Calibri" w:hAnsi="Calibri"/>
          <w:highlight w:val="yellow"/>
        </w:rPr>
        <w:t>μL</w:t>
      </w:r>
      <w:r w:rsidR="009E652C" w:rsidRPr="003A3EEA">
        <w:rPr>
          <w:rFonts w:ascii="Calibri" w:hAnsi="Calibri"/>
          <w:highlight w:val="yellow"/>
        </w:rPr>
        <w:t>/min</w:t>
      </w:r>
      <w:r w:rsidR="0062672C" w:rsidRPr="003A3EEA">
        <w:rPr>
          <w:rFonts w:ascii="Calibri" w:hAnsi="Calibri"/>
          <w:highlight w:val="yellow"/>
        </w:rPr>
        <w:t>.</w:t>
      </w:r>
      <w:r w:rsidR="004D3C57" w:rsidRPr="003A3EEA">
        <w:rPr>
          <w:rFonts w:ascii="Calibri" w:hAnsi="Calibri"/>
          <w:highlight w:val="yellow"/>
        </w:rPr>
        <w:t xml:space="preserve"> </w:t>
      </w:r>
      <w:r w:rsidR="009E652C" w:rsidRPr="003A3EEA">
        <w:rPr>
          <w:rFonts w:ascii="Calibri" w:hAnsi="Calibri"/>
          <w:highlight w:val="yellow"/>
        </w:rPr>
        <w:t>Place the syringe into the infusion arm of the stereotaxic device and lower the syringe into the desired coordinate.</w:t>
      </w:r>
      <w:r w:rsidR="0091394B" w:rsidRPr="003A3EEA">
        <w:rPr>
          <w:rFonts w:ascii="Calibri" w:hAnsi="Calibri"/>
          <w:highlight w:val="yellow"/>
        </w:rPr>
        <w:t xml:space="preserve"> </w:t>
      </w:r>
      <w:r w:rsidR="009735AA" w:rsidRPr="003A3EEA">
        <w:rPr>
          <w:rFonts w:ascii="Calibri" w:hAnsi="Calibri"/>
          <w:highlight w:val="yellow"/>
        </w:rPr>
        <w:t xml:space="preserve">Deliver the desired amount of virus (range 0.1 to 0.8 </w:t>
      </w:r>
      <w:r w:rsidR="00272024" w:rsidRPr="003A3EEA">
        <w:rPr>
          <w:rFonts w:ascii="Calibri" w:hAnsi="Calibri"/>
          <w:highlight w:val="yellow"/>
        </w:rPr>
        <w:t>μL</w:t>
      </w:r>
      <w:r w:rsidR="009F6F1F" w:rsidRPr="003A3EEA">
        <w:rPr>
          <w:rFonts w:ascii="Calibri" w:hAnsi="Calibri"/>
          <w:highlight w:val="yellow"/>
        </w:rPr>
        <w:t>).</w:t>
      </w:r>
      <w:r w:rsidR="0091394B" w:rsidRPr="003A3EEA">
        <w:rPr>
          <w:rFonts w:ascii="Calibri" w:hAnsi="Calibri"/>
          <w:highlight w:val="yellow"/>
        </w:rPr>
        <w:t xml:space="preserve"> </w:t>
      </w:r>
      <w:r w:rsidR="009F6F1F" w:rsidRPr="003A3EEA">
        <w:rPr>
          <w:rFonts w:ascii="Calibri" w:hAnsi="Calibri"/>
        </w:rPr>
        <w:t>For example,</w:t>
      </w:r>
      <w:r w:rsidR="009735AA" w:rsidRPr="003A3EEA">
        <w:rPr>
          <w:rFonts w:ascii="Calibri" w:hAnsi="Calibri"/>
        </w:rPr>
        <w:t xml:space="preserve"> </w:t>
      </w:r>
      <w:r w:rsidR="009F6F1F" w:rsidRPr="003A3EEA">
        <w:rPr>
          <w:rFonts w:ascii="Calibri" w:hAnsi="Calibri"/>
        </w:rPr>
        <w:t xml:space="preserve">deliver </w:t>
      </w:r>
      <w:r w:rsidR="009735AA" w:rsidRPr="003A3EEA">
        <w:rPr>
          <w:rFonts w:ascii="Calibri" w:hAnsi="Calibri"/>
        </w:rPr>
        <w:t xml:space="preserve">0.8 </w:t>
      </w:r>
      <w:r w:rsidR="00272024" w:rsidRPr="003A3EEA">
        <w:rPr>
          <w:rFonts w:ascii="Calibri" w:hAnsi="Calibri"/>
        </w:rPr>
        <w:t>μL</w:t>
      </w:r>
      <w:r w:rsidR="009735AA" w:rsidRPr="003A3EEA">
        <w:rPr>
          <w:rFonts w:ascii="Calibri" w:hAnsi="Calibri"/>
        </w:rPr>
        <w:t xml:space="preserve"> </w:t>
      </w:r>
      <w:r w:rsidR="009F6F1F" w:rsidRPr="003A3EEA">
        <w:rPr>
          <w:rFonts w:ascii="Calibri" w:hAnsi="Calibri"/>
        </w:rPr>
        <w:t xml:space="preserve">of AAV </w:t>
      </w:r>
      <w:r w:rsidR="009735AA" w:rsidRPr="003A3EEA">
        <w:rPr>
          <w:rFonts w:ascii="Calibri" w:hAnsi="Calibri"/>
        </w:rPr>
        <w:t>over 4 min.</w:t>
      </w:r>
      <w:r w:rsidR="006D3646" w:rsidRPr="003A3EEA">
        <w:rPr>
          <w:rFonts w:ascii="Calibri" w:hAnsi="Calibri"/>
        </w:rPr>
        <w:t xml:space="preserve">  Note:  conduct pilot studies to determine the ideal infusion volume and th</w:t>
      </w:r>
      <w:r w:rsidR="00851C8C" w:rsidRPr="003A3EEA">
        <w:rPr>
          <w:rFonts w:ascii="Calibri" w:hAnsi="Calibri"/>
        </w:rPr>
        <w:t xml:space="preserve">e typical </w:t>
      </w:r>
      <w:r w:rsidR="006D3646" w:rsidRPr="003A3EEA">
        <w:rPr>
          <w:rFonts w:ascii="Calibri" w:hAnsi="Calibri"/>
        </w:rPr>
        <w:t>spread of virus in each region of interest.</w:t>
      </w:r>
    </w:p>
    <w:p w14:paraId="7B67654E" w14:textId="77777777" w:rsidR="00F20D46" w:rsidRPr="003A3EEA" w:rsidRDefault="00F20D46" w:rsidP="003A3EEA">
      <w:pPr>
        <w:pStyle w:val="ListParagraph"/>
        <w:ind w:left="0"/>
        <w:rPr>
          <w:rFonts w:ascii="Calibri" w:hAnsi="Calibri"/>
          <w:highlight w:val="yellow"/>
        </w:rPr>
      </w:pPr>
    </w:p>
    <w:p w14:paraId="4DF66695" w14:textId="2036149C" w:rsidR="00F20D46" w:rsidRPr="003A3EEA" w:rsidRDefault="009E652C" w:rsidP="003A3EEA">
      <w:pPr>
        <w:pStyle w:val="ListParagraph"/>
        <w:numPr>
          <w:ilvl w:val="2"/>
          <w:numId w:val="12"/>
        </w:numPr>
        <w:ind w:left="0" w:firstLine="0"/>
        <w:rPr>
          <w:rFonts w:ascii="Calibri" w:hAnsi="Calibri"/>
          <w:highlight w:val="yellow"/>
        </w:rPr>
      </w:pPr>
      <w:r w:rsidRPr="003A3EEA">
        <w:rPr>
          <w:rFonts w:ascii="Calibri" w:hAnsi="Calibri"/>
          <w:highlight w:val="yellow"/>
        </w:rPr>
        <w:t>After the delivery of virus is complete l</w:t>
      </w:r>
      <w:r w:rsidR="00F20D46" w:rsidRPr="003A3EEA">
        <w:rPr>
          <w:rFonts w:ascii="Calibri" w:hAnsi="Calibri"/>
          <w:highlight w:val="yellow"/>
        </w:rPr>
        <w:t>eave the syringe in place for 10 min to prevent</w:t>
      </w:r>
      <w:r w:rsidR="00852E41" w:rsidRPr="003A3EEA">
        <w:rPr>
          <w:rFonts w:ascii="Calibri" w:hAnsi="Calibri"/>
          <w:highlight w:val="yellow"/>
        </w:rPr>
        <w:t xml:space="preserve"> backflow into the needle tract.</w:t>
      </w:r>
      <w:r w:rsidR="00F3143F" w:rsidRPr="003A3EEA">
        <w:rPr>
          <w:rFonts w:ascii="Calibri" w:hAnsi="Calibri"/>
          <w:highlight w:val="yellow"/>
        </w:rPr>
        <w:t xml:space="preserve"> </w:t>
      </w:r>
      <w:r w:rsidR="00F20D46" w:rsidRPr="003A3EEA">
        <w:rPr>
          <w:rFonts w:ascii="Calibri" w:hAnsi="Calibri"/>
          <w:highlight w:val="yellow"/>
        </w:rPr>
        <w:t>Slowly raise the syringe</w:t>
      </w:r>
      <w:r w:rsidR="00764CEC" w:rsidRPr="003A3EEA">
        <w:rPr>
          <w:rFonts w:ascii="Calibri" w:hAnsi="Calibri"/>
          <w:highlight w:val="yellow"/>
        </w:rPr>
        <w:t xml:space="preserve"> at a rate of about </w:t>
      </w:r>
      <w:r w:rsidR="004566C1" w:rsidRPr="003A3EEA">
        <w:rPr>
          <w:rFonts w:ascii="Calibri" w:hAnsi="Calibri"/>
          <w:highlight w:val="yellow"/>
        </w:rPr>
        <w:t>5</w:t>
      </w:r>
      <w:r w:rsidR="00764CEC" w:rsidRPr="003A3EEA">
        <w:rPr>
          <w:rFonts w:ascii="Calibri" w:hAnsi="Calibri"/>
          <w:highlight w:val="yellow"/>
        </w:rPr>
        <w:t xml:space="preserve"> mm/min</w:t>
      </w:r>
      <w:r w:rsidR="00F20D46" w:rsidRPr="003A3EEA">
        <w:rPr>
          <w:rFonts w:ascii="Calibri" w:hAnsi="Calibri"/>
          <w:highlight w:val="yellow"/>
        </w:rPr>
        <w:t>.</w:t>
      </w:r>
      <w:r w:rsidR="004D3C57" w:rsidRPr="003A3EEA">
        <w:rPr>
          <w:rFonts w:ascii="Calibri" w:hAnsi="Calibri"/>
          <w:highlight w:val="yellow"/>
        </w:rPr>
        <w:t xml:space="preserve"> </w:t>
      </w:r>
      <w:r w:rsidR="00F20D46" w:rsidRPr="003A3EEA">
        <w:rPr>
          <w:rFonts w:ascii="Calibri" w:hAnsi="Calibri"/>
          <w:highlight w:val="yellow"/>
        </w:rPr>
        <w:t>Repeat until all coordinates have been infused with AAV.</w:t>
      </w:r>
    </w:p>
    <w:p w14:paraId="1740F9C9" w14:textId="77777777" w:rsidR="008C73B4" w:rsidRPr="003A3EEA" w:rsidRDefault="008C73B4" w:rsidP="003A3EEA">
      <w:pPr>
        <w:rPr>
          <w:rFonts w:ascii="Calibri" w:hAnsi="Calibri"/>
          <w:highlight w:val="yellow"/>
        </w:rPr>
      </w:pPr>
    </w:p>
    <w:p w14:paraId="07DB8408" w14:textId="55C17A77" w:rsidR="008C73B4" w:rsidRPr="003A3EEA" w:rsidRDefault="008C73B4" w:rsidP="003A3EEA">
      <w:pPr>
        <w:pStyle w:val="ListParagraph"/>
        <w:numPr>
          <w:ilvl w:val="1"/>
          <w:numId w:val="12"/>
        </w:numPr>
        <w:ind w:left="0" w:firstLine="0"/>
        <w:rPr>
          <w:rFonts w:ascii="Calibri" w:hAnsi="Calibri" w:cs="Arial"/>
        </w:rPr>
      </w:pPr>
      <w:r w:rsidRPr="003A3EEA">
        <w:rPr>
          <w:rFonts w:ascii="Calibri" w:hAnsi="Calibri" w:cs="Arial"/>
        </w:rPr>
        <w:lastRenderedPageBreak/>
        <w:t>Close the wound using surgical staples</w:t>
      </w:r>
      <w:r w:rsidR="009E652C" w:rsidRPr="003A3EEA">
        <w:rPr>
          <w:rFonts w:ascii="Calibri" w:hAnsi="Calibri" w:cs="Arial"/>
        </w:rPr>
        <w:t xml:space="preserve"> and coat the wound with </w:t>
      </w:r>
      <w:r w:rsidR="006D3646" w:rsidRPr="003A3EEA">
        <w:rPr>
          <w:rFonts w:ascii="Calibri" w:hAnsi="Calibri" w:cs="Arial"/>
        </w:rPr>
        <w:t xml:space="preserve">topical </w:t>
      </w:r>
      <w:r w:rsidR="009E652C" w:rsidRPr="003A3EEA">
        <w:rPr>
          <w:rFonts w:ascii="Calibri" w:hAnsi="Calibri" w:cs="Arial"/>
        </w:rPr>
        <w:t>antibiotic ointment.</w:t>
      </w:r>
      <w:r w:rsidR="0062672C" w:rsidRPr="003A3EEA">
        <w:rPr>
          <w:rFonts w:ascii="Calibri" w:hAnsi="Calibri" w:cs="Arial"/>
        </w:rPr>
        <w:t xml:space="preserve"> </w:t>
      </w:r>
    </w:p>
    <w:p w14:paraId="553A0DDE" w14:textId="77777777" w:rsidR="009F1F51" w:rsidRPr="003A3EEA" w:rsidRDefault="009F1F51" w:rsidP="003A3EEA">
      <w:pPr>
        <w:pStyle w:val="ListParagraph"/>
        <w:ind w:left="0"/>
        <w:rPr>
          <w:rFonts w:ascii="Calibri" w:hAnsi="Calibri" w:cs="Arial"/>
        </w:rPr>
      </w:pPr>
    </w:p>
    <w:p w14:paraId="2E6382E7" w14:textId="1C2D884F" w:rsidR="009E652C" w:rsidRPr="003A3EEA" w:rsidRDefault="00F34966" w:rsidP="003A3EEA">
      <w:pPr>
        <w:pStyle w:val="ListParagraph"/>
        <w:numPr>
          <w:ilvl w:val="1"/>
          <w:numId w:val="12"/>
        </w:numPr>
        <w:ind w:left="0" w:firstLine="0"/>
        <w:rPr>
          <w:rFonts w:ascii="Calibri" w:hAnsi="Calibri" w:cs="Arial"/>
        </w:rPr>
      </w:pPr>
      <w:r w:rsidRPr="003A3EEA">
        <w:rPr>
          <w:rFonts w:ascii="Calibri" w:hAnsi="Calibri" w:cs="Arial"/>
        </w:rPr>
        <w:t>Follow</w:t>
      </w:r>
      <w:r w:rsidR="009E652C" w:rsidRPr="003A3EEA">
        <w:rPr>
          <w:rFonts w:ascii="Calibri" w:hAnsi="Calibri" w:cs="Arial"/>
        </w:rPr>
        <w:t xml:space="preserve"> institutional guidelines for post-operative pain management.</w:t>
      </w:r>
    </w:p>
    <w:p w14:paraId="7FACE5F2" w14:textId="77777777" w:rsidR="009E652C" w:rsidRPr="003A3EEA" w:rsidRDefault="009E652C" w:rsidP="003A3EEA">
      <w:pPr>
        <w:rPr>
          <w:rFonts w:ascii="Calibri" w:hAnsi="Calibri"/>
        </w:rPr>
      </w:pPr>
    </w:p>
    <w:p w14:paraId="4732F773" w14:textId="350A42A2" w:rsidR="005429C7" w:rsidRPr="003A3EEA" w:rsidRDefault="005429C7" w:rsidP="003A3EEA">
      <w:pPr>
        <w:pStyle w:val="ListParagraph"/>
        <w:numPr>
          <w:ilvl w:val="1"/>
          <w:numId w:val="12"/>
        </w:numPr>
        <w:ind w:left="0" w:firstLine="0"/>
        <w:rPr>
          <w:rFonts w:ascii="Calibri" w:hAnsi="Calibri"/>
          <w:highlight w:val="yellow"/>
        </w:rPr>
      </w:pPr>
      <w:r w:rsidRPr="003A3EEA">
        <w:rPr>
          <w:rFonts w:ascii="Calibri" w:hAnsi="Calibri"/>
          <w:highlight w:val="yellow"/>
        </w:rPr>
        <w:t>Place the rat in a cage with bedding</w:t>
      </w:r>
      <w:r w:rsidR="00764CEC" w:rsidRPr="003A3EEA">
        <w:rPr>
          <w:rFonts w:ascii="Calibri" w:hAnsi="Calibri"/>
          <w:highlight w:val="yellow"/>
        </w:rPr>
        <w:t xml:space="preserve">, </w:t>
      </w:r>
      <w:r w:rsidRPr="003A3EEA">
        <w:rPr>
          <w:rFonts w:ascii="Calibri" w:hAnsi="Calibri"/>
          <w:highlight w:val="yellow"/>
        </w:rPr>
        <w:t xml:space="preserve">a lid and </w:t>
      </w:r>
      <w:r w:rsidR="00764CEC" w:rsidRPr="003A3EEA">
        <w:rPr>
          <w:rFonts w:ascii="Calibri" w:hAnsi="Calibri"/>
          <w:highlight w:val="yellow"/>
        </w:rPr>
        <w:t xml:space="preserve">proper signage and </w:t>
      </w:r>
      <w:r w:rsidRPr="003A3EEA">
        <w:rPr>
          <w:rFonts w:ascii="Calibri" w:hAnsi="Calibri"/>
          <w:highlight w:val="yellow"/>
        </w:rPr>
        <w:t xml:space="preserve">return the rat to </w:t>
      </w:r>
      <w:r w:rsidR="009E652C" w:rsidRPr="003A3EEA">
        <w:rPr>
          <w:rFonts w:ascii="Calibri" w:hAnsi="Calibri"/>
          <w:highlight w:val="yellow"/>
        </w:rPr>
        <w:t xml:space="preserve">the </w:t>
      </w:r>
      <w:r w:rsidRPr="003A3EEA">
        <w:rPr>
          <w:rFonts w:ascii="Calibri" w:hAnsi="Calibri"/>
          <w:highlight w:val="yellow"/>
        </w:rPr>
        <w:t>animal facility.</w:t>
      </w:r>
    </w:p>
    <w:p w14:paraId="1A0BA634" w14:textId="77777777" w:rsidR="005429C7" w:rsidRPr="003A3EEA" w:rsidRDefault="005429C7" w:rsidP="003A3EEA">
      <w:pPr>
        <w:pStyle w:val="ListParagraph"/>
        <w:ind w:left="0"/>
        <w:rPr>
          <w:rFonts w:ascii="Calibri" w:hAnsi="Calibri"/>
          <w:highlight w:val="yellow"/>
        </w:rPr>
      </w:pPr>
    </w:p>
    <w:p w14:paraId="22622659" w14:textId="15606505" w:rsidR="00F34966" w:rsidRPr="003A3EEA" w:rsidRDefault="0035781A" w:rsidP="003A3EEA">
      <w:pPr>
        <w:pStyle w:val="ListParagraph"/>
        <w:numPr>
          <w:ilvl w:val="2"/>
          <w:numId w:val="12"/>
        </w:numPr>
        <w:ind w:left="0" w:firstLine="0"/>
        <w:rPr>
          <w:rFonts w:ascii="Calibri" w:hAnsi="Calibri"/>
          <w:highlight w:val="yellow"/>
        </w:rPr>
      </w:pPr>
      <w:r w:rsidRPr="003A3EEA">
        <w:rPr>
          <w:rFonts w:ascii="Calibri" w:hAnsi="Calibri"/>
          <w:highlight w:val="yellow"/>
        </w:rPr>
        <w:t>If working under BSL-2 precautions, c</w:t>
      </w:r>
      <w:r w:rsidR="00881769" w:rsidRPr="003A3EEA">
        <w:rPr>
          <w:rFonts w:ascii="Calibri" w:hAnsi="Calibri"/>
          <w:highlight w:val="yellow"/>
        </w:rPr>
        <w:t xml:space="preserve">ollect </w:t>
      </w:r>
      <w:r w:rsidR="005429C7" w:rsidRPr="003A3EEA">
        <w:rPr>
          <w:rFonts w:ascii="Calibri" w:hAnsi="Calibri"/>
          <w:highlight w:val="yellow"/>
        </w:rPr>
        <w:t xml:space="preserve">bedding </w:t>
      </w:r>
      <w:r w:rsidR="00881769" w:rsidRPr="003A3EEA">
        <w:rPr>
          <w:rFonts w:ascii="Calibri" w:hAnsi="Calibri"/>
          <w:highlight w:val="yellow"/>
        </w:rPr>
        <w:t xml:space="preserve">for the </w:t>
      </w:r>
      <w:r w:rsidR="004566C1" w:rsidRPr="003A3EEA">
        <w:rPr>
          <w:rFonts w:ascii="Calibri" w:hAnsi="Calibri"/>
          <w:highlight w:val="yellow"/>
        </w:rPr>
        <w:t>amount of time</w:t>
      </w:r>
      <w:r w:rsidR="00881769" w:rsidRPr="003A3EEA">
        <w:rPr>
          <w:rFonts w:ascii="Calibri" w:hAnsi="Calibri"/>
          <w:highlight w:val="yellow"/>
        </w:rPr>
        <w:t xml:space="preserve"> (typically 48 – 72</w:t>
      </w:r>
      <w:r w:rsidR="00272024" w:rsidRPr="003A3EEA">
        <w:rPr>
          <w:rFonts w:ascii="Calibri" w:hAnsi="Calibri"/>
          <w:highlight w:val="yellow"/>
        </w:rPr>
        <w:t xml:space="preserve"> h</w:t>
      </w:r>
      <w:r w:rsidR="00881769" w:rsidRPr="003A3EEA">
        <w:rPr>
          <w:rFonts w:ascii="Calibri" w:hAnsi="Calibri"/>
          <w:highlight w:val="yellow"/>
        </w:rPr>
        <w:t>) specified by institutional guidelines.  Place bedding</w:t>
      </w:r>
      <w:r w:rsidR="009E652C" w:rsidRPr="003A3EEA">
        <w:rPr>
          <w:rFonts w:ascii="Calibri" w:hAnsi="Calibri"/>
          <w:highlight w:val="yellow"/>
        </w:rPr>
        <w:t xml:space="preserve"> into a biohazard waste containe</w:t>
      </w:r>
      <w:r w:rsidR="00881769" w:rsidRPr="003A3EEA">
        <w:rPr>
          <w:rFonts w:ascii="Calibri" w:hAnsi="Calibri"/>
          <w:highlight w:val="yellow"/>
        </w:rPr>
        <w:t>r.</w:t>
      </w:r>
      <w:r w:rsidR="009E652C" w:rsidRPr="003A3EEA">
        <w:rPr>
          <w:rFonts w:ascii="Calibri" w:hAnsi="Calibri"/>
          <w:highlight w:val="yellow"/>
        </w:rPr>
        <w:t xml:space="preserve"> </w:t>
      </w:r>
    </w:p>
    <w:p w14:paraId="7A3FFC7C" w14:textId="77777777" w:rsidR="00F34966" w:rsidRPr="003A3EEA" w:rsidRDefault="00F34966" w:rsidP="003A3EEA">
      <w:pPr>
        <w:rPr>
          <w:rFonts w:ascii="Calibri" w:hAnsi="Calibri"/>
        </w:rPr>
      </w:pPr>
    </w:p>
    <w:p w14:paraId="28367D08" w14:textId="66ACF2ED" w:rsidR="009E652C" w:rsidRPr="003A3EEA" w:rsidRDefault="009E652C" w:rsidP="003A3EEA">
      <w:pPr>
        <w:pStyle w:val="ListParagraph"/>
        <w:numPr>
          <w:ilvl w:val="2"/>
          <w:numId w:val="12"/>
        </w:numPr>
        <w:ind w:left="0" w:firstLine="0"/>
        <w:rPr>
          <w:rFonts w:ascii="Calibri" w:hAnsi="Calibri" w:cs="Arial"/>
        </w:rPr>
      </w:pPr>
      <w:r w:rsidRPr="003A3EEA">
        <w:rPr>
          <w:rFonts w:ascii="Calibri" w:hAnsi="Calibri" w:cs="Arial"/>
        </w:rPr>
        <w:t>Dispose of all AAV-contaminated materials as specified by guidelines for the</w:t>
      </w:r>
      <w:r w:rsidR="00881769" w:rsidRPr="003A3EEA">
        <w:rPr>
          <w:rFonts w:ascii="Calibri" w:hAnsi="Calibri" w:cs="Arial"/>
        </w:rPr>
        <w:t>ir</w:t>
      </w:r>
      <w:r w:rsidRPr="003A3EEA">
        <w:rPr>
          <w:rFonts w:ascii="Calibri" w:hAnsi="Calibri" w:cs="Arial"/>
        </w:rPr>
        <w:t xml:space="preserve"> safe disposal.</w:t>
      </w:r>
    </w:p>
    <w:p w14:paraId="1D73BF16" w14:textId="77777777" w:rsidR="007A2F81" w:rsidRPr="003A3EEA" w:rsidRDefault="007A2F81" w:rsidP="003A3EEA">
      <w:pPr>
        <w:rPr>
          <w:rFonts w:ascii="Calibri" w:hAnsi="Calibri" w:cs="Arial"/>
          <w:b/>
        </w:rPr>
      </w:pPr>
    </w:p>
    <w:p w14:paraId="5B0C6A19" w14:textId="69C8B278" w:rsidR="007A0F5F" w:rsidRPr="003A3EEA" w:rsidRDefault="00DB04D6" w:rsidP="003A3EEA">
      <w:pPr>
        <w:pStyle w:val="ListParagraph"/>
        <w:ind w:left="0"/>
        <w:rPr>
          <w:rFonts w:ascii="Calibri" w:hAnsi="Calibri" w:cs="Arial"/>
          <w:b/>
        </w:rPr>
      </w:pPr>
      <w:r w:rsidRPr="003A3EEA">
        <w:rPr>
          <w:rFonts w:ascii="Calibri" w:hAnsi="Calibri" w:cs="Arial"/>
          <w:b/>
        </w:rPr>
        <w:t xml:space="preserve">3. </w:t>
      </w:r>
      <w:r w:rsidRPr="003A3EEA">
        <w:rPr>
          <w:rFonts w:ascii="Calibri" w:hAnsi="Calibri" w:cs="Arial"/>
          <w:b/>
        </w:rPr>
        <w:tab/>
      </w:r>
      <w:r w:rsidR="007A0F5F" w:rsidRPr="003A3EEA">
        <w:rPr>
          <w:rFonts w:ascii="Calibri" w:hAnsi="Calibri" w:cs="Arial"/>
          <w:b/>
        </w:rPr>
        <w:t xml:space="preserve">Behavioral Apparatus </w:t>
      </w:r>
    </w:p>
    <w:p w14:paraId="064F318E" w14:textId="77777777" w:rsidR="007A0F5F" w:rsidRPr="003A3EEA" w:rsidRDefault="007A0F5F" w:rsidP="003A3EEA">
      <w:pPr>
        <w:rPr>
          <w:rFonts w:ascii="Calibri" w:hAnsi="Calibri"/>
        </w:rPr>
      </w:pPr>
    </w:p>
    <w:p w14:paraId="272CBA5A" w14:textId="088DDF9E" w:rsidR="007A0F5F" w:rsidRPr="003A3EEA" w:rsidRDefault="00D520A5" w:rsidP="003A3EEA">
      <w:pPr>
        <w:pStyle w:val="ListParagraph"/>
        <w:ind w:left="0"/>
        <w:rPr>
          <w:rFonts w:ascii="Calibri" w:hAnsi="Calibri"/>
        </w:rPr>
      </w:pPr>
      <w:r w:rsidRPr="003A3EEA">
        <w:rPr>
          <w:rFonts w:ascii="Calibri" w:hAnsi="Calibri"/>
        </w:rPr>
        <w:t xml:space="preserve">Note: </w:t>
      </w:r>
      <w:r w:rsidR="007A0F5F" w:rsidRPr="003A3EEA">
        <w:rPr>
          <w:rFonts w:ascii="Calibri" w:hAnsi="Calibri"/>
        </w:rPr>
        <w:t xml:space="preserve">The </w:t>
      </w:r>
      <w:r w:rsidR="00F34966" w:rsidRPr="003A3EEA">
        <w:rPr>
          <w:rFonts w:ascii="Calibri" w:hAnsi="Calibri"/>
        </w:rPr>
        <w:t>s</w:t>
      </w:r>
      <w:r w:rsidR="007A0F5F" w:rsidRPr="003A3EEA">
        <w:rPr>
          <w:rFonts w:ascii="Calibri" w:hAnsi="Calibri"/>
        </w:rPr>
        <w:t xml:space="preserve">ensory </w:t>
      </w:r>
      <w:r w:rsidR="00F34966" w:rsidRPr="003A3EEA">
        <w:rPr>
          <w:rFonts w:ascii="Calibri" w:hAnsi="Calibri"/>
        </w:rPr>
        <w:t>p</w:t>
      </w:r>
      <w:r w:rsidR="007A0F5F" w:rsidRPr="003A3EEA">
        <w:rPr>
          <w:rFonts w:ascii="Calibri" w:hAnsi="Calibri"/>
        </w:rPr>
        <w:t>reconditioning apparatus consists of a standard operant conditioning chamber (12”</w:t>
      </w:r>
      <w:r w:rsidR="003A3EEA" w:rsidRPr="003A3EEA">
        <w:rPr>
          <w:rFonts w:ascii="Calibri" w:hAnsi="Calibri"/>
        </w:rPr>
        <w:t xml:space="preserve"> </w:t>
      </w:r>
      <w:r w:rsidR="007A0F5F" w:rsidRPr="003A3EEA">
        <w:rPr>
          <w:rFonts w:ascii="Calibri" w:hAnsi="Calibri"/>
        </w:rPr>
        <w:t>L x 9.5”</w:t>
      </w:r>
      <w:r w:rsidR="003A3EEA" w:rsidRPr="003A3EEA">
        <w:rPr>
          <w:rFonts w:ascii="Calibri" w:hAnsi="Calibri"/>
        </w:rPr>
        <w:t xml:space="preserve"> </w:t>
      </w:r>
      <w:r w:rsidR="007A0F5F" w:rsidRPr="003A3EEA">
        <w:rPr>
          <w:rFonts w:ascii="Calibri" w:hAnsi="Calibri"/>
        </w:rPr>
        <w:t>W x 11.5”</w:t>
      </w:r>
      <w:r w:rsidR="003A3EEA" w:rsidRPr="003A3EEA">
        <w:rPr>
          <w:rFonts w:ascii="Calibri" w:hAnsi="Calibri"/>
        </w:rPr>
        <w:t xml:space="preserve"> </w:t>
      </w:r>
      <w:r w:rsidR="007A0F5F" w:rsidRPr="003A3EEA">
        <w:rPr>
          <w:rFonts w:ascii="Calibri" w:hAnsi="Calibri"/>
        </w:rPr>
        <w:t xml:space="preserve">H) with a stainless steel grid </w:t>
      </w:r>
      <w:r w:rsidR="009E652C" w:rsidRPr="003A3EEA">
        <w:rPr>
          <w:rFonts w:ascii="Calibri" w:hAnsi="Calibri"/>
        </w:rPr>
        <w:t>floor</w:t>
      </w:r>
      <w:r w:rsidR="004566C1" w:rsidRPr="003A3EEA">
        <w:rPr>
          <w:rFonts w:ascii="Calibri" w:hAnsi="Calibri"/>
        </w:rPr>
        <w:t xml:space="preserve">, </w:t>
      </w:r>
      <w:r w:rsidR="006D3646" w:rsidRPr="003A3EEA">
        <w:rPr>
          <w:rFonts w:ascii="Calibri" w:hAnsi="Calibri"/>
        </w:rPr>
        <w:t xml:space="preserve">2 </w:t>
      </w:r>
      <w:r w:rsidR="009E652C" w:rsidRPr="003A3EEA">
        <w:rPr>
          <w:rFonts w:ascii="Calibri" w:hAnsi="Calibri"/>
        </w:rPr>
        <w:t>Plexiglas sidewalls</w:t>
      </w:r>
      <w:r w:rsidR="006D3646" w:rsidRPr="003A3EEA">
        <w:rPr>
          <w:rFonts w:ascii="Calibri" w:hAnsi="Calibri"/>
        </w:rPr>
        <w:t xml:space="preserve"> and 2 metal walls.</w:t>
      </w:r>
    </w:p>
    <w:p w14:paraId="79F5D726" w14:textId="77777777" w:rsidR="007A0F5F" w:rsidRPr="003A3EEA" w:rsidRDefault="007A0F5F" w:rsidP="003A3EEA">
      <w:pPr>
        <w:rPr>
          <w:rFonts w:ascii="Calibri" w:hAnsi="Calibri"/>
        </w:rPr>
      </w:pPr>
    </w:p>
    <w:p w14:paraId="6D6DDEF9" w14:textId="5E246465" w:rsidR="007A0F5F" w:rsidRPr="003A3EEA" w:rsidRDefault="005E5CFD" w:rsidP="003A3EEA">
      <w:pPr>
        <w:rPr>
          <w:rFonts w:ascii="Calibri" w:hAnsi="Calibri" w:cs="Arial"/>
        </w:rPr>
      </w:pPr>
      <w:r w:rsidRPr="003A3EEA">
        <w:rPr>
          <w:rFonts w:ascii="Calibri" w:hAnsi="Calibri" w:cs="Arial"/>
        </w:rPr>
        <w:t>3.1</w:t>
      </w:r>
      <w:r w:rsidR="0091394B" w:rsidRPr="003A3EEA">
        <w:rPr>
          <w:rFonts w:ascii="Calibri" w:hAnsi="Calibri" w:cs="Arial"/>
        </w:rPr>
        <w:t xml:space="preserve"> </w:t>
      </w:r>
      <w:r w:rsidR="00DB04D6" w:rsidRPr="003A3EEA">
        <w:rPr>
          <w:rFonts w:ascii="Calibri" w:hAnsi="Calibri" w:cs="Arial"/>
        </w:rPr>
        <w:tab/>
      </w:r>
      <w:r w:rsidR="00D520A5" w:rsidRPr="003A3EEA">
        <w:rPr>
          <w:rFonts w:ascii="Calibri" w:hAnsi="Calibri" w:cs="Arial"/>
        </w:rPr>
        <w:t>Mount a</w:t>
      </w:r>
      <w:r w:rsidR="009E652C" w:rsidRPr="003A3EEA">
        <w:rPr>
          <w:rFonts w:ascii="Calibri" w:hAnsi="Calibri" w:cs="Arial"/>
        </w:rPr>
        <w:t xml:space="preserve"> 2.8 W</w:t>
      </w:r>
      <w:r w:rsidR="007A0F5F" w:rsidRPr="003A3EEA">
        <w:rPr>
          <w:rFonts w:ascii="Calibri" w:hAnsi="Calibri" w:cs="Arial"/>
        </w:rPr>
        <w:t xml:space="preserve"> light on one of the aluminum walls </w:t>
      </w:r>
      <w:r w:rsidR="00D520A5" w:rsidRPr="003A3EEA">
        <w:rPr>
          <w:rFonts w:ascii="Calibri" w:hAnsi="Calibri" w:cs="Arial"/>
        </w:rPr>
        <w:t xml:space="preserve">to serve </w:t>
      </w:r>
      <w:r w:rsidR="007A0F5F" w:rsidRPr="003A3EEA">
        <w:rPr>
          <w:rFonts w:ascii="Calibri" w:hAnsi="Calibri" w:cs="Arial"/>
        </w:rPr>
        <w:t xml:space="preserve">as the </w:t>
      </w:r>
      <w:r w:rsidR="009E652C" w:rsidRPr="003A3EEA">
        <w:rPr>
          <w:rFonts w:ascii="Calibri" w:hAnsi="Calibri" w:cs="Arial"/>
        </w:rPr>
        <w:t xml:space="preserve">house light and as the </w:t>
      </w:r>
      <w:r w:rsidR="007A0F5F" w:rsidRPr="003A3EEA">
        <w:rPr>
          <w:rFonts w:ascii="Calibri" w:hAnsi="Calibri" w:cs="Arial"/>
        </w:rPr>
        <w:t>visual stimulus</w:t>
      </w:r>
      <w:r w:rsidR="009E652C" w:rsidRPr="003A3EEA">
        <w:rPr>
          <w:rFonts w:ascii="Calibri" w:hAnsi="Calibri" w:cs="Arial"/>
        </w:rPr>
        <w:t xml:space="preserve"> when flashed at 2 Hz</w:t>
      </w:r>
      <w:r w:rsidR="007A0F5F" w:rsidRPr="003A3EEA">
        <w:rPr>
          <w:rFonts w:ascii="Calibri" w:hAnsi="Calibri" w:cs="Arial"/>
        </w:rPr>
        <w:t xml:space="preserve">. </w:t>
      </w:r>
      <w:r w:rsidR="00D520A5" w:rsidRPr="003A3EEA">
        <w:rPr>
          <w:rFonts w:ascii="Calibri" w:hAnsi="Calibri" w:cs="Arial"/>
        </w:rPr>
        <w:t>Mount a</w:t>
      </w:r>
      <w:r w:rsidR="007A0F5F" w:rsidRPr="003A3EEA">
        <w:rPr>
          <w:rFonts w:ascii="Calibri" w:hAnsi="Calibri" w:cs="Arial"/>
        </w:rPr>
        <w:t xml:space="preserve"> speaker on the chamber </w:t>
      </w:r>
      <w:r w:rsidR="00D520A5" w:rsidRPr="003A3EEA">
        <w:rPr>
          <w:rFonts w:ascii="Calibri" w:hAnsi="Calibri" w:cs="Arial"/>
        </w:rPr>
        <w:t xml:space="preserve">to deliver </w:t>
      </w:r>
      <w:r w:rsidR="007A0F5F" w:rsidRPr="003A3EEA">
        <w:rPr>
          <w:rFonts w:ascii="Calibri" w:hAnsi="Calibri" w:cs="Arial"/>
        </w:rPr>
        <w:t>the auditory stimuli (a 10</w:t>
      </w:r>
      <w:r w:rsidR="003A3EEA" w:rsidRPr="003A3EEA">
        <w:rPr>
          <w:rFonts w:ascii="Calibri" w:hAnsi="Calibri" w:cs="Arial"/>
        </w:rPr>
        <w:t xml:space="preserve"> s</w:t>
      </w:r>
      <w:r w:rsidR="007A0F5F" w:rsidRPr="003A3EEA">
        <w:rPr>
          <w:rFonts w:ascii="Calibri" w:hAnsi="Calibri" w:cs="Arial"/>
        </w:rPr>
        <w:t>, 1500 Hz, 78 dB pure tone and a 10</w:t>
      </w:r>
      <w:r w:rsidR="003A3EEA" w:rsidRPr="003A3EEA">
        <w:rPr>
          <w:rFonts w:ascii="Calibri" w:hAnsi="Calibri" w:cs="Arial"/>
        </w:rPr>
        <w:t xml:space="preserve"> s</w:t>
      </w:r>
      <w:r w:rsidR="007A0F5F" w:rsidRPr="003A3EEA">
        <w:rPr>
          <w:rFonts w:ascii="Calibri" w:hAnsi="Calibri" w:cs="Arial"/>
        </w:rPr>
        <w:t xml:space="preserve"> 78 dB white noise).</w:t>
      </w:r>
    </w:p>
    <w:p w14:paraId="2B0FEBB9" w14:textId="77777777" w:rsidR="007A0F5F" w:rsidRPr="003A3EEA" w:rsidRDefault="007A0F5F" w:rsidP="003A3EEA">
      <w:pPr>
        <w:pStyle w:val="ListParagraph"/>
        <w:ind w:left="0"/>
        <w:rPr>
          <w:rFonts w:ascii="Calibri" w:hAnsi="Calibri" w:cs="Arial"/>
        </w:rPr>
      </w:pPr>
    </w:p>
    <w:p w14:paraId="6C3CC12F" w14:textId="3C0D0FDB" w:rsidR="007A0F5F" w:rsidRPr="003A3EEA" w:rsidRDefault="00D520A5" w:rsidP="003A3EEA">
      <w:pPr>
        <w:pStyle w:val="ListParagraph"/>
        <w:numPr>
          <w:ilvl w:val="2"/>
          <w:numId w:val="17"/>
        </w:numPr>
        <w:ind w:left="0" w:firstLine="0"/>
        <w:rPr>
          <w:rFonts w:ascii="Calibri" w:hAnsi="Calibri" w:cs="Arial"/>
        </w:rPr>
      </w:pPr>
      <w:r w:rsidRPr="003A3EEA">
        <w:rPr>
          <w:rFonts w:ascii="Calibri" w:hAnsi="Calibri" w:cs="Arial"/>
        </w:rPr>
        <w:t xml:space="preserve">Use a </w:t>
      </w:r>
      <w:r w:rsidR="007A0F5F" w:rsidRPr="003A3EEA">
        <w:rPr>
          <w:rFonts w:ascii="Calibri" w:hAnsi="Calibri" w:cs="Arial"/>
        </w:rPr>
        <w:t xml:space="preserve">food hopper </w:t>
      </w:r>
      <w:r w:rsidRPr="003A3EEA">
        <w:rPr>
          <w:rFonts w:ascii="Calibri" w:hAnsi="Calibri" w:cs="Arial"/>
        </w:rPr>
        <w:t xml:space="preserve">to deliver </w:t>
      </w:r>
      <w:r w:rsidR="007A0F5F" w:rsidRPr="003A3EEA">
        <w:rPr>
          <w:rFonts w:ascii="Calibri" w:hAnsi="Calibri" w:cs="Arial"/>
        </w:rPr>
        <w:t>45</w:t>
      </w:r>
      <w:r w:rsidR="003A3EEA" w:rsidRPr="003A3EEA">
        <w:rPr>
          <w:rFonts w:ascii="Calibri" w:hAnsi="Calibri" w:cs="Arial"/>
        </w:rPr>
        <w:t xml:space="preserve"> </w:t>
      </w:r>
      <w:r w:rsidR="007A0F5F" w:rsidRPr="003A3EEA">
        <w:rPr>
          <w:rFonts w:ascii="Calibri" w:hAnsi="Calibri" w:cs="Arial"/>
        </w:rPr>
        <w:t>mg food pellets into the food cup.</w:t>
      </w:r>
      <w:r w:rsidRPr="003A3EEA">
        <w:rPr>
          <w:rFonts w:ascii="Calibri" w:hAnsi="Calibri" w:cs="Arial"/>
        </w:rPr>
        <w:t xml:space="preserve"> </w:t>
      </w:r>
      <w:r w:rsidR="007A0F5F" w:rsidRPr="003A3EEA">
        <w:rPr>
          <w:rFonts w:ascii="Calibri" w:hAnsi="Calibri" w:cs="Arial"/>
        </w:rPr>
        <w:t>Within the food cup,</w:t>
      </w:r>
      <w:r w:rsidR="004566C1" w:rsidRPr="003A3EEA">
        <w:rPr>
          <w:rFonts w:ascii="Calibri" w:hAnsi="Calibri" w:cs="Arial"/>
        </w:rPr>
        <w:t xml:space="preserve"> </w:t>
      </w:r>
      <w:r w:rsidR="007A0F5F" w:rsidRPr="003A3EEA">
        <w:rPr>
          <w:rFonts w:ascii="Calibri" w:hAnsi="Calibri" w:cs="Arial"/>
        </w:rPr>
        <w:t xml:space="preserve">infrared </w:t>
      </w:r>
      <w:r w:rsidR="00280872" w:rsidRPr="003A3EEA">
        <w:rPr>
          <w:rFonts w:ascii="Calibri" w:hAnsi="Calibri" w:cs="Arial"/>
        </w:rPr>
        <w:t>photocells</w:t>
      </w:r>
      <w:r w:rsidR="007A0F5F" w:rsidRPr="003A3EEA">
        <w:rPr>
          <w:rFonts w:ascii="Calibri" w:hAnsi="Calibri" w:cs="Arial"/>
        </w:rPr>
        <w:t xml:space="preserve"> detect the total time spent in the food cup before, during and after presentations of the stimuli and food rewards.</w:t>
      </w:r>
    </w:p>
    <w:p w14:paraId="7F2E771B" w14:textId="77777777" w:rsidR="00D529D3" w:rsidRPr="003A3EEA" w:rsidRDefault="00D529D3" w:rsidP="003A3EEA">
      <w:pPr>
        <w:pStyle w:val="ListParagraph"/>
        <w:ind w:left="0"/>
        <w:rPr>
          <w:rFonts w:ascii="Calibri" w:hAnsi="Calibri" w:cs="Arial"/>
        </w:rPr>
      </w:pPr>
    </w:p>
    <w:p w14:paraId="40741AA4" w14:textId="2C1F271C" w:rsidR="007A0F5F" w:rsidRPr="003A3EEA" w:rsidRDefault="00D520A5" w:rsidP="003A3EEA">
      <w:pPr>
        <w:pStyle w:val="ListParagraph"/>
        <w:numPr>
          <w:ilvl w:val="2"/>
          <w:numId w:val="17"/>
        </w:numPr>
        <w:ind w:left="0" w:firstLine="0"/>
        <w:rPr>
          <w:rFonts w:ascii="Calibri" w:hAnsi="Calibri" w:cs="Arial"/>
        </w:rPr>
      </w:pPr>
      <w:r w:rsidRPr="003A3EEA">
        <w:rPr>
          <w:rFonts w:ascii="Calibri" w:hAnsi="Calibri" w:cs="Arial"/>
        </w:rPr>
        <w:t>House t</w:t>
      </w:r>
      <w:r w:rsidR="007A0F5F" w:rsidRPr="003A3EEA">
        <w:rPr>
          <w:rFonts w:ascii="Calibri" w:hAnsi="Calibri" w:cs="Arial"/>
        </w:rPr>
        <w:t>he chambers in sound-attenuating cabinets (22”</w:t>
      </w:r>
      <w:r w:rsidRPr="003A3EEA">
        <w:rPr>
          <w:rFonts w:ascii="Calibri" w:hAnsi="Calibri" w:cs="Arial"/>
        </w:rPr>
        <w:t xml:space="preserve"> </w:t>
      </w:r>
      <w:r w:rsidR="007A0F5F" w:rsidRPr="003A3EEA">
        <w:rPr>
          <w:rFonts w:ascii="Calibri" w:hAnsi="Calibri" w:cs="Arial"/>
        </w:rPr>
        <w:t>W x 22”</w:t>
      </w:r>
      <w:r w:rsidRPr="003A3EEA">
        <w:rPr>
          <w:rFonts w:ascii="Calibri" w:hAnsi="Calibri" w:cs="Arial"/>
        </w:rPr>
        <w:t xml:space="preserve"> </w:t>
      </w:r>
      <w:r w:rsidR="007A0F5F" w:rsidRPr="003A3EEA">
        <w:rPr>
          <w:rFonts w:ascii="Calibri" w:hAnsi="Calibri" w:cs="Arial"/>
        </w:rPr>
        <w:t>H x 16”</w:t>
      </w:r>
      <w:r w:rsidRPr="003A3EEA">
        <w:rPr>
          <w:rFonts w:ascii="Calibri" w:hAnsi="Calibri" w:cs="Arial"/>
        </w:rPr>
        <w:t xml:space="preserve"> </w:t>
      </w:r>
      <w:r w:rsidR="007A0F5F" w:rsidRPr="003A3EEA">
        <w:rPr>
          <w:rFonts w:ascii="Calibri" w:hAnsi="Calibri" w:cs="Arial"/>
        </w:rPr>
        <w:t>D) outfitted with exhaust fans (~68</w:t>
      </w:r>
      <w:r w:rsidRPr="003A3EEA">
        <w:rPr>
          <w:rFonts w:ascii="Calibri" w:hAnsi="Calibri" w:cs="Arial"/>
        </w:rPr>
        <w:t xml:space="preserve"> </w:t>
      </w:r>
      <w:r w:rsidR="007A0F5F" w:rsidRPr="003A3EEA">
        <w:rPr>
          <w:rFonts w:ascii="Calibri" w:hAnsi="Calibri" w:cs="Arial"/>
        </w:rPr>
        <w:t>dB).</w:t>
      </w:r>
    </w:p>
    <w:p w14:paraId="412EDAEC" w14:textId="77777777" w:rsidR="007A0F5F" w:rsidRPr="003A3EEA" w:rsidRDefault="007A0F5F" w:rsidP="003A3EEA">
      <w:pPr>
        <w:pStyle w:val="ListParagraph"/>
        <w:ind w:left="0"/>
        <w:rPr>
          <w:rFonts w:ascii="Calibri" w:hAnsi="Calibri" w:cs="Arial"/>
        </w:rPr>
      </w:pPr>
    </w:p>
    <w:p w14:paraId="3D91654E" w14:textId="4B7E4DF4" w:rsidR="007A0F5F" w:rsidRPr="003A3EEA" w:rsidRDefault="00D520A5" w:rsidP="003A3EEA">
      <w:pPr>
        <w:pStyle w:val="ListParagraph"/>
        <w:numPr>
          <w:ilvl w:val="1"/>
          <w:numId w:val="12"/>
        </w:numPr>
        <w:ind w:left="0" w:firstLine="0"/>
        <w:rPr>
          <w:rFonts w:ascii="Calibri" w:hAnsi="Calibri" w:cs="Arial"/>
        </w:rPr>
      </w:pPr>
      <w:r w:rsidRPr="003A3EEA">
        <w:rPr>
          <w:rFonts w:ascii="Calibri" w:hAnsi="Calibri" w:cs="Arial"/>
        </w:rPr>
        <w:t>Use a</w:t>
      </w:r>
      <w:r w:rsidR="007A0F5F" w:rsidRPr="003A3EEA">
        <w:rPr>
          <w:rFonts w:ascii="Calibri" w:hAnsi="Calibri" w:cs="Arial"/>
        </w:rPr>
        <w:t xml:space="preserve"> PC computer with </w:t>
      </w:r>
      <w:r w:rsidR="00D529D3" w:rsidRPr="003A3EEA">
        <w:rPr>
          <w:rFonts w:ascii="Calibri" w:hAnsi="Calibri" w:cs="Arial"/>
        </w:rPr>
        <w:t>Med</w:t>
      </w:r>
      <w:r w:rsidR="006E5863" w:rsidRPr="003A3EEA">
        <w:rPr>
          <w:rFonts w:ascii="Calibri" w:hAnsi="Calibri" w:cs="Arial"/>
        </w:rPr>
        <w:t xml:space="preserve"> </w:t>
      </w:r>
      <w:r w:rsidR="004C4F57" w:rsidRPr="003A3EEA">
        <w:rPr>
          <w:rFonts w:ascii="Calibri" w:hAnsi="Calibri" w:cs="Arial"/>
        </w:rPr>
        <w:t>A</w:t>
      </w:r>
      <w:r w:rsidR="00D529D3" w:rsidRPr="003A3EEA">
        <w:rPr>
          <w:rFonts w:ascii="Calibri" w:hAnsi="Calibri" w:cs="Arial"/>
        </w:rPr>
        <w:t xml:space="preserve">ssociates </w:t>
      </w:r>
      <w:r w:rsidR="006E5863" w:rsidRPr="003A3EEA">
        <w:rPr>
          <w:rFonts w:ascii="Calibri" w:hAnsi="Calibri" w:cs="Arial"/>
        </w:rPr>
        <w:t>software</w:t>
      </w:r>
      <w:r w:rsidR="007A0F5F" w:rsidRPr="003A3EEA">
        <w:rPr>
          <w:rFonts w:ascii="Calibri" w:hAnsi="Calibri" w:cs="Arial"/>
        </w:rPr>
        <w:t xml:space="preserve"> </w:t>
      </w:r>
      <w:r w:rsidRPr="003A3EEA">
        <w:rPr>
          <w:rFonts w:ascii="Calibri" w:hAnsi="Calibri" w:cs="Arial"/>
        </w:rPr>
        <w:t xml:space="preserve">to control </w:t>
      </w:r>
      <w:r w:rsidR="007A0F5F" w:rsidRPr="003A3EEA">
        <w:rPr>
          <w:rFonts w:ascii="Calibri" w:hAnsi="Calibri" w:cs="Arial"/>
        </w:rPr>
        <w:t xml:space="preserve">the operant chamber and </w:t>
      </w:r>
      <w:r w:rsidR="009E42CB" w:rsidRPr="003A3EEA">
        <w:rPr>
          <w:rFonts w:ascii="Calibri" w:hAnsi="Calibri" w:cs="Arial"/>
        </w:rPr>
        <w:t>acquire</w:t>
      </w:r>
      <w:r w:rsidRPr="003A3EEA">
        <w:rPr>
          <w:rFonts w:ascii="Calibri" w:hAnsi="Calibri" w:cs="Arial"/>
        </w:rPr>
        <w:t xml:space="preserve"> </w:t>
      </w:r>
      <w:r w:rsidR="007A0F5F" w:rsidRPr="003A3EEA">
        <w:rPr>
          <w:rFonts w:ascii="Calibri" w:hAnsi="Calibri" w:cs="Arial"/>
        </w:rPr>
        <w:t>the data.</w:t>
      </w:r>
      <w:r w:rsidR="004D3C57" w:rsidRPr="003A3EEA">
        <w:rPr>
          <w:rFonts w:ascii="Calibri" w:hAnsi="Calibri" w:cs="Arial"/>
        </w:rPr>
        <w:t xml:space="preserve"> </w:t>
      </w:r>
      <w:r w:rsidR="00DA5842" w:rsidRPr="003A3EEA">
        <w:rPr>
          <w:rFonts w:ascii="Calibri" w:hAnsi="Calibri" w:cs="Arial"/>
        </w:rPr>
        <w:t xml:space="preserve">During the Conditioning sessions, collect </w:t>
      </w:r>
      <w:r w:rsidR="00D529D3" w:rsidRPr="003A3EEA">
        <w:rPr>
          <w:rFonts w:ascii="Calibri" w:hAnsi="Calibri" w:cs="Arial"/>
        </w:rPr>
        <w:t xml:space="preserve">data </w:t>
      </w:r>
      <w:r w:rsidRPr="003A3EEA">
        <w:rPr>
          <w:rFonts w:ascii="Calibri" w:hAnsi="Calibri" w:cs="Arial"/>
        </w:rPr>
        <w:t>on the</w:t>
      </w:r>
      <w:r w:rsidR="009E42CB" w:rsidRPr="003A3EEA">
        <w:rPr>
          <w:rFonts w:ascii="Calibri" w:hAnsi="Calibri" w:cs="Arial"/>
        </w:rPr>
        <w:t xml:space="preserve"> </w:t>
      </w:r>
      <w:r w:rsidR="00D529D3" w:rsidRPr="003A3EEA">
        <w:rPr>
          <w:rFonts w:ascii="Calibri" w:hAnsi="Calibri" w:cs="Arial"/>
        </w:rPr>
        <w:t>total time spent</w:t>
      </w:r>
      <w:r w:rsidR="009E42CB" w:rsidRPr="003A3EEA">
        <w:rPr>
          <w:rFonts w:ascii="Calibri" w:hAnsi="Calibri" w:cs="Arial"/>
        </w:rPr>
        <w:t xml:space="preserve"> with the head in the food cup</w:t>
      </w:r>
      <w:r w:rsidR="00E34B7A" w:rsidRPr="003A3EEA">
        <w:rPr>
          <w:rFonts w:ascii="Calibri" w:hAnsi="Calibri" w:cs="Arial"/>
        </w:rPr>
        <w:t xml:space="preserve"> </w:t>
      </w:r>
      <w:r w:rsidR="00DA5842" w:rsidRPr="003A3EEA">
        <w:rPr>
          <w:rFonts w:ascii="Calibri" w:hAnsi="Calibri" w:cs="Arial"/>
        </w:rPr>
        <w:t>during presentation of the light stimulus (5</w:t>
      </w:r>
      <w:r w:rsidR="003A3EEA" w:rsidRPr="003A3EEA">
        <w:rPr>
          <w:rFonts w:ascii="Calibri" w:hAnsi="Calibri" w:cs="Arial"/>
        </w:rPr>
        <w:t xml:space="preserve"> s</w:t>
      </w:r>
      <w:r w:rsidR="00DA5842" w:rsidRPr="003A3EEA">
        <w:rPr>
          <w:rFonts w:ascii="Calibri" w:hAnsi="Calibri" w:cs="Arial"/>
        </w:rPr>
        <w:t xml:space="preserve"> epoch) and during presentation of the food reward (5</w:t>
      </w:r>
      <w:r w:rsidR="003A3EEA" w:rsidRPr="003A3EEA">
        <w:rPr>
          <w:rFonts w:ascii="Calibri" w:hAnsi="Calibri" w:cs="Arial"/>
        </w:rPr>
        <w:t xml:space="preserve"> s</w:t>
      </w:r>
      <w:r w:rsidR="00DA5842" w:rsidRPr="003A3EEA">
        <w:rPr>
          <w:rFonts w:ascii="Calibri" w:hAnsi="Calibri" w:cs="Arial"/>
        </w:rPr>
        <w:t xml:space="preserve"> epoch).</w:t>
      </w:r>
      <w:r w:rsidR="0091394B" w:rsidRPr="003A3EEA">
        <w:rPr>
          <w:rFonts w:ascii="Calibri" w:hAnsi="Calibri" w:cs="Arial"/>
        </w:rPr>
        <w:t xml:space="preserve"> </w:t>
      </w:r>
      <w:r w:rsidR="00DA5842" w:rsidRPr="003A3EEA">
        <w:rPr>
          <w:rFonts w:ascii="Calibri" w:hAnsi="Calibri" w:cs="Arial"/>
        </w:rPr>
        <w:t>During the Test session, collect data on the total time spent in the food cup in response to presentations of the auditory stimuli (10</w:t>
      </w:r>
      <w:r w:rsidR="003A3EEA" w:rsidRPr="003A3EEA">
        <w:rPr>
          <w:rFonts w:ascii="Calibri" w:hAnsi="Calibri" w:cs="Arial"/>
        </w:rPr>
        <w:t xml:space="preserve"> s</w:t>
      </w:r>
      <w:r w:rsidR="00DA5842" w:rsidRPr="003A3EEA">
        <w:rPr>
          <w:rFonts w:ascii="Calibri" w:hAnsi="Calibri" w:cs="Arial"/>
        </w:rPr>
        <w:t xml:space="preserve"> epoch</w:t>
      </w:r>
      <w:r w:rsidR="006E5863" w:rsidRPr="003A3EEA">
        <w:rPr>
          <w:rFonts w:ascii="Calibri" w:hAnsi="Calibri" w:cs="Arial"/>
        </w:rPr>
        <w:t xml:space="preserve"> beginning when the auditory stimuli are terminated</w:t>
      </w:r>
      <w:r w:rsidR="00DA5842" w:rsidRPr="003A3EEA">
        <w:rPr>
          <w:rFonts w:ascii="Calibri" w:hAnsi="Calibri" w:cs="Arial"/>
        </w:rPr>
        <w:t>).</w:t>
      </w:r>
    </w:p>
    <w:p w14:paraId="0DE82573" w14:textId="77777777" w:rsidR="007A0F5F" w:rsidRPr="003A3EEA" w:rsidRDefault="007A0F5F" w:rsidP="003A3EEA">
      <w:pPr>
        <w:rPr>
          <w:rFonts w:ascii="Calibri" w:hAnsi="Calibri"/>
        </w:rPr>
      </w:pPr>
    </w:p>
    <w:p w14:paraId="1DF16487" w14:textId="3F72A493" w:rsidR="007A0F5F" w:rsidRPr="003A3EEA" w:rsidRDefault="007A0F5F" w:rsidP="003A3EEA">
      <w:pPr>
        <w:pStyle w:val="ListParagraph"/>
        <w:numPr>
          <w:ilvl w:val="0"/>
          <w:numId w:val="17"/>
        </w:numPr>
        <w:ind w:left="0" w:firstLine="0"/>
        <w:rPr>
          <w:rFonts w:ascii="Calibri" w:hAnsi="Calibri"/>
          <w:highlight w:val="yellow"/>
        </w:rPr>
      </w:pPr>
      <w:r w:rsidRPr="003A3EEA">
        <w:rPr>
          <w:rFonts w:ascii="Calibri" w:hAnsi="Calibri" w:cs="Arial"/>
          <w:b/>
          <w:highlight w:val="yellow"/>
        </w:rPr>
        <w:t xml:space="preserve">Overview of the Sensory Preconditioning Paradigm </w:t>
      </w:r>
    </w:p>
    <w:p w14:paraId="50AA47EA" w14:textId="77777777" w:rsidR="007A0F5F" w:rsidRPr="003A3EEA" w:rsidRDefault="007A0F5F" w:rsidP="003A3EEA">
      <w:pPr>
        <w:rPr>
          <w:rFonts w:ascii="Calibri" w:hAnsi="Calibri"/>
        </w:rPr>
      </w:pPr>
    </w:p>
    <w:p w14:paraId="2F95B0AE" w14:textId="32DA65EB" w:rsidR="007A0F5F" w:rsidRPr="003A3EEA" w:rsidRDefault="00F34966" w:rsidP="003A3EEA">
      <w:pPr>
        <w:pStyle w:val="ListParagraph"/>
        <w:numPr>
          <w:ilvl w:val="1"/>
          <w:numId w:val="13"/>
        </w:numPr>
        <w:ind w:left="0" w:firstLine="0"/>
        <w:rPr>
          <w:rFonts w:ascii="Calibri" w:hAnsi="Calibri" w:cs="Arial"/>
        </w:rPr>
      </w:pPr>
      <w:r w:rsidRPr="003A3EEA">
        <w:rPr>
          <w:rFonts w:ascii="Calibri" w:hAnsi="Calibri" w:cs="Arial"/>
        </w:rPr>
        <w:t>Following</w:t>
      </w:r>
      <w:r w:rsidR="007A0F5F" w:rsidRPr="003A3EEA">
        <w:rPr>
          <w:rFonts w:ascii="Calibri" w:hAnsi="Calibri" w:cs="Arial"/>
        </w:rPr>
        <w:t xml:space="preserve"> recovery from surgery</w:t>
      </w:r>
      <w:r w:rsidRPr="003A3EEA">
        <w:rPr>
          <w:rFonts w:ascii="Calibri" w:hAnsi="Calibri" w:cs="Arial"/>
        </w:rPr>
        <w:t>,</w:t>
      </w:r>
      <w:r w:rsidR="007A0F5F" w:rsidRPr="003A3EEA">
        <w:rPr>
          <w:rFonts w:ascii="Calibri" w:hAnsi="Calibri" w:cs="Arial"/>
        </w:rPr>
        <w:t xml:space="preserve"> gradually food restrict the rats to 85% of t</w:t>
      </w:r>
      <w:r w:rsidR="00D529D3" w:rsidRPr="003A3EEA">
        <w:rPr>
          <w:rFonts w:ascii="Calibri" w:hAnsi="Calibri" w:cs="Arial"/>
        </w:rPr>
        <w:t>heir free feeding body weight.</w:t>
      </w:r>
      <w:r w:rsidR="004D3C57" w:rsidRPr="003A3EEA">
        <w:rPr>
          <w:rFonts w:ascii="Calibri" w:hAnsi="Calibri" w:cs="Arial"/>
        </w:rPr>
        <w:t xml:space="preserve"> </w:t>
      </w:r>
      <w:r w:rsidR="007A0F5F" w:rsidRPr="003A3EEA">
        <w:rPr>
          <w:rFonts w:ascii="Calibri" w:hAnsi="Calibri" w:cs="Arial"/>
        </w:rPr>
        <w:t>Consult veterinary staff for an appropriate food restriction paradigm.</w:t>
      </w:r>
    </w:p>
    <w:p w14:paraId="1CA7C06E" w14:textId="77777777" w:rsidR="007A0F5F" w:rsidRPr="003A3EEA" w:rsidRDefault="007A0F5F" w:rsidP="003A3EEA">
      <w:pPr>
        <w:rPr>
          <w:rFonts w:ascii="Calibri" w:hAnsi="Calibri"/>
        </w:rPr>
      </w:pPr>
    </w:p>
    <w:p w14:paraId="6A8DFECB" w14:textId="54ED999F" w:rsidR="007A0F5F" w:rsidRPr="003A3EEA" w:rsidRDefault="00D520A5" w:rsidP="003A3EEA">
      <w:pPr>
        <w:pStyle w:val="ListParagraph"/>
        <w:ind w:left="0"/>
        <w:rPr>
          <w:rFonts w:ascii="Calibri" w:hAnsi="Calibri"/>
        </w:rPr>
      </w:pPr>
      <w:r w:rsidRPr="003A3EEA">
        <w:rPr>
          <w:rFonts w:ascii="Calibri" w:hAnsi="Calibri"/>
        </w:rPr>
        <w:t xml:space="preserve">Note: </w:t>
      </w:r>
      <w:r w:rsidR="007A0F5F" w:rsidRPr="003A3EEA">
        <w:rPr>
          <w:rFonts w:ascii="Calibri" w:hAnsi="Calibri"/>
        </w:rPr>
        <w:t>The 3-phase sensory preconditioning para</w:t>
      </w:r>
      <w:r w:rsidR="009E42CB" w:rsidRPr="003A3EEA">
        <w:rPr>
          <w:rFonts w:ascii="Calibri" w:hAnsi="Calibri"/>
        </w:rPr>
        <w:t>digm is illustrated in Figure 2</w:t>
      </w:r>
      <w:r w:rsidR="007A0F5F" w:rsidRPr="003A3EEA">
        <w:rPr>
          <w:rFonts w:ascii="Calibri" w:hAnsi="Calibri"/>
        </w:rPr>
        <w:t>.</w:t>
      </w:r>
      <w:r w:rsidR="0091394B" w:rsidRPr="003A3EEA">
        <w:rPr>
          <w:rFonts w:ascii="Calibri" w:hAnsi="Calibri"/>
        </w:rPr>
        <w:t xml:space="preserve"> </w:t>
      </w:r>
    </w:p>
    <w:p w14:paraId="6474B2D8" w14:textId="77777777" w:rsidR="007A0F5F" w:rsidRPr="003A3EEA" w:rsidRDefault="007A0F5F" w:rsidP="003A3EEA">
      <w:pPr>
        <w:rPr>
          <w:rFonts w:ascii="Calibri" w:hAnsi="Calibri"/>
        </w:rPr>
      </w:pPr>
    </w:p>
    <w:p w14:paraId="3B39CBCB" w14:textId="47815CA9" w:rsidR="009E42CB" w:rsidRPr="003A3EEA" w:rsidRDefault="009E42CB" w:rsidP="003A3EEA">
      <w:pPr>
        <w:pStyle w:val="ListParagraph"/>
        <w:numPr>
          <w:ilvl w:val="1"/>
          <w:numId w:val="13"/>
        </w:numPr>
        <w:ind w:left="0" w:firstLine="0"/>
        <w:rPr>
          <w:rFonts w:ascii="Calibri" w:hAnsi="Calibri" w:cs="Arial"/>
        </w:rPr>
      </w:pPr>
      <w:r w:rsidRPr="003A3EEA">
        <w:rPr>
          <w:rFonts w:ascii="Calibri" w:hAnsi="Calibri" w:cs="Arial"/>
        </w:rPr>
        <w:t>Preconditioning Sessions</w:t>
      </w:r>
      <w:r w:rsidR="00A612D0" w:rsidRPr="003A3EEA">
        <w:rPr>
          <w:rFonts w:ascii="Calibri" w:hAnsi="Calibri" w:cs="Arial"/>
        </w:rPr>
        <w:t xml:space="preserve"> (Phase 1</w:t>
      </w:r>
      <w:r w:rsidR="00F34966" w:rsidRPr="003A3EEA">
        <w:rPr>
          <w:rFonts w:ascii="Calibri" w:hAnsi="Calibri" w:cs="Arial"/>
        </w:rPr>
        <w:t>;</w:t>
      </w:r>
      <w:r w:rsidR="005E5CFD" w:rsidRPr="003A3EEA">
        <w:rPr>
          <w:rFonts w:ascii="Calibri" w:hAnsi="Calibri" w:cs="Arial"/>
        </w:rPr>
        <w:t xml:space="preserve"> Dail</w:t>
      </w:r>
      <w:r w:rsidR="009F6F1F" w:rsidRPr="003A3EEA">
        <w:rPr>
          <w:rFonts w:ascii="Calibri" w:hAnsi="Calibri" w:cs="Arial"/>
        </w:rPr>
        <w:t xml:space="preserve">y </w:t>
      </w:r>
      <w:r w:rsidR="005E5CFD" w:rsidRPr="003A3EEA">
        <w:rPr>
          <w:rFonts w:ascii="Calibri" w:hAnsi="Calibri" w:cs="Arial"/>
        </w:rPr>
        <w:t>64</w:t>
      </w:r>
      <w:r w:rsidR="003A3EEA" w:rsidRPr="003A3EEA">
        <w:rPr>
          <w:rFonts w:ascii="Calibri" w:hAnsi="Calibri" w:cs="Arial"/>
        </w:rPr>
        <w:t xml:space="preserve"> </w:t>
      </w:r>
      <w:r w:rsidR="005E5CFD" w:rsidRPr="003A3EEA">
        <w:rPr>
          <w:rFonts w:ascii="Calibri" w:hAnsi="Calibri" w:cs="Arial"/>
        </w:rPr>
        <w:t xml:space="preserve">min training sessions </w:t>
      </w:r>
      <w:r w:rsidR="000E6E83" w:rsidRPr="003A3EEA">
        <w:rPr>
          <w:rFonts w:ascii="Calibri" w:hAnsi="Calibri" w:cs="Arial"/>
        </w:rPr>
        <w:t>conducted across</w:t>
      </w:r>
      <w:r w:rsidR="005E5CFD" w:rsidRPr="003A3EEA">
        <w:rPr>
          <w:rFonts w:ascii="Calibri" w:hAnsi="Calibri" w:cs="Arial"/>
        </w:rPr>
        <w:t xml:space="preserve"> 4 </w:t>
      </w:r>
      <w:r w:rsidR="009F6F1F" w:rsidRPr="003A3EEA">
        <w:rPr>
          <w:rFonts w:ascii="Calibri" w:hAnsi="Calibri" w:cs="Arial"/>
        </w:rPr>
        <w:t xml:space="preserve">consecutive </w:t>
      </w:r>
      <w:r w:rsidR="005E5CFD" w:rsidRPr="003A3EEA">
        <w:rPr>
          <w:rFonts w:ascii="Calibri" w:hAnsi="Calibri" w:cs="Arial"/>
        </w:rPr>
        <w:t>days</w:t>
      </w:r>
      <w:r w:rsidR="00A612D0" w:rsidRPr="003A3EEA">
        <w:rPr>
          <w:rFonts w:ascii="Calibri" w:hAnsi="Calibri" w:cs="Arial"/>
        </w:rPr>
        <w:t>)</w:t>
      </w:r>
    </w:p>
    <w:p w14:paraId="32F0B5F9" w14:textId="77777777" w:rsidR="009E42CB" w:rsidRPr="003A3EEA" w:rsidRDefault="009E42CB" w:rsidP="003A3EEA">
      <w:pPr>
        <w:rPr>
          <w:rFonts w:ascii="Calibri" w:hAnsi="Calibri"/>
        </w:rPr>
      </w:pPr>
    </w:p>
    <w:p w14:paraId="6BFE0765" w14:textId="374B50DF" w:rsidR="007A0F5F" w:rsidRPr="003A3EEA" w:rsidRDefault="00A612D0" w:rsidP="003A3EEA">
      <w:pPr>
        <w:pStyle w:val="ListParagraph"/>
        <w:numPr>
          <w:ilvl w:val="2"/>
          <w:numId w:val="10"/>
        </w:numPr>
        <w:ind w:left="0" w:firstLine="0"/>
        <w:rPr>
          <w:rFonts w:ascii="Calibri" w:hAnsi="Calibri"/>
          <w:highlight w:val="yellow"/>
        </w:rPr>
      </w:pPr>
      <w:r w:rsidRPr="003A3EEA">
        <w:rPr>
          <w:rFonts w:ascii="Calibri" w:hAnsi="Calibri"/>
          <w:highlight w:val="yellow"/>
        </w:rPr>
        <w:t>P</w:t>
      </w:r>
      <w:r w:rsidR="007A0F5F" w:rsidRPr="003A3EEA">
        <w:rPr>
          <w:rFonts w:ascii="Calibri" w:hAnsi="Calibri"/>
          <w:highlight w:val="yellow"/>
        </w:rPr>
        <w:t>resent rats with 12 intermixed trials that consist of delivery of auditory and visual stimuli.</w:t>
      </w:r>
      <w:r w:rsidR="0091394B" w:rsidRPr="003A3EEA">
        <w:rPr>
          <w:rFonts w:ascii="Calibri" w:hAnsi="Calibri"/>
          <w:highlight w:val="yellow"/>
        </w:rPr>
        <w:t xml:space="preserve"> </w:t>
      </w:r>
      <w:r w:rsidR="009F6F1F" w:rsidRPr="003A3EEA">
        <w:rPr>
          <w:rFonts w:ascii="Calibri" w:hAnsi="Calibri"/>
          <w:highlight w:val="yellow"/>
        </w:rPr>
        <w:t>Include</w:t>
      </w:r>
      <w:r w:rsidR="00CC2DCD" w:rsidRPr="003A3EEA">
        <w:rPr>
          <w:rFonts w:ascii="Calibri" w:hAnsi="Calibri"/>
          <w:highlight w:val="yellow"/>
        </w:rPr>
        <w:t xml:space="preserve"> </w:t>
      </w:r>
      <w:r w:rsidR="005E5CFD" w:rsidRPr="003A3EEA">
        <w:rPr>
          <w:rFonts w:ascii="Calibri" w:hAnsi="Calibri"/>
          <w:highlight w:val="yellow"/>
        </w:rPr>
        <w:t>inter-trial interval</w:t>
      </w:r>
      <w:r w:rsidR="00CC2DCD" w:rsidRPr="003A3EEA">
        <w:rPr>
          <w:rFonts w:ascii="Calibri" w:hAnsi="Calibri"/>
          <w:highlight w:val="yellow"/>
        </w:rPr>
        <w:t>s</w:t>
      </w:r>
      <w:r w:rsidR="005E5CFD" w:rsidRPr="003A3EEA">
        <w:rPr>
          <w:rFonts w:ascii="Calibri" w:hAnsi="Calibri"/>
          <w:highlight w:val="yellow"/>
        </w:rPr>
        <w:t xml:space="preserve"> </w:t>
      </w:r>
      <w:r w:rsidR="00CC2DCD" w:rsidRPr="003A3EEA">
        <w:rPr>
          <w:rFonts w:ascii="Calibri" w:hAnsi="Calibri"/>
          <w:highlight w:val="yellow"/>
        </w:rPr>
        <w:t xml:space="preserve">that average 4.5 min (range 4.0 to 5.0 min) </w:t>
      </w:r>
      <w:r w:rsidR="005E5CFD" w:rsidRPr="003A3EEA">
        <w:rPr>
          <w:rFonts w:ascii="Calibri" w:hAnsi="Calibri"/>
          <w:highlight w:val="yellow"/>
        </w:rPr>
        <w:t>after each auditory presentation.</w:t>
      </w:r>
    </w:p>
    <w:p w14:paraId="0B6EA25C" w14:textId="77777777" w:rsidR="007A0F5F" w:rsidRPr="003A3EEA" w:rsidRDefault="007A0F5F" w:rsidP="003A3EEA">
      <w:pPr>
        <w:pStyle w:val="ListParagraph"/>
        <w:ind w:left="0"/>
        <w:rPr>
          <w:rFonts w:ascii="Calibri" w:hAnsi="Calibri"/>
          <w:highlight w:val="yellow"/>
        </w:rPr>
      </w:pPr>
    </w:p>
    <w:p w14:paraId="2E574FDB" w14:textId="31767943" w:rsidR="007A0F5F" w:rsidRPr="003A3EEA" w:rsidRDefault="007A0F5F" w:rsidP="003A3EEA">
      <w:pPr>
        <w:pStyle w:val="ListParagraph"/>
        <w:numPr>
          <w:ilvl w:val="2"/>
          <w:numId w:val="10"/>
        </w:numPr>
        <w:ind w:left="0" w:firstLine="0"/>
        <w:rPr>
          <w:rFonts w:ascii="Calibri" w:hAnsi="Calibri"/>
          <w:highlight w:val="yellow"/>
        </w:rPr>
      </w:pPr>
      <w:r w:rsidRPr="003A3EEA">
        <w:rPr>
          <w:rFonts w:ascii="Calibri" w:hAnsi="Calibri"/>
          <w:highlight w:val="yellow"/>
        </w:rPr>
        <w:t xml:space="preserve">On six of the trials, present a tone (preconditioned </w:t>
      </w:r>
      <w:r w:rsidR="00B50C00" w:rsidRPr="003A3EEA">
        <w:rPr>
          <w:rFonts w:ascii="Calibri" w:hAnsi="Calibri"/>
          <w:highlight w:val="yellow"/>
        </w:rPr>
        <w:t>stimulus</w:t>
      </w:r>
      <w:r w:rsidRPr="003A3EEA">
        <w:rPr>
          <w:rFonts w:ascii="Calibri" w:hAnsi="Calibri"/>
          <w:highlight w:val="yellow"/>
        </w:rPr>
        <w:t>) for 10</w:t>
      </w:r>
      <w:r w:rsidR="00DA653B" w:rsidRPr="003A3EEA">
        <w:rPr>
          <w:rFonts w:ascii="Calibri" w:hAnsi="Calibri"/>
          <w:highlight w:val="yellow"/>
        </w:rPr>
        <w:t xml:space="preserve"> </w:t>
      </w:r>
      <w:r w:rsidR="003A3EEA" w:rsidRPr="003A3EEA">
        <w:rPr>
          <w:rFonts w:ascii="Calibri" w:hAnsi="Calibri"/>
          <w:highlight w:val="yellow"/>
        </w:rPr>
        <w:t>s</w:t>
      </w:r>
      <w:r w:rsidR="00DA653B" w:rsidRPr="003A3EEA">
        <w:rPr>
          <w:rFonts w:ascii="Calibri" w:hAnsi="Calibri"/>
          <w:highlight w:val="yellow"/>
        </w:rPr>
        <w:t>, followed immediately by a 5</w:t>
      </w:r>
      <w:r w:rsidR="003A3EEA" w:rsidRPr="003A3EEA">
        <w:rPr>
          <w:rFonts w:ascii="Calibri" w:hAnsi="Calibri"/>
          <w:highlight w:val="yellow"/>
        </w:rPr>
        <w:t xml:space="preserve"> s</w:t>
      </w:r>
      <w:r w:rsidRPr="003A3EEA">
        <w:rPr>
          <w:rFonts w:ascii="Calibri" w:hAnsi="Calibri"/>
          <w:highlight w:val="yellow"/>
        </w:rPr>
        <w:t xml:space="preserve"> presentation of the flashing light stimulus. </w:t>
      </w:r>
    </w:p>
    <w:p w14:paraId="669F5362" w14:textId="77777777" w:rsidR="007A0F5F" w:rsidRPr="003A3EEA" w:rsidRDefault="007A0F5F" w:rsidP="003A3EEA">
      <w:pPr>
        <w:pStyle w:val="ListParagraph"/>
        <w:ind w:left="0"/>
        <w:rPr>
          <w:rFonts w:ascii="Calibri" w:hAnsi="Calibri"/>
          <w:highlight w:val="yellow"/>
        </w:rPr>
      </w:pPr>
    </w:p>
    <w:p w14:paraId="094EB3BE" w14:textId="6A7A23B2" w:rsidR="007A0F5F" w:rsidRPr="003A3EEA" w:rsidRDefault="007A0F5F" w:rsidP="003A3EEA">
      <w:pPr>
        <w:pStyle w:val="ListParagraph"/>
        <w:numPr>
          <w:ilvl w:val="2"/>
          <w:numId w:val="10"/>
        </w:numPr>
        <w:ind w:left="0" w:firstLine="0"/>
        <w:rPr>
          <w:rFonts w:ascii="Calibri" w:hAnsi="Calibri"/>
          <w:highlight w:val="yellow"/>
        </w:rPr>
      </w:pPr>
      <w:r w:rsidRPr="003A3EEA">
        <w:rPr>
          <w:rFonts w:ascii="Calibri" w:hAnsi="Calibri"/>
          <w:highlight w:val="yellow"/>
        </w:rPr>
        <w:t xml:space="preserve">On the other six trials, present </w:t>
      </w:r>
      <w:r w:rsidR="00CC2DCD" w:rsidRPr="003A3EEA">
        <w:rPr>
          <w:rFonts w:ascii="Calibri" w:hAnsi="Calibri"/>
          <w:highlight w:val="yellow"/>
        </w:rPr>
        <w:t>the</w:t>
      </w:r>
      <w:r w:rsidRPr="003A3EEA">
        <w:rPr>
          <w:rFonts w:ascii="Calibri" w:hAnsi="Calibri"/>
          <w:highlight w:val="yellow"/>
        </w:rPr>
        <w:t xml:space="preserve"> white noise (unpaired </w:t>
      </w:r>
      <w:r w:rsidR="00B50C00" w:rsidRPr="003A3EEA">
        <w:rPr>
          <w:rFonts w:ascii="Calibri" w:hAnsi="Calibri"/>
          <w:highlight w:val="yellow"/>
        </w:rPr>
        <w:t>stimulus</w:t>
      </w:r>
      <w:r w:rsidRPr="003A3EEA">
        <w:rPr>
          <w:rFonts w:ascii="Calibri" w:hAnsi="Calibri"/>
          <w:highlight w:val="yellow"/>
        </w:rPr>
        <w:t xml:space="preserve">) alone for 10 </w:t>
      </w:r>
      <w:r w:rsidR="003A3EEA" w:rsidRPr="003A3EEA">
        <w:rPr>
          <w:rFonts w:ascii="Calibri" w:hAnsi="Calibri"/>
          <w:highlight w:val="yellow"/>
        </w:rPr>
        <w:t>s</w:t>
      </w:r>
      <w:r w:rsidRPr="003A3EEA">
        <w:rPr>
          <w:rFonts w:ascii="Calibri" w:hAnsi="Calibri"/>
          <w:highlight w:val="yellow"/>
        </w:rPr>
        <w:t xml:space="preserve">. </w:t>
      </w:r>
    </w:p>
    <w:p w14:paraId="2B522B09" w14:textId="77777777" w:rsidR="007A0F5F" w:rsidRPr="003A3EEA" w:rsidRDefault="007A0F5F" w:rsidP="003A3EEA">
      <w:pPr>
        <w:pStyle w:val="ListParagraph"/>
        <w:ind w:left="0"/>
        <w:rPr>
          <w:rFonts w:ascii="Calibri" w:hAnsi="Calibri"/>
        </w:rPr>
      </w:pPr>
    </w:p>
    <w:p w14:paraId="052A725D" w14:textId="6AB8448B" w:rsidR="00A612D0" w:rsidRPr="003A3EEA" w:rsidRDefault="00A612D0" w:rsidP="003A3EEA">
      <w:pPr>
        <w:pStyle w:val="ListParagraph"/>
        <w:numPr>
          <w:ilvl w:val="1"/>
          <w:numId w:val="10"/>
        </w:numPr>
        <w:ind w:left="0" w:firstLine="0"/>
        <w:rPr>
          <w:rFonts w:ascii="Calibri" w:hAnsi="Calibri"/>
        </w:rPr>
      </w:pPr>
      <w:r w:rsidRPr="003A3EEA">
        <w:rPr>
          <w:rFonts w:ascii="Calibri" w:hAnsi="Calibri"/>
        </w:rPr>
        <w:t xml:space="preserve">Conditioning sessions (Phase 2; </w:t>
      </w:r>
      <w:r w:rsidR="005E5CFD" w:rsidRPr="003A3EEA">
        <w:rPr>
          <w:rFonts w:ascii="Calibri" w:hAnsi="Calibri"/>
        </w:rPr>
        <w:t>Daily 64</w:t>
      </w:r>
      <w:r w:rsidR="003A3EEA" w:rsidRPr="003A3EEA">
        <w:rPr>
          <w:rFonts w:ascii="Calibri" w:hAnsi="Calibri"/>
        </w:rPr>
        <w:t xml:space="preserve"> </w:t>
      </w:r>
      <w:r w:rsidR="000E6E83" w:rsidRPr="003A3EEA">
        <w:rPr>
          <w:rFonts w:ascii="Calibri" w:hAnsi="Calibri"/>
        </w:rPr>
        <w:t>min training sessions conducted across</w:t>
      </w:r>
      <w:r w:rsidR="005E5CFD" w:rsidRPr="003A3EEA">
        <w:rPr>
          <w:rFonts w:ascii="Calibri" w:hAnsi="Calibri"/>
        </w:rPr>
        <w:t xml:space="preserve"> 5 </w:t>
      </w:r>
      <w:r w:rsidR="00CC2DCD" w:rsidRPr="003A3EEA">
        <w:rPr>
          <w:rFonts w:ascii="Calibri" w:hAnsi="Calibri"/>
        </w:rPr>
        <w:t xml:space="preserve">consecutive </w:t>
      </w:r>
      <w:r w:rsidR="005E5CFD" w:rsidRPr="003A3EEA">
        <w:rPr>
          <w:rFonts w:ascii="Calibri" w:hAnsi="Calibri"/>
        </w:rPr>
        <w:t>days</w:t>
      </w:r>
      <w:r w:rsidRPr="003A3EEA">
        <w:rPr>
          <w:rFonts w:ascii="Calibri" w:hAnsi="Calibri"/>
        </w:rPr>
        <w:t>)</w:t>
      </w:r>
    </w:p>
    <w:p w14:paraId="711D30E5" w14:textId="77777777" w:rsidR="00A612D0" w:rsidRPr="003A3EEA" w:rsidRDefault="00A612D0" w:rsidP="003A3EEA">
      <w:pPr>
        <w:pStyle w:val="ListParagraph"/>
        <w:ind w:left="0"/>
        <w:rPr>
          <w:rFonts w:ascii="Calibri" w:hAnsi="Calibri"/>
          <w:highlight w:val="yellow"/>
        </w:rPr>
      </w:pPr>
    </w:p>
    <w:p w14:paraId="0A49B5CA" w14:textId="1B5232A3" w:rsidR="007A0F5F" w:rsidRPr="003A3EEA" w:rsidRDefault="00A612D0" w:rsidP="003A3EEA">
      <w:pPr>
        <w:pStyle w:val="ListParagraph"/>
        <w:numPr>
          <w:ilvl w:val="2"/>
          <w:numId w:val="10"/>
        </w:numPr>
        <w:ind w:left="0" w:firstLine="0"/>
        <w:rPr>
          <w:rFonts w:ascii="Calibri" w:hAnsi="Calibri"/>
        </w:rPr>
      </w:pPr>
      <w:r w:rsidRPr="003A3EEA">
        <w:rPr>
          <w:rFonts w:ascii="Calibri" w:hAnsi="Calibri"/>
          <w:highlight w:val="yellow"/>
        </w:rPr>
        <w:t>P</w:t>
      </w:r>
      <w:r w:rsidR="007A0F5F" w:rsidRPr="003A3EEA">
        <w:rPr>
          <w:rFonts w:ascii="Calibri" w:hAnsi="Calibri"/>
          <w:highlight w:val="yellow"/>
        </w:rPr>
        <w:t xml:space="preserve">resent </w:t>
      </w:r>
      <w:r w:rsidRPr="003A3EEA">
        <w:rPr>
          <w:rFonts w:ascii="Calibri" w:hAnsi="Calibri"/>
          <w:highlight w:val="yellow"/>
        </w:rPr>
        <w:t>rats with 8 trials that consist of delivery of the visual stimulus</w:t>
      </w:r>
      <w:r w:rsidR="007A0F5F" w:rsidRPr="003A3EEA">
        <w:rPr>
          <w:rFonts w:ascii="Calibri" w:hAnsi="Calibri"/>
          <w:highlight w:val="yellow"/>
        </w:rPr>
        <w:t xml:space="preserve"> (</w:t>
      </w:r>
      <w:r w:rsidRPr="003A3EEA">
        <w:rPr>
          <w:rFonts w:ascii="Calibri" w:hAnsi="Calibri"/>
          <w:highlight w:val="yellow"/>
        </w:rPr>
        <w:t xml:space="preserve">the </w:t>
      </w:r>
      <w:r w:rsidR="007A0F5F" w:rsidRPr="003A3EEA">
        <w:rPr>
          <w:rFonts w:ascii="Calibri" w:hAnsi="Calibri"/>
          <w:highlight w:val="yellow"/>
        </w:rPr>
        <w:t xml:space="preserve">flashing light stimulus) for 5 </w:t>
      </w:r>
      <w:r w:rsidR="003A3EEA" w:rsidRPr="003A3EEA">
        <w:rPr>
          <w:rFonts w:ascii="Calibri" w:hAnsi="Calibri"/>
          <w:highlight w:val="yellow"/>
        </w:rPr>
        <w:t>s</w:t>
      </w:r>
      <w:r w:rsidR="003A3EEA" w:rsidRPr="003A3EEA">
        <w:rPr>
          <w:rFonts w:ascii="Calibri" w:hAnsi="Calibri"/>
          <w:highlight w:val="yellow"/>
        </w:rPr>
        <w:t xml:space="preserve"> </w:t>
      </w:r>
      <w:r w:rsidR="007A0F5F" w:rsidRPr="003A3EEA">
        <w:rPr>
          <w:rFonts w:ascii="Calibri" w:hAnsi="Calibri"/>
          <w:highlight w:val="yellow"/>
        </w:rPr>
        <w:t>followed im</w:t>
      </w:r>
      <w:r w:rsidR="00DA653B" w:rsidRPr="003A3EEA">
        <w:rPr>
          <w:rFonts w:ascii="Calibri" w:hAnsi="Calibri"/>
          <w:highlight w:val="yellow"/>
        </w:rPr>
        <w:t>mediately by delivery of two 45</w:t>
      </w:r>
      <w:r w:rsidR="003A3EEA" w:rsidRPr="003A3EEA">
        <w:rPr>
          <w:rFonts w:ascii="Calibri" w:hAnsi="Calibri"/>
          <w:highlight w:val="yellow"/>
        </w:rPr>
        <w:t xml:space="preserve"> </w:t>
      </w:r>
      <w:r w:rsidR="007A0F5F" w:rsidRPr="003A3EEA">
        <w:rPr>
          <w:rFonts w:ascii="Calibri" w:hAnsi="Calibri"/>
          <w:highlight w:val="yellow"/>
        </w:rPr>
        <w:t>mg food pellets.</w:t>
      </w:r>
      <w:r w:rsidR="005E5CFD" w:rsidRPr="003A3EEA">
        <w:rPr>
          <w:rFonts w:ascii="Calibri" w:hAnsi="Calibri"/>
          <w:highlight w:val="yellow"/>
        </w:rPr>
        <w:t xml:space="preserve"> </w:t>
      </w:r>
      <w:r w:rsidR="00CC2DCD" w:rsidRPr="003A3EEA">
        <w:rPr>
          <w:rFonts w:ascii="Calibri" w:hAnsi="Calibri"/>
        </w:rPr>
        <w:t>Include inter-trial intervals that average</w:t>
      </w:r>
      <w:r w:rsidR="005E5CFD" w:rsidRPr="003A3EEA">
        <w:rPr>
          <w:rFonts w:ascii="Calibri" w:hAnsi="Calibri"/>
        </w:rPr>
        <w:t xml:space="preserve"> 7 min </w:t>
      </w:r>
      <w:r w:rsidR="00CC2DCD" w:rsidRPr="003A3EEA">
        <w:rPr>
          <w:rFonts w:ascii="Calibri" w:hAnsi="Calibri"/>
        </w:rPr>
        <w:t xml:space="preserve">(range 6.0 to 8.0 min) </w:t>
      </w:r>
      <w:r w:rsidR="005E5CFD" w:rsidRPr="003A3EEA">
        <w:rPr>
          <w:rFonts w:ascii="Calibri" w:hAnsi="Calibri"/>
        </w:rPr>
        <w:t xml:space="preserve">after </w:t>
      </w:r>
      <w:r w:rsidR="00CC2DCD" w:rsidRPr="003A3EEA">
        <w:rPr>
          <w:rFonts w:ascii="Calibri" w:hAnsi="Calibri"/>
        </w:rPr>
        <w:t xml:space="preserve">each </w:t>
      </w:r>
      <w:r w:rsidR="005E5CFD" w:rsidRPr="003A3EEA">
        <w:rPr>
          <w:rFonts w:ascii="Calibri" w:hAnsi="Calibri"/>
        </w:rPr>
        <w:t xml:space="preserve">trial. </w:t>
      </w:r>
      <w:r w:rsidR="007A0F5F" w:rsidRPr="003A3EEA">
        <w:rPr>
          <w:rFonts w:ascii="Calibri" w:hAnsi="Calibri"/>
        </w:rPr>
        <w:t xml:space="preserve">Occasionally rats require more than 5 </w:t>
      </w:r>
      <w:r w:rsidR="00D520A5" w:rsidRPr="003A3EEA">
        <w:rPr>
          <w:rFonts w:ascii="Calibri" w:hAnsi="Calibri"/>
        </w:rPr>
        <w:t>conditioning</w:t>
      </w:r>
      <w:r w:rsidR="007A0F5F" w:rsidRPr="003A3EEA">
        <w:rPr>
          <w:rFonts w:ascii="Calibri" w:hAnsi="Calibri"/>
        </w:rPr>
        <w:t xml:space="preserve"> sessions to learn the light</w:t>
      </w:r>
      <w:r w:rsidR="00F34966" w:rsidRPr="003A3EEA">
        <w:rPr>
          <w:rFonts w:ascii="Calibri" w:hAnsi="Calibri"/>
        </w:rPr>
        <w:t xml:space="preserve"> </w:t>
      </w:r>
      <w:r w:rsidR="007A0F5F" w:rsidRPr="003A3EEA">
        <w:rPr>
          <w:rFonts w:ascii="Calibri" w:hAnsi="Calibri"/>
        </w:rPr>
        <w:sym w:font="Wingdings" w:char="F0E0"/>
      </w:r>
      <w:r w:rsidR="00F34966" w:rsidRPr="003A3EEA">
        <w:rPr>
          <w:rFonts w:ascii="Calibri" w:hAnsi="Calibri"/>
        </w:rPr>
        <w:t xml:space="preserve"> </w:t>
      </w:r>
      <w:r w:rsidR="007A0F5F" w:rsidRPr="003A3EEA">
        <w:rPr>
          <w:rFonts w:ascii="Calibri" w:hAnsi="Calibri"/>
        </w:rPr>
        <w:t>food association.</w:t>
      </w:r>
    </w:p>
    <w:p w14:paraId="48CFBEBB" w14:textId="77777777" w:rsidR="007A0F5F" w:rsidRPr="003A3EEA" w:rsidRDefault="007A0F5F" w:rsidP="003A3EEA">
      <w:pPr>
        <w:pStyle w:val="ListParagraph"/>
        <w:ind w:left="0"/>
        <w:rPr>
          <w:rFonts w:ascii="Calibri" w:hAnsi="Calibri"/>
          <w:highlight w:val="yellow"/>
        </w:rPr>
      </w:pPr>
    </w:p>
    <w:p w14:paraId="7A478133" w14:textId="521E3704" w:rsidR="00922448" w:rsidRPr="003A3EEA" w:rsidRDefault="00A612D0" w:rsidP="003A3EEA">
      <w:pPr>
        <w:pStyle w:val="ListParagraph"/>
        <w:numPr>
          <w:ilvl w:val="1"/>
          <w:numId w:val="10"/>
        </w:numPr>
        <w:ind w:left="0" w:firstLine="0"/>
        <w:rPr>
          <w:rFonts w:ascii="Calibri" w:hAnsi="Calibri"/>
          <w:highlight w:val="yellow"/>
        </w:rPr>
      </w:pPr>
      <w:r w:rsidRPr="003A3EEA">
        <w:rPr>
          <w:rFonts w:ascii="Calibri" w:hAnsi="Calibri"/>
          <w:highlight w:val="yellow"/>
        </w:rPr>
        <w:t>Test Session (Phase 3</w:t>
      </w:r>
      <w:r w:rsidR="00922448" w:rsidRPr="003A3EEA">
        <w:rPr>
          <w:rFonts w:ascii="Calibri" w:hAnsi="Calibri"/>
          <w:highlight w:val="yellow"/>
        </w:rPr>
        <w:t>;</w:t>
      </w:r>
      <w:r w:rsidRPr="003A3EEA">
        <w:rPr>
          <w:rFonts w:ascii="Calibri" w:hAnsi="Calibri"/>
          <w:highlight w:val="yellow"/>
        </w:rPr>
        <w:t xml:space="preserve"> </w:t>
      </w:r>
      <w:r w:rsidR="00CC2DCD" w:rsidRPr="003A3EEA">
        <w:rPr>
          <w:rFonts w:ascii="Calibri" w:hAnsi="Calibri"/>
          <w:highlight w:val="yellow"/>
        </w:rPr>
        <w:t xml:space="preserve">a single </w:t>
      </w:r>
      <w:r w:rsidR="005E5CFD" w:rsidRPr="003A3EEA">
        <w:rPr>
          <w:rFonts w:ascii="Calibri" w:hAnsi="Calibri"/>
          <w:highlight w:val="yellow"/>
        </w:rPr>
        <w:t>78-min</w:t>
      </w:r>
      <w:r w:rsidRPr="003A3EEA">
        <w:rPr>
          <w:rFonts w:ascii="Calibri" w:hAnsi="Calibri"/>
          <w:highlight w:val="yellow"/>
        </w:rPr>
        <w:t xml:space="preserve"> session)</w:t>
      </w:r>
      <w:r w:rsidR="00922448" w:rsidRPr="003A3EEA">
        <w:rPr>
          <w:rFonts w:ascii="Calibri" w:hAnsi="Calibri"/>
          <w:highlight w:val="yellow"/>
        </w:rPr>
        <w:t xml:space="preserve"> </w:t>
      </w:r>
    </w:p>
    <w:p w14:paraId="6DC889F0" w14:textId="77777777" w:rsidR="00A612D0" w:rsidRPr="003A3EEA" w:rsidRDefault="00A612D0" w:rsidP="003A3EEA">
      <w:pPr>
        <w:pStyle w:val="ListParagraph"/>
        <w:ind w:left="0"/>
        <w:rPr>
          <w:rFonts w:ascii="Calibri" w:hAnsi="Calibri"/>
          <w:highlight w:val="yellow"/>
        </w:rPr>
      </w:pPr>
    </w:p>
    <w:p w14:paraId="24FAD7CD" w14:textId="6C31673F" w:rsidR="00A612D0" w:rsidRPr="003A3EEA" w:rsidRDefault="00A612D0" w:rsidP="003A3EEA">
      <w:pPr>
        <w:pStyle w:val="ListParagraph"/>
        <w:numPr>
          <w:ilvl w:val="2"/>
          <w:numId w:val="10"/>
        </w:numPr>
        <w:ind w:left="0" w:firstLine="0"/>
        <w:rPr>
          <w:rFonts w:ascii="Calibri" w:hAnsi="Calibri"/>
        </w:rPr>
      </w:pPr>
      <w:r w:rsidRPr="003A3EEA">
        <w:rPr>
          <w:rFonts w:ascii="Calibri" w:hAnsi="Calibri"/>
          <w:highlight w:val="yellow"/>
        </w:rPr>
        <w:t>P</w:t>
      </w:r>
      <w:r w:rsidR="007A0F5F" w:rsidRPr="003A3EEA">
        <w:rPr>
          <w:rFonts w:ascii="Calibri" w:hAnsi="Calibri"/>
          <w:highlight w:val="yellow"/>
        </w:rPr>
        <w:t xml:space="preserve">resent the </w:t>
      </w:r>
      <w:r w:rsidRPr="003A3EEA">
        <w:rPr>
          <w:rFonts w:ascii="Calibri" w:hAnsi="Calibri"/>
          <w:highlight w:val="yellow"/>
        </w:rPr>
        <w:t>rats with 12 intermixed trials that consist of delivery of the auditory stimuli</w:t>
      </w:r>
      <w:r w:rsidR="00922448" w:rsidRPr="003A3EEA">
        <w:rPr>
          <w:rFonts w:ascii="Calibri" w:hAnsi="Calibri"/>
          <w:highlight w:val="yellow"/>
        </w:rPr>
        <w:t xml:space="preserve"> alone.</w:t>
      </w:r>
      <w:r w:rsidR="005E5CFD" w:rsidRPr="003A3EEA">
        <w:rPr>
          <w:rFonts w:ascii="Calibri" w:hAnsi="Calibri"/>
          <w:highlight w:val="yellow"/>
        </w:rPr>
        <w:t xml:space="preserve"> </w:t>
      </w:r>
      <w:r w:rsidR="00CC2DCD" w:rsidRPr="003A3EEA">
        <w:rPr>
          <w:rFonts w:ascii="Calibri" w:hAnsi="Calibri"/>
        </w:rPr>
        <w:t>Include inter-trial intervals that average 4.5 min (range 4.0 to 5.0 min) after each auditory presentation.</w:t>
      </w:r>
    </w:p>
    <w:p w14:paraId="7AB0F3D3" w14:textId="77777777" w:rsidR="00A612D0" w:rsidRPr="003A3EEA" w:rsidRDefault="00A612D0" w:rsidP="003A3EEA">
      <w:pPr>
        <w:pStyle w:val="ListParagraph"/>
        <w:ind w:left="0"/>
        <w:rPr>
          <w:rFonts w:ascii="Calibri" w:hAnsi="Calibri"/>
          <w:highlight w:val="yellow"/>
        </w:rPr>
      </w:pPr>
    </w:p>
    <w:p w14:paraId="0DFB5FEA" w14:textId="6F4986C2" w:rsidR="00A612D0" w:rsidRPr="003A3EEA" w:rsidRDefault="00A612D0" w:rsidP="003A3EEA">
      <w:pPr>
        <w:pStyle w:val="ListParagraph"/>
        <w:numPr>
          <w:ilvl w:val="2"/>
          <w:numId w:val="10"/>
        </w:numPr>
        <w:ind w:left="0" w:firstLine="0"/>
        <w:rPr>
          <w:rFonts w:ascii="Calibri" w:hAnsi="Calibri"/>
          <w:highlight w:val="yellow"/>
        </w:rPr>
      </w:pPr>
      <w:r w:rsidRPr="003A3EEA">
        <w:rPr>
          <w:rFonts w:ascii="Calibri" w:hAnsi="Calibri"/>
          <w:highlight w:val="yellow"/>
        </w:rPr>
        <w:t xml:space="preserve">On six of the trials, present the tone stimulus (the preconditioned </w:t>
      </w:r>
      <w:r w:rsidR="00B50C00" w:rsidRPr="003A3EEA">
        <w:rPr>
          <w:rFonts w:ascii="Calibri" w:hAnsi="Calibri"/>
          <w:highlight w:val="yellow"/>
        </w:rPr>
        <w:t>stimulus</w:t>
      </w:r>
      <w:r w:rsidRPr="003A3EEA">
        <w:rPr>
          <w:rFonts w:ascii="Calibri" w:hAnsi="Calibri"/>
          <w:highlight w:val="yellow"/>
        </w:rPr>
        <w:t>)</w:t>
      </w:r>
      <w:r w:rsidR="00654E3E" w:rsidRPr="003A3EEA">
        <w:rPr>
          <w:rFonts w:ascii="Calibri" w:hAnsi="Calibri"/>
          <w:highlight w:val="yellow"/>
        </w:rPr>
        <w:t xml:space="preserve"> alone</w:t>
      </w:r>
      <w:r w:rsidRPr="003A3EEA">
        <w:rPr>
          <w:rFonts w:ascii="Calibri" w:hAnsi="Calibri"/>
          <w:highlight w:val="yellow"/>
        </w:rPr>
        <w:t xml:space="preserve"> for 10 </w:t>
      </w:r>
      <w:r w:rsidR="003A3EEA" w:rsidRPr="003A3EEA">
        <w:rPr>
          <w:rFonts w:ascii="Calibri" w:hAnsi="Calibri"/>
          <w:highlight w:val="yellow"/>
        </w:rPr>
        <w:t>s</w:t>
      </w:r>
      <w:r w:rsidR="00922448" w:rsidRPr="003A3EEA">
        <w:rPr>
          <w:rFonts w:ascii="Calibri" w:hAnsi="Calibri"/>
          <w:highlight w:val="yellow"/>
        </w:rPr>
        <w:t>.</w:t>
      </w:r>
    </w:p>
    <w:p w14:paraId="1923C8BA" w14:textId="77777777" w:rsidR="00A612D0" w:rsidRPr="003A3EEA" w:rsidRDefault="00A612D0" w:rsidP="003A3EEA">
      <w:pPr>
        <w:pStyle w:val="ListParagraph"/>
        <w:ind w:left="0"/>
        <w:rPr>
          <w:rFonts w:ascii="Calibri" w:hAnsi="Calibri"/>
          <w:highlight w:val="yellow"/>
        </w:rPr>
      </w:pPr>
    </w:p>
    <w:p w14:paraId="562BF2AB" w14:textId="5799096D" w:rsidR="00A612D0" w:rsidRPr="003A3EEA" w:rsidRDefault="00A612D0" w:rsidP="003A3EEA">
      <w:pPr>
        <w:pStyle w:val="ListParagraph"/>
        <w:numPr>
          <w:ilvl w:val="2"/>
          <w:numId w:val="10"/>
        </w:numPr>
        <w:ind w:left="0" w:firstLine="0"/>
        <w:rPr>
          <w:rFonts w:ascii="Calibri" w:hAnsi="Calibri"/>
          <w:highlight w:val="yellow"/>
        </w:rPr>
      </w:pPr>
      <w:r w:rsidRPr="003A3EEA">
        <w:rPr>
          <w:rFonts w:ascii="Calibri" w:hAnsi="Calibri"/>
          <w:highlight w:val="yellow"/>
        </w:rPr>
        <w:t xml:space="preserve">On the other six trials, present </w:t>
      </w:r>
      <w:r w:rsidR="00CC2DCD" w:rsidRPr="003A3EEA">
        <w:rPr>
          <w:rFonts w:ascii="Calibri" w:hAnsi="Calibri"/>
          <w:highlight w:val="yellow"/>
        </w:rPr>
        <w:t>the</w:t>
      </w:r>
      <w:r w:rsidRPr="003A3EEA">
        <w:rPr>
          <w:rFonts w:ascii="Calibri" w:hAnsi="Calibri"/>
          <w:highlight w:val="yellow"/>
        </w:rPr>
        <w:t xml:space="preserve"> white noise (the unpaired </w:t>
      </w:r>
      <w:r w:rsidR="00B50C00" w:rsidRPr="003A3EEA">
        <w:rPr>
          <w:rFonts w:ascii="Calibri" w:hAnsi="Calibri"/>
          <w:highlight w:val="yellow"/>
        </w:rPr>
        <w:t>stimulus</w:t>
      </w:r>
      <w:r w:rsidRPr="003A3EEA">
        <w:rPr>
          <w:rFonts w:ascii="Calibri" w:hAnsi="Calibri"/>
          <w:highlight w:val="yellow"/>
        </w:rPr>
        <w:t xml:space="preserve">) alone for 10 </w:t>
      </w:r>
      <w:r w:rsidR="003A3EEA" w:rsidRPr="003A3EEA">
        <w:rPr>
          <w:rFonts w:ascii="Calibri" w:hAnsi="Calibri"/>
          <w:highlight w:val="yellow"/>
        </w:rPr>
        <w:t>s</w:t>
      </w:r>
      <w:r w:rsidRPr="003A3EEA">
        <w:rPr>
          <w:rFonts w:ascii="Calibri" w:hAnsi="Calibri"/>
          <w:highlight w:val="yellow"/>
        </w:rPr>
        <w:t xml:space="preserve">. </w:t>
      </w:r>
    </w:p>
    <w:p w14:paraId="6B01C489" w14:textId="77777777" w:rsidR="001E56FA" w:rsidRPr="003A3EEA" w:rsidRDefault="001E56FA" w:rsidP="003A3EEA">
      <w:pPr>
        <w:pStyle w:val="ListParagraph"/>
        <w:ind w:left="0"/>
        <w:rPr>
          <w:rFonts w:ascii="Calibri" w:hAnsi="Calibri"/>
          <w:highlight w:val="yellow"/>
        </w:rPr>
      </w:pPr>
    </w:p>
    <w:p w14:paraId="0EB3F3B9" w14:textId="5F603AFB" w:rsidR="00A612D0" w:rsidRPr="003A3EEA" w:rsidRDefault="00922448" w:rsidP="003A3EEA">
      <w:pPr>
        <w:pStyle w:val="ListParagraph"/>
        <w:numPr>
          <w:ilvl w:val="1"/>
          <w:numId w:val="10"/>
        </w:numPr>
        <w:ind w:left="0" w:firstLine="0"/>
        <w:rPr>
          <w:rFonts w:ascii="Calibri" w:hAnsi="Calibri"/>
        </w:rPr>
      </w:pPr>
      <w:r w:rsidRPr="003A3EEA">
        <w:rPr>
          <w:rFonts w:ascii="Calibri" w:hAnsi="Calibri"/>
        </w:rPr>
        <w:t>Counterbalance</w:t>
      </w:r>
      <w:r w:rsidR="001E56FA" w:rsidRPr="003A3EEA">
        <w:rPr>
          <w:rFonts w:ascii="Calibri" w:hAnsi="Calibri"/>
        </w:rPr>
        <w:t xml:space="preserve"> the stimuli by completing the study with a second set of rats that receive the white noise as the preconditioned </w:t>
      </w:r>
      <w:r w:rsidR="00B50C00" w:rsidRPr="003A3EEA">
        <w:rPr>
          <w:rFonts w:ascii="Calibri" w:hAnsi="Calibri"/>
        </w:rPr>
        <w:t>stimulus</w:t>
      </w:r>
      <w:r w:rsidR="001E56FA" w:rsidRPr="003A3EEA">
        <w:rPr>
          <w:rFonts w:ascii="Calibri" w:hAnsi="Calibri"/>
        </w:rPr>
        <w:t xml:space="preserve"> and the tone as the unpaired </w:t>
      </w:r>
      <w:r w:rsidR="00B50C00" w:rsidRPr="003A3EEA">
        <w:rPr>
          <w:rFonts w:ascii="Calibri" w:hAnsi="Calibri"/>
        </w:rPr>
        <w:t>stimulus</w:t>
      </w:r>
      <w:r w:rsidR="001E56FA" w:rsidRPr="003A3EEA">
        <w:rPr>
          <w:rFonts w:ascii="Calibri" w:hAnsi="Calibri"/>
        </w:rPr>
        <w:t>.</w:t>
      </w:r>
    </w:p>
    <w:p w14:paraId="1BDBE24E" w14:textId="77777777" w:rsidR="007A0F5F" w:rsidRPr="003A3EEA" w:rsidRDefault="007A0F5F" w:rsidP="003A3EEA">
      <w:pPr>
        <w:rPr>
          <w:rFonts w:ascii="Calibri" w:hAnsi="Calibri" w:cs="Arial"/>
          <w:b/>
        </w:rPr>
      </w:pPr>
    </w:p>
    <w:p w14:paraId="6B627882" w14:textId="09C3977D" w:rsidR="00D529D3" w:rsidRPr="003A3EEA" w:rsidRDefault="00D529D3" w:rsidP="003A3EEA">
      <w:pPr>
        <w:pStyle w:val="ListParagraph"/>
        <w:numPr>
          <w:ilvl w:val="0"/>
          <w:numId w:val="10"/>
        </w:numPr>
        <w:ind w:left="0" w:firstLine="0"/>
        <w:rPr>
          <w:rFonts w:ascii="Calibri" w:hAnsi="Calibri" w:cs="Arial"/>
          <w:b/>
          <w:highlight w:val="yellow"/>
        </w:rPr>
      </w:pPr>
      <w:r w:rsidRPr="003A3EEA">
        <w:rPr>
          <w:rFonts w:ascii="Calibri" w:hAnsi="Calibri" w:cs="Arial"/>
          <w:b/>
          <w:highlight w:val="yellow"/>
        </w:rPr>
        <w:t>Pharmacological and Behavioral Procedure</w:t>
      </w:r>
    </w:p>
    <w:p w14:paraId="5C2B0892" w14:textId="77777777" w:rsidR="00D529D3" w:rsidRPr="003A3EEA" w:rsidRDefault="00D529D3" w:rsidP="003A3EEA">
      <w:pPr>
        <w:rPr>
          <w:rFonts w:ascii="Calibri" w:hAnsi="Calibri" w:cs="Arial"/>
        </w:rPr>
      </w:pPr>
    </w:p>
    <w:p w14:paraId="1EDBDDBB" w14:textId="3706AA12" w:rsidR="00A612D0" w:rsidRPr="003A3EEA" w:rsidRDefault="00A612D0" w:rsidP="003A3EEA">
      <w:pPr>
        <w:pStyle w:val="ListParagraph"/>
        <w:numPr>
          <w:ilvl w:val="1"/>
          <w:numId w:val="11"/>
        </w:numPr>
        <w:ind w:left="0" w:firstLine="0"/>
        <w:rPr>
          <w:rFonts w:ascii="Calibri" w:hAnsi="Calibri" w:cs="Arial"/>
        </w:rPr>
      </w:pPr>
      <w:r w:rsidRPr="003A3EEA">
        <w:rPr>
          <w:rFonts w:ascii="Calibri" w:hAnsi="Calibri" w:cs="Arial"/>
        </w:rPr>
        <w:t>Turn on the power to the b</w:t>
      </w:r>
      <w:r w:rsidR="00345606" w:rsidRPr="003A3EEA">
        <w:rPr>
          <w:rFonts w:ascii="Calibri" w:hAnsi="Calibri" w:cs="Arial"/>
        </w:rPr>
        <w:t>ehavioral apparatus and load the</w:t>
      </w:r>
      <w:r w:rsidRPr="003A3EEA">
        <w:rPr>
          <w:rFonts w:ascii="Calibri" w:hAnsi="Calibri" w:cs="Arial"/>
        </w:rPr>
        <w:t xml:space="preserve"> Med-PC code for the appropriate behavioral session.</w:t>
      </w:r>
      <w:r w:rsidR="004D3C57" w:rsidRPr="003A3EEA">
        <w:rPr>
          <w:rFonts w:ascii="Calibri" w:hAnsi="Calibri" w:cs="Arial"/>
        </w:rPr>
        <w:t xml:space="preserve"> </w:t>
      </w:r>
      <w:r w:rsidR="00D520A5" w:rsidRPr="003A3EEA">
        <w:rPr>
          <w:rFonts w:ascii="Calibri" w:hAnsi="Calibri" w:cs="Arial"/>
        </w:rPr>
        <w:t>W</w:t>
      </w:r>
      <w:r w:rsidR="00345606" w:rsidRPr="003A3EEA">
        <w:rPr>
          <w:rFonts w:ascii="Calibri" w:hAnsi="Calibri" w:cs="Arial"/>
        </w:rPr>
        <w:t>ire and program</w:t>
      </w:r>
      <w:r w:rsidRPr="003A3EEA">
        <w:rPr>
          <w:rFonts w:ascii="Calibri" w:hAnsi="Calibri" w:cs="Arial"/>
        </w:rPr>
        <w:t xml:space="preserve"> the </w:t>
      </w:r>
      <w:r w:rsidR="00345606" w:rsidRPr="003A3EEA">
        <w:rPr>
          <w:rFonts w:ascii="Calibri" w:hAnsi="Calibri" w:cs="Arial"/>
        </w:rPr>
        <w:t>behavioral apparatus such that the fans that are mounted on the sound attenuating cabinets turn on when the power is switched on.</w:t>
      </w:r>
    </w:p>
    <w:p w14:paraId="0CF8EA7D" w14:textId="77777777" w:rsidR="00D529D3" w:rsidRPr="003A3EEA" w:rsidRDefault="00D529D3" w:rsidP="003A3EEA">
      <w:pPr>
        <w:rPr>
          <w:rFonts w:ascii="Calibri" w:hAnsi="Calibri" w:cs="Arial"/>
        </w:rPr>
      </w:pPr>
    </w:p>
    <w:p w14:paraId="3B3948A9" w14:textId="2C13B837" w:rsidR="00F3143F" w:rsidRPr="003A3EEA" w:rsidRDefault="00F84796" w:rsidP="003A3EEA">
      <w:pPr>
        <w:pStyle w:val="ListParagraph"/>
        <w:numPr>
          <w:ilvl w:val="1"/>
          <w:numId w:val="11"/>
        </w:numPr>
        <w:ind w:left="0" w:firstLine="0"/>
        <w:rPr>
          <w:rFonts w:ascii="Calibri" w:hAnsi="Calibri"/>
          <w:highlight w:val="yellow"/>
        </w:rPr>
      </w:pPr>
      <w:r w:rsidRPr="003A3EEA">
        <w:rPr>
          <w:rFonts w:ascii="Calibri" w:hAnsi="Calibri"/>
          <w:highlight w:val="yellow"/>
        </w:rPr>
        <w:t>To prepare a 1 mg/</w:t>
      </w:r>
      <w:r w:rsidR="003A3EEA" w:rsidRPr="003A3EEA">
        <w:rPr>
          <w:rFonts w:ascii="Calibri" w:hAnsi="Calibri"/>
          <w:highlight w:val="yellow"/>
        </w:rPr>
        <w:t>m</w:t>
      </w:r>
      <w:r w:rsidR="003A3EEA" w:rsidRPr="003A3EEA">
        <w:rPr>
          <w:rFonts w:ascii="Calibri" w:hAnsi="Calibri"/>
          <w:highlight w:val="yellow"/>
        </w:rPr>
        <w:t>L</w:t>
      </w:r>
      <w:r w:rsidR="003A3EEA" w:rsidRPr="003A3EEA">
        <w:rPr>
          <w:rFonts w:ascii="Calibri" w:hAnsi="Calibri"/>
          <w:highlight w:val="yellow"/>
        </w:rPr>
        <w:t xml:space="preserve"> </w:t>
      </w:r>
      <w:r w:rsidRPr="003A3EEA">
        <w:rPr>
          <w:rFonts w:ascii="Calibri" w:hAnsi="Calibri"/>
          <w:highlight w:val="yellow"/>
        </w:rPr>
        <w:t>solution of clozapine N-oxide (CNO), w</w:t>
      </w:r>
      <w:r w:rsidR="00D529D3" w:rsidRPr="003A3EEA">
        <w:rPr>
          <w:rFonts w:ascii="Calibri" w:hAnsi="Calibri"/>
          <w:highlight w:val="yellow"/>
        </w:rPr>
        <w:t>eig</w:t>
      </w:r>
      <w:r w:rsidR="00923803" w:rsidRPr="003A3EEA">
        <w:rPr>
          <w:rFonts w:ascii="Calibri" w:hAnsi="Calibri"/>
          <w:highlight w:val="yellow"/>
        </w:rPr>
        <w:t>h</w:t>
      </w:r>
      <w:r w:rsidR="00A1682C" w:rsidRPr="003A3EEA">
        <w:rPr>
          <w:rFonts w:ascii="Calibri" w:hAnsi="Calibri"/>
          <w:highlight w:val="yellow"/>
        </w:rPr>
        <w:t xml:space="preserve"> 5</w:t>
      </w:r>
      <w:r w:rsidRPr="003A3EEA">
        <w:rPr>
          <w:rFonts w:ascii="Calibri" w:hAnsi="Calibri"/>
          <w:highlight w:val="yellow"/>
        </w:rPr>
        <w:t>.0</w:t>
      </w:r>
      <w:r w:rsidR="00A1682C" w:rsidRPr="003A3EEA">
        <w:rPr>
          <w:rFonts w:ascii="Calibri" w:hAnsi="Calibri"/>
          <w:highlight w:val="yellow"/>
        </w:rPr>
        <w:t xml:space="preserve"> mg </w:t>
      </w:r>
      <w:r w:rsidRPr="003A3EEA">
        <w:rPr>
          <w:rFonts w:ascii="Calibri" w:hAnsi="Calibri"/>
          <w:highlight w:val="yellow"/>
        </w:rPr>
        <w:t xml:space="preserve">of CNO into a 15 </w:t>
      </w:r>
      <w:r w:rsidR="003A3EEA" w:rsidRPr="003A3EEA">
        <w:rPr>
          <w:rFonts w:ascii="Calibri" w:hAnsi="Calibri"/>
          <w:highlight w:val="yellow"/>
        </w:rPr>
        <w:t>m</w:t>
      </w:r>
      <w:r w:rsidR="003A3EEA" w:rsidRPr="003A3EEA">
        <w:rPr>
          <w:rFonts w:ascii="Calibri" w:hAnsi="Calibri"/>
          <w:highlight w:val="yellow"/>
        </w:rPr>
        <w:t>L</w:t>
      </w:r>
      <w:r w:rsidR="003A3EEA" w:rsidRPr="003A3EEA">
        <w:rPr>
          <w:rFonts w:ascii="Calibri" w:hAnsi="Calibri"/>
          <w:highlight w:val="yellow"/>
        </w:rPr>
        <w:t xml:space="preserve"> </w:t>
      </w:r>
      <w:r w:rsidRPr="003A3EEA">
        <w:rPr>
          <w:rFonts w:ascii="Calibri" w:hAnsi="Calibri"/>
          <w:highlight w:val="yellow"/>
        </w:rPr>
        <w:t xml:space="preserve">conical tube and </w:t>
      </w:r>
      <w:r w:rsidR="00D529D3" w:rsidRPr="003A3EEA">
        <w:rPr>
          <w:rFonts w:ascii="Calibri" w:hAnsi="Calibri"/>
          <w:highlight w:val="yellow"/>
        </w:rPr>
        <w:t xml:space="preserve">add </w:t>
      </w:r>
      <w:r w:rsidR="00CF028D" w:rsidRPr="003A3EEA">
        <w:rPr>
          <w:rFonts w:ascii="Calibri" w:hAnsi="Calibri"/>
          <w:highlight w:val="yellow"/>
        </w:rPr>
        <w:t>5</w:t>
      </w:r>
      <w:r w:rsidR="003A3EEA" w:rsidRPr="003A3EEA">
        <w:rPr>
          <w:rFonts w:ascii="Calibri" w:hAnsi="Calibri"/>
          <w:highlight w:val="yellow"/>
        </w:rPr>
        <w:t xml:space="preserve"> mL</w:t>
      </w:r>
      <w:r w:rsidR="00CC2DCD" w:rsidRPr="003A3EEA">
        <w:rPr>
          <w:rFonts w:ascii="Calibri" w:hAnsi="Calibri"/>
          <w:highlight w:val="yellow"/>
        </w:rPr>
        <w:t xml:space="preserve"> of s</w:t>
      </w:r>
      <w:r w:rsidR="00D529D3" w:rsidRPr="003A3EEA">
        <w:rPr>
          <w:rFonts w:ascii="Calibri" w:hAnsi="Calibri"/>
          <w:highlight w:val="yellow"/>
        </w:rPr>
        <w:t xml:space="preserve">terile water </w:t>
      </w:r>
      <w:r w:rsidR="00CF028D" w:rsidRPr="003A3EEA">
        <w:rPr>
          <w:rFonts w:ascii="Calibri" w:hAnsi="Calibri"/>
          <w:highlight w:val="yellow"/>
        </w:rPr>
        <w:t>or 5</w:t>
      </w:r>
      <w:r w:rsidR="003A3EEA" w:rsidRPr="003A3EEA">
        <w:rPr>
          <w:rFonts w:ascii="Calibri" w:hAnsi="Calibri"/>
          <w:highlight w:val="yellow"/>
        </w:rPr>
        <w:t xml:space="preserve"> mL</w:t>
      </w:r>
      <w:r w:rsidR="00CF028D" w:rsidRPr="003A3EEA">
        <w:rPr>
          <w:rFonts w:ascii="Calibri" w:hAnsi="Calibri"/>
          <w:highlight w:val="yellow"/>
        </w:rPr>
        <w:t xml:space="preserve"> of </w:t>
      </w:r>
      <w:r w:rsidR="00CC2DCD" w:rsidRPr="003A3EEA">
        <w:rPr>
          <w:rFonts w:ascii="Calibri" w:hAnsi="Calibri"/>
          <w:highlight w:val="yellow"/>
        </w:rPr>
        <w:t xml:space="preserve">sterile 0.9% </w:t>
      </w:r>
      <w:r w:rsidR="00CF028D" w:rsidRPr="003A3EEA">
        <w:rPr>
          <w:rFonts w:ascii="Calibri" w:hAnsi="Calibri"/>
          <w:highlight w:val="yellow"/>
        </w:rPr>
        <w:t>saline</w:t>
      </w:r>
      <w:r w:rsidRPr="003A3EEA">
        <w:rPr>
          <w:rFonts w:ascii="Calibri" w:hAnsi="Calibri"/>
          <w:highlight w:val="yellow"/>
        </w:rPr>
        <w:t>.</w:t>
      </w:r>
      <w:r w:rsidR="0091394B" w:rsidRPr="003A3EEA">
        <w:rPr>
          <w:rFonts w:ascii="Calibri" w:hAnsi="Calibri"/>
          <w:highlight w:val="yellow"/>
        </w:rPr>
        <w:t xml:space="preserve"> </w:t>
      </w:r>
      <w:r w:rsidRPr="003A3EEA">
        <w:rPr>
          <w:rFonts w:ascii="Calibri" w:hAnsi="Calibri"/>
          <w:highlight w:val="yellow"/>
        </w:rPr>
        <w:t>Vo</w:t>
      </w:r>
      <w:r w:rsidR="00D529D3" w:rsidRPr="003A3EEA">
        <w:rPr>
          <w:rFonts w:ascii="Calibri" w:hAnsi="Calibri"/>
          <w:highlight w:val="yellow"/>
        </w:rPr>
        <w:t xml:space="preserve">rtex until </w:t>
      </w:r>
      <w:r w:rsidRPr="003A3EEA">
        <w:rPr>
          <w:rFonts w:ascii="Calibri" w:hAnsi="Calibri"/>
          <w:highlight w:val="yellow"/>
        </w:rPr>
        <w:t xml:space="preserve">the </w:t>
      </w:r>
      <w:r w:rsidR="00D529D3" w:rsidRPr="003A3EEA">
        <w:rPr>
          <w:rFonts w:ascii="Calibri" w:hAnsi="Calibri"/>
          <w:highlight w:val="yellow"/>
        </w:rPr>
        <w:t>solution is clear.</w:t>
      </w:r>
      <w:r w:rsidR="004D3C57" w:rsidRPr="003A3EEA">
        <w:rPr>
          <w:rFonts w:ascii="Calibri" w:hAnsi="Calibri"/>
          <w:highlight w:val="yellow"/>
        </w:rPr>
        <w:t xml:space="preserve"> </w:t>
      </w:r>
    </w:p>
    <w:p w14:paraId="6E389AB4" w14:textId="77777777" w:rsidR="00F3143F" w:rsidRPr="003A3EEA" w:rsidRDefault="00F3143F" w:rsidP="003A3EEA">
      <w:pPr>
        <w:pStyle w:val="ListParagraph"/>
        <w:ind w:left="0"/>
        <w:rPr>
          <w:rFonts w:ascii="Calibri" w:hAnsi="Calibri"/>
        </w:rPr>
      </w:pPr>
    </w:p>
    <w:p w14:paraId="1E849F26" w14:textId="03647C77" w:rsidR="004566C1" w:rsidRPr="003A3EEA" w:rsidRDefault="00CF028D" w:rsidP="003A3EEA">
      <w:pPr>
        <w:rPr>
          <w:rFonts w:ascii="Calibri" w:hAnsi="Calibri"/>
        </w:rPr>
      </w:pPr>
      <w:r w:rsidRPr="003A3EEA">
        <w:rPr>
          <w:rFonts w:ascii="Calibri" w:hAnsi="Calibri"/>
        </w:rPr>
        <w:t>If CNO does not dissolve into solution or if more concentrated solutions of CNO are desired</w:t>
      </w:r>
      <w:r w:rsidR="0091394B" w:rsidRPr="003A3EEA">
        <w:rPr>
          <w:rFonts w:ascii="Calibri" w:hAnsi="Calibri"/>
        </w:rPr>
        <w:t xml:space="preserve"> </w:t>
      </w:r>
      <w:r w:rsidR="00D529D3" w:rsidRPr="003A3EEA">
        <w:rPr>
          <w:rFonts w:ascii="Calibri" w:hAnsi="Calibri"/>
        </w:rPr>
        <w:t>add a solubilizing agent, such as DMSO</w:t>
      </w:r>
      <w:r w:rsidR="00CA758E" w:rsidRPr="003A3EEA">
        <w:rPr>
          <w:rFonts w:ascii="Calibri" w:hAnsi="Calibri"/>
          <w:vertAlign w:val="superscript"/>
        </w:rPr>
        <w:t>23</w:t>
      </w:r>
      <w:r w:rsidR="00D529D3" w:rsidRPr="003A3EEA">
        <w:rPr>
          <w:rFonts w:ascii="Calibri" w:hAnsi="Calibri"/>
        </w:rPr>
        <w:t>.</w:t>
      </w:r>
      <w:r w:rsidR="0091394B" w:rsidRPr="003A3EEA">
        <w:rPr>
          <w:rFonts w:ascii="Calibri" w:hAnsi="Calibri"/>
        </w:rPr>
        <w:t xml:space="preserve"> </w:t>
      </w:r>
      <w:r w:rsidR="00F84796" w:rsidRPr="003A3EEA">
        <w:rPr>
          <w:rFonts w:ascii="Calibri" w:hAnsi="Calibri"/>
        </w:rPr>
        <w:t>Specifically, to prepare a 1</w:t>
      </w:r>
      <w:r w:rsidR="000E6E83" w:rsidRPr="003A3EEA">
        <w:rPr>
          <w:rFonts w:ascii="Calibri" w:hAnsi="Calibri"/>
        </w:rPr>
        <w:t xml:space="preserve"> </w:t>
      </w:r>
      <w:r w:rsidR="00F84796" w:rsidRPr="003A3EEA">
        <w:rPr>
          <w:rFonts w:ascii="Calibri" w:hAnsi="Calibri"/>
        </w:rPr>
        <w:t>mg/m</w:t>
      </w:r>
      <w:r w:rsidR="00F3143F" w:rsidRPr="003A3EEA">
        <w:rPr>
          <w:rFonts w:ascii="Calibri" w:hAnsi="Calibri"/>
        </w:rPr>
        <w:t>l</w:t>
      </w:r>
      <w:r w:rsidR="00F84796" w:rsidRPr="003A3EEA">
        <w:rPr>
          <w:rFonts w:ascii="Calibri" w:hAnsi="Calibri"/>
        </w:rPr>
        <w:t xml:space="preserve"> solution of CNO with 0.5% DMSO, weigh </w:t>
      </w:r>
      <w:r w:rsidRPr="003A3EEA">
        <w:rPr>
          <w:rFonts w:ascii="Calibri" w:hAnsi="Calibri"/>
        </w:rPr>
        <w:t>5</w:t>
      </w:r>
      <w:r w:rsidR="00F84796" w:rsidRPr="003A3EEA">
        <w:rPr>
          <w:rFonts w:ascii="Calibri" w:hAnsi="Calibri"/>
        </w:rPr>
        <w:t>.0 mg of CNO and add 25</w:t>
      </w:r>
      <w:r w:rsidRPr="003A3EEA">
        <w:rPr>
          <w:rFonts w:ascii="Calibri" w:hAnsi="Calibri"/>
        </w:rPr>
        <w:t xml:space="preserve"> </w:t>
      </w:r>
      <w:r w:rsidR="003A3EEA" w:rsidRPr="003A3EEA">
        <w:rPr>
          <w:rFonts w:ascii="Calibri" w:hAnsi="Calibri"/>
        </w:rPr>
        <w:t>µL</w:t>
      </w:r>
      <w:r w:rsidRPr="003A3EEA">
        <w:rPr>
          <w:rFonts w:ascii="Calibri" w:hAnsi="Calibri"/>
        </w:rPr>
        <w:t xml:space="preserve"> of DMSO to a 15</w:t>
      </w:r>
      <w:r w:rsidR="003A3EEA" w:rsidRPr="003A3EEA">
        <w:rPr>
          <w:rFonts w:ascii="Calibri" w:hAnsi="Calibri"/>
        </w:rPr>
        <w:t xml:space="preserve"> mL</w:t>
      </w:r>
      <w:r w:rsidRPr="003A3EEA">
        <w:rPr>
          <w:rFonts w:ascii="Calibri" w:hAnsi="Calibri"/>
        </w:rPr>
        <w:t xml:space="preserve"> conical tube.</w:t>
      </w:r>
      <w:r w:rsidR="0091394B" w:rsidRPr="003A3EEA">
        <w:rPr>
          <w:rFonts w:ascii="Calibri" w:hAnsi="Calibri"/>
        </w:rPr>
        <w:t xml:space="preserve"> </w:t>
      </w:r>
      <w:r w:rsidRPr="003A3EEA">
        <w:rPr>
          <w:rFonts w:ascii="Calibri" w:hAnsi="Calibri"/>
        </w:rPr>
        <w:t>Flick gently ensuring that the contents remain at the base of the tube.</w:t>
      </w:r>
      <w:r w:rsidR="0091394B" w:rsidRPr="003A3EEA">
        <w:rPr>
          <w:rFonts w:ascii="Calibri" w:hAnsi="Calibri"/>
        </w:rPr>
        <w:t xml:space="preserve"> </w:t>
      </w:r>
      <w:r w:rsidRPr="003A3EEA">
        <w:rPr>
          <w:rFonts w:ascii="Calibri" w:hAnsi="Calibri"/>
        </w:rPr>
        <w:t>When the solution becomes clear, add 5</w:t>
      </w:r>
      <w:r w:rsidR="003A3EEA" w:rsidRPr="003A3EEA">
        <w:rPr>
          <w:rFonts w:ascii="Calibri" w:hAnsi="Calibri"/>
        </w:rPr>
        <w:t xml:space="preserve"> mL</w:t>
      </w:r>
      <w:r w:rsidRPr="003A3EEA">
        <w:rPr>
          <w:rFonts w:ascii="Calibri" w:hAnsi="Calibri"/>
        </w:rPr>
        <w:t xml:space="preserve"> of sterile water or </w:t>
      </w:r>
      <w:r w:rsidR="00CC2DCD" w:rsidRPr="003A3EEA">
        <w:rPr>
          <w:rFonts w:ascii="Calibri" w:hAnsi="Calibri"/>
        </w:rPr>
        <w:t>5</w:t>
      </w:r>
      <w:r w:rsidR="003A3EEA" w:rsidRPr="003A3EEA">
        <w:rPr>
          <w:rFonts w:ascii="Calibri" w:hAnsi="Calibri"/>
        </w:rPr>
        <w:t xml:space="preserve"> mL</w:t>
      </w:r>
      <w:r w:rsidR="00CC2DCD" w:rsidRPr="003A3EEA">
        <w:rPr>
          <w:rFonts w:ascii="Calibri" w:hAnsi="Calibri"/>
        </w:rPr>
        <w:t xml:space="preserve"> of </w:t>
      </w:r>
      <w:r w:rsidRPr="003A3EEA">
        <w:rPr>
          <w:rFonts w:ascii="Calibri" w:hAnsi="Calibri"/>
        </w:rPr>
        <w:t>sterile 0.9% saline.</w:t>
      </w:r>
      <w:r w:rsidR="0091394B" w:rsidRPr="003A3EEA">
        <w:rPr>
          <w:rFonts w:ascii="Calibri" w:hAnsi="Calibri"/>
        </w:rPr>
        <w:t xml:space="preserve"> </w:t>
      </w:r>
      <w:r w:rsidR="004566C1" w:rsidRPr="003A3EEA">
        <w:rPr>
          <w:rFonts w:ascii="Calibri" w:hAnsi="Calibri"/>
        </w:rPr>
        <w:t xml:space="preserve"> Further instructions for preparing solutions of CNO are available on the DREADD wiki resource page</w:t>
      </w:r>
      <w:r w:rsidR="004566C1" w:rsidRPr="003A3EEA">
        <w:rPr>
          <w:rFonts w:ascii="Calibri" w:hAnsi="Calibri"/>
          <w:vertAlign w:val="superscript"/>
        </w:rPr>
        <w:t>25</w:t>
      </w:r>
    </w:p>
    <w:p w14:paraId="1FBE74D1" w14:textId="15E5734A" w:rsidR="00F3143F" w:rsidRPr="003A3EEA" w:rsidRDefault="00F3143F" w:rsidP="003A3EEA">
      <w:pPr>
        <w:pStyle w:val="ListParagraph"/>
        <w:numPr>
          <w:ilvl w:val="2"/>
          <w:numId w:val="11"/>
        </w:numPr>
        <w:ind w:left="0" w:firstLine="0"/>
        <w:rPr>
          <w:rFonts w:ascii="Calibri" w:hAnsi="Calibri"/>
        </w:rPr>
      </w:pPr>
    </w:p>
    <w:p w14:paraId="3F4C655A" w14:textId="77777777" w:rsidR="00F3143F" w:rsidRPr="003A3EEA" w:rsidRDefault="00F3143F" w:rsidP="003A3EEA">
      <w:pPr>
        <w:pStyle w:val="ListParagraph"/>
        <w:ind w:left="0"/>
        <w:rPr>
          <w:rFonts w:ascii="Calibri" w:hAnsi="Calibri"/>
        </w:rPr>
      </w:pPr>
    </w:p>
    <w:p w14:paraId="4D456B2F" w14:textId="68944679" w:rsidR="00D529D3" w:rsidRPr="003A3EEA" w:rsidRDefault="00F84796" w:rsidP="003A3EEA">
      <w:pPr>
        <w:pStyle w:val="ListParagraph"/>
        <w:numPr>
          <w:ilvl w:val="2"/>
          <w:numId w:val="11"/>
        </w:numPr>
        <w:ind w:left="0" w:firstLine="0"/>
        <w:rPr>
          <w:rFonts w:ascii="Calibri" w:hAnsi="Calibri"/>
          <w:highlight w:val="yellow"/>
        </w:rPr>
      </w:pPr>
      <w:r w:rsidRPr="003A3EEA">
        <w:rPr>
          <w:rFonts w:ascii="Calibri" w:hAnsi="Calibri"/>
          <w:highlight w:val="yellow"/>
        </w:rPr>
        <w:t>Prepare a new CNO solution each day that it is administered.</w:t>
      </w:r>
    </w:p>
    <w:p w14:paraId="25F06ABC" w14:textId="79EA0D1A" w:rsidR="00D529D3" w:rsidRPr="003A3EEA" w:rsidRDefault="00D529D3" w:rsidP="003A3EEA">
      <w:pPr>
        <w:pStyle w:val="ListParagraph"/>
        <w:ind w:left="0"/>
        <w:rPr>
          <w:rFonts w:ascii="Calibri" w:hAnsi="Calibri"/>
          <w:highlight w:val="yellow"/>
        </w:rPr>
      </w:pPr>
    </w:p>
    <w:p w14:paraId="1F4D44E7" w14:textId="1A32F464" w:rsidR="000B5F3C" w:rsidRPr="003A3EEA" w:rsidRDefault="00764CEC" w:rsidP="003A3EEA">
      <w:pPr>
        <w:pStyle w:val="ListParagraph"/>
        <w:numPr>
          <w:ilvl w:val="1"/>
          <w:numId w:val="11"/>
        </w:numPr>
        <w:ind w:left="0" w:firstLine="0"/>
        <w:rPr>
          <w:rFonts w:ascii="Calibri" w:hAnsi="Calibri"/>
          <w:highlight w:val="yellow"/>
        </w:rPr>
      </w:pPr>
      <w:r w:rsidRPr="003A3EEA">
        <w:rPr>
          <w:rFonts w:ascii="Calibri" w:hAnsi="Calibri"/>
          <w:highlight w:val="yellow"/>
        </w:rPr>
        <w:t>I</w:t>
      </w:r>
      <w:r w:rsidR="00345606" w:rsidRPr="003A3EEA">
        <w:rPr>
          <w:rFonts w:ascii="Calibri" w:hAnsi="Calibri"/>
          <w:highlight w:val="yellow"/>
        </w:rPr>
        <w:t>nject</w:t>
      </w:r>
      <w:r w:rsidR="000B5F3C" w:rsidRPr="003A3EEA">
        <w:rPr>
          <w:rFonts w:ascii="Calibri" w:hAnsi="Calibri"/>
          <w:highlight w:val="yellow"/>
        </w:rPr>
        <w:t xml:space="preserve"> </w:t>
      </w:r>
      <w:r w:rsidRPr="003A3EEA">
        <w:rPr>
          <w:rFonts w:ascii="Calibri" w:hAnsi="Calibri"/>
          <w:highlight w:val="yellow"/>
        </w:rPr>
        <w:t xml:space="preserve">the CNO </w:t>
      </w:r>
      <w:r w:rsidR="000B5F3C" w:rsidRPr="003A3EEA">
        <w:rPr>
          <w:rFonts w:ascii="Calibri" w:hAnsi="Calibri"/>
          <w:highlight w:val="yellow"/>
        </w:rPr>
        <w:t>intraperitoneally at a dose of 1</w:t>
      </w:r>
      <w:r w:rsidRPr="003A3EEA">
        <w:rPr>
          <w:rFonts w:ascii="Calibri" w:hAnsi="Calibri"/>
          <w:highlight w:val="yellow"/>
        </w:rPr>
        <w:t xml:space="preserve"> </w:t>
      </w:r>
      <w:r w:rsidR="000B5F3C" w:rsidRPr="003A3EEA">
        <w:rPr>
          <w:rFonts w:ascii="Calibri" w:hAnsi="Calibri"/>
          <w:highlight w:val="yellow"/>
        </w:rPr>
        <w:t>mg/kg</w:t>
      </w:r>
      <w:r w:rsidRPr="003A3EEA">
        <w:rPr>
          <w:rFonts w:ascii="Calibri" w:hAnsi="Calibri"/>
          <w:highlight w:val="yellow"/>
        </w:rPr>
        <w:t xml:space="preserve"> </w:t>
      </w:r>
      <w:r w:rsidR="00345606" w:rsidRPr="003A3EEA">
        <w:rPr>
          <w:rFonts w:ascii="Calibri" w:hAnsi="Calibri"/>
          <w:highlight w:val="yellow"/>
        </w:rPr>
        <w:t xml:space="preserve">approximately </w:t>
      </w:r>
      <w:r w:rsidR="000E6E83" w:rsidRPr="003A3EEA">
        <w:rPr>
          <w:rFonts w:ascii="Calibri" w:hAnsi="Calibri"/>
          <w:highlight w:val="yellow"/>
        </w:rPr>
        <w:t xml:space="preserve">30 </w:t>
      </w:r>
      <w:r w:rsidR="000B5F3C" w:rsidRPr="003A3EEA">
        <w:rPr>
          <w:rFonts w:ascii="Calibri" w:hAnsi="Calibri"/>
          <w:highlight w:val="yellow"/>
        </w:rPr>
        <w:t>min prior to behavioral testing.</w:t>
      </w:r>
      <w:r w:rsidR="0091394B" w:rsidRPr="003A3EEA">
        <w:rPr>
          <w:rFonts w:ascii="Calibri" w:hAnsi="Calibri"/>
          <w:highlight w:val="yellow"/>
        </w:rPr>
        <w:t xml:space="preserve"> </w:t>
      </w:r>
      <w:r w:rsidR="00CF028D" w:rsidRPr="003A3EEA">
        <w:rPr>
          <w:rFonts w:ascii="Calibri" w:hAnsi="Calibri"/>
          <w:highlight w:val="yellow"/>
        </w:rPr>
        <w:t>For example, inject</w:t>
      </w:r>
      <w:r w:rsidR="00F84796" w:rsidRPr="003A3EEA">
        <w:rPr>
          <w:rFonts w:ascii="Calibri" w:hAnsi="Calibri"/>
          <w:highlight w:val="yellow"/>
        </w:rPr>
        <w:t xml:space="preserve"> a 200 g rat with 0.2</w:t>
      </w:r>
      <w:r w:rsidR="003A3EEA" w:rsidRPr="003A3EEA">
        <w:rPr>
          <w:rFonts w:ascii="Calibri" w:hAnsi="Calibri"/>
          <w:highlight w:val="yellow"/>
        </w:rPr>
        <w:t xml:space="preserve"> mL</w:t>
      </w:r>
      <w:r w:rsidR="00CF028D" w:rsidRPr="003A3EEA">
        <w:rPr>
          <w:rFonts w:ascii="Calibri" w:hAnsi="Calibri"/>
          <w:highlight w:val="yellow"/>
        </w:rPr>
        <w:t xml:space="preserve"> of </w:t>
      </w:r>
      <w:r w:rsidR="00F84796" w:rsidRPr="003A3EEA">
        <w:rPr>
          <w:rFonts w:ascii="Calibri" w:hAnsi="Calibri"/>
          <w:highlight w:val="yellow"/>
        </w:rPr>
        <w:t>the 1 mg/</w:t>
      </w:r>
      <w:r w:rsidR="003A3EEA" w:rsidRPr="003A3EEA">
        <w:rPr>
          <w:rFonts w:ascii="Calibri" w:hAnsi="Calibri"/>
          <w:highlight w:val="yellow"/>
        </w:rPr>
        <w:t>m</w:t>
      </w:r>
      <w:r w:rsidR="003A3EEA" w:rsidRPr="003A3EEA">
        <w:rPr>
          <w:rFonts w:ascii="Calibri" w:hAnsi="Calibri"/>
          <w:highlight w:val="yellow"/>
        </w:rPr>
        <w:t>L</w:t>
      </w:r>
      <w:r w:rsidR="003A3EEA" w:rsidRPr="003A3EEA">
        <w:rPr>
          <w:rFonts w:ascii="Calibri" w:hAnsi="Calibri"/>
          <w:highlight w:val="yellow"/>
        </w:rPr>
        <w:t xml:space="preserve"> </w:t>
      </w:r>
      <w:r w:rsidR="00F84796" w:rsidRPr="003A3EEA">
        <w:rPr>
          <w:rFonts w:ascii="Calibri" w:hAnsi="Calibri"/>
          <w:highlight w:val="yellow"/>
        </w:rPr>
        <w:t>CNO solution.</w:t>
      </w:r>
      <w:r w:rsidR="00F45227" w:rsidRPr="003A3EEA">
        <w:rPr>
          <w:rFonts w:ascii="Calibri" w:hAnsi="Calibri"/>
          <w:highlight w:val="yellow"/>
        </w:rPr>
        <w:t xml:space="preserve">  The dose and time course of CNO administration were selected based on previously published reports</w:t>
      </w:r>
      <w:r w:rsidR="00F45227" w:rsidRPr="003A3EEA">
        <w:rPr>
          <w:rFonts w:ascii="Calibri" w:hAnsi="Calibri"/>
          <w:highlight w:val="yellow"/>
          <w:vertAlign w:val="superscript"/>
        </w:rPr>
        <w:t>2, 12</w:t>
      </w:r>
      <w:r w:rsidR="003A3EEA" w:rsidRPr="003A3EEA">
        <w:rPr>
          <w:rFonts w:ascii="Calibri" w:hAnsi="Calibri"/>
          <w:highlight w:val="yellow"/>
        </w:rPr>
        <w:t>.</w:t>
      </w:r>
    </w:p>
    <w:p w14:paraId="25ED160D" w14:textId="77777777" w:rsidR="000B5F3C" w:rsidRPr="003A3EEA" w:rsidRDefault="000B5F3C" w:rsidP="003A3EEA">
      <w:pPr>
        <w:rPr>
          <w:rFonts w:ascii="Calibri" w:hAnsi="Calibri" w:cs="Arial"/>
        </w:rPr>
      </w:pPr>
    </w:p>
    <w:p w14:paraId="7186C80E" w14:textId="2FD663D7" w:rsidR="007A2F81" w:rsidRPr="003A3EEA" w:rsidRDefault="000B5F3C" w:rsidP="003A3EEA">
      <w:pPr>
        <w:pStyle w:val="ListParagraph"/>
        <w:numPr>
          <w:ilvl w:val="2"/>
          <w:numId w:val="11"/>
        </w:numPr>
        <w:ind w:left="0" w:firstLine="0"/>
        <w:rPr>
          <w:rFonts w:ascii="Calibri" w:hAnsi="Calibri" w:cs="Arial"/>
        </w:rPr>
      </w:pPr>
      <w:r w:rsidRPr="003A3EEA">
        <w:rPr>
          <w:rFonts w:ascii="Calibri" w:hAnsi="Calibri" w:cs="Arial"/>
        </w:rPr>
        <w:t>I</w:t>
      </w:r>
      <w:r w:rsidR="00D520A5" w:rsidRPr="003A3EEA">
        <w:rPr>
          <w:rFonts w:ascii="Calibri" w:hAnsi="Calibri" w:cs="Arial"/>
        </w:rPr>
        <w:t xml:space="preserve">nject </w:t>
      </w:r>
      <w:r w:rsidRPr="003A3EEA">
        <w:rPr>
          <w:rFonts w:ascii="Calibri" w:hAnsi="Calibri" w:cs="Arial"/>
        </w:rPr>
        <w:t>CNO 30 min prior to each preconditioning session (</w:t>
      </w:r>
      <w:r w:rsidR="006D68BB" w:rsidRPr="003A3EEA">
        <w:rPr>
          <w:rFonts w:ascii="Calibri" w:hAnsi="Calibri" w:cs="Arial"/>
        </w:rPr>
        <w:t>Phase 1</w:t>
      </w:r>
      <w:r w:rsidR="00922448" w:rsidRPr="003A3EEA">
        <w:rPr>
          <w:rFonts w:ascii="Calibri" w:hAnsi="Calibri" w:cs="Arial"/>
        </w:rPr>
        <w:t>;</w:t>
      </w:r>
      <w:r w:rsidR="006D68BB" w:rsidRPr="003A3EEA">
        <w:rPr>
          <w:rFonts w:ascii="Calibri" w:hAnsi="Calibri" w:cs="Arial"/>
        </w:rPr>
        <w:t xml:space="preserve"> </w:t>
      </w:r>
      <w:r w:rsidRPr="003A3EEA">
        <w:rPr>
          <w:rFonts w:ascii="Calibri" w:hAnsi="Calibri" w:cs="Arial"/>
        </w:rPr>
        <w:t>total of 4 days of injections)</w:t>
      </w:r>
      <w:r w:rsidR="00095DAF" w:rsidRPr="003A3EEA">
        <w:rPr>
          <w:rFonts w:ascii="Calibri" w:hAnsi="Calibri" w:cs="Arial"/>
        </w:rPr>
        <w:t xml:space="preserve"> </w:t>
      </w:r>
      <w:r w:rsidRPr="003A3EEA">
        <w:rPr>
          <w:rFonts w:ascii="Calibri" w:hAnsi="Calibri" w:cs="Arial"/>
        </w:rPr>
        <w:t xml:space="preserve">but </w:t>
      </w:r>
      <w:r w:rsidR="00D520A5" w:rsidRPr="003A3EEA">
        <w:rPr>
          <w:rFonts w:ascii="Calibri" w:hAnsi="Calibri" w:cs="Arial"/>
        </w:rPr>
        <w:t xml:space="preserve">administer the </w:t>
      </w:r>
      <w:r w:rsidR="00764CEC" w:rsidRPr="003A3EEA">
        <w:rPr>
          <w:rFonts w:ascii="Calibri" w:hAnsi="Calibri" w:cs="Arial"/>
        </w:rPr>
        <w:t xml:space="preserve">vehicle </w:t>
      </w:r>
      <w:r w:rsidR="00881769" w:rsidRPr="003A3EEA">
        <w:rPr>
          <w:rFonts w:ascii="Calibri" w:hAnsi="Calibri" w:cs="Arial"/>
        </w:rPr>
        <w:t>prior to</w:t>
      </w:r>
      <w:r w:rsidRPr="003A3EEA">
        <w:rPr>
          <w:rFonts w:ascii="Calibri" w:hAnsi="Calibri" w:cs="Arial"/>
        </w:rPr>
        <w:t xml:space="preserve"> </w:t>
      </w:r>
      <w:r w:rsidR="004566C1" w:rsidRPr="003A3EEA">
        <w:rPr>
          <w:rFonts w:ascii="Calibri" w:hAnsi="Calibri" w:cs="Arial"/>
        </w:rPr>
        <w:t xml:space="preserve">all </w:t>
      </w:r>
      <w:r w:rsidRPr="003A3EEA">
        <w:rPr>
          <w:rFonts w:ascii="Calibri" w:hAnsi="Calibri" w:cs="Arial"/>
        </w:rPr>
        <w:t>subsequent behavioral sessions.</w:t>
      </w:r>
      <w:r w:rsidR="004D3C57" w:rsidRPr="003A3EEA">
        <w:rPr>
          <w:rFonts w:ascii="Calibri" w:hAnsi="Calibri" w:cs="Arial"/>
        </w:rPr>
        <w:t xml:space="preserve"> </w:t>
      </w:r>
    </w:p>
    <w:p w14:paraId="6922D006" w14:textId="77777777" w:rsidR="00D529D3" w:rsidRPr="003A3EEA" w:rsidRDefault="00D529D3" w:rsidP="003A3EEA">
      <w:pPr>
        <w:rPr>
          <w:rFonts w:ascii="Calibri" w:hAnsi="Calibri" w:cs="Arial"/>
        </w:rPr>
      </w:pPr>
    </w:p>
    <w:p w14:paraId="72EF9C00" w14:textId="6FF344C6" w:rsidR="00D529D3" w:rsidRPr="003A3EEA" w:rsidRDefault="00345606" w:rsidP="003A3EEA">
      <w:pPr>
        <w:pStyle w:val="ListParagraph"/>
        <w:numPr>
          <w:ilvl w:val="1"/>
          <w:numId w:val="11"/>
        </w:numPr>
        <w:ind w:left="0" w:firstLine="0"/>
        <w:rPr>
          <w:rFonts w:ascii="Calibri" w:hAnsi="Calibri"/>
          <w:highlight w:val="yellow"/>
        </w:rPr>
      </w:pPr>
      <w:r w:rsidRPr="003A3EEA">
        <w:rPr>
          <w:rFonts w:ascii="Calibri" w:hAnsi="Calibri"/>
          <w:highlight w:val="yellow"/>
        </w:rPr>
        <w:t>After 30 min</w:t>
      </w:r>
      <w:r w:rsidR="00922448" w:rsidRPr="003A3EEA">
        <w:rPr>
          <w:rFonts w:ascii="Calibri" w:hAnsi="Calibri"/>
          <w:highlight w:val="yellow"/>
        </w:rPr>
        <w:t>,</w:t>
      </w:r>
      <w:r w:rsidRPr="003A3EEA">
        <w:rPr>
          <w:rFonts w:ascii="Calibri" w:hAnsi="Calibri"/>
          <w:highlight w:val="yellow"/>
        </w:rPr>
        <w:t xml:space="preserve"> </w:t>
      </w:r>
      <w:r w:rsidR="00CC67C9" w:rsidRPr="003A3EEA">
        <w:rPr>
          <w:rFonts w:ascii="Calibri" w:hAnsi="Calibri"/>
          <w:highlight w:val="yellow"/>
        </w:rPr>
        <w:t xml:space="preserve">place the rats </w:t>
      </w:r>
      <w:r w:rsidRPr="003A3EEA">
        <w:rPr>
          <w:rFonts w:ascii="Calibri" w:hAnsi="Calibri"/>
          <w:highlight w:val="yellow"/>
        </w:rPr>
        <w:t>into the behavioral testing chambers and initiate the computer code for the appropriate behavioral session.</w:t>
      </w:r>
    </w:p>
    <w:p w14:paraId="17D80520" w14:textId="77777777" w:rsidR="0054176E" w:rsidRPr="003A3EEA" w:rsidRDefault="0054176E" w:rsidP="003A3EEA">
      <w:pPr>
        <w:pStyle w:val="ListParagraph"/>
        <w:ind w:left="0"/>
        <w:rPr>
          <w:rFonts w:ascii="Calibri" w:hAnsi="Calibri"/>
          <w:highlight w:val="yellow"/>
        </w:rPr>
      </w:pPr>
    </w:p>
    <w:p w14:paraId="1AC6F6A3" w14:textId="62A25E7B" w:rsidR="0054176E" w:rsidRPr="003A3EEA" w:rsidRDefault="00345606" w:rsidP="003A3EEA">
      <w:pPr>
        <w:pStyle w:val="ListParagraph"/>
        <w:numPr>
          <w:ilvl w:val="1"/>
          <w:numId w:val="11"/>
        </w:numPr>
        <w:ind w:left="0" w:firstLine="0"/>
        <w:rPr>
          <w:rFonts w:ascii="Calibri" w:hAnsi="Calibri"/>
          <w:highlight w:val="yellow"/>
        </w:rPr>
      </w:pPr>
      <w:r w:rsidRPr="003A3EEA">
        <w:rPr>
          <w:rFonts w:ascii="Calibri" w:hAnsi="Calibri"/>
          <w:highlight w:val="yellow"/>
        </w:rPr>
        <w:t>Upon completion of the behavioral task</w:t>
      </w:r>
      <w:r w:rsidR="0054176E" w:rsidRPr="003A3EEA">
        <w:rPr>
          <w:rFonts w:ascii="Calibri" w:hAnsi="Calibri"/>
          <w:highlight w:val="yellow"/>
        </w:rPr>
        <w:t xml:space="preserve">, immediately </w:t>
      </w:r>
      <w:r w:rsidRPr="003A3EEA">
        <w:rPr>
          <w:rFonts w:ascii="Calibri" w:hAnsi="Calibri"/>
          <w:highlight w:val="yellow"/>
        </w:rPr>
        <w:t xml:space="preserve">remove the rats from the chambers and </w:t>
      </w:r>
      <w:r w:rsidR="0054176E" w:rsidRPr="003A3EEA">
        <w:rPr>
          <w:rFonts w:ascii="Calibri" w:hAnsi="Calibri"/>
          <w:highlight w:val="yellow"/>
        </w:rPr>
        <w:t xml:space="preserve">return the rats to the animal colony. </w:t>
      </w:r>
    </w:p>
    <w:p w14:paraId="3EB9EEF4" w14:textId="77777777" w:rsidR="004A46D6" w:rsidRPr="003A3EEA" w:rsidRDefault="004A46D6" w:rsidP="003A3EEA">
      <w:pPr>
        <w:rPr>
          <w:rFonts w:ascii="Calibri" w:hAnsi="Calibri"/>
        </w:rPr>
      </w:pPr>
    </w:p>
    <w:p w14:paraId="0526CCFD" w14:textId="183131B2" w:rsidR="004A46D6" w:rsidRPr="003A3EEA" w:rsidRDefault="00257D72" w:rsidP="003A3EEA">
      <w:pPr>
        <w:pStyle w:val="ListParagraph"/>
        <w:numPr>
          <w:ilvl w:val="0"/>
          <w:numId w:val="11"/>
        </w:numPr>
        <w:ind w:left="0" w:firstLine="0"/>
        <w:rPr>
          <w:rFonts w:ascii="Calibri" w:hAnsi="Calibri" w:cs="Arial"/>
          <w:b/>
        </w:rPr>
      </w:pPr>
      <w:r w:rsidRPr="003A3EEA">
        <w:rPr>
          <w:rFonts w:ascii="Calibri" w:hAnsi="Calibri" w:cs="Arial"/>
          <w:b/>
        </w:rPr>
        <w:t>Analyses</w:t>
      </w:r>
      <w:r w:rsidR="004A46D6" w:rsidRPr="003A3EEA">
        <w:rPr>
          <w:rFonts w:ascii="Calibri" w:hAnsi="Calibri" w:cs="Arial"/>
          <w:b/>
        </w:rPr>
        <w:t xml:space="preserve"> of Behavioral </w:t>
      </w:r>
      <w:r w:rsidR="00C065C5" w:rsidRPr="003A3EEA">
        <w:rPr>
          <w:rFonts w:ascii="Calibri" w:hAnsi="Calibri" w:cs="Arial"/>
          <w:b/>
        </w:rPr>
        <w:t>D</w:t>
      </w:r>
      <w:r w:rsidR="004A46D6" w:rsidRPr="003A3EEA">
        <w:rPr>
          <w:rFonts w:ascii="Calibri" w:hAnsi="Calibri" w:cs="Arial"/>
          <w:b/>
        </w:rPr>
        <w:t>ata</w:t>
      </w:r>
    </w:p>
    <w:p w14:paraId="4AF9097D" w14:textId="77777777" w:rsidR="000431FD" w:rsidRPr="003A3EEA" w:rsidRDefault="000431FD" w:rsidP="003A3EEA">
      <w:pPr>
        <w:pStyle w:val="ListParagraph"/>
        <w:ind w:left="0"/>
        <w:rPr>
          <w:rFonts w:ascii="Calibri" w:hAnsi="Calibri" w:cs="Arial"/>
          <w:b/>
        </w:rPr>
      </w:pPr>
    </w:p>
    <w:p w14:paraId="4354C892" w14:textId="0436F8A6" w:rsidR="000431FD" w:rsidRPr="003A3EEA" w:rsidRDefault="000E6E83" w:rsidP="003A3EEA">
      <w:pPr>
        <w:pStyle w:val="ListParagraph"/>
        <w:ind w:left="0"/>
        <w:rPr>
          <w:rFonts w:ascii="Calibri" w:hAnsi="Calibri" w:cs="Arial"/>
        </w:rPr>
      </w:pPr>
      <w:r w:rsidRPr="003A3EEA">
        <w:rPr>
          <w:rFonts w:ascii="Calibri" w:hAnsi="Calibri" w:cs="Arial"/>
        </w:rPr>
        <w:t>NOTE:</w:t>
      </w:r>
      <w:r w:rsidR="0091394B" w:rsidRPr="003A3EEA">
        <w:rPr>
          <w:rFonts w:ascii="Calibri" w:hAnsi="Calibri" w:cs="Arial"/>
        </w:rPr>
        <w:t xml:space="preserve"> </w:t>
      </w:r>
      <w:r w:rsidRPr="003A3EEA">
        <w:rPr>
          <w:rFonts w:ascii="Calibri" w:hAnsi="Calibri" w:cs="Arial"/>
        </w:rPr>
        <w:t xml:space="preserve">The </w:t>
      </w:r>
      <w:r w:rsidR="000431FD" w:rsidRPr="003A3EEA">
        <w:rPr>
          <w:rFonts w:ascii="Calibri" w:hAnsi="Calibri" w:cs="Arial"/>
        </w:rPr>
        <w:t>dependent variable for all behavioral sessions is the amount of time that the rat’s head is inside the food cup as detected by interruption of the infrared photocells in the food cup.</w:t>
      </w:r>
      <w:r w:rsidR="0091394B" w:rsidRPr="003A3EEA">
        <w:rPr>
          <w:rFonts w:ascii="Calibri" w:hAnsi="Calibri" w:cs="Arial"/>
        </w:rPr>
        <w:t xml:space="preserve"> </w:t>
      </w:r>
      <w:r w:rsidR="000431FD" w:rsidRPr="003A3EEA">
        <w:rPr>
          <w:rFonts w:ascii="Calibri" w:hAnsi="Calibri" w:cs="Arial"/>
        </w:rPr>
        <w:t xml:space="preserve">The data (in sec) are collected and </w:t>
      </w:r>
      <w:r w:rsidR="00F3143F" w:rsidRPr="003A3EEA">
        <w:rPr>
          <w:rFonts w:ascii="Calibri" w:hAnsi="Calibri" w:cs="Arial"/>
        </w:rPr>
        <w:t>recorded by the computer software.</w:t>
      </w:r>
      <w:r w:rsidR="000431FD" w:rsidRPr="003A3EEA">
        <w:rPr>
          <w:rFonts w:ascii="Calibri" w:hAnsi="Calibri" w:cs="Arial"/>
        </w:rPr>
        <w:t xml:space="preserve"> </w:t>
      </w:r>
    </w:p>
    <w:p w14:paraId="1B9AA113" w14:textId="77777777" w:rsidR="000431FD" w:rsidRPr="003A3EEA" w:rsidRDefault="000431FD" w:rsidP="003A3EEA">
      <w:pPr>
        <w:rPr>
          <w:rFonts w:ascii="Calibri" w:hAnsi="Calibri"/>
          <w:b/>
        </w:rPr>
      </w:pPr>
    </w:p>
    <w:p w14:paraId="418F360E" w14:textId="08658F04" w:rsidR="004A46D6" w:rsidRPr="003A3EEA" w:rsidRDefault="00D520A5" w:rsidP="003A3EEA">
      <w:pPr>
        <w:pStyle w:val="ListParagraph"/>
        <w:numPr>
          <w:ilvl w:val="1"/>
          <w:numId w:val="11"/>
        </w:numPr>
        <w:ind w:left="0" w:firstLine="0"/>
        <w:rPr>
          <w:rFonts w:ascii="Calibri" w:hAnsi="Calibri" w:cs="Arial"/>
        </w:rPr>
      </w:pPr>
      <w:r w:rsidRPr="003A3EEA">
        <w:rPr>
          <w:rFonts w:ascii="Calibri" w:hAnsi="Calibri" w:cs="Arial"/>
        </w:rPr>
        <w:t>Do not conduct a</w:t>
      </w:r>
      <w:r w:rsidR="004A46D6" w:rsidRPr="003A3EEA">
        <w:rPr>
          <w:rFonts w:ascii="Calibri" w:hAnsi="Calibri" w:cs="Arial"/>
        </w:rPr>
        <w:t>nalyses on data generated during the Preconditioning phase.</w:t>
      </w:r>
    </w:p>
    <w:p w14:paraId="3A51D44D" w14:textId="77777777" w:rsidR="004A46D6" w:rsidRPr="003A3EEA" w:rsidRDefault="004A46D6" w:rsidP="003A3EEA">
      <w:pPr>
        <w:pStyle w:val="ListParagraph"/>
        <w:ind w:left="0"/>
        <w:rPr>
          <w:rFonts w:ascii="Calibri" w:hAnsi="Calibri" w:cs="Arial"/>
        </w:rPr>
      </w:pPr>
    </w:p>
    <w:p w14:paraId="301076C5" w14:textId="4EC0FBD5" w:rsidR="000159AE" w:rsidRPr="003A3EEA" w:rsidRDefault="00D520A5" w:rsidP="003A3EEA">
      <w:pPr>
        <w:pStyle w:val="ListParagraph"/>
        <w:numPr>
          <w:ilvl w:val="1"/>
          <w:numId w:val="11"/>
        </w:numPr>
        <w:ind w:left="0" w:firstLine="0"/>
        <w:rPr>
          <w:rFonts w:ascii="Calibri" w:hAnsi="Calibri" w:cs="Arial"/>
          <w:highlight w:val="yellow"/>
        </w:rPr>
      </w:pPr>
      <w:r w:rsidRPr="003A3EEA">
        <w:rPr>
          <w:rFonts w:ascii="Calibri" w:hAnsi="Calibri" w:cs="Arial"/>
          <w:highlight w:val="yellow"/>
        </w:rPr>
        <w:t>For the c</w:t>
      </w:r>
      <w:r w:rsidR="00764CEC" w:rsidRPr="003A3EEA">
        <w:rPr>
          <w:rFonts w:ascii="Calibri" w:hAnsi="Calibri" w:cs="Arial"/>
          <w:highlight w:val="yellow"/>
        </w:rPr>
        <w:t xml:space="preserve">onditioning sessions: </w:t>
      </w:r>
      <w:r w:rsidRPr="003A3EEA">
        <w:rPr>
          <w:rFonts w:ascii="Calibri" w:hAnsi="Calibri" w:cs="Arial"/>
          <w:highlight w:val="yellow"/>
        </w:rPr>
        <w:t xml:space="preserve">analyze </w:t>
      </w:r>
      <w:r w:rsidR="000159AE" w:rsidRPr="003A3EEA">
        <w:rPr>
          <w:rFonts w:ascii="Calibri" w:hAnsi="Calibri" w:cs="Arial"/>
          <w:highlight w:val="yellow"/>
        </w:rPr>
        <w:t xml:space="preserve">each </w:t>
      </w:r>
      <w:r w:rsidR="00764CEC" w:rsidRPr="003A3EEA">
        <w:rPr>
          <w:rFonts w:ascii="Calibri" w:hAnsi="Calibri" w:cs="Arial"/>
          <w:highlight w:val="yellow"/>
        </w:rPr>
        <w:t xml:space="preserve">rats’ ability to learn the light </w:t>
      </w:r>
      <w:r w:rsidR="00764CEC" w:rsidRPr="003A3EEA">
        <w:rPr>
          <w:rFonts w:ascii="Calibri" w:hAnsi="Calibri" w:cs="Arial"/>
          <w:highlight w:val="yellow"/>
        </w:rPr>
        <w:sym w:font="Wingdings" w:char="F0E0"/>
      </w:r>
      <w:r w:rsidR="00764CEC" w:rsidRPr="003A3EEA">
        <w:rPr>
          <w:rFonts w:ascii="Calibri" w:hAnsi="Calibri" w:cs="Arial"/>
          <w:highlight w:val="yellow"/>
        </w:rPr>
        <w:t xml:space="preserve"> food association</w:t>
      </w:r>
      <w:r w:rsidR="004A46D6" w:rsidRPr="003A3EEA">
        <w:rPr>
          <w:rFonts w:ascii="Calibri" w:hAnsi="Calibri" w:cs="Arial"/>
          <w:highlight w:val="yellow"/>
        </w:rPr>
        <w:t xml:space="preserve"> </w:t>
      </w:r>
      <w:r w:rsidR="00764CEC" w:rsidRPr="003A3EEA">
        <w:rPr>
          <w:rFonts w:ascii="Calibri" w:hAnsi="Calibri" w:cs="Arial"/>
          <w:highlight w:val="yellow"/>
        </w:rPr>
        <w:t xml:space="preserve">by comparing </w:t>
      </w:r>
      <w:r w:rsidR="004A46D6" w:rsidRPr="003A3EEA">
        <w:rPr>
          <w:rFonts w:ascii="Calibri" w:hAnsi="Calibri" w:cs="Arial"/>
          <w:highlight w:val="yellow"/>
        </w:rPr>
        <w:t xml:space="preserve">food cup </w:t>
      </w:r>
      <w:r w:rsidR="00345606" w:rsidRPr="003A3EEA">
        <w:rPr>
          <w:rFonts w:ascii="Calibri" w:hAnsi="Calibri" w:cs="Arial"/>
          <w:highlight w:val="yellow"/>
        </w:rPr>
        <w:t xml:space="preserve">behavior </w:t>
      </w:r>
      <w:r w:rsidR="004A46D6" w:rsidRPr="003A3EEA">
        <w:rPr>
          <w:rFonts w:ascii="Calibri" w:hAnsi="Calibri" w:cs="Arial"/>
          <w:highlight w:val="yellow"/>
        </w:rPr>
        <w:t xml:space="preserve">during presentation of the visual </w:t>
      </w:r>
      <w:r w:rsidR="00B50C00" w:rsidRPr="003A3EEA">
        <w:rPr>
          <w:rFonts w:ascii="Calibri" w:hAnsi="Calibri" w:cs="Arial"/>
          <w:highlight w:val="yellow"/>
        </w:rPr>
        <w:t>stimulus</w:t>
      </w:r>
      <w:r w:rsidR="007B3D10" w:rsidRPr="003A3EEA">
        <w:rPr>
          <w:rFonts w:ascii="Calibri" w:hAnsi="Calibri" w:cs="Arial"/>
          <w:highlight w:val="yellow"/>
        </w:rPr>
        <w:t xml:space="preserve"> across the 5 behavioral</w:t>
      </w:r>
      <w:r w:rsidR="00764CEC" w:rsidRPr="003A3EEA">
        <w:rPr>
          <w:rFonts w:ascii="Calibri" w:hAnsi="Calibri" w:cs="Arial"/>
          <w:highlight w:val="yellow"/>
        </w:rPr>
        <w:t xml:space="preserve"> sessions</w:t>
      </w:r>
      <w:r w:rsidR="004A46D6" w:rsidRPr="003A3EEA">
        <w:rPr>
          <w:rFonts w:ascii="Calibri" w:hAnsi="Calibri" w:cs="Arial"/>
          <w:highlight w:val="yellow"/>
        </w:rPr>
        <w:t>.</w:t>
      </w:r>
      <w:r w:rsidR="0091394B" w:rsidRPr="003A3EEA">
        <w:rPr>
          <w:rFonts w:ascii="Calibri" w:hAnsi="Calibri" w:cs="Arial"/>
          <w:highlight w:val="yellow"/>
        </w:rPr>
        <w:t xml:space="preserve"> </w:t>
      </w:r>
      <w:r w:rsidR="00C542CE" w:rsidRPr="003A3EEA">
        <w:rPr>
          <w:rFonts w:ascii="Calibri" w:hAnsi="Calibri" w:cs="Arial"/>
          <w:highlight w:val="yellow"/>
        </w:rPr>
        <w:t>Specifically, c</w:t>
      </w:r>
      <w:r w:rsidR="000431FD" w:rsidRPr="003A3EEA">
        <w:rPr>
          <w:rFonts w:ascii="Calibri" w:hAnsi="Calibri" w:cs="Arial"/>
          <w:highlight w:val="yellow"/>
        </w:rPr>
        <w:t xml:space="preserve">alculate the average time spent in the food cup </w:t>
      </w:r>
      <w:r w:rsidR="000E6E83" w:rsidRPr="003A3EEA">
        <w:rPr>
          <w:rFonts w:ascii="Calibri" w:hAnsi="Calibri" w:cs="Arial"/>
          <w:highlight w:val="yellow"/>
        </w:rPr>
        <w:t xml:space="preserve">during the </w:t>
      </w:r>
      <w:r w:rsidR="006E5863" w:rsidRPr="003A3EEA">
        <w:rPr>
          <w:rFonts w:ascii="Calibri" w:hAnsi="Calibri" w:cs="Arial"/>
          <w:highlight w:val="yellow"/>
        </w:rPr>
        <w:t>5</w:t>
      </w:r>
      <w:r w:rsidR="003A3EEA" w:rsidRPr="003A3EEA">
        <w:rPr>
          <w:rFonts w:ascii="Calibri" w:hAnsi="Calibri" w:cs="Arial"/>
          <w:highlight w:val="yellow"/>
        </w:rPr>
        <w:t xml:space="preserve"> s</w:t>
      </w:r>
      <w:r w:rsidR="006E5863" w:rsidRPr="003A3EEA">
        <w:rPr>
          <w:rFonts w:ascii="Calibri" w:hAnsi="Calibri" w:cs="Arial"/>
          <w:highlight w:val="yellow"/>
        </w:rPr>
        <w:t xml:space="preserve"> </w:t>
      </w:r>
      <w:r w:rsidR="000E6E83" w:rsidRPr="003A3EEA">
        <w:rPr>
          <w:rFonts w:ascii="Calibri" w:hAnsi="Calibri" w:cs="Arial"/>
          <w:highlight w:val="yellow"/>
        </w:rPr>
        <w:t xml:space="preserve">light </w:t>
      </w:r>
      <w:r w:rsidR="006E5863" w:rsidRPr="003A3EEA">
        <w:rPr>
          <w:rFonts w:ascii="Calibri" w:hAnsi="Calibri" w:cs="Arial"/>
          <w:highlight w:val="yellow"/>
        </w:rPr>
        <w:t>epoch for each of</w:t>
      </w:r>
      <w:r w:rsidR="000431FD" w:rsidRPr="003A3EEA">
        <w:rPr>
          <w:rFonts w:ascii="Calibri" w:hAnsi="Calibri" w:cs="Arial"/>
          <w:highlight w:val="yellow"/>
        </w:rPr>
        <w:t xml:space="preserve"> </w:t>
      </w:r>
      <w:r w:rsidR="000159AE" w:rsidRPr="003A3EEA">
        <w:rPr>
          <w:rFonts w:ascii="Calibri" w:hAnsi="Calibri" w:cs="Arial"/>
          <w:highlight w:val="yellow"/>
        </w:rPr>
        <w:t>8 trials</w:t>
      </w:r>
      <w:r w:rsidR="006E5863" w:rsidRPr="003A3EEA">
        <w:rPr>
          <w:rFonts w:ascii="Calibri" w:hAnsi="Calibri" w:cs="Arial"/>
          <w:highlight w:val="yellow"/>
        </w:rPr>
        <w:t>/session (</w:t>
      </w:r>
      <w:r w:rsidR="006E5863" w:rsidRPr="003A3EEA">
        <w:rPr>
          <w:rFonts w:ascii="Calibri" w:hAnsi="Calibri" w:cs="Arial"/>
          <w:i/>
          <w:highlight w:val="yellow"/>
        </w:rPr>
        <w:t>i.e.,</w:t>
      </w:r>
      <w:r w:rsidR="006E5863" w:rsidRPr="003A3EEA">
        <w:rPr>
          <w:rFonts w:ascii="Calibri" w:hAnsi="Calibri" w:cs="Arial"/>
          <w:highlight w:val="yellow"/>
        </w:rPr>
        <w:t xml:space="preserve"> an average of 8 trials that are each 5</w:t>
      </w:r>
      <w:r w:rsidR="00B33227" w:rsidRPr="003A3EEA">
        <w:rPr>
          <w:rFonts w:ascii="Calibri" w:hAnsi="Calibri" w:cs="Arial"/>
          <w:highlight w:val="yellow"/>
        </w:rPr>
        <w:t xml:space="preserve"> </w:t>
      </w:r>
      <w:r w:rsidR="006E5863" w:rsidRPr="003A3EEA">
        <w:rPr>
          <w:rFonts w:ascii="Calibri" w:hAnsi="Calibri" w:cs="Arial"/>
          <w:highlight w:val="yellow"/>
        </w:rPr>
        <w:t>sec in duration/rat).</w:t>
      </w:r>
      <w:r w:rsidR="0091394B" w:rsidRPr="003A3EEA">
        <w:rPr>
          <w:rFonts w:ascii="Calibri" w:hAnsi="Calibri" w:cs="Arial"/>
          <w:highlight w:val="yellow"/>
        </w:rPr>
        <w:t xml:space="preserve"> </w:t>
      </w:r>
      <w:r w:rsidR="006E5863" w:rsidRPr="003A3EEA">
        <w:rPr>
          <w:rFonts w:ascii="Calibri" w:hAnsi="Calibri" w:cs="Arial"/>
          <w:highlight w:val="yellow"/>
        </w:rPr>
        <w:t>C</w:t>
      </w:r>
      <w:r w:rsidR="000159AE" w:rsidRPr="003A3EEA">
        <w:rPr>
          <w:rFonts w:ascii="Calibri" w:hAnsi="Calibri" w:cs="Arial"/>
          <w:highlight w:val="yellow"/>
        </w:rPr>
        <w:t xml:space="preserve">ompare </w:t>
      </w:r>
      <w:r w:rsidR="006E5863" w:rsidRPr="003A3EEA">
        <w:rPr>
          <w:rFonts w:ascii="Calibri" w:hAnsi="Calibri" w:cs="Arial"/>
          <w:highlight w:val="yellow"/>
        </w:rPr>
        <w:t xml:space="preserve">average </w:t>
      </w:r>
      <w:r w:rsidR="000159AE" w:rsidRPr="003A3EEA">
        <w:rPr>
          <w:rFonts w:ascii="Calibri" w:hAnsi="Calibri" w:cs="Arial"/>
          <w:highlight w:val="yellow"/>
        </w:rPr>
        <w:t>control and experimental values for ea</w:t>
      </w:r>
      <w:r w:rsidR="006E5863" w:rsidRPr="003A3EEA">
        <w:rPr>
          <w:rFonts w:ascii="Calibri" w:hAnsi="Calibri" w:cs="Arial"/>
          <w:highlight w:val="yellow"/>
        </w:rPr>
        <w:t>ch of 5 daily sessions</w:t>
      </w:r>
      <w:r w:rsidR="000159AE" w:rsidRPr="003A3EEA">
        <w:rPr>
          <w:rFonts w:ascii="Calibri" w:hAnsi="Calibri" w:cs="Arial"/>
          <w:highlight w:val="yellow"/>
        </w:rPr>
        <w:t xml:space="preserve"> (</w:t>
      </w:r>
      <w:r w:rsidR="006E5863" w:rsidRPr="003A3EEA">
        <w:rPr>
          <w:rFonts w:ascii="Calibri" w:hAnsi="Calibri" w:cs="Arial"/>
          <w:highlight w:val="yellow"/>
        </w:rPr>
        <w:t xml:space="preserve">see </w:t>
      </w:r>
      <w:r w:rsidR="000159AE" w:rsidRPr="003A3EEA">
        <w:rPr>
          <w:rFonts w:ascii="Calibri" w:hAnsi="Calibri" w:cs="Arial"/>
          <w:highlight w:val="yellow"/>
        </w:rPr>
        <w:t>Figure</w:t>
      </w:r>
      <w:r w:rsidR="000431FD" w:rsidRPr="003A3EEA">
        <w:rPr>
          <w:rFonts w:ascii="Calibri" w:hAnsi="Calibri" w:cs="Arial"/>
          <w:highlight w:val="yellow"/>
        </w:rPr>
        <w:t xml:space="preserve"> 3A).</w:t>
      </w:r>
    </w:p>
    <w:p w14:paraId="1286D026" w14:textId="77777777" w:rsidR="007D3D43" w:rsidRPr="003A3EEA" w:rsidRDefault="007D3D43" w:rsidP="003A3EEA">
      <w:pPr>
        <w:pStyle w:val="ListParagraph"/>
        <w:ind w:left="0"/>
        <w:rPr>
          <w:rFonts w:ascii="Calibri" w:hAnsi="Calibri" w:cs="Arial"/>
        </w:rPr>
      </w:pPr>
    </w:p>
    <w:p w14:paraId="43ECE45E" w14:textId="336ADA04" w:rsidR="004A46D6" w:rsidRPr="003A3EEA" w:rsidRDefault="00764CEC" w:rsidP="003A3EEA">
      <w:pPr>
        <w:pStyle w:val="ListParagraph"/>
        <w:numPr>
          <w:ilvl w:val="2"/>
          <w:numId w:val="11"/>
        </w:numPr>
        <w:ind w:left="0" w:firstLine="0"/>
        <w:rPr>
          <w:rFonts w:ascii="Calibri" w:hAnsi="Calibri" w:cs="Arial"/>
        </w:rPr>
      </w:pPr>
      <w:r w:rsidRPr="003A3EEA">
        <w:rPr>
          <w:rFonts w:ascii="Calibri" w:hAnsi="Calibri" w:cs="Arial"/>
          <w:highlight w:val="yellow"/>
        </w:rPr>
        <w:t>Analyze the rats’ motivation to obtain food reward by comparing</w:t>
      </w:r>
      <w:r w:rsidR="004A46D6" w:rsidRPr="003A3EEA">
        <w:rPr>
          <w:rFonts w:ascii="Calibri" w:hAnsi="Calibri" w:cs="Arial"/>
          <w:highlight w:val="yellow"/>
        </w:rPr>
        <w:t xml:space="preserve"> </w:t>
      </w:r>
      <w:r w:rsidR="00345606" w:rsidRPr="003A3EEA">
        <w:rPr>
          <w:rFonts w:ascii="Calibri" w:hAnsi="Calibri" w:cs="Arial"/>
          <w:highlight w:val="yellow"/>
        </w:rPr>
        <w:t>food cup behavior</w:t>
      </w:r>
      <w:r w:rsidR="004A46D6" w:rsidRPr="003A3EEA">
        <w:rPr>
          <w:rFonts w:ascii="Calibri" w:hAnsi="Calibri" w:cs="Arial"/>
          <w:highlight w:val="yellow"/>
        </w:rPr>
        <w:t xml:space="preserve"> during delivery of the food reward</w:t>
      </w:r>
      <w:r w:rsidR="000431FD" w:rsidRPr="003A3EEA">
        <w:rPr>
          <w:rFonts w:ascii="Calibri" w:hAnsi="Calibri" w:cs="Arial"/>
          <w:highlight w:val="yellow"/>
        </w:rPr>
        <w:t xml:space="preserve"> </w:t>
      </w:r>
      <w:r w:rsidR="006E5863" w:rsidRPr="003A3EEA">
        <w:rPr>
          <w:rFonts w:ascii="Calibri" w:hAnsi="Calibri" w:cs="Arial"/>
          <w:highlight w:val="yellow"/>
        </w:rPr>
        <w:t>(5</w:t>
      </w:r>
      <w:r w:rsidR="003A3EEA" w:rsidRPr="003A3EEA">
        <w:rPr>
          <w:rFonts w:ascii="Calibri" w:hAnsi="Calibri" w:cs="Arial"/>
          <w:highlight w:val="yellow"/>
        </w:rPr>
        <w:t xml:space="preserve"> s</w:t>
      </w:r>
      <w:r w:rsidR="006E5863" w:rsidRPr="003A3EEA">
        <w:rPr>
          <w:rFonts w:ascii="Calibri" w:hAnsi="Calibri" w:cs="Arial"/>
          <w:highlight w:val="yellow"/>
        </w:rPr>
        <w:t xml:space="preserve"> epoch) </w:t>
      </w:r>
      <w:r w:rsidR="007B3D10" w:rsidRPr="003A3EEA">
        <w:rPr>
          <w:rFonts w:ascii="Calibri" w:hAnsi="Calibri" w:cs="Arial"/>
          <w:highlight w:val="yellow"/>
        </w:rPr>
        <w:t>across the 5 behavioral</w:t>
      </w:r>
      <w:r w:rsidRPr="003A3EEA">
        <w:rPr>
          <w:rFonts w:ascii="Calibri" w:hAnsi="Calibri" w:cs="Arial"/>
          <w:highlight w:val="yellow"/>
        </w:rPr>
        <w:t xml:space="preserve"> sessions</w:t>
      </w:r>
      <w:r w:rsidR="00C542CE" w:rsidRPr="003A3EEA">
        <w:rPr>
          <w:rFonts w:ascii="Calibri" w:hAnsi="Calibri" w:cs="Arial"/>
          <w:highlight w:val="yellow"/>
        </w:rPr>
        <w:t xml:space="preserve"> using the same calculation as specified for the 5</w:t>
      </w:r>
      <w:r w:rsidR="003A3EEA" w:rsidRPr="003A3EEA">
        <w:rPr>
          <w:rFonts w:ascii="Calibri" w:hAnsi="Calibri" w:cs="Arial"/>
          <w:highlight w:val="yellow"/>
        </w:rPr>
        <w:t xml:space="preserve"> s</w:t>
      </w:r>
      <w:r w:rsidR="00C542CE" w:rsidRPr="003A3EEA">
        <w:rPr>
          <w:rFonts w:ascii="Calibri" w:hAnsi="Calibri" w:cs="Arial"/>
          <w:highlight w:val="yellow"/>
        </w:rPr>
        <w:t xml:space="preserve"> light epoch above</w:t>
      </w:r>
      <w:r w:rsidR="004A46D6" w:rsidRPr="003A3EEA">
        <w:rPr>
          <w:rFonts w:ascii="Calibri" w:hAnsi="Calibri" w:cs="Arial"/>
        </w:rPr>
        <w:t xml:space="preserve">. </w:t>
      </w:r>
      <w:r w:rsidR="007B3D10" w:rsidRPr="003A3EEA">
        <w:rPr>
          <w:rFonts w:ascii="Calibri" w:hAnsi="Calibri" w:cs="Arial"/>
        </w:rPr>
        <w:t xml:space="preserve">These </w:t>
      </w:r>
      <w:r w:rsidRPr="003A3EEA">
        <w:rPr>
          <w:rFonts w:ascii="Calibri" w:hAnsi="Calibri" w:cs="Arial"/>
        </w:rPr>
        <w:t xml:space="preserve">values will be </w:t>
      </w:r>
      <w:r w:rsidR="004A46D6" w:rsidRPr="003A3EEA">
        <w:rPr>
          <w:rFonts w:ascii="Calibri" w:hAnsi="Calibri" w:cs="Arial"/>
        </w:rPr>
        <w:t>co</w:t>
      </w:r>
      <w:r w:rsidR="00257D72" w:rsidRPr="003A3EEA">
        <w:rPr>
          <w:rFonts w:ascii="Calibri" w:hAnsi="Calibri" w:cs="Arial"/>
        </w:rPr>
        <w:t xml:space="preserve">nsistently higher than those acquired during presentation of the visual </w:t>
      </w:r>
      <w:r w:rsidR="00B50C00" w:rsidRPr="003A3EEA">
        <w:rPr>
          <w:rFonts w:ascii="Calibri" w:hAnsi="Calibri" w:cs="Arial"/>
        </w:rPr>
        <w:t>stimulus</w:t>
      </w:r>
      <w:r w:rsidR="006E5863" w:rsidRPr="003A3EEA">
        <w:rPr>
          <w:rFonts w:ascii="Calibri" w:hAnsi="Calibri" w:cs="Arial"/>
        </w:rPr>
        <w:t xml:space="preserve"> (see Figure 3B)</w:t>
      </w:r>
      <w:r w:rsidR="00257D72" w:rsidRPr="003A3EEA">
        <w:rPr>
          <w:rFonts w:ascii="Calibri" w:hAnsi="Calibri" w:cs="Arial"/>
        </w:rPr>
        <w:t>.</w:t>
      </w:r>
    </w:p>
    <w:p w14:paraId="6B4EEB93" w14:textId="77777777" w:rsidR="00257D72" w:rsidRPr="003A3EEA" w:rsidRDefault="00257D72" w:rsidP="003A3EEA">
      <w:pPr>
        <w:pStyle w:val="ListParagraph"/>
        <w:ind w:left="0"/>
        <w:rPr>
          <w:rFonts w:ascii="Calibri" w:hAnsi="Calibri" w:cs="Arial"/>
        </w:rPr>
      </w:pPr>
    </w:p>
    <w:p w14:paraId="6258E623" w14:textId="77777777" w:rsidR="00F3143F" w:rsidRPr="003A3EEA" w:rsidRDefault="00501AE3" w:rsidP="003A3EEA">
      <w:pPr>
        <w:pStyle w:val="ListParagraph"/>
        <w:numPr>
          <w:ilvl w:val="1"/>
          <w:numId w:val="11"/>
        </w:numPr>
        <w:ind w:left="0" w:firstLine="0"/>
        <w:rPr>
          <w:rFonts w:ascii="Calibri" w:hAnsi="Calibri" w:cs="Arial"/>
          <w:highlight w:val="yellow"/>
        </w:rPr>
      </w:pPr>
      <w:r w:rsidRPr="003A3EEA">
        <w:rPr>
          <w:rFonts w:ascii="Calibri" w:hAnsi="Calibri" w:cs="Arial"/>
          <w:highlight w:val="yellow"/>
        </w:rPr>
        <w:t>For the t</w:t>
      </w:r>
      <w:r w:rsidR="00764CEC" w:rsidRPr="003A3EEA">
        <w:rPr>
          <w:rFonts w:ascii="Calibri" w:hAnsi="Calibri" w:cs="Arial"/>
          <w:highlight w:val="yellow"/>
        </w:rPr>
        <w:t xml:space="preserve">est session: </w:t>
      </w:r>
      <w:r w:rsidR="00DA5842" w:rsidRPr="003A3EEA">
        <w:rPr>
          <w:rFonts w:ascii="Calibri" w:hAnsi="Calibri" w:cs="Arial"/>
          <w:highlight w:val="yellow"/>
        </w:rPr>
        <w:t>calculate a discrimination ratio that describes</w:t>
      </w:r>
      <w:r w:rsidR="00C542CE" w:rsidRPr="003A3EEA">
        <w:rPr>
          <w:rFonts w:ascii="Calibri" w:hAnsi="Calibri" w:cs="Arial"/>
          <w:highlight w:val="yellow"/>
        </w:rPr>
        <w:t xml:space="preserve"> the rats</w:t>
      </w:r>
      <w:r w:rsidR="00DA5842" w:rsidRPr="003A3EEA">
        <w:rPr>
          <w:rFonts w:ascii="Calibri" w:hAnsi="Calibri" w:cs="Arial"/>
          <w:highlight w:val="yellow"/>
        </w:rPr>
        <w:t>’</w:t>
      </w:r>
      <w:r w:rsidR="00C542CE" w:rsidRPr="003A3EEA">
        <w:rPr>
          <w:rFonts w:ascii="Calibri" w:hAnsi="Calibri" w:cs="Arial"/>
          <w:highlight w:val="yellow"/>
        </w:rPr>
        <w:t xml:space="preserve"> food cup behavior in response to presentation</w:t>
      </w:r>
      <w:r w:rsidR="00DA5842" w:rsidRPr="003A3EEA">
        <w:rPr>
          <w:rFonts w:ascii="Calibri" w:hAnsi="Calibri" w:cs="Arial"/>
          <w:highlight w:val="yellow"/>
        </w:rPr>
        <w:t>s</w:t>
      </w:r>
      <w:r w:rsidR="00C542CE" w:rsidRPr="003A3EEA">
        <w:rPr>
          <w:rFonts w:ascii="Calibri" w:hAnsi="Calibri" w:cs="Arial"/>
          <w:highlight w:val="yellow"/>
        </w:rPr>
        <w:t xml:space="preserve"> of each audito</w:t>
      </w:r>
      <w:r w:rsidR="00DA5842" w:rsidRPr="003A3EEA">
        <w:rPr>
          <w:rFonts w:ascii="Calibri" w:hAnsi="Calibri" w:cs="Arial"/>
          <w:highlight w:val="yellow"/>
        </w:rPr>
        <w:t>ry stimulus</w:t>
      </w:r>
      <w:r w:rsidR="00C542CE" w:rsidRPr="003A3EEA">
        <w:rPr>
          <w:rFonts w:ascii="Calibri" w:hAnsi="Calibri" w:cs="Arial"/>
          <w:highlight w:val="yellow"/>
        </w:rPr>
        <w:t>.</w:t>
      </w:r>
      <w:r w:rsidR="0091394B" w:rsidRPr="003A3EEA">
        <w:rPr>
          <w:rFonts w:ascii="Calibri" w:hAnsi="Calibri" w:cs="Arial"/>
          <w:highlight w:val="yellow"/>
        </w:rPr>
        <w:t xml:space="preserve"> </w:t>
      </w:r>
    </w:p>
    <w:p w14:paraId="200EC907" w14:textId="77777777" w:rsidR="00F3143F" w:rsidRPr="003A3EEA" w:rsidRDefault="00F3143F" w:rsidP="003A3EEA">
      <w:pPr>
        <w:pStyle w:val="ListParagraph"/>
        <w:ind w:left="0"/>
        <w:rPr>
          <w:rFonts w:ascii="Calibri" w:hAnsi="Calibri" w:cs="Arial"/>
        </w:rPr>
      </w:pPr>
    </w:p>
    <w:p w14:paraId="425865A9" w14:textId="253AA4D8" w:rsidR="00257D72" w:rsidRPr="003A3EEA" w:rsidRDefault="00C542CE" w:rsidP="003A3EEA">
      <w:pPr>
        <w:pStyle w:val="ListParagraph"/>
        <w:numPr>
          <w:ilvl w:val="2"/>
          <w:numId w:val="11"/>
        </w:numPr>
        <w:ind w:left="0" w:firstLine="0"/>
        <w:rPr>
          <w:rFonts w:ascii="Calibri" w:hAnsi="Calibri" w:cs="Arial"/>
          <w:highlight w:val="yellow"/>
        </w:rPr>
      </w:pPr>
      <w:r w:rsidRPr="003A3EEA">
        <w:rPr>
          <w:rFonts w:ascii="Calibri" w:hAnsi="Calibri" w:cs="Arial"/>
          <w:highlight w:val="yellow"/>
        </w:rPr>
        <w:t xml:space="preserve">Specifically, for each rat, </w:t>
      </w:r>
      <w:r w:rsidR="00DA5842" w:rsidRPr="003A3EEA">
        <w:rPr>
          <w:rFonts w:ascii="Calibri" w:hAnsi="Calibri" w:cs="Arial"/>
          <w:highlight w:val="yellow"/>
        </w:rPr>
        <w:t xml:space="preserve">divide </w:t>
      </w:r>
      <w:r w:rsidR="006E5863" w:rsidRPr="003A3EEA">
        <w:rPr>
          <w:rFonts w:ascii="Calibri" w:hAnsi="Calibri" w:cs="Arial"/>
          <w:highlight w:val="yellow"/>
        </w:rPr>
        <w:t xml:space="preserve">the </w:t>
      </w:r>
      <w:r w:rsidR="00DA5842" w:rsidRPr="003A3EEA">
        <w:rPr>
          <w:rFonts w:ascii="Calibri" w:hAnsi="Calibri" w:cs="Arial"/>
          <w:highlight w:val="yellow"/>
        </w:rPr>
        <w:t xml:space="preserve">average </w:t>
      </w:r>
      <w:r w:rsidRPr="003A3EEA">
        <w:rPr>
          <w:rFonts w:ascii="Calibri" w:hAnsi="Calibri" w:cs="Arial"/>
          <w:highlight w:val="yellow"/>
        </w:rPr>
        <w:t>time spent in the food cup following each of 6 presentations of the sensory preconditioned stimulus (</w:t>
      </w:r>
      <w:r w:rsidRPr="003A3EEA">
        <w:rPr>
          <w:rFonts w:ascii="Calibri" w:hAnsi="Calibri" w:cs="Arial"/>
          <w:i/>
          <w:highlight w:val="yellow"/>
        </w:rPr>
        <w:t>i.e.,</w:t>
      </w:r>
      <w:r w:rsidRPr="003A3EEA">
        <w:rPr>
          <w:rFonts w:ascii="Calibri" w:hAnsi="Calibri" w:cs="Arial"/>
          <w:highlight w:val="yellow"/>
        </w:rPr>
        <w:t xml:space="preserve"> the tone) by the sum of the average time spent in the food cup following each of 6 presentations of the sensory preconditioned stimulus (</w:t>
      </w:r>
      <w:r w:rsidRPr="003A3EEA">
        <w:rPr>
          <w:rFonts w:ascii="Calibri" w:hAnsi="Calibri" w:cs="Arial"/>
          <w:i/>
          <w:highlight w:val="yellow"/>
        </w:rPr>
        <w:t xml:space="preserve">i.e., </w:t>
      </w:r>
      <w:r w:rsidRPr="003A3EEA">
        <w:rPr>
          <w:rFonts w:ascii="Calibri" w:hAnsi="Calibri" w:cs="Arial"/>
          <w:highlight w:val="yellow"/>
        </w:rPr>
        <w:t xml:space="preserve">the tone stimulus) plus the average of the total time spent in the food cup following each of 6 presentations of the </w:t>
      </w:r>
      <w:r w:rsidR="00DA5842" w:rsidRPr="003A3EEA">
        <w:rPr>
          <w:rFonts w:ascii="Calibri" w:hAnsi="Calibri" w:cs="Arial"/>
          <w:highlight w:val="yellow"/>
        </w:rPr>
        <w:t>unpaired stimulus (</w:t>
      </w:r>
      <w:r w:rsidR="00DA5842" w:rsidRPr="003A3EEA">
        <w:rPr>
          <w:rFonts w:ascii="Calibri" w:hAnsi="Calibri" w:cs="Arial"/>
          <w:i/>
          <w:highlight w:val="yellow"/>
        </w:rPr>
        <w:t>i.e.,</w:t>
      </w:r>
      <w:r w:rsidR="00DA5842" w:rsidRPr="003A3EEA">
        <w:rPr>
          <w:rFonts w:ascii="Calibri" w:hAnsi="Calibri" w:cs="Arial"/>
          <w:highlight w:val="yellow"/>
        </w:rPr>
        <w:t xml:space="preserve"> the white noise stimulus).</w:t>
      </w:r>
      <w:r w:rsidRPr="003A3EEA">
        <w:rPr>
          <w:rFonts w:ascii="Calibri" w:hAnsi="Calibri" w:cs="Arial"/>
          <w:highlight w:val="yellow"/>
        </w:rPr>
        <w:t xml:space="preserve"> </w:t>
      </w:r>
      <w:r w:rsidR="00DA5842" w:rsidRPr="003A3EEA">
        <w:rPr>
          <w:rFonts w:ascii="Calibri" w:hAnsi="Calibri" w:cs="Arial"/>
          <w:highlight w:val="yellow"/>
        </w:rPr>
        <w:t>Each epoch is 10</w:t>
      </w:r>
      <w:r w:rsidR="003A3EEA" w:rsidRPr="003A3EEA">
        <w:rPr>
          <w:rFonts w:ascii="Calibri" w:hAnsi="Calibri" w:cs="Arial"/>
          <w:highlight w:val="yellow"/>
        </w:rPr>
        <w:t xml:space="preserve"> s</w:t>
      </w:r>
      <w:r w:rsidR="00DA5842" w:rsidRPr="003A3EEA">
        <w:rPr>
          <w:rFonts w:ascii="Calibri" w:hAnsi="Calibri" w:cs="Arial"/>
          <w:highlight w:val="yellow"/>
        </w:rPr>
        <w:t xml:space="preserve"> in duration.</w:t>
      </w:r>
    </w:p>
    <w:p w14:paraId="76097D3F" w14:textId="77777777" w:rsidR="000431FD" w:rsidRPr="003A3EEA" w:rsidRDefault="000431FD" w:rsidP="003A3EEA">
      <w:pPr>
        <w:pStyle w:val="ListParagraph"/>
        <w:ind w:left="0"/>
        <w:rPr>
          <w:rFonts w:ascii="Calibri" w:hAnsi="Calibri" w:cs="Arial"/>
        </w:rPr>
      </w:pPr>
    </w:p>
    <w:p w14:paraId="51C3E5B9" w14:textId="7B14B1E6" w:rsidR="00257D72" w:rsidRPr="003A3EEA" w:rsidRDefault="00352039" w:rsidP="003A3EEA">
      <w:pPr>
        <w:pStyle w:val="ListParagraph"/>
        <w:ind w:left="0"/>
        <w:rPr>
          <w:rFonts w:ascii="Calibri" w:hAnsi="Calibri" w:cs="Arial"/>
        </w:rPr>
      </w:pPr>
      <w:r w:rsidRPr="003A3EEA">
        <w:rPr>
          <w:rFonts w:ascii="Calibri" w:hAnsi="Calibri" w:cs="Arial"/>
        </w:rPr>
        <w:t>Note: A discrimination score of 0.5 or greater demonstrates that rats learned the associations inherent in the sensory preconditioning paradigm.</w:t>
      </w:r>
    </w:p>
    <w:p w14:paraId="74ED1FE2" w14:textId="77777777" w:rsidR="0001397D" w:rsidRPr="003A3EEA" w:rsidRDefault="0001397D" w:rsidP="003A3EEA">
      <w:pPr>
        <w:pStyle w:val="ListParagraph"/>
        <w:ind w:left="0"/>
        <w:rPr>
          <w:rFonts w:ascii="Calibri" w:hAnsi="Calibri" w:cs="Arial"/>
          <w:b/>
        </w:rPr>
      </w:pPr>
    </w:p>
    <w:p w14:paraId="7A134FDE" w14:textId="6C621CE2" w:rsidR="0001397D" w:rsidRPr="003A3EEA" w:rsidRDefault="001151EF" w:rsidP="003A3EEA">
      <w:pPr>
        <w:pStyle w:val="ListParagraph"/>
        <w:numPr>
          <w:ilvl w:val="0"/>
          <w:numId w:val="11"/>
        </w:numPr>
        <w:ind w:left="0" w:firstLine="0"/>
        <w:rPr>
          <w:rFonts w:ascii="Calibri" w:hAnsi="Calibri" w:cs="Arial"/>
          <w:b/>
        </w:rPr>
      </w:pPr>
      <w:r w:rsidRPr="003A3EEA">
        <w:rPr>
          <w:rFonts w:ascii="Calibri" w:hAnsi="Calibri" w:cs="Arial"/>
          <w:b/>
        </w:rPr>
        <w:t xml:space="preserve">Verification of AAV </w:t>
      </w:r>
      <w:r w:rsidR="00C065C5" w:rsidRPr="003A3EEA">
        <w:rPr>
          <w:rFonts w:ascii="Calibri" w:hAnsi="Calibri" w:cs="Arial"/>
          <w:b/>
        </w:rPr>
        <w:t>P</w:t>
      </w:r>
      <w:r w:rsidRPr="003A3EEA">
        <w:rPr>
          <w:rFonts w:ascii="Calibri" w:hAnsi="Calibri" w:cs="Arial"/>
          <w:b/>
        </w:rPr>
        <w:t xml:space="preserve">lacement and </w:t>
      </w:r>
      <w:r w:rsidR="00C065C5" w:rsidRPr="003A3EEA">
        <w:rPr>
          <w:rFonts w:ascii="Calibri" w:hAnsi="Calibri" w:cs="Arial"/>
          <w:b/>
        </w:rPr>
        <w:t>E</w:t>
      </w:r>
      <w:r w:rsidRPr="003A3EEA">
        <w:rPr>
          <w:rFonts w:ascii="Calibri" w:hAnsi="Calibri" w:cs="Arial"/>
          <w:b/>
        </w:rPr>
        <w:t>xpression</w:t>
      </w:r>
    </w:p>
    <w:p w14:paraId="5AF88492" w14:textId="77777777" w:rsidR="00AA6D37" w:rsidRPr="003A3EEA" w:rsidRDefault="00AA6D37" w:rsidP="003A3EEA">
      <w:pPr>
        <w:rPr>
          <w:rFonts w:ascii="Calibri" w:hAnsi="Calibri"/>
        </w:rPr>
      </w:pPr>
    </w:p>
    <w:p w14:paraId="1552AEC5" w14:textId="1137386B" w:rsidR="00AA6D37" w:rsidRPr="003A3EEA" w:rsidRDefault="00AA6D37" w:rsidP="003A3EEA">
      <w:pPr>
        <w:pStyle w:val="ListParagraph"/>
        <w:numPr>
          <w:ilvl w:val="1"/>
          <w:numId w:val="11"/>
        </w:numPr>
        <w:ind w:left="0" w:firstLine="0"/>
        <w:rPr>
          <w:rFonts w:ascii="Calibri" w:hAnsi="Calibri" w:cs="Arial"/>
        </w:rPr>
      </w:pPr>
      <w:r w:rsidRPr="003A3EEA">
        <w:rPr>
          <w:rFonts w:ascii="Calibri" w:hAnsi="Calibri" w:cs="Arial"/>
        </w:rPr>
        <w:t xml:space="preserve">Anesthetize and perfuse </w:t>
      </w:r>
      <w:r w:rsidR="000853BF" w:rsidRPr="003A3EEA">
        <w:rPr>
          <w:rFonts w:ascii="Calibri" w:hAnsi="Calibri" w:cs="Arial"/>
        </w:rPr>
        <w:t xml:space="preserve">the </w:t>
      </w:r>
      <w:r w:rsidRPr="003A3EEA">
        <w:rPr>
          <w:rFonts w:ascii="Calibri" w:hAnsi="Calibri" w:cs="Arial"/>
        </w:rPr>
        <w:t xml:space="preserve">rats </w:t>
      </w:r>
      <w:r w:rsidR="000853BF" w:rsidRPr="003A3EEA">
        <w:rPr>
          <w:rFonts w:ascii="Calibri" w:hAnsi="Calibri" w:cs="Arial"/>
        </w:rPr>
        <w:t>transcardially using</w:t>
      </w:r>
      <w:r w:rsidRPr="003A3EEA">
        <w:rPr>
          <w:rFonts w:ascii="Calibri" w:hAnsi="Calibri" w:cs="Arial"/>
        </w:rPr>
        <w:t xml:space="preserve"> 4% paraformaldehyde.</w:t>
      </w:r>
      <w:r w:rsidR="004D3C57" w:rsidRPr="003A3EEA">
        <w:rPr>
          <w:rFonts w:ascii="Calibri" w:hAnsi="Calibri" w:cs="Arial"/>
        </w:rPr>
        <w:t xml:space="preserve"> </w:t>
      </w:r>
      <w:r w:rsidR="00141D03" w:rsidRPr="003A3EEA">
        <w:rPr>
          <w:rFonts w:ascii="Calibri" w:hAnsi="Calibri" w:cs="Arial"/>
        </w:rPr>
        <w:t xml:space="preserve">Due to the use of fluorescent labels, </w:t>
      </w:r>
      <w:r w:rsidR="00F3143F" w:rsidRPr="003A3EEA">
        <w:rPr>
          <w:rFonts w:ascii="Calibri" w:hAnsi="Calibri" w:cs="Arial"/>
        </w:rPr>
        <w:t xml:space="preserve">do not exceed a </w:t>
      </w:r>
      <w:r w:rsidR="00A8156E" w:rsidRPr="003A3EEA">
        <w:rPr>
          <w:rFonts w:ascii="Calibri" w:hAnsi="Calibri" w:cs="Arial"/>
        </w:rPr>
        <w:t>post-fix</w:t>
      </w:r>
      <w:r w:rsidR="00164838" w:rsidRPr="003A3EEA">
        <w:rPr>
          <w:rFonts w:ascii="Calibri" w:hAnsi="Calibri" w:cs="Arial"/>
        </w:rPr>
        <w:t xml:space="preserve">ation time </w:t>
      </w:r>
      <w:r w:rsidR="00F3143F" w:rsidRPr="003A3EEA">
        <w:rPr>
          <w:rFonts w:ascii="Calibri" w:hAnsi="Calibri" w:cs="Arial"/>
        </w:rPr>
        <w:t>of</w:t>
      </w:r>
      <w:r w:rsidR="00164838" w:rsidRPr="003A3EEA">
        <w:rPr>
          <w:rFonts w:ascii="Calibri" w:hAnsi="Calibri" w:cs="Arial"/>
        </w:rPr>
        <w:t xml:space="preserve"> 2</w:t>
      </w:r>
      <w:r w:rsidR="00272024" w:rsidRPr="003A3EEA">
        <w:rPr>
          <w:rFonts w:ascii="Calibri" w:hAnsi="Calibri" w:cs="Arial"/>
        </w:rPr>
        <w:t xml:space="preserve"> h</w:t>
      </w:r>
      <w:r w:rsidR="00D24845" w:rsidRPr="003A3EEA">
        <w:rPr>
          <w:rFonts w:ascii="Calibri" w:hAnsi="Calibri"/>
        </w:rPr>
        <w:t xml:space="preserve"> to minimize loss of antigenicity</w:t>
      </w:r>
      <w:r w:rsidR="00EE2502" w:rsidRPr="003A3EEA">
        <w:rPr>
          <w:rFonts w:ascii="Calibri" w:hAnsi="Calibri"/>
        </w:rPr>
        <w:t xml:space="preserve"> and to preserve the fluorescent signal</w:t>
      </w:r>
      <w:r w:rsidR="00A8156E" w:rsidRPr="003A3EEA">
        <w:rPr>
          <w:rFonts w:ascii="Calibri" w:hAnsi="Calibri" w:cs="Arial"/>
        </w:rPr>
        <w:t>.</w:t>
      </w:r>
    </w:p>
    <w:p w14:paraId="2DD00473" w14:textId="77777777" w:rsidR="00352039" w:rsidRPr="003A3EEA" w:rsidRDefault="00352039" w:rsidP="003A3EEA">
      <w:pPr>
        <w:pStyle w:val="ListParagraph"/>
        <w:ind w:left="0"/>
        <w:rPr>
          <w:rFonts w:ascii="Calibri" w:hAnsi="Calibri" w:cs="Arial"/>
        </w:rPr>
      </w:pPr>
    </w:p>
    <w:p w14:paraId="25322596" w14:textId="4CD161B7" w:rsidR="00352039" w:rsidRPr="003A3EEA" w:rsidRDefault="00352039" w:rsidP="003A3EEA">
      <w:pPr>
        <w:pStyle w:val="ListParagraph"/>
        <w:numPr>
          <w:ilvl w:val="1"/>
          <w:numId w:val="11"/>
        </w:numPr>
        <w:ind w:left="0" w:firstLine="0"/>
        <w:rPr>
          <w:rFonts w:ascii="Calibri" w:hAnsi="Calibri" w:cs="Arial"/>
        </w:rPr>
      </w:pPr>
      <w:r w:rsidRPr="003A3EEA">
        <w:rPr>
          <w:rFonts w:ascii="Calibri" w:hAnsi="Calibri" w:cs="Arial"/>
        </w:rPr>
        <w:t>Dehydrate perfused brains by transferring them into a brain jar containing 30</w:t>
      </w:r>
      <w:r w:rsidR="003A3EEA" w:rsidRPr="003A3EEA">
        <w:rPr>
          <w:rFonts w:ascii="Calibri" w:hAnsi="Calibri" w:cs="Arial"/>
        </w:rPr>
        <w:t xml:space="preserve"> mL</w:t>
      </w:r>
      <w:r w:rsidRPr="003A3EEA">
        <w:rPr>
          <w:rFonts w:ascii="Calibri" w:hAnsi="Calibri" w:cs="Arial"/>
        </w:rPr>
        <w:t xml:space="preserve"> </w:t>
      </w:r>
      <w:r w:rsidR="00D42BFD" w:rsidRPr="003A3EEA">
        <w:rPr>
          <w:rFonts w:ascii="Calibri" w:hAnsi="Calibri" w:cs="Arial"/>
        </w:rPr>
        <w:t>of a 20% sucrose solution in phosphate buffered saline</w:t>
      </w:r>
      <w:r w:rsidRPr="003A3EEA">
        <w:rPr>
          <w:rFonts w:ascii="Calibri" w:hAnsi="Calibri" w:cs="Arial"/>
        </w:rPr>
        <w:t xml:space="preserve"> (1X) for a minimum of 2 days or until the brain sinks to the bottom of the brain jar.</w:t>
      </w:r>
      <w:r w:rsidR="0091394B" w:rsidRPr="003A3EEA">
        <w:rPr>
          <w:rFonts w:ascii="Calibri" w:hAnsi="Calibri" w:cs="Arial"/>
        </w:rPr>
        <w:t xml:space="preserve"> </w:t>
      </w:r>
    </w:p>
    <w:p w14:paraId="2ECEB255" w14:textId="77777777" w:rsidR="00AA6D37" w:rsidRPr="003A3EEA" w:rsidRDefault="00AA6D37" w:rsidP="003A3EEA">
      <w:pPr>
        <w:pStyle w:val="ListParagraph"/>
        <w:ind w:left="0"/>
        <w:rPr>
          <w:rFonts w:ascii="Calibri" w:hAnsi="Calibri" w:cs="Arial"/>
        </w:rPr>
      </w:pPr>
    </w:p>
    <w:p w14:paraId="56E5BD20" w14:textId="06697B79" w:rsidR="00AA6D37" w:rsidRPr="003A3EEA" w:rsidRDefault="00A1682C" w:rsidP="003A3EEA">
      <w:pPr>
        <w:pStyle w:val="ListParagraph"/>
        <w:numPr>
          <w:ilvl w:val="1"/>
          <w:numId w:val="11"/>
        </w:numPr>
        <w:ind w:left="0" w:firstLine="0"/>
        <w:rPr>
          <w:rFonts w:ascii="Calibri" w:hAnsi="Calibri" w:cs="Arial"/>
        </w:rPr>
      </w:pPr>
      <w:r w:rsidRPr="003A3EEA">
        <w:rPr>
          <w:rFonts w:ascii="Calibri" w:hAnsi="Calibri" w:cs="Arial"/>
        </w:rPr>
        <w:t>Use a</w:t>
      </w:r>
      <w:r w:rsidR="00BB091E" w:rsidRPr="003A3EEA">
        <w:rPr>
          <w:rFonts w:ascii="Calibri" w:hAnsi="Calibri" w:cs="Arial"/>
        </w:rPr>
        <w:t xml:space="preserve"> freezing</w:t>
      </w:r>
      <w:r w:rsidR="00266D48" w:rsidRPr="003A3EEA">
        <w:rPr>
          <w:rFonts w:ascii="Calibri" w:hAnsi="Calibri" w:cs="Arial"/>
        </w:rPr>
        <w:t xml:space="preserve"> sliding</w:t>
      </w:r>
      <w:r w:rsidRPr="003A3EEA">
        <w:rPr>
          <w:rFonts w:ascii="Calibri" w:hAnsi="Calibri" w:cs="Arial"/>
        </w:rPr>
        <w:t xml:space="preserve"> microtome to </w:t>
      </w:r>
      <w:r w:rsidR="00C34AC5" w:rsidRPr="003A3EEA">
        <w:rPr>
          <w:rFonts w:ascii="Calibri" w:hAnsi="Calibri" w:cs="Arial"/>
        </w:rPr>
        <w:t xml:space="preserve">make </w:t>
      </w:r>
      <w:r w:rsidR="00AA6D37" w:rsidRPr="003A3EEA">
        <w:rPr>
          <w:rFonts w:ascii="Calibri" w:hAnsi="Calibri" w:cs="Arial"/>
        </w:rPr>
        <w:t>coronal brain sections (</w:t>
      </w:r>
      <w:r w:rsidR="007B3D10" w:rsidRPr="003A3EEA">
        <w:rPr>
          <w:rFonts w:ascii="Calibri" w:hAnsi="Calibri" w:cs="Arial"/>
        </w:rPr>
        <w:t xml:space="preserve">20 - </w:t>
      </w:r>
      <w:r w:rsidR="00AA6D37" w:rsidRPr="003A3EEA">
        <w:rPr>
          <w:rFonts w:ascii="Calibri" w:hAnsi="Calibri" w:cs="Arial"/>
        </w:rPr>
        <w:t xml:space="preserve">40 </w:t>
      </w:r>
      <w:r w:rsidR="007B3D10" w:rsidRPr="003A3EEA">
        <w:rPr>
          <w:rFonts w:ascii="Calibri" w:hAnsi="Calibri" w:cs="Arial"/>
        </w:rPr>
        <w:t>μm</w:t>
      </w:r>
      <w:r w:rsidR="00AA6D37" w:rsidRPr="003A3EEA">
        <w:rPr>
          <w:rFonts w:ascii="Calibri" w:hAnsi="Calibri" w:cs="Arial"/>
        </w:rPr>
        <w:t>) throughout the entire rostrocaudal extent of the region of interest</w:t>
      </w:r>
      <w:r w:rsidR="006D19C2" w:rsidRPr="003A3EEA">
        <w:rPr>
          <w:rFonts w:ascii="Calibri" w:hAnsi="Calibri" w:cs="Arial"/>
        </w:rPr>
        <w:t>.</w:t>
      </w:r>
    </w:p>
    <w:p w14:paraId="0B9DC5C0" w14:textId="77777777" w:rsidR="00AA6D37" w:rsidRPr="003A3EEA" w:rsidRDefault="00AA6D37" w:rsidP="003A3EEA">
      <w:pPr>
        <w:rPr>
          <w:rFonts w:ascii="Calibri" w:hAnsi="Calibri"/>
        </w:rPr>
      </w:pPr>
    </w:p>
    <w:p w14:paraId="6A6774AC" w14:textId="179E7E01" w:rsidR="00572161" w:rsidRPr="003A3EEA" w:rsidRDefault="00A8156E" w:rsidP="003A3EEA">
      <w:pPr>
        <w:pStyle w:val="ListParagraph"/>
        <w:numPr>
          <w:ilvl w:val="1"/>
          <w:numId w:val="11"/>
        </w:numPr>
        <w:ind w:left="0" w:firstLine="0"/>
        <w:rPr>
          <w:rFonts w:ascii="Calibri" w:hAnsi="Calibri"/>
          <w:highlight w:val="yellow"/>
        </w:rPr>
      </w:pPr>
      <w:r w:rsidRPr="003A3EEA">
        <w:rPr>
          <w:rFonts w:ascii="Calibri" w:hAnsi="Calibri"/>
          <w:highlight w:val="yellow"/>
        </w:rPr>
        <w:t xml:space="preserve">Conduct immunohistochemistry </w:t>
      </w:r>
      <w:r w:rsidR="000853BF" w:rsidRPr="003A3EEA">
        <w:rPr>
          <w:rFonts w:ascii="Calibri" w:hAnsi="Calibri"/>
          <w:highlight w:val="yellow"/>
        </w:rPr>
        <w:t xml:space="preserve">directed against the tagged receptor or the reporter protein </w:t>
      </w:r>
      <w:r w:rsidR="007A2F81" w:rsidRPr="003A3EEA">
        <w:rPr>
          <w:rFonts w:ascii="Calibri" w:hAnsi="Calibri"/>
          <w:highlight w:val="yellow"/>
        </w:rPr>
        <w:t>to ascertain the location and expression of the designer receptor and/or reporter</w:t>
      </w:r>
      <w:r w:rsidR="00572161" w:rsidRPr="003A3EEA">
        <w:rPr>
          <w:rFonts w:ascii="Calibri" w:hAnsi="Calibri"/>
          <w:highlight w:val="yellow"/>
          <w:vertAlign w:val="superscript"/>
        </w:rPr>
        <w:t>1</w:t>
      </w:r>
      <w:r w:rsidR="00D24845" w:rsidRPr="003A3EEA">
        <w:rPr>
          <w:rFonts w:ascii="Calibri" w:hAnsi="Calibri"/>
          <w:highlight w:val="yellow"/>
          <w:vertAlign w:val="superscript"/>
        </w:rPr>
        <w:t>2</w:t>
      </w:r>
      <w:r w:rsidR="00C34AC5" w:rsidRPr="003A3EEA">
        <w:rPr>
          <w:rFonts w:ascii="Calibri" w:hAnsi="Calibri"/>
          <w:highlight w:val="yellow"/>
          <w:vertAlign w:val="subscript"/>
        </w:rPr>
        <w:t>.</w:t>
      </w:r>
      <w:r w:rsidR="00572161" w:rsidRPr="003A3EEA">
        <w:rPr>
          <w:rFonts w:ascii="Calibri" w:hAnsi="Calibri"/>
          <w:highlight w:val="yellow"/>
        </w:rPr>
        <w:t xml:space="preserve">. </w:t>
      </w:r>
      <w:r w:rsidR="00D24845" w:rsidRPr="003A3EEA">
        <w:rPr>
          <w:rFonts w:ascii="Calibri" w:hAnsi="Calibri"/>
          <w:highlight w:val="yellow"/>
        </w:rPr>
        <w:t>An immunohistochemistry staining protocol is provided on the DREADD wiki resource page</w:t>
      </w:r>
      <w:r w:rsidR="00CA758E" w:rsidRPr="003A3EEA">
        <w:rPr>
          <w:rFonts w:ascii="Calibri" w:hAnsi="Calibri"/>
          <w:highlight w:val="yellow"/>
          <w:vertAlign w:val="superscript"/>
        </w:rPr>
        <w:t>25</w:t>
      </w:r>
    </w:p>
    <w:p w14:paraId="65AD08A6" w14:textId="77777777" w:rsidR="00225CF2" w:rsidRPr="003A3EEA" w:rsidRDefault="00225CF2" w:rsidP="003A3EEA">
      <w:pPr>
        <w:rPr>
          <w:rFonts w:ascii="Calibri" w:hAnsi="Calibri"/>
          <w:highlight w:val="yellow"/>
        </w:rPr>
      </w:pPr>
    </w:p>
    <w:p w14:paraId="3AC5F1FB" w14:textId="36549BA5" w:rsidR="00225CF2" w:rsidRPr="003A3EEA" w:rsidRDefault="007A2F81" w:rsidP="003A3EEA">
      <w:pPr>
        <w:pStyle w:val="ListParagraph"/>
        <w:numPr>
          <w:ilvl w:val="1"/>
          <w:numId w:val="11"/>
        </w:numPr>
        <w:ind w:left="0" w:firstLine="0"/>
        <w:rPr>
          <w:rFonts w:ascii="Calibri" w:hAnsi="Calibri"/>
          <w:highlight w:val="yellow"/>
        </w:rPr>
      </w:pPr>
      <w:r w:rsidRPr="003A3EEA">
        <w:rPr>
          <w:rFonts w:ascii="Calibri" w:hAnsi="Calibri"/>
          <w:highlight w:val="yellow"/>
        </w:rPr>
        <w:t xml:space="preserve">Mount </w:t>
      </w:r>
      <w:r w:rsidR="00225CF2" w:rsidRPr="003A3EEA">
        <w:rPr>
          <w:rFonts w:ascii="Calibri" w:hAnsi="Calibri"/>
          <w:highlight w:val="yellow"/>
        </w:rPr>
        <w:t>the section</w:t>
      </w:r>
      <w:r w:rsidRPr="003A3EEA">
        <w:rPr>
          <w:rFonts w:ascii="Calibri" w:hAnsi="Calibri"/>
          <w:highlight w:val="yellow"/>
        </w:rPr>
        <w:t>s onto superfrost-plus slides</w:t>
      </w:r>
      <w:r w:rsidR="009A4459" w:rsidRPr="003A3EEA">
        <w:rPr>
          <w:rFonts w:ascii="Calibri" w:hAnsi="Calibri"/>
          <w:highlight w:val="yellow"/>
        </w:rPr>
        <w:t xml:space="preserve"> and coverslip </w:t>
      </w:r>
      <w:r w:rsidR="00B50A15" w:rsidRPr="003A3EEA">
        <w:rPr>
          <w:rFonts w:ascii="Calibri" w:hAnsi="Calibri"/>
          <w:highlight w:val="yellow"/>
        </w:rPr>
        <w:t xml:space="preserve">using 100 to 200 </w:t>
      </w:r>
      <w:r w:rsidR="00272024" w:rsidRPr="003A3EEA">
        <w:rPr>
          <w:rFonts w:ascii="Calibri" w:hAnsi="Calibri"/>
          <w:highlight w:val="yellow"/>
        </w:rPr>
        <w:t>μL</w:t>
      </w:r>
      <w:r w:rsidR="00B50A15" w:rsidRPr="003A3EEA" w:rsidDel="00B50A15">
        <w:rPr>
          <w:rFonts w:ascii="Calibri" w:hAnsi="Calibri"/>
          <w:highlight w:val="yellow"/>
        </w:rPr>
        <w:t xml:space="preserve"> </w:t>
      </w:r>
      <w:r w:rsidR="00B50A15" w:rsidRPr="003A3EEA">
        <w:rPr>
          <w:rFonts w:ascii="Calibri" w:hAnsi="Calibri"/>
          <w:highlight w:val="yellow"/>
        </w:rPr>
        <w:t>of</w:t>
      </w:r>
      <w:r w:rsidR="00572161" w:rsidRPr="003A3EEA">
        <w:rPr>
          <w:rFonts w:ascii="Calibri" w:hAnsi="Calibri"/>
          <w:highlight w:val="yellow"/>
        </w:rPr>
        <w:t xml:space="preserve"> an</w:t>
      </w:r>
      <w:r w:rsidR="00225CF2" w:rsidRPr="003A3EEA">
        <w:rPr>
          <w:rFonts w:ascii="Calibri" w:hAnsi="Calibri"/>
          <w:highlight w:val="yellow"/>
        </w:rPr>
        <w:t xml:space="preserve"> aqueous mounting medium. </w:t>
      </w:r>
    </w:p>
    <w:p w14:paraId="42A43620" w14:textId="77777777" w:rsidR="009A4459" w:rsidRPr="003A3EEA" w:rsidRDefault="009A4459" w:rsidP="003A3EEA">
      <w:pPr>
        <w:pStyle w:val="ListParagraph"/>
        <w:ind w:left="0"/>
        <w:rPr>
          <w:rFonts w:ascii="Calibri" w:hAnsi="Calibri"/>
          <w:highlight w:val="yellow"/>
        </w:rPr>
      </w:pPr>
    </w:p>
    <w:p w14:paraId="2FD205D7" w14:textId="1C37C772" w:rsidR="009A4459" w:rsidRPr="003A3EEA" w:rsidRDefault="009A4459" w:rsidP="003A3EEA">
      <w:pPr>
        <w:pStyle w:val="ListParagraph"/>
        <w:numPr>
          <w:ilvl w:val="1"/>
          <w:numId w:val="11"/>
        </w:numPr>
        <w:ind w:left="0" w:firstLine="0"/>
        <w:rPr>
          <w:rFonts w:ascii="Calibri" w:hAnsi="Calibri"/>
          <w:highlight w:val="yellow"/>
        </w:rPr>
      </w:pPr>
      <w:r w:rsidRPr="003A3EEA">
        <w:rPr>
          <w:rFonts w:ascii="Calibri" w:hAnsi="Calibri"/>
          <w:highlight w:val="yellow"/>
        </w:rPr>
        <w:t xml:space="preserve">Perform fluorescence microscopy on brain tissue to verify AAV placement and </w:t>
      </w:r>
      <w:r w:rsidR="000853BF" w:rsidRPr="003A3EEA">
        <w:rPr>
          <w:rFonts w:ascii="Calibri" w:hAnsi="Calibri"/>
          <w:highlight w:val="yellow"/>
        </w:rPr>
        <w:t xml:space="preserve">protein </w:t>
      </w:r>
      <w:r w:rsidRPr="003A3EEA">
        <w:rPr>
          <w:rFonts w:ascii="Calibri" w:hAnsi="Calibri"/>
          <w:highlight w:val="yellow"/>
        </w:rPr>
        <w:t>expression</w:t>
      </w:r>
      <w:r w:rsidR="00BB091E" w:rsidRPr="003A3EEA">
        <w:rPr>
          <w:rFonts w:ascii="Calibri" w:hAnsi="Calibri"/>
          <w:highlight w:val="yellow"/>
          <w:vertAlign w:val="superscript"/>
        </w:rPr>
        <w:t>1</w:t>
      </w:r>
      <w:r w:rsidR="00D24845" w:rsidRPr="003A3EEA">
        <w:rPr>
          <w:rFonts w:ascii="Calibri" w:hAnsi="Calibri"/>
          <w:highlight w:val="yellow"/>
          <w:vertAlign w:val="superscript"/>
        </w:rPr>
        <w:t>2</w:t>
      </w:r>
      <w:r w:rsidR="00731320" w:rsidRPr="003A3EEA">
        <w:rPr>
          <w:rFonts w:ascii="Calibri" w:hAnsi="Calibri"/>
          <w:highlight w:val="yellow"/>
          <w:vertAlign w:val="superscript"/>
        </w:rPr>
        <w:t xml:space="preserve">, </w:t>
      </w:r>
      <w:r w:rsidR="00CA758E" w:rsidRPr="003A3EEA">
        <w:rPr>
          <w:rFonts w:ascii="Calibri" w:hAnsi="Calibri"/>
          <w:highlight w:val="yellow"/>
          <w:vertAlign w:val="superscript"/>
        </w:rPr>
        <w:t>24</w:t>
      </w:r>
      <w:r w:rsidR="00BB091E" w:rsidRPr="003A3EEA">
        <w:rPr>
          <w:rFonts w:ascii="Calibri" w:hAnsi="Calibri"/>
          <w:highlight w:val="yellow"/>
        </w:rPr>
        <w:t>.</w:t>
      </w:r>
    </w:p>
    <w:p w14:paraId="238BD377" w14:textId="0B3C8902" w:rsidR="00AA6D37" w:rsidRPr="003A3EEA" w:rsidRDefault="00AA6D37" w:rsidP="003A3EEA">
      <w:pPr>
        <w:rPr>
          <w:rFonts w:ascii="Calibri" w:hAnsi="Calibri"/>
        </w:rPr>
      </w:pPr>
    </w:p>
    <w:p w14:paraId="19CC5769" w14:textId="1E0AF008" w:rsidR="003A0FC8" w:rsidRPr="003A3EEA" w:rsidRDefault="009D44D7" w:rsidP="003A3EEA">
      <w:pPr>
        <w:rPr>
          <w:rFonts w:ascii="Calibri" w:hAnsi="Calibri"/>
          <w:b/>
        </w:rPr>
      </w:pPr>
      <w:r w:rsidRPr="003A3EEA">
        <w:rPr>
          <w:rFonts w:ascii="Calibri" w:hAnsi="Calibri"/>
          <w:b/>
        </w:rPr>
        <w:t>REPRESENTATIVE RESULTS</w:t>
      </w:r>
      <w:r w:rsidR="004D3C57" w:rsidRPr="003A3EEA">
        <w:rPr>
          <w:rFonts w:ascii="Calibri" w:hAnsi="Calibri"/>
          <w:b/>
        </w:rPr>
        <w:t>:</w:t>
      </w:r>
    </w:p>
    <w:p w14:paraId="4F42047A" w14:textId="77777777" w:rsidR="003A0FC8" w:rsidRPr="003A3EEA" w:rsidRDefault="003A0FC8" w:rsidP="003A3EEA">
      <w:pPr>
        <w:rPr>
          <w:rFonts w:ascii="Calibri" w:hAnsi="Calibri"/>
        </w:rPr>
      </w:pPr>
    </w:p>
    <w:p w14:paraId="32B2920A" w14:textId="4B210E2D" w:rsidR="003A0FC8" w:rsidRPr="003A3EEA" w:rsidRDefault="003A0FC8" w:rsidP="003A3EEA">
      <w:pPr>
        <w:rPr>
          <w:rFonts w:ascii="Calibri" w:hAnsi="Calibri"/>
          <w:b/>
        </w:rPr>
      </w:pPr>
      <w:r w:rsidRPr="003A3EEA">
        <w:rPr>
          <w:rFonts w:ascii="Calibri" w:hAnsi="Calibri"/>
          <w:b/>
        </w:rPr>
        <w:t xml:space="preserve">Behavioral </w:t>
      </w:r>
      <w:r w:rsidR="00C065C5" w:rsidRPr="003A3EEA">
        <w:rPr>
          <w:rFonts w:ascii="Calibri" w:hAnsi="Calibri"/>
          <w:b/>
        </w:rPr>
        <w:t>R</w:t>
      </w:r>
      <w:r w:rsidRPr="003A3EEA">
        <w:rPr>
          <w:rFonts w:ascii="Calibri" w:hAnsi="Calibri"/>
          <w:b/>
        </w:rPr>
        <w:t>esults</w:t>
      </w:r>
    </w:p>
    <w:p w14:paraId="07995BAF" w14:textId="22EB3190" w:rsidR="003A0FC8" w:rsidRPr="003A3EEA" w:rsidRDefault="003A0FC8" w:rsidP="003A3EEA">
      <w:pPr>
        <w:rPr>
          <w:rFonts w:ascii="Calibri" w:hAnsi="Calibri"/>
        </w:rPr>
      </w:pPr>
      <w:r w:rsidRPr="003A3EEA">
        <w:rPr>
          <w:rFonts w:ascii="Calibri" w:hAnsi="Calibri"/>
        </w:rPr>
        <w:t>Upon completion of the experiment, the effectiveness of the region-specific temporary inactivation should be quantitatively and qualitatively assessed.</w:t>
      </w:r>
      <w:r w:rsidR="004D3C57" w:rsidRPr="003A3EEA">
        <w:rPr>
          <w:rFonts w:ascii="Calibri" w:hAnsi="Calibri"/>
        </w:rPr>
        <w:t xml:space="preserve"> </w:t>
      </w:r>
      <w:r w:rsidRPr="003A3EEA">
        <w:rPr>
          <w:rFonts w:ascii="Calibri" w:hAnsi="Calibri"/>
        </w:rPr>
        <w:t xml:space="preserve">The present example involves a 3-phase behavioral paradigm (sensory preconditioning), in which </w:t>
      </w:r>
      <w:r w:rsidR="004566C1" w:rsidRPr="003A3EEA">
        <w:rPr>
          <w:rFonts w:ascii="Calibri" w:hAnsi="Calibri"/>
        </w:rPr>
        <w:t xml:space="preserve">CNO was administered to attenuate </w:t>
      </w:r>
      <w:r w:rsidRPr="003A3EEA">
        <w:rPr>
          <w:rFonts w:ascii="Calibri" w:hAnsi="Calibri"/>
        </w:rPr>
        <w:t xml:space="preserve">neural activity in the RSC during the Preconditioning sessions to test the hypothesis </w:t>
      </w:r>
      <w:r w:rsidRPr="003A3EEA">
        <w:rPr>
          <w:rFonts w:ascii="Calibri" w:hAnsi="Calibri"/>
        </w:rPr>
        <w:lastRenderedPageBreak/>
        <w:t>that the RSC is necessary for the formation of associations among neutral stimuli</w:t>
      </w:r>
      <w:r w:rsidR="00164838" w:rsidRPr="003A3EEA">
        <w:rPr>
          <w:rFonts w:ascii="Calibri" w:hAnsi="Calibri"/>
          <w:vertAlign w:val="superscript"/>
        </w:rPr>
        <w:t>1</w:t>
      </w:r>
      <w:r w:rsidR="000A6C12" w:rsidRPr="003A3EEA">
        <w:rPr>
          <w:rFonts w:ascii="Calibri" w:hAnsi="Calibri"/>
          <w:vertAlign w:val="superscript"/>
        </w:rPr>
        <w:t>2</w:t>
      </w:r>
      <w:r w:rsidRPr="003A3EEA">
        <w:rPr>
          <w:rFonts w:ascii="Calibri" w:hAnsi="Calibri"/>
        </w:rPr>
        <w:t>.</w:t>
      </w:r>
      <w:r w:rsidR="004D3C57" w:rsidRPr="003A3EEA">
        <w:rPr>
          <w:rFonts w:ascii="Calibri" w:hAnsi="Calibri"/>
        </w:rPr>
        <w:t xml:space="preserve"> </w:t>
      </w:r>
      <w:r w:rsidRPr="003A3EEA">
        <w:rPr>
          <w:rFonts w:ascii="Calibri" w:hAnsi="Calibri"/>
        </w:rPr>
        <w:t xml:space="preserve">Importantly, experimenters are not limited to the behavioral paradigm </w:t>
      </w:r>
      <w:r w:rsidR="004566C1" w:rsidRPr="003A3EEA">
        <w:rPr>
          <w:rFonts w:ascii="Calibri" w:hAnsi="Calibri"/>
        </w:rPr>
        <w:t xml:space="preserve">or experimental design </w:t>
      </w:r>
      <w:r w:rsidRPr="003A3EEA">
        <w:rPr>
          <w:rFonts w:ascii="Calibri" w:hAnsi="Calibri"/>
        </w:rPr>
        <w:t>described herein as the pharmacogenetic approach can be coupled with most behavioral paradigms.</w:t>
      </w:r>
      <w:r w:rsidR="004D3C57" w:rsidRPr="003A3EEA">
        <w:rPr>
          <w:rFonts w:ascii="Calibri" w:hAnsi="Calibri"/>
        </w:rPr>
        <w:t xml:space="preserve"> </w:t>
      </w:r>
    </w:p>
    <w:p w14:paraId="215EF815" w14:textId="77777777" w:rsidR="003A0FC8" w:rsidRPr="003A3EEA" w:rsidRDefault="003A0FC8" w:rsidP="003A3EEA">
      <w:pPr>
        <w:rPr>
          <w:rFonts w:ascii="Calibri" w:hAnsi="Calibri"/>
        </w:rPr>
      </w:pPr>
    </w:p>
    <w:p w14:paraId="535FF73F" w14:textId="468D6DF6" w:rsidR="003A0FC8" w:rsidRPr="003A3EEA" w:rsidRDefault="003A0FC8" w:rsidP="003A3EEA">
      <w:pPr>
        <w:rPr>
          <w:rFonts w:ascii="Calibri" w:hAnsi="Calibri"/>
        </w:rPr>
      </w:pPr>
      <w:r w:rsidRPr="003A3EEA">
        <w:rPr>
          <w:rFonts w:ascii="Calibri" w:hAnsi="Calibri"/>
        </w:rPr>
        <w:t xml:space="preserve">Whereas analyses are not typically performed on data generated during the Preconditioning sessions (Phase 1), </w:t>
      </w:r>
      <w:r w:rsidR="000E6E83" w:rsidRPr="003A3EEA">
        <w:rPr>
          <w:rFonts w:ascii="Calibri" w:hAnsi="Calibri"/>
        </w:rPr>
        <w:t xml:space="preserve">it is important to quantify whether rats learned the light </w:t>
      </w:r>
      <w:r w:rsidR="000E6E83" w:rsidRPr="003A3EEA">
        <w:rPr>
          <w:rFonts w:ascii="Calibri" w:hAnsi="Calibri"/>
        </w:rPr>
        <w:sym w:font="Wingdings" w:char="F0E0"/>
      </w:r>
      <w:r w:rsidR="000E6E83" w:rsidRPr="003A3EEA">
        <w:rPr>
          <w:rFonts w:ascii="Calibri" w:hAnsi="Calibri"/>
        </w:rPr>
        <w:t xml:space="preserve"> food association</w:t>
      </w:r>
      <w:r w:rsidRPr="003A3EEA">
        <w:rPr>
          <w:rFonts w:ascii="Calibri" w:hAnsi="Calibri"/>
        </w:rPr>
        <w:t xml:space="preserve"> </w:t>
      </w:r>
      <w:r w:rsidR="000E6E83" w:rsidRPr="003A3EEA">
        <w:rPr>
          <w:rFonts w:ascii="Calibri" w:hAnsi="Calibri"/>
        </w:rPr>
        <w:t>during the</w:t>
      </w:r>
      <w:r w:rsidRPr="003A3EEA">
        <w:rPr>
          <w:rFonts w:ascii="Calibri" w:hAnsi="Calibri"/>
        </w:rPr>
        <w:t xml:space="preserve"> Conditioning session</w:t>
      </w:r>
      <w:r w:rsidR="00164838" w:rsidRPr="003A3EEA">
        <w:rPr>
          <w:rFonts w:ascii="Calibri" w:hAnsi="Calibri"/>
        </w:rPr>
        <w:t>s</w:t>
      </w:r>
      <w:r w:rsidR="000E6E83" w:rsidRPr="003A3EEA">
        <w:rPr>
          <w:rFonts w:ascii="Calibri" w:hAnsi="Calibri"/>
        </w:rPr>
        <w:t xml:space="preserve"> (Phase 2).</w:t>
      </w:r>
      <w:r w:rsidR="0091394B" w:rsidRPr="003A3EEA">
        <w:rPr>
          <w:rFonts w:ascii="Calibri" w:hAnsi="Calibri"/>
        </w:rPr>
        <w:t xml:space="preserve"> </w:t>
      </w:r>
      <w:r w:rsidR="000E6E83" w:rsidRPr="003A3EEA">
        <w:rPr>
          <w:rFonts w:ascii="Calibri" w:hAnsi="Calibri"/>
        </w:rPr>
        <w:t xml:space="preserve">As shown in Figure 3A, </w:t>
      </w:r>
      <w:r w:rsidRPr="003A3EEA">
        <w:rPr>
          <w:rFonts w:ascii="Calibri" w:hAnsi="Calibri"/>
        </w:rPr>
        <w:t xml:space="preserve">both </w:t>
      </w:r>
      <w:r w:rsidR="000E6E83" w:rsidRPr="003A3EEA">
        <w:rPr>
          <w:rFonts w:ascii="Calibri" w:hAnsi="Calibri"/>
        </w:rPr>
        <w:t xml:space="preserve">experimental (Expt) and Control (Ctrl) rats </w:t>
      </w:r>
      <w:r w:rsidRPr="003A3EEA">
        <w:rPr>
          <w:rFonts w:ascii="Calibri" w:hAnsi="Calibri"/>
        </w:rPr>
        <w:t>demonstrate increasing food cup behavior during presentations</w:t>
      </w:r>
      <w:r w:rsidR="00C208AB" w:rsidRPr="003A3EEA">
        <w:rPr>
          <w:rFonts w:ascii="Calibri" w:hAnsi="Calibri"/>
        </w:rPr>
        <w:t xml:space="preserve"> of the light stimulus (Figure 3</w:t>
      </w:r>
      <w:r w:rsidR="00EF5E32" w:rsidRPr="003A3EEA">
        <w:rPr>
          <w:rFonts w:ascii="Calibri" w:hAnsi="Calibri"/>
        </w:rPr>
        <w:t>A</w:t>
      </w:r>
      <w:r w:rsidRPr="003A3EEA">
        <w:rPr>
          <w:rFonts w:ascii="Calibri" w:hAnsi="Calibri"/>
        </w:rPr>
        <w:t>)</w:t>
      </w:r>
      <w:r w:rsidR="000E6E83" w:rsidRPr="003A3EEA">
        <w:rPr>
          <w:rFonts w:ascii="Calibri" w:hAnsi="Calibri"/>
        </w:rPr>
        <w:t xml:space="preserve"> indicating that rats</w:t>
      </w:r>
      <w:r w:rsidRPr="003A3EEA">
        <w:rPr>
          <w:rFonts w:ascii="Calibri" w:hAnsi="Calibri"/>
        </w:rPr>
        <w:t xml:space="preserve"> acquired a Pavlovian association between the visual </w:t>
      </w:r>
      <w:r w:rsidR="00B50C00" w:rsidRPr="003A3EEA">
        <w:rPr>
          <w:rFonts w:ascii="Calibri" w:hAnsi="Calibri"/>
        </w:rPr>
        <w:t>stimulus</w:t>
      </w:r>
      <w:r w:rsidRPr="003A3EEA">
        <w:rPr>
          <w:rFonts w:ascii="Calibri" w:hAnsi="Calibri"/>
        </w:rPr>
        <w:t xml:space="preserve"> (light) and the food reward.</w:t>
      </w:r>
      <w:r w:rsidR="004D3C57" w:rsidRPr="003A3EEA">
        <w:rPr>
          <w:rFonts w:ascii="Calibri" w:hAnsi="Calibri"/>
        </w:rPr>
        <w:t xml:space="preserve"> </w:t>
      </w:r>
      <w:r w:rsidRPr="003A3EEA">
        <w:rPr>
          <w:rFonts w:ascii="Calibri" w:hAnsi="Calibri"/>
        </w:rPr>
        <w:t>In addition, both groups demonstrate increasing food cup behavior during presentat</w:t>
      </w:r>
      <w:r w:rsidR="00C208AB" w:rsidRPr="003A3EEA">
        <w:rPr>
          <w:rFonts w:ascii="Calibri" w:hAnsi="Calibri"/>
        </w:rPr>
        <w:t>ion of the food reward (Figure 3</w:t>
      </w:r>
      <w:r w:rsidR="00EF5E32" w:rsidRPr="003A3EEA">
        <w:rPr>
          <w:rFonts w:ascii="Calibri" w:hAnsi="Calibri"/>
        </w:rPr>
        <w:t>B</w:t>
      </w:r>
      <w:r w:rsidRPr="003A3EEA">
        <w:rPr>
          <w:rFonts w:ascii="Calibri" w:hAnsi="Calibri"/>
        </w:rPr>
        <w:t>) indicating equivalent motivation to obtain reward.</w:t>
      </w:r>
      <w:r w:rsidR="004D3C57" w:rsidRPr="003A3EEA">
        <w:rPr>
          <w:rFonts w:ascii="Calibri" w:hAnsi="Calibri"/>
        </w:rPr>
        <w:t xml:space="preserve"> </w:t>
      </w:r>
      <w:r w:rsidRPr="003A3EEA">
        <w:rPr>
          <w:rFonts w:ascii="Calibri" w:hAnsi="Calibri"/>
        </w:rPr>
        <w:t xml:space="preserve">During the critical Test session, when the auditory </w:t>
      </w:r>
      <w:r w:rsidR="00B50C00" w:rsidRPr="003A3EEA">
        <w:rPr>
          <w:rFonts w:ascii="Calibri" w:hAnsi="Calibri"/>
        </w:rPr>
        <w:t>stimuli</w:t>
      </w:r>
      <w:r w:rsidRPr="003A3EEA">
        <w:rPr>
          <w:rFonts w:ascii="Calibri" w:hAnsi="Calibri"/>
        </w:rPr>
        <w:t xml:space="preserve"> are presented in the absence of oth</w:t>
      </w:r>
      <w:r w:rsidR="000E6E83" w:rsidRPr="003A3EEA">
        <w:rPr>
          <w:rFonts w:ascii="Calibri" w:hAnsi="Calibri"/>
        </w:rPr>
        <w:t xml:space="preserve">er stimuli, control rats </w:t>
      </w:r>
      <w:r w:rsidRPr="003A3EEA">
        <w:rPr>
          <w:rFonts w:ascii="Calibri" w:hAnsi="Calibri"/>
        </w:rPr>
        <w:t xml:space="preserve">have a discrimination score that is significantly </w:t>
      </w:r>
      <w:r w:rsidR="0035781A" w:rsidRPr="003A3EEA">
        <w:rPr>
          <w:rFonts w:ascii="Calibri" w:hAnsi="Calibri"/>
        </w:rPr>
        <w:t>different from experimental rats</w:t>
      </w:r>
      <w:r w:rsidR="00B33227" w:rsidRPr="003A3EEA">
        <w:rPr>
          <w:rFonts w:ascii="Calibri" w:hAnsi="Calibri"/>
        </w:rPr>
        <w:t xml:space="preserve"> (Figure 3C)</w:t>
      </w:r>
      <w:r w:rsidR="0035781A" w:rsidRPr="003A3EEA">
        <w:rPr>
          <w:rFonts w:ascii="Calibri" w:hAnsi="Calibri"/>
        </w:rPr>
        <w:t xml:space="preserve">.  Visual inspection of the graph reveals that the average discrimination ratio of control rats is </w:t>
      </w:r>
      <w:r w:rsidRPr="003A3EEA">
        <w:rPr>
          <w:rFonts w:ascii="Calibri" w:hAnsi="Calibri"/>
        </w:rPr>
        <w:t>greater than 0.5</w:t>
      </w:r>
      <w:r w:rsidR="004566C1" w:rsidRPr="003A3EEA">
        <w:rPr>
          <w:rFonts w:ascii="Calibri" w:hAnsi="Calibri"/>
        </w:rPr>
        <w:t>,</w:t>
      </w:r>
      <w:r w:rsidRPr="003A3EEA">
        <w:rPr>
          <w:rFonts w:ascii="Calibri" w:hAnsi="Calibri"/>
        </w:rPr>
        <w:t xml:space="preserve"> indicative of greater food cup behavior in response to presentations of the auditory </w:t>
      </w:r>
      <w:r w:rsidR="00B50C00" w:rsidRPr="003A3EEA">
        <w:rPr>
          <w:rFonts w:ascii="Calibri" w:hAnsi="Calibri"/>
        </w:rPr>
        <w:t>stimulus</w:t>
      </w:r>
      <w:r w:rsidRPr="003A3EEA">
        <w:rPr>
          <w:rFonts w:ascii="Calibri" w:hAnsi="Calibri"/>
        </w:rPr>
        <w:t xml:space="preserve"> that was paired with the light (during Preconditioning) compared to their food cup behavior in response to presentations of the auditory </w:t>
      </w:r>
      <w:r w:rsidR="00B50C00" w:rsidRPr="003A3EEA">
        <w:rPr>
          <w:rFonts w:ascii="Calibri" w:hAnsi="Calibri"/>
        </w:rPr>
        <w:t>stimulus</w:t>
      </w:r>
      <w:r w:rsidRPr="003A3EEA">
        <w:rPr>
          <w:rFonts w:ascii="Calibri" w:hAnsi="Calibri"/>
        </w:rPr>
        <w:t xml:space="preserve"> that was unpaired (during Preconditioning).</w:t>
      </w:r>
      <w:r w:rsidR="004D3C57" w:rsidRPr="003A3EEA">
        <w:rPr>
          <w:rFonts w:ascii="Calibri" w:hAnsi="Calibri"/>
        </w:rPr>
        <w:t xml:space="preserve"> </w:t>
      </w:r>
      <w:r w:rsidR="0035781A" w:rsidRPr="003A3EEA">
        <w:rPr>
          <w:rFonts w:ascii="Calibri" w:hAnsi="Calibri"/>
        </w:rPr>
        <w:t>In con</w:t>
      </w:r>
      <w:r w:rsidR="005221B9" w:rsidRPr="003A3EEA">
        <w:rPr>
          <w:rFonts w:ascii="Calibri" w:hAnsi="Calibri"/>
        </w:rPr>
        <w:t xml:space="preserve">trast, experimental rats fail to demonstrate a difference score that is above chance. </w:t>
      </w:r>
      <w:r w:rsidR="000E6E83" w:rsidRPr="003A3EEA">
        <w:rPr>
          <w:rFonts w:ascii="Calibri" w:hAnsi="Calibri"/>
        </w:rPr>
        <w:t xml:space="preserve">Thus, </w:t>
      </w:r>
      <w:r w:rsidR="004566C1" w:rsidRPr="003A3EEA">
        <w:rPr>
          <w:rFonts w:ascii="Calibri" w:hAnsi="Calibri"/>
        </w:rPr>
        <w:t>F</w:t>
      </w:r>
      <w:r w:rsidRPr="003A3EEA">
        <w:rPr>
          <w:rFonts w:ascii="Calibri" w:hAnsi="Calibri"/>
        </w:rPr>
        <w:t>igure 3</w:t>
      </w:r>
      <w:r w:rsidR="00EF5E32" w:rsidRPr="003A3EEA">
        <w:rPr>
          <w:rFonts w:ascii="Calibri" w:hAnsi="Calibri"/>
        </w:rPr>
        <w:t>C</w:t>
      </w:r>
      <w:r w:rsidR="000E6E83" w:rsidRPr="003A3EEA">
        <w:rPr>
          <w:rFonts w:ascii="Calibri" w:hAnsi="Calibri"/>
        </w:rPr>
        <w:t xml:space="preserve"> demonstrates that </w:t>
      </w:r>
      <w:r w:rsidRPr="003A3EEA">
        <w:rPr>
          <w:rFonts w:ascii="Calibri" w:hAnsi="Calibri"/>
        </w:rPr>
        <w:t xml:space="preserve">control but not experimental rats </w:t>
      </w:r>
      <w:r w:rsidR="000E6E83" w:rsidRPr="003A3EEA">
        <w:rPr>
          <w:rFonts w:ascii="Calibri" w:hAnsi="Calibri"/>
        </w:rPr>
        <w:t>showed the sensory preconditioning effect.</w:t>
      </w:r>
      <w:r w:rsidRPr="003A3EEA">
        <w:rPr>
          <w:rFonts w:ascii="Calibri" w:hAnsi="Calibri"/>
        </w:rPr>
        <w:t xml:space="preserve"> </w:t>
      </w:r>
    </w:p>
    <w:p w14:paraId="239D1FE1" w14:textId="77777777" w:rsidR="003A0FC8" w:rsidRPr="003A3EEA" w:rsidRDefault="003A0FC8" w:rsidP="003A3EEA">
      <w:pPr>
        <w:rPr>
          <w:rFonts w:ascii="Calibri" w:hAnsi="Calibri"/>
        </w:rPr>
      </w:pPr>
    </w:p>
    <w:p w14:paraId="771CB9C0" w14:textId="6803F346" w:rsidR="003A0FC8" w:rsidRPr="003A3EEA" w:rsidRDefault="003A0FC8" w:rsidP="003A3EEA">
      <w:pPr>
        <w:rPr>
          <w:rFonts w:ascii="Calibri" w:hAnsi="Calibri"/>
          <w:b/>
        </w:rPr>
      </w:pPr>
      <w:r w:rsidRPr="003A3EEA">
        <w:rPr>
          <w:rFonts w:ascii="Calibri" w:hAnsi="Calibri"/>
          <w:b/>
        </w:rPr>
        <w:t xml:space="preserve">Verification of AAV </w:t>
      </w:r>
      <w:r w:rsidR="00C065C5" w:rsidRPr="003A3EEA">
        <w:rPr>
          <w:rFonts w:ascii="Calibri" w:hAnsi="Calibri"/>
          <w:b/>
        </w:rPr>
        <w:t>P</w:t>
      </w:r>
      <w:r w:rsidRPr="003A3EEA">
        <w:rPr>
          <w:rFonts w:ascii="Calibri" w:hAnsi="Calibri"/>
          <w:b/>
        </w:rPr>
        <w:t>lacement</w:t>
      </w:r>
    </w:p>
    <w:p w14:paraId="240EFF00" w14:textId="77BD59C3" w:rsidR="003A0FC8" w:rsidRPr="003A3EEA" w:rsidRDefault="003A0FC8" w:rsidP="003A3EEA">
      <w:pPr>
        <w:rPr>
          <w:rFonts w:ascii="Calibri" w:hAnsi="Calibri"/>
        </w:rPr>
      </w:pPr>
      <w:r w:rsidRPr="003A3EEA">
        <w:rPr>
          <w:rFonts w:ascii="Calibri" w:hAnsi="Calibri"/>
        </w:rPr>
        <w:t xml:space="preserve">At the completion of behavioral testing, </w:t>
      </w:r>
      <w:r w:rsidR="000E6E83" w:rsidRPr="003A3EEA">
        <w:rPr>
          <w:rFonts w:ascii="Calibri" w:hAnsi="Calibri"/>
        </w:rPr>
        <w:t xml:space="preserve">analyze rat brain tissue </w:t>
      </w:r>
      <w:r w:rsidRPr="003A3EEA">
        <w:rPr>
          <w:rFonts w:ascii="Calibri" w:hAnsi="Calibri"/>
        </w:rPr>
        <w:t>for correct placement and expression of the designer receptor.</w:t>
      </w:r>
      <w:r w:rsidR="004D3C57" w:rsidRPr="003A3EEA">
        <w:rPr>
          <w:rFonts w:ascii="Calibri" w:hAnsi="Calibri"/>
        </w:rPr>
        <w:t xml:space="preserve"> </w:t>
      </w:r>
      <w:r w:rsidR="000E6E83" w:rsidRPr="003A3EEA">
        <w:rPr>
          <w:rFonts w:ascii="Calibri" w:hAnsi="Calibri"/>
        </w:rPr>
        <w:t>Conduct immunohistochemistry</w:t>
      </w:r>
      <w:r w:rsidR="00FA044A" w:rsidRPr="003A3EEA">
        <w:rPr>
          <w:rFonts w:ascii="Calibri" w:hAnsi="Calibri"/>
          <w:vertAlign w:val="superscript"/>
        </w:rPr>
        <w:t>12, 2</w:t>
      </w:r>
      <w:r w:rsidR="00CA758E" w:rsidRPr="003A3EEA">
        <w:rPr>
          <w:rFonts w:ascii="Calibri" w:hAnsi="Calibri"/>
          <w:vertAlign w:val="superscript"/>
        </w:rPr>
        <w:t>5</w:t>
      </w:r>
      <w:r w:rsidR="000E6E83" w:rsidRPr="003A3EEA">
        <w:rPr>
          <w:rFonts w:ascii="Calibri" w:hAnsi="Calibri"/>
        </w:rPr>
        <w:t xml:space="preserve"> </w:t>
      </w:r>
      <w:r w:rsidRPr="003A3EEA">
        <w:rPr>
          <w:rFonts w:ascii="Calibri" w:hAnsi="Calibri"/>
        </w:rPr>
        <w:t>using primary antibodies directed</w:t>
      </w:r>
      <w:r w:rsidR="00164838" w:rsidRPr="003A3EEA">
        <w:rPr>
          <w:rFonts w:ascii="Calibri" w:hAnsi="Calibri"/>
        </w:rPr>
        <w:t xml:space="preserve"> against a receptor tag (</w:t>
      </w:r>
      <w:r w:rsidR="00EF5E32" w:rsidRPr="003A3EEA">
        <w:rPr>
          <w:rFonts w:ascii="Calibri" w:hAnsi="Calibri"/>
          <w:i/>
        </w:rPr>
        <w:t>e.g.,</w:t>
      </w:r>
      <w:r w:rsidR="00EF5E32" w:rsidRPr="003A3EEA">
        <w:rPr>
          <w:rFonts w:ascii="Calibri" w:hAnsi="Calibri"/>
        </w:rPr>
        <w:t xml:space="preserve"> </w:t>
      </w:r>
      <w:r w:rsidRPr="003A3EEA">
        <w:rPr>
          <w:rFonts w:ascii="Calibri" w:hAnsi="Calibri"/>
        </w:rPr>
        <w:t xml:space="preserve">an anti-HA primary antibody) or the fluorescent reporter (in this example, </w:t>
      </w:r>
      <w:r w:rsidR="002915F6" w:rsidRPr="003A3EEA">
        <w:rPr>
          <w:rFonts w:ascii="Calibri" w:hAnsi="Calibri"/>
        </w:rPr>
        <w:t>mcitrine</w:t>
      </w:r>
      <w:r w:rsidRPr="003A3EEA">
        <w:rPr>
          <w:rFonts w:ascii="Calibri" w:hAnsi="Calibri"/>
        </w:rPr>
        <w:t xml:space="preserve"> which is detected by an </w:t>
      </w:r>
      <w:r w:rsidR="009B294F" w:rsidRPr="003A3EEA">
        <w:rPr>
          <w:rFonts w:ascii="Calibri" w:hAnsi="Calibri"/>
        </w:rPr>
        <w:t xml:space="preserve">antibody to </w:t>
      </w:r>
      <w:r w:rsidRPr="003A3EEA">
        <w:rPr>
          <w:rFonts w:ascii="Calibri" w:hAnsi="Calibri"/>
        </w:rPr>
        <w:t>Green Fluorescent Protein (GFP)</w:t>
      </w:r>
      <w:r w:rsidR="009B294F" w:rsidRPr="003A3EEA">
        <w:rPr>
          <w:rFonts w:ascii="Calibri" w:hAnsi="Calibri"/>
        </w:rPr>
        <w:t>)</w:t>
      </w:r>
      <w:r w:rsidRPr="003A3EEA">
        <w:rPr>
          <w:rFonts w:ascii="Calibri" w:hAnsi="Calibri"/>
        </w:rPr>
        <w:t>.</w:t>
      </w:r>
      <w:r w:rsidR="004D3C57" w:rsidRPr="003A3EEA">
        <w:rPr>
          <w:rFonts w:ascii="Calibri" w:hAnsi="Calibri"/>
        </w:rPr>
        <w:t xml:space="preserve"> </w:t>
      </w:r>
      <w:r w:rsidR="00EF5E32" w:rsidRPr="003A3EEA">
        <w:rPr>
          <w:rFonts w:ascii="Calibri" w:hAnsi="Calibri"/>
        </w:rPr>
        <w:t>A schematic of a coronal section through the rat brain is shown in Fig</w:t>
      </w:r>
      <w:r w:rsidR="00501AE3" w:rsidRPr="003A3EEA">
        <w:rPr>
          <w:rFonts w:ascii="Calibri" w:hAnsi="Calibri"/>
        </w:rPr>
        <w:t>ure</w:t>
      </w:r>
      <w:r w:rsidR="00EF5E32" w:rsidRPr="003A3EEA">
        <w:rPr>
          <w:rFonts w:ascii="Calibri" w:hAnsi="Calibri"/>
        </w:rPr>
        <w:t xml:space="preserve"> 4A.</w:t>
      </w:r>
      <w:r w:rsidR="004D3C57" w:rsidRPr="003A3EEA">
        <w:rPr>
          <w:rFonts w:ascii="Calibri" w:hAnsi="Calibri"/>
        </w:rPr>
        <w:t xml:space="preserve"> </w:t>
      </w:r>
      <w:r w:rsidR="00EF5E32" w:rsidRPr="003A3EEA">
        <w:rPr>
          <w:rFonts w:ascii="Calibri" w:hAnsi="Calibri"/>
        </w:rPr>
        <w:t xml:space="preserve">Figure 4B </w:t>
      </w:r>
      <w:r w:rsidRPr="003A3EEA">
        <w:rPr>
          <w:rFonts w:ascii="Calibri" w:hAnsi="Calibri"/>
        </w:rPr>
        <w:t xml:space="preserve">illustrates robust fluorescent </w:t>
      </w:r>
      <w:r w:rsidR="00EE2F4C" w:rsidRPr="003A3EEA">
        <w:rPr>
          <w:rFonts w:ascii="Calibri" w:hAnsi="Calibri"/>
        </w:rPr>
        <w:t xml:space="preserve">immunodetection of the reporter protein in the RSC in a representative experimental rat </w:t>
      </w:r>
      <w:r w:rsidRPr="003A3EEA">
        <w:rPr>
          <w:rFonts w:ascii="Calibri" w:hAnsi="Calibri"/>
        </w:rPr>
        <w:t>with no fluorescent label detected in surrounding regions.</w:t>
      </w:r>
      <w:r w:rsidR="004D3C57" w:rsidRPr="003A3EEA">
        <w:rPr>
          <w:rFonts w:ascii="Calibri" w:hAnsi="Calibri"/>
        </w:rPr>
        <w:t xml:space="preserve"> </w:t>
      </w:r>
      <w:r w:rsidR="00EE2F4C" w:rsidRPr="003A3EEA">
        <w:rPr>
          <w:rFonts w:ascii="Calibri" w:hAnsi="Calibri"/>
        </w:rPr>
        <w:t xml:space="preserve">Figures 4C and 4D illustrate representative fluorescent labeling of reporter proteins in experimental (Expt; rats were infused with an AAV construct containing the designer receptor gene and </w:t>
      </w:r>
      <w:r w:rsidR="00F87740" w:rsidRPr="003A3EEA">
        <w:rPr>
          <w:rFonts w:ascii="Calibri" w:hAnsi="Calibri"/>
        </w:rPr>
        <w:t xml:space="preserve">the </w:t>
      </w:r>
      <w:r w:rsidR="002915F6" w:rsidRPr="003A3EEA">
        <w:rPr>
          <w:rFonts w:ascii="Calibri" w:hAnsi="Calibri"/>
        </w:rPr>
        <w:t>mcitrine</w:t>
      </w:r>
      <w:r w:rsidR="00F87740" w:rsidRPr="003A3EEA">
        <w:rPr>
          <w:rFonts w:ascii="Calibri" w:hAnsi="Calibri"/>
        </w:rPr>
        <w:t xml:space="preserve"> gene</w:t>
      </w:r>
      <w:r w:rsidR="00EE2F4C" w:rsidRPr="003A3EEA">
        <w:rPr>
          <w:rFonts w:ascii="Calibri" w:hAnsi="Calibri"/>
        </w:rPr>
        <w:t xml:space="preserve">) and </w:t>
      </w:r>
      <w:r w:rsidR="009B294F" w:rsidRPr="003A3EEA">
        <w:rPr>
          <w:rFonts w:ascii="Calibri" w:hAnsi="Calibri"/>
        </w:rPr>
        <w:t>c</w:t>
      </w:r>
      <w:r w:rsidR="00EE2F4C" w:rsidRPr="003A3EEA">
        <w:rPr>
          <w:rFonts w:ascii="Calibri" w:hAnsi="Calibri"/>
        </w:rPr>
        <w:t>ontrol (Ctrl</w:t>
      </w:r>
      <w:r w:rsidR="00F87740" w:rsidRPr="003A3EEA">
        <w:rPr>
          <w:rFonts w:ascii="Calibri" w:hAnsi="Calibri"/>
        </w:rPr>
        <w:t>; rats were infused with a similar AAV construct containing the GFP gene but no sequence for the designer receptor</w:t>
      </w:r>
      <w:r w:rsidR="00EE2F4C" w:rsidRPr="003A3EEA">
        <w:rPr>
          <w:rFonts w:ascii="Calibri" w:hAnsi="Calibri"/>
        </w:rPr>
        <w:t>) rats, respectively.</w:t>
      </w:r>
      <w:r w:rsidR="004D3C57" w:rsidRPr="003A3EEA">
        <w:rPr>
          <w:rFonts w:ascii="Calibri" w:hAnsi="Calibri"/>
        </w:rPr>
        <w:t xml:space="preserve"> </w:t>
      </w:r>
      <w:r w:rsidR="00966E47" w:rsidRPr="003A3EEA">
        <w:rPr>
          <w:rFonts w:ascii="Calibri" w:hAnsi="Calibri"/>
        </w:rPr>
        <w:t>Receptor levels can also be displayed as minimum, representative and maximal expression</w:t>
      </w:r>
      <w:r w:rsidR="009B294F" w:rsidRPr="003A3EEA">
        <w:rPr>
          <w:rFonts w:ascii="Calibri" w:hAnsi="Calibri"/>
          <w:vertAlign w:val="superscript"/>
        </w:rPr>
        <w:t>24</w:t>
      </w:r>
      <w:r w:rsidR="00966E47" w:rsidRPr="003A3EEA">
        <w:rPr>
          <w:rFonts w:ascii="Calibri" w:hAnsi="Calibri"/>
        </w:rPr>
        <w:t>.</w:t>
      </w:r>
      <w:r w:rsidR="004D3C57" w:rsidRPr="003A3EEA">
        <w:rPr>
          <w:rFonts w:ascii="Calibri" w:hAnsi="Calibri"/>
        </w:rPr>
        <w:t xml:space="preserve"> </w:t>
      </w:r>
      <w:r w:rsidRPr="003A3EEA">
        <w:rPr>
          <w:rFonts w:ascii="Calibri" w:hAnsi="Calibri"/>
        </w:rPr>
        <w:t xml:space="preserve">If labeling is detected in regions outside of the area of interest, </w:t>
      </w:r>
      <w:r w:rsidR="000E6E83" w:rsidRPr="003A3EEA">
        <w:rPr>
          <w:rFonts w:ascii="Calibri" w:hAnsi="Calibri"/>
        </w:rPr>
        <w:t xml:space="preserve">exclude those data </w:t>
      </w:r>
      <w:r w:rsidRPr="003A3EEA">
        <w:rPr>
          <w:rFonts w:ascii="Calibri" w:hAnsi="Calibri"/>
        </w:rPr>
        <w:t>from the behavioral analyses.</w:t>
      </w:r>
    </w:p>
    <w:p w14:paraId="049DA4A5" w14:textId="77777777" w:rsidR="004D3C57" w:rsidRPr="003A3EEA" w:rsidRDefault="004D3C57" w:rsidP="003A3EEA">
      <w:pPr>
        <w:rPr>
          <w:rFonts w:ascii="Calibri" w:hAnsi="Calibri"/>
        </w:rPr>
      </w:pPr>
    </w:p>
    <w:p w14:paraId="742FA995" w14:textId="2419F036" w:rsidR="004D3C57" w:rsidRPr="003A3EEA" w:rsidRDefault="004D3C57" w:rsidP="003A3EEA">
      <w:pPr>
        <w:rPr>
          <w:rFonts w:ascii="Calibri" w:eastAsia="Calibri" w:hAnsi="Calibri"/>
          <w:bCs/>
        </w:rPr>
      </w:pPr>
      <w:r w:rsidRPr="003A3EEA">
        <w:rPr>
          <w:rFonts w:ascii="Calibri" w:eastAsia="Calibri" w:hAnsi="Calibri"/>
          <w:b/>
          <w:bCs/>
        </w:rPr>
        <w:t>Figure 1. Schematic diagram of the AAV construct.</w:t>
      </w:r>
      <w:r w:rsidRPr="003A3EEA">
        <w:rPr>
          <w:rFonts w:ascii="Calibri" w:eastAsia="Calibri" w:hAnsi="Calibri"/>
          <w:bCs/>
        </w:rPr>
        <w:t xml:space="preserve"> </w:t>
      </w:r>
      <w:r w:rsidR="00D66A36" w:rsidRPr="003A3EEA">
        <w:rPr>
          <w:rFonts w:ascii="Calibri" w:eastAsia="Calibri" w:hAnsi="Calibri"/>
          <w:bCs/>
        </w:rPr>
        <w:t>A diagram of t</w:t>
      </w:r>
      <w:r w:rsidRPr="003A3EEA">
        <w:rPr>
          <w:rFonts w:ascii="Calibri" w:eastAsia="Calibri" w:hAnsi="Calibri"/>
          <w:bCs/>
        </w:rPr>
        <w:t xml:space="preserve">he </w:t>
      </w:r>
      <w:r w:rsidRPr="003A3EEA">
        <w:rPr>
          <w:rFonts w:ascii="Calibri" w:eastAsia="Calibri" w:hAnsi="Calibri"/>
          <w:bCs/>
          <w:i/>
        </w:rPr>
        <w:t>hSyn-HA-hM4D(Gi)-IRES-mCitrine</w:t>
      </w:r>
      <w:r w:rsidR="00D66A36" w:rsidRPr="003A3EEA">
        <w:rPr>
          <w:rFonts w:ascii="Calibri" w:eastAsia="Calibri" w:hAnsi="Calibri"/>
          <w:bCs/>
        </w:rPr>
        <w:t xml:space="preserve"> AAV </w:t>
      </w:r>
      <w:r w:rsidRPr="003A3EEA">
        <w:rPr>
          <w:rFonts w:ascii="Calibri" w:eastAsia="Calibri" w:hAnsi="Calibri"/>
          <w:bCs/>
        </w:rPr>
        <w:t>used to express the inhibitory designer receptor (hM4D</w:t>
      </w:r>
      <w:r w:rsidR="009B294F" w:rsidRPr="003A3EEA">
        <w:rPr>
          <w:rFonts w:ascii="Calibri" w:eastAsia="Calibri" w:hAnsi="Calibri"/>
          <w:bCs/>
        </w:rPr>
        <w:t>i</w:t>
      </w:r>
      <w:r w:rsidRPr="003A3EEA">
        <w:rPr>
          <w:rFonts w:ascii="Calibri" w:eastAsia="Calibri" w:hAnsi="Calibri"/>
          <w:bCs/>
        </w:rPr>
        <w:t xml:space="preserve">) under a neuronal specific synapsin promoter (hSyn) in RSC neurons. Immunofluorescent reporters (HA-tag and/or </w:t>
      </w:r>
      <w:r w:rsidR="002915F6" w:rsidRPr="003A3EEA">
        <w:rPr>
          <w:rFonts w:ascii="Calibri" w:eastAsia="Calibri" w:hAnsi="Calibri"/>
          <w:bCs/>
        </w:rPr>
        <w:t>mcitrine</w:t>
      </w:r>
      <w:r w:rsidRPr="003A3EEA">
        <w:rPr>
          <w:rFonts w:ascii="Calibri" w:eastAsia="Calibri" w:hAnsi="Calibri"/>
          <w:bCs/>
        </w:rPr>
        <w:t xml:space="preserve">) can be used to visualize expression of the protein and reporter, respectively. </w:t>
      </w:r>
      <w:r w:rsidR="0065281E" w:rsidRPr="003A3EEA">
        <w:rPr>
          <w:rFonts w:ascii="Calibri" w:eastAsia="Calibri" w:hAnsi="Calibri"/>
          <w:bCs/>
        </w:rPr>
        <w:t xml:space="preserve">hSyn, human synapsin promoter; specifies expression in neurons. HA, hemagluttinin tag; this tag is fused to the designer receptor and serves as an epitope tag enabling detection of receptor expression. hM4Di, the gene for the designer inhibitory G-protein coupled receptor.  </w:t>
      </w:r>
      <w:r w:rsidRPr="003A3EEA">
        <w:rPr>
          <w:rFonts w:ascii="Calibri" w:eastAsia="Calibri" w:hAnsi="Calibri"/>
          <w:bCs/>
        </w:rPr>
        <w:t xml:space="preserve">IRES, </w:t>
      </w:r>
      <w:r w:rsidRPr="003A3EEA">
        <w:rPr>
          <w:rFonts w:ascii="Calibri" w:eastAsia="Calibri" w:hAnsi="Calibri"/>
          <w:bCs/>
        </w:rPr>
        <w:lastRenderedPageBreak/>
        <w:t>internal ribosome entry site</w:t>
      </w:r>
      <w:r w:rsidR="0065281E" w:rsidRPr="003A3EEA">
        <w:rPr>
          <w:rFonts w:ascii="Calibri" w:eastAsia="Calibri" w:hAnsi="Calibri"/>
          <w:bCs/>
        </w:rPr>
        <w:t xml:space="preserve">; allows the reporter (mcitrine) to be translated. mcitrine, a fluorescent reporter that is a variant of GFP but is more resistant to photobleaching. </w:t>
      </w:r>
    </w:p>
    <w:p w14:paraId="6389B44F" w14:textId="77777777" w:rsidR="004D3C57" w:rsidRPr="003A3EEA" w:rsidRDefault="004D3C57" w:rsidP="003A3EEA">
      <w:pPr>
        <w:rPr>
          <w:rFonts w:ascii="Calibri" w:eastAsia="Calibri" w:hAnsi="Calibri"/>
          <w:bCs/>
        </w:rPr>
      </w:pPr>
    </w:p>
    <w:p w14:paraId="34D72C37" w14:textId="23A2EF15" w:rsidR="004D3C57" w:rsidRPr="003A3EEA" w:rsidRDefault="004D3C57" w:rsidP="003A3EEA">
      <w:pPr>
        <w:rPr>
          <w:rFonts w:ascii="Calibri" w:eastAsia="Calibri" w:hAnsi="Calibri"/>
          <w:bCs/>
        </w:rPr>
      </w:pPr>
      <w:r w:rsidRPr="003A3EEA">
        <w:rPr>
          <w:rFonts w:ascii="Calibri" w:eastAsia="Calibri" w:hAnsi="Calibri"/>
          <w:b/>
          <w:bCs/>
        </w:rPr>
        <w:t xml:space="preserve">Figure 2. Schematic diagram of the sensory preconditioning paradigm. </w:t>
      </w:r>
      <w:r w:rsidRPr="003A3EEA">
        <w:rPr>
          <w:rFonts w:ascii="Calibri" w:eastAsia="Calibri" w:hAnsi="Calibri"/>
          <w:bCs/>
        </w:rPr>
        <w:t>(A) During the Preconditioning sessions, 12 intermixed trials are presented. During 6 of the trials, an auditory stimulus is presented for 10 sec followed immediately by a flashing house</w:t>
      </w:r>
      <w:r w:rsidR="002270E2" w:rsidRPr="003A3EEA">
        <w:rPr>
          <w:rFonts w:ascii="Calibri" w:eastAsia="Calibri" w:hAnsi="Calibri"/>
          <w:bCs/>
        </w:rPr>
        <w:t xml:space="preserve"> </w:t>
      </w:r>
      <w:r w:rsidRPr="003A3EEA">
        <w:rPr>
          <w:rFonts w:ascii="Calibri" w:eastAsia="Calibri" w:hAnsi="Calibri"/>
          <w:bCs/>
        </w:rPr>
        <w:t>light stimulus (2Hz, for 5 sec). During the other 6 trials, a second auditory stimulus is presented without a visual stimulus. (B) During the Conditioning sessions, the previously paired visual stimulus is paired with food reward. (C) During the Test session, there are 12 intermixed presentations of the two auditory stimuli in the absence of visual stimuli or food.</w:t>
      </w:r>
    </w:p>
    <w:p w14:paraId="3DC81AF0" w14:textId="77777777" w:rsidR="004D3C57" w:rsidRPr="003A3EEA" w:rsidRDefault="004D3C57" w:rsidP="003A3EEA">
      <w:pPr>
        <w:rPr>
          <w:rFonts w:ascii="Calibri" w:eastAsia="Calibri" w:hAnsi="Calibri"/>
          <w:bCs/>
        </w:rPr>
      </w:pPr>
    </w:p>
    <w:p w14:paraId="40BE44AD" w14:textId="1462A147" w:rsidR="004D3C57" w:rsidRPr="003A3EEA" w:rsidRDefault="004D3C57" w:rsidP="003A3EEA">
      <w:pPr>
        <w:rPr>
          <w:rFonts w:ascii="Calibri" w:hAnsi="Calibri" w:cs="Arial"/>
        </w:rPr>
      </w:pPr>
      <w:r w:rsidRPr="003A3EEA">
        <w:rPr>
          <w:rFonts w:ascii="Calibri" w:eastAsia="Calibri" w:hAnsi="Calibri"/>
          <w:b/>
          <w:bCs/>
        </w:rPr>
        <w:t>Figure 3. Behavioral results.</w:t>
      </w:r>
      <w:r w:rsidRPr="003A3EEA">
        <w:rPr>
          <w:rFonts w:ascii="Calibri" w:eastAsia="Calibri" w:hAnsi="Calibri"/>
          <w:bCs/>
        </w:rPr>
        <w:t xml:space="preserve"> </w:t>
      </w:r>
      <w:r w:rsidR="005046F3" w:rsidRPr="003A3EEA">
        <w:rPr>
          <w:rFonts w:ascii="Calibri" w:eastAsia="Calibri" w:hAnsi="Calibri"/>
          <w:bCs/>
        </w:rPr>
        <w:t xml:space="preserve">Average </w:t>
      </w:r>
      <w:r w:rsidR="002270E2" w:rsidRPr="003A3EEA">
        <w:rPr>
          <w:rFonts w:ascii="Calibri" w:hAnsi="Calibri" w:cs="Arial"/>
        </w:rPr>
        <w:t>f</w:t>
      </w:r>
      <w:r w:rsidRPr="003A3EEA">
        <w:rPr>
          <w:rFonts w:ascii="Calibri" w:hAnsi="Calibri" w:cs="Arial"/>
        </w:rPr>
        <w:t xml:space="preserve">ood cup responding during the </w:t>
      </w:r>
      <w:r w:rsidRPr="003A3EEA">
        <w:rPr>
          <w:rFonts w:ascii="Calibri" w:eastAsia="Calibri" w:hAnsi="Calibri"/>
          <w:bCs/>
        </w:rPr>
        <w:t xml:space="preserve">(A) </w:t>
      </w:r>
      <w:r w:rsidRPr="003A3EEA">
        <w:rPr>
          <w:rFonts w:ascii="Calibri" w:hAnsi="Calibri" w:cs="Arial"/>
        </w:rPr>
        <w:t xml:space="preserve">Light and </w:t>
      </w:r>
      <w:r w:rsidRPr="003A3EEA">
        <w:rPr>
          <w:rFonts w:ascii="Calibri" w:eastAsia="Calibri" w:hAnsi="Calibri"/>
          <w:bCs/>
        </w:rPr>
        <w:t xml:space="preserve">(B) </w:t>
      </w:r>
      <w:r w:rsidRPr="003A3EEA">
        <w:rPr>
          <w:rFonts w:ascii="Calibri" w:hAnsi="Calibri" w:cs="Arial"/>
        </w:rPr>
        <w:t xml:space="preserve">Food epochs during the Conditioning sessions (Phase 2). </w:t>
      </w:r>
      <w:r w:rsidR="005046F3" w:rsidRPr="003A3EEA">
        <w:rPr>
          <w:rFonts w:ascii="Calibri" w:hAnsi="Calibri" w:cs="Arial"/>
        </w:rPr>
        <w:t xml:space="preserve">Data were analyzed using repeated measures analysis of variance.  </w:t>
      </w:r>
      <w:r w:rsidRPr="003A3EEA">
        <w:rPr>
          <w:rFonts w:ascii="Calibri" w:hAnsi="Calibri" w:cs="Arial"/>
        </w:rPr>
        <w:t>(C) Discrimination ratios during the Test session (Phase 3). The dotted line indicates equal amounts of conditioned food cup responding to each auditory stimulus (</w:t>
      </w:r>
      <w:r w:rsidRPr="003A3EEA">
        <w:rPr>
          <w:rFonts w:ascii="Calibri" w:hAnsi="Calibri" w:cs="Arial"/>
          <w:i/>
        </w:rPr>
        <w:t>i.e.,</w:t>
      </w:r>
      <w:r w:rsidRPr="003A3EEA">
        <w:rPr>
          <w:rFonts w:ascii="Calibri" w:hAnsi="Calibri" w:cs="Arial"/>
        </w:rPr>
        <w:t xml:space="preserve"> no sensory preconditio</w:t>
      </w:r>
      <w:r w:rsidR="00D66A36" w:rsidRPr="003A3EEA">
        <w:rPr>
          <w:rFonts w:ascii="Calibri" w:hAnsi="Calibri" w:cs="Arial"/>
        </w:rPr>
        <w:t>ning)</w:t>
      </w:r>
      <w:r w:rsidR="005046F3" w:rsidRPr="003A3EEA">
        <w:rPr>
          <w:rFonts w:ascii="Calibri" w:hAnsi="Calibri" w:cs="Arial"/>
        </w:rPr>
        <w:t xml:space="preserve"> Data were analyzed using independent samples t-test</w:t>
      </w:r>
      <w:r w:rsidR="00D66A36" w:rsidRPr="003A3EEA">
        <w:rPr>
          <w:rFonts w:ascii="Calibri" w:hAnsi="Calibri" w:cs="Arial"/>
        </w:rPr>
        <w:t>. Expt; experimental rats</w:t>
      </w:r>
      <w:r w:rsidRPr="003A3EEA">
        <w:rPr>
          <w:rFonts w:ascii="Calibri" w:hAnsi="Calibri" w:cs="Arial"/>
        </w:rPr>
        <w:t xml:space="preserve"> </w:t>
      </w:r>
      <w:r w:rsidR="00933802" w:rsidRPr="003A3EEA">
        <w:rPr>
          <w:rFonts w:ascii="Calibri" w:hAnsi="Calibri" w:cs="Arial"/>
        </w:rPr>
        <w:t xml:space="preserve">(n = 17) </w:t>
      </w:r>
      <w:r w:rsidRPr="003A3EEA">
        <w:rPr>
          <w:rFonts w:ascii="Calibri" w:hAnsi="Calibri" w:cs="Arial"/>
        </w:rPr>
        <w:t>infused with an AAV construct containing the DNA sequence for the inhibitory G-protein coupled designer receptor (hM4Di) and the DNA sequence for a fluorescent reporter (</w:t>
      </w:r>
      <w:r w:rsidR="002915F6" w:rsidRPr="003A3EEA">
        <w:rPr>
          <w:rFonts w:ascii="Calibri" w:hAnsi="Calibri" w:cs="Arial"/>
        </w:rPr>
        <w:t>mcitrine</w:t>
      </w:r>
      <w:r w:rsidRPr="003A3EEA">
        <w:rPr>
          <w:rFonts w:ascii="Calibri" w:hAnsi="Calibri" w:cs="Arial"/>
        </w:rPr>
        <w:t>). Cntl; control rats</w:t>
      </w:r>
      <w:r w:rsidR="00933802" w:rsidRPr="003A3EEA">
        <w:rPr>
          <w:rFonts w:ascii="Calibri" w:hAnsi="Calibri" w:cs="Arial"/>
        </w:rPr>
        <w:t xml:space="preserve"> (n = 6)</w:t>
      </w:r>
      <w:r w:rsidRPr="003A3EEA">
        <w:rPr>
          <w:rFonts w:ascii="Calibri" w:hAnsi="Calibri" w:cs="Arial"/>
        </w:rPr>
        <w:t xml:space="preserve"> infused with </w:t>
      </w:r>
      <w:r w:rsidR="00933802" w:rsidRPr="003A3EEA">
        <w:rPr>
          <w:rFonts w:ascii="Calibri" w:hAnsi="Calibri" w:cs="Arial"/>
        </w:rPr>
        <w:t xml:space="preserve">hM4Di and administered vehicle combined with control rats (n = 4) infused with an </w:t>
      </w:r>
      <w:r w:rsidRPr="003A3EEA">
        <w:rPr>
          <w:rFonts w:ascii="Calibri" w:hAnsi="Calibri" w:cs="Arial"/>
        </w:rPr>
        <w:t xml:space="preserve">AAV </w:t>
      </w:r>
      <w:r w:rsidR="00933802" w:rsidRPr="003A3EEA">
        <w:rPr>
          <w:rFonts w:ascii="Calibri" w:hAnsi="Calibri" w:cs="Arial"/>
        </w:rPr>
        <w:t>virus that does not contain the designer receptor and that were administered CNO</w:t>
      </w:r>
      <w:r w:rsidR="002915F6" w:rsidRPr="003A3EEA">
        <w:rPr>
          <w:rFonts w:ascii="Calibri" w:hAnsi="Calibri" w:cs="Arial"/>
        </w:rPr>
        <w:t>.</w:t>
      </w:r>
      <w:r w:rsidR="005046F3" w:rsidRPr="003A3EEA">
        <w:rPr>
          <w:rFonts w:ascii="Calibri" w:hAnsi="Calibri" w:cs="Arial"/>
        </w:rPr>
        <w:t xml:space="preserve"> </w:t>
      </w:r>
      <w:r w:rsidR="0035781A" w:rsidRPr="003A3EEA">
        <w:rPr>
          <w:rFonts w:ascii="Calibri" w:hAnsi="Calibri" w:cs="Arial"/>
        </w:rPr>
        <w:t xml:space="preserve">Control groups did not significantly differ from each other (p&gt;0.05). </w:t>
      </w:r>
      <w:r w:rsidR="002915F6" w:rsidRPr="003A3EEA">
        <w:rPr>
          <w:rFonts w:ascii="Calibri" w:hAnsi="Calibri" w:cs="Arial"/>
        </w:rPr>
        <w:t>Error bars denote ± SEM.</w:t>
      </w:r>
    </w:p>
    <w:p w14:paraId="5E5D725E" w14:textId="77777777" w:rsidR="004D3C57" w:rsidRPr="003A3EEA" w:rsidRDefault="004D3C57" w:rsidP="003A3EEA">
      <w:pPr>
        <w:rPr>
          <w:rFonts w:ascii="Calibri" w:hAnsi="Calibri" w:cs="Arial"/>
        </w:rPr>
      </w:pPr>
    </w:p>
    <w:p w14:paraId="41F971F7" w14:textId="6CB42489" w:rsidR="004D3C57" w:rsidRPr="003A3EEA" w:rsidRDefault="004D3C57" w:rsidP="003A3EEA">
      <w:pPr>
        <w:rPr>
          <w:rFonts w:ascii="Calibri" w:hAnsi="Calibri" w:cs="Arial"/>
        </w:rPr>
      </w:pPr>
      <w:r w:rsidRPr="003A3EEA">
        <w:rPr>
          <w:rFonts w:ascii="Calibri" w:hAnsi="Calibri" w:cs="Arial"/>
          <w:b/>
        </w:rPr>
        <w:t>Figure 4. Histological verification of protein expression.</w:t>
      </w:r>
      <w:r w:rsidRPr="003A3EEA">
        <w:rPr>
          <w:rFonts w:ascii="Calibri" w:hAnsi="Calibri" w:cs="Arial"/>
        </w:rPr>
        <w:t xml:space="preserve"> (A) A schematic illustrating the location of the RSC in a coronal section through the rat brain. (B) Representative images of immunohistochemically labeled rat brain tissue from an experimental rat (Expt) that was infused with an AAV construct containing the DNA sequence for the inhibitory G-protein coupled designer receptor (hM4Di) and the DNA sequence for a fluorescent reporter (</w:t>
      </w:r>
      <w:r w:rsidR="002915F6" w:rsidRPr="003A3EEA">
        <w:rPr>
          <w:rFonts w:ascii="Calibri" w:hAnsi="Calibri" w:cs="Arial"/>
        </w:rPr>
        <w:t>mcitrine</w:t>
      </w:r>
      <w:r w:rsidRPr="003A3EEA">
        <w:rPr>
          <w:rFonts w:ascii="Calibri" w:hAnsi="Calibri" w:cs="Arial"/>
        </w:rPr>
        <w:t xml:space="preserve">). </w:t>
      </w:r>
      <w:r w:rsidR="002915F6" w:rsidRPr="003A3EEA">
        <w:rPr>
          <w:rFonts w:ascii="Calibri" w:hAnsi="Calibri" w:cs="Arial"/>
        </w:rPr>
        <w:t>mcitrine</w:t>
      </w:r>
      <w:r w:rsidRPr="003A3EEA">
        <w:rPr>
          <w:rFonts w:ascii="Calibri" w:hAnsi="Calibri" w:cs="Arial"/>
        </w:rPr>
        <w:t xml:space="preserve"> is a highly fade-resistant variant of green fluorescent protein. (C) Representative image </w:t>
      </w:r>
      <w:r w:rsidR="00D66A36" w:rsidRPr="003A3EEA">
        <w:rPr>
          <w:rFonts w:ascii="Calibri" w:hAnsi="Calibri" w:cs="Arial"/>
        </w:rPr>
        <w:t>from an experimental rat illustrating the location of</w:t>
      </w:r>
      <w:r w:rsidRPr="003A3EEA">
        <w:rPr>
          <w:rFonts w:ascii="Calibri" w:hAnsi="Calibri" w:cs="Arial"/>
        </w:rPr>
        <w:t xml:space="preserve"> the fluorescent reporter label (</w:t>
      </w:r>
      <w:r w:rsidR="002915F6" w:rsidRPr="003A3EEA">
        <w:rPr>
          <w:rFonts w:ascii="Calibri" w:hAnsi="Calibri" w:cs="Arial"/>
        </w:rPr>
        <w:t>mcitrine</w:t>
      </w:r>
      <w:r w:rsidRPr="003A3EEA">
        <w:rPr>
          <w:rFonts w:ascii="Calibri" w:hAnsi="Calibri" w:cs="Arial"/>
        </w:rPr>
        <w:t>). (D) Representative image from a control rat (Ctrl) infused with an AAV construct containing the DNA sequence for a flu</w:t>
      </w:r>
      <w:r w:rsidR="00D42BFD" w:rsidRPr="003A3EEA">
        <w:rPr>
          <w:rFonts w:ascii="Calibri" w:hAnsi="Calibri" w:cs="Arial"/>
        </w:rPr>
        <w:t>orescent reporter (enhanced</w:t>
      </w:r>
      <w:r w:rsidR="002270E2" w:rsidRPr="003A3EEA">
        <w:rPr>
          <w:rFonts w:ascii="Calibri" w:hAnsi="Calibri" w:cs="Arial"/>
        </w:rPr>
        <w:t xml:space="preserve"> </w:t>
      </w:r>
      <w:r w:rsidR="00D42BFD" w:rsidRPr="003A3EEA">
        <w:rPr>
          <w:rFonts w:ascii="Calibri" w:hAnsi="Calibri" w:cs="Arial"/>
        </w:rPr>
        <w:t>GFP)</w:t>
      </w:r>
      <w:r w:rsidRPr="003A3EEA">
        <w:rPr>
          <w:rFonts w:ascii="Calibri" w:hAnsi="Calibri" w:cs="Arial"/>
        </w:rPr>
        <w:t>.</w:t>
      </w:r>
      <w:r w:rsidR="0091394B" w:rsidRPr="003A3EEA">
        <w:rPr>
          <w:rFonts w:ascii="Calibri" w:hAnsi="Calibri" w:cs="Arial"/>
        </w:rPr>
        <w:t xml:space="preserve"> </w:t>
      </w:r>
      <w:r w:rsidR="00136430" w:rsidRPr="003A3EEA">
        <w:rPr>
          <w:rFonts w:ascii="Calibri" w:hAnsi="Calibri" w:cs="Arial"/>
        </w:rPr>
        <w:t>Scale bars</w:t>
      </w:r>
      <w:r w:rsidR="00D42BFD" w:rsidRPr="003A3EEA">
        <w:rPr>
          <w:rFonts w:ascii="Calibri" w:hAnsi="Calibri" w:cs="Arial"/>
        </w:rPr>
        <w:t>:</w:t>
      </w:r>
      <w:r w:rsidR="00136430" w:rsidRPr="003A3EEA">
        <w:rPr>
          <w:rFonts w:ascii="Calibri" w:hAnsi="Calibri" w:cs="Arial"/>
        </w:rPr>
        <w:t xml:space="preserve"> </w:t>
      </w:r>
      <w:r w:rsidR="00D42BFD" w:rsidRPr="003A3EEA">
        <w:rPr>
          <w:rFonts w:ascii="Calibri" w:hAnsi="Calibri" w:cs="Arial"/>
        </w:rPr>
        <w:t xml:space="preserve">B, 500 </w:t>
      </w:r>
      <w:r w:rsidR="00D42BFD" w:rsidRPr="003A3EEA">
        <w:rPr>
          <w:rFonts w:ascii="Calibri" w:hAnsi="Calibri"/>
        </w:rPr>
        <w:t>μ</w:t>
      </w:r>
      <w:r w:rsidR="00D42BFD" w:rsidRPr="003A3EEA">
        <w:rPr>
          <w:rFonts w:ascii="Calibri" w:hAnsi="Calibri" w:cs="Arial"/>
        </w:rPr>
        <w:t xml:space="preserve">m; C and D, 100 </w:t>
      </w:r>
      <w:r w:rsidR="00D42BFD" w:rsidRPr="003A3EEA">
        <w:rPr>
          <w:rFonts w:ascii="Calibri" w:hAnsi="Calibri"/>
        </w:rPr>
        <w:t>μ</w:t>
      </w:r>
      <w:r w:rsidR="00D42BFD" w:rsidRPr="003A3EEA">
        <w:rPr>
          <w:rFonts w:ascii="Calibri" w:hAnsi="Calibri" w:cs="Arial"/>
        </w:rPr>
        <w:t>m.</w:t>
      </w:r>
    </w:p>
    <w:p w14:paraId="351AF1E2" w14:textId="77777777" w:rsidR="003A0FC8" w:rsidRPr="003A3EEA" w:rsidRDefault="003A0FC8" w:rsidP="003A3EEA">
      <w:pPr>
        <w:rPr>
          <w:rFonts w:ascii="Calibri" w:hAnsi="Calibri"/>
        </w:rPr>
      </w:pPr>
    </w:p>
    <w:p w14:paraId="4187DE2B" w14:textId="478CF121" w:rsidR="00DC1BBF" w:rsidRPr="003A3EEA" w:rsidRDefault="009D44D7" w:rsidP="003A3EEA">
      <w:pPr>
        <w:rPr>
          <w:rFonts w:ascii="Calibri" w:hAnsi="Calibri"/>
          <w:b/>
        </w:rPr>
      </w:pPr>
      <w:r w:rsidRPr="003A3EEA">
        <w:rPr>
          <w:rFonts w:ascii="Calibri" w:hAnsi="Calibri"/>
          <w:b/>
        </w:rPr>
        <w:t>DISCUSSION</w:t>
      </w:r>
      <w:r w:rsidR="004D3C57" w:rsidRPr="003A3EEA">
        <w:rPr>
          <w:rFonts w:ascii="Calibri" w:hAnsi="Calibri"/>
          <w:b/>
        </w:rPr>
        <w:t>:</w:t>
      </w:r>
    </w:p>
    <w:p w14:paraId="30673A5B" w14:textId="55EA8A96" w:rsidR="00DC1BBF" w:rsidRPr="003A3EEA" w:rsidRDefault="00DC1BBF" w:rsidP="003A3EEA">
      <w:pPr>
        <w:rPr>
          <w:rFonts w:ascii="Calibri" w:hAnsi="Calibri"/>
        </w:rPr>
      </w:pPr>
      <w:r w:rsidRPr="003A3EEA">
        <w:rPr>
          <w:rFonts w:ascii="Calibri" w:hAnsi="Calibri"/>
        </w:rPr>
        <w:t>This protocol describes how to apply a pharmacogenetic approach (DREADD) to investigate how a specific brain region contributes to a multi-phase complex learning task.</w:t>
      </w:r>
      <w:r w:rsidR="004D3C57" w:rsidRPr="003A3EEA">
        <w:rPr>
          <w:rFonts w:ascii="Calibri" w:hAnsi="Calibri"/>
        </w:rPr>
        <w:t xml:space="preserve"> </w:t>
      </w:r>
      <w:r w:rsidRPr="003A3EEA">
        <w:rPr>
          <w:rFonts w:ascii="Calibri" w:hAnsi="Calibri"/>
        </w:rPr>
        <w:t>With the ability to temporarily and remotely silence neural activity in discrete brain regions across phases of learning, this combination of approaches provides a platform to investigate a wide range of behaviors, including more nuanced or masked forms of learning.</w:t>
      </w:r>
      <w:r w:rsidR="004D3C57" w:rsidRPr="003A3EEA">
        <w:rPr>
          <w:rFonts w:ascii="Calibri" w:hAnsi="Calibri"/>
        </w:rPr>
        <w:t xml:space="preserve"> </w:t>
      </w:r>
      <w:r w:rsidRPr="003A3EEA">
        <w:rPr>
          <w:rFonts w:ascii="Calibri" w:hAnsi="Calibri"/>
        </w:rPr>
        <w:t>In the example described in this protocol, control rats and rats that express the designer receptor in the retrosplenial cortex</w:t>
      </w:r>
      <w:r w:rsidR="00922448" w:rsidRPr="003A3EEA">
        <w:rPr>
          <w:rFonts w:ascii="Calibri" w:hAnsi="Calibri"/>
        </w:rPr>
        <w:t xml:space="preserve"> (RSC)</w:t>
      </w:r>
      <w:r w:rsidRPr="003A3EEA">
        <w:rPr>
          <w:rFonts w:ascii="Calibri" w:hAnsi="Calibri"/>
        </w:rPr>
        <w:t xml:space="preserve"> were tested in a 3-phase behavioral task</w:t>
      </w:r>
      <w:r w:rsidR="00F72903" w:rsidRPr="003A3EEA">
        <w:rPr>
          <w:rFonts w:ascii="Calibri" w:hAnsi="Calibri"/>
          <w:vertAlign w:val="superscript"/>
        </w:rPr>
        <w:t>1</w:t>
      </w:r>
      <w:r w:rsidR="00D24845" w:rsidRPr="003A3EEA">
        <w:rPr>
          <w:rFonts w:ascii="Calibri" w:hAnsi="Calibri"/>
          <w:vertAlign w:val="superscript"/>
        </w:rPr>
        <w:t>2</w:t>
      </w:r>
      <w:r w:rsidRPr="003A3EEA">
        <w:rPr>
          <w:rFonts w:ascii="Calibri" w:hAnsi="Calibri"/>
        </w:rPr>
        <w:t>.</w:t>
      </w:r>
      <w:r w:rsidR="004D3C57" w:rsidRPr="003A3EEA">
        <w:rPr>
          <w:rFonts w:ascii="Calibri" w:hAnsi="Calibri"/>
        </w:rPr>
        <w:t xml:space="preserve"> </w:t>
      </w:r>
      <w:r w:rsidRPr="003A3EEA">
        <w:rPr>
          <w:rFonts w:ascii="Calibri" w:hAnsi="Calibri"/>
        </w:rPr>
        <w:t xml:space="preserve">The first phase of the task involved presentation of multiple neutral </w:t>
      </w:r>
      <w:r w:rsidR="00B50C00" w:rsidRPr="003A3EEA">
        <w:rPr>
          <w:rFonts w:ascii="Calibri" w:hAnsi="Calibri"/>
        </w:rPr>
        <w:t>stimuli</w:t>
      </w:r>
      <w:r w:rsidRPr="003A3EEA">
        <w:rPr>
          <w:rFonts w:ascii="Calibri" w:hAnsi="Calibri"/>
        </w:rPr>
        <w:t xml:space="preserve"> with the assumption that control rats would acquire a stimulus-stimulus association between two of the </w:t>
      </w:r>
      <w:r w:rsidR="00B50C00" w:rsidRPr="003A3EEA">
        <w:rPr>
          <w:rFonts w:ascii="Calibri" w:hAnsi="Calibri"/>
        </w:rPr>
        <w:t>stimuli</w:t>
      </w:r>
      <w:r w:rsidRPr="003A3EEA">
        <w:rPr>
          <w:rFonts w:ascii="Calibri" w:hAnsi="Calibri"/>
        </w:rPr>
        <w:t>.</w:t>
      </w:r>
      <w:r w:rsidR="004D3C57" w:rsidRPr="003A3EEA">
        <w:rPr>
          <w:rFonts w:ascii="Calibri" w:hAnsi="Calibri"/>
        </w:rPr>
        <w:t xml:space="preserve"> </w:t>
      </w:r>
      <w:r w:rsidRPr="003A3EEA">
        <w:rPr>
          <w:rFonts w:ascii="Calibri" w:hAnsi="Calibri"/>
        </w:rPr>
        <w:t xml:space="preserve">The working hypothesis is that RSC is </w:t>
      </w:r>
      <w:r w:rsidRPr="003A3EEA">
        <w:rPr>
          <w:rFonts w:ascii="Calibri" w:hAnsi="Calibri"/>
        </w:rPr>
        <w:lastRenderedPageBreak/>
        <w:t>necessary for stimulus-stimulus learning, thus, on each of 4 conditioning days, 30 min prior to the start of behavioral testing, control and experimental rats were given systemic administration of either the designer drug (CNO) or vehicle.</w:t>
      </w:r>
      <w:r w:rsidR="004D3C57" w:rsidRPr="003A3EEA">
        <w:rPr>
          <w:rFonts w:ascii="Calibri" w:hAnsi="Calibri"/>
        </w:rPr>
        <w:t xml:space="preserve"> </w:t>
      </w:r>
      <w:r w:rsidRPr="003A3EEA">
        <w:rPr>
          <w:rFonts w:ascii="Calibri" w:hAnsi="Calibri"/>
        </w:rPr>
        <w:t xml:space="preserve">When bound to the designer receptor, CNO reduces the activity of neurons in which that receptor is expressed. During the remaining phases of behavioral conditioning and testing, when the RSC is not hypothesized to influence learning, CNO was not administered and thus </w:t>
      </w:r>
      <w:r w:rsidR="007958EB" w:rsidRPr="003A3EEA">
        <w:rPr>
          <w:rFonts w:ascii="Calibri" w:hAnsi="Calibri"/>
        </w:rPr>
        <w:t>neural activity was not disturbed</w:t>
      </w:r>
      <w:r w:rsidRPr="003A3EEA">
        <w:rPr>
          <w:rFonts w:ascii="Calibri" w:hAnsi="Calibri"/>
        </w:rPr>
        <w:t>.</w:t>
      </w:r>
      <w:r w:rsidR="004D3C57" w:rsidRPr="003A3EEA">
        <w:rPr>
          <w:rFonts w:ascii="Calibri" w:hAnsi="Calibri"/>
        </w:rPr>
        <w:t xml:space="preserve"> </w:t>
      </w:r>
    </w:p>
    <w:p w14:paraId="03368F0D" w14:textId="77777777" w:rsidR="00DC1BBF" w:rsidRPr="003A3EEA" w:rsidRDefault="00DC1BBF" w:rsidP="003A3EEA">
      <w:pPr>
        <w:rPr>
          <w:rFonts w:ascii="Calibri" w:hAnsi="Calibri"/>
        </w:rPr>
      </w:pPr>
    </w:p>
    <w:p w14:paraId="1B51613F" w14:textId="33AC9734" w:rsidR="00DC1BBF" w:rsidRPr="003A3EEA" w:rsidRDefault="00DC1BBF" w:rsidP="003A3EEA">
      <w:pPr>
        <w:rPr>
          <w:rFonts w:ascii="Calibri" w:hAnsi="Calibri"/>
          <w:b/>
        </w:rPr>
      </w:pPr>
      <w:r w:rsidRPr="003A3EEA">
        <w:rPr>
          <w:rFonts w:ascii="Calibri" w:hAnsi="Calibri"/>
          <w:b/>
        </w:rPr>
        <w:t xml:space="preserve">Critical </w:t>
      </w:r>
      <w:r w:rsidR="00C065C5" w:rsidRPr="003A3EEA">
        <w:rPr>
          <w:rFonts w:ascii="Calibri" w:hAnsi="Calibri"/>
          <w:b/>
        </w:rPr>
        <w:t>S</w:t>
      </w:r>
      <w:r w:rsidRPr="003A3EEA">
        <w:rPr>
          <w:rFonts w:ascii="Calibri" w:hAnsi="Calibri"/>
          <w:b/>
        </w:rPr>
        <w:t xml:space="preserve">teps within the </w:t>
      </w:r>
      <w:r w:rsidR="00C065C5" w:rsidRPr="003A3EEA">
        <w:rPr>
          <w:rFonts w:ascii="Calibri" w:hAnsi="Calibri"/>
          <w:b/>
        </w:rPr>
        <w:t>P</w:t>
      </w:r>
      <w:r w:rsidRPr="003A3EEA">
        <w:rPr>
          <w:rFonts w:ascii="Calibri" w:hAnsi="Calibri"/>
          <w:b/>
        </w:rPr>
        <w:t>rotocol</w:t>
      </w:r>
    </w:p>
    <w:p w14:paraId="1C0C6D81" w14:textId="606BB2B5" w:rsidR="00DC1BBF" w:rsidRPr="003A3EEA" w:rsidRDefault="00DC1BBF" w:rsidP="003A3EEA">
      <w:pPr>
        <w:rPr>
          <w:rFonts w:ascii="Calibri" w:hAnsi="Calibri"/>
        </w:rPr>
      </w:pPr>
      <w:r w:rsidRPr="003A3EEA">
        <w:rPr>
          <w:rFonts w:ascii="Calibri" w:hAnsi="Calibri"/>
          <w:i/>
        </w:rPr>
        <w:t>Safe handl</w:t>
      </w:r>
      <w:r w:rsidR="00164838" w:rsidRPr="003A3EEA">
        <w:rPr>
          <w:rFonts w:ascii="Calibri" w:hAnsi="Calibri"/>
          <w:i/>
        </w:rPr>
        <w:t xml:space="preserve">ing of </w:t>
      </w:r>
      <w:r w:rsidR="00BF556A" w:rsidRPr="003A3EEA">
        <w:rPr>
          <w:rFonts w:ascii="Calibri" w:hAnsi="Calibri"/>
          <w:i/>
        </w:rPr>
        <w:t>AAV</w:t>
      </w:r>
      <w:r w:rsidRPr="003A3EEA">
        <w:rPr>
          <w:rFonts w:ascii="Calibri" w:hAnsi="Calibri"/>
          <w:i/>
        </w:rPr>
        <w:t xml:space="preserve"> compounds:</w:t>
      </w:r>
      <w:r w:rsidR="004D3C57" w:rsidRPr="003A3EEA">
        <w:rPr>
          <w:rFonts w:ascii="Calibri" w:hAnsi="Calibri"/>
        </w:rPr>
        <w:t xml:space="preserve"> </w:t>
      </w:r>
      <w:r w:rsidRPr="003A3EEA">
        <w:rPr>
          <w:rFonts w:ascii="Calibri" w:hAnsi="Calibri"/>
        </w:rPr>
        <w:t>The surgical procedures involved in the pharmacogenetic approach are no more technically demanding than a simple stereotaxic infusion, however, the use of AAV</w:t>
      </w:r>
      <w:r w:rsidR="007161F3" w:rsidRPr="003A3EEA">
        <w:rPr>
          <w:rFonts w:ascii="Calibri" w:hAnsi="Calibri"/>
        </w:rPr>
        <w:t xml:space="preserve"> at some institutions</w:t>
      </w:r>
      <w:r w:rsidR="00BF556A" w:rsidRPr="003A3EEA">
        <w:rPr>
          <w:rFonts w:ascii="Calibri" w:hAnsi="Calibri"/>
        </w:rPr>
        <w:t xml:space="preserve"> </w:t>
      </w:r>
      <w:r w:rsidRPr="003A3EEA">
        <w:rPr>
          <w:rFonts w:ascii="Calibri" w:hAnsi="Calibri"/>
        </w:rPr>
        <w:t>requires that experiment</w:t>
      </w:r>
      <w:r w:rsidR="007958EB" w:rsidRPr="003A3EEA">
        <w:rPr>
          <w:rFonts w:ascii="Calibri" w:hAnsi="Calibri"/>
        </w:rPr>
        <w:t xml:space="preserve">ers adhere to </w:t>
      </w:r>
      <w:r w:rsidR="00F87740" w:rsidRPr="003A3EEA">
        <w:rPr>
          <w:rFonts w:ascii="Calibri" w:hAnsi="Calibri"/>
        </w:rPr>
        <w:t>BSL-2</w:t>
      </w:r>
      <w:r w:rsidRPr="003A3EEA">
        <w:rPr>
          <w:rFonts w:ascii="Calibri" w:hAnsi="Calibri"/>
        </w:rPr>
        <w:t xml:space="preserve"> precautions.</w:t>
      </w:r>
      <w:r w:rsidR="004D3C57" w:rsidRPr="003A3EEA">
        <w:rPr>
          <w:rFonts w:ascii="Calibri" w:hAnsi="Calibri"/>
        </w:rPr>
        <w:t xml:space="preserve"> </w:t>
      </w:r>
      <w:r w:rsidRPr="003A3EEA">
        <w:rPr>
          <w:rFonts w:ascii="Calibri" w:hAnsi="Calibri"/>
        </w:rPr>
        <w:t>It is critical that investigators follow the guidelines established by the Centers for Disease Control, funding agencies, home institutions and other oversight committees specific to their research program.</w:t>
      </w:r>
      <w:r w:rsidR="004D3C57" w:rsidRPr="003A3EEA">
        <w:rPr>
          <w:rFonts w:ascii="Calibri" w:hAnsi="Calibri"/>
        </w:rPr>
        <w:t xml:space="preserve"> </w:t>
      </w:r>
      <w:r w:rsidRPr="003A3EEA">
        <w:rPr>
          <w:rFonts w:ascii="Calibri" w:hAnsi="Calibri"/>
        </w:rPr>
        <w:t>Information on the saf</w:t>
      </w:r>
      <w:r w:rsidR="007958EB" w:rsidRPr="003A3EEA">
        <w:rPr>
          <w:rFonts w:ascii="Calibri" w:hAnsi="Calibri"/>
        </w:rPr>
        <w:t xml:space="preserve">e handling of </w:t>
      </w:r>
      <w:r w:rsidR="00D24845" w:rsidRPr="003A3EEA">
        <w:rPr>
          <w:rFonts w:ascii="Calibri" w:hAnsi="Calibri"/>
        </w:rPr>
        <w:t>AAVs</w:t>
      </w:r>
      <w:r w:rsidRPr="003A3EEA">
        <w:rPr>
          <w:rFonts w:ascii="Calibri" w:hAnsi="Calibri"/>
        </w:rPr>
        <w:t xml:space="preserve"> is readily available</w:t>
      </w:r>
      <w:r w:rsidR="00922448" w:rsidRPr="003A3EEA">
        <w:rPr>
          <w:rFonts w:ascii="Calibri" w:hAnsi="Calibri"/>
          <w:vertAlign w:val="superscript"/>
        </w:rPr>
        <w:t>1</w:t>
      </w:r>
      <w:r w:rsidR="007161F3" w:rsidRPr="003A3EEA">
        <w:rPr>
          <w:rFonts w:ascii="Calibri" w:hAnsi="Calibri"/>
          <w:vertAlign w:val="superscript"/>
        </w:rPr>
        <w:t>3</w:t>
      </w:r>
      <w:r w:rsidRPr="003A3EEA">
        <w:rPr>
          <w:rFonts w:ascii="Calibri" w:hAnsi="Calibri"/>
        </w:rPr>
        <w:t>.</w:t>
      </w:r>
    </w:p>
    <w:p w14:paraId="0830ABDA" w14:textId="77777777" w:rsidR="004D3C57" w:rsidRPr="003A3EEA" w:rsidRDefault="004D3C57" w:rsidP="003A3EEA">
      <w:pPr>
        <w:rPr>
          <w:rFonts w:ascii="Calibri" w:hAnsi="Calibri"/>
        </w:rPr>
      </w:pPr>
    </w:p>
    <w:p w14:paraId="23D1A982" w14:textId="0AB69963" w:rsidR="00DC1BBF" w:rsidRPr="003A3EEA" w:rsidRDefault="00DC1BBF" w:rsidP="003A3EEA">
      <w:pPr>
        <w:rPr>
          <w:rFonts w:ascii="Calibri" w:hAnsi="Calibri"/>
        </w:rPr>
      </w:pPr>
      <w:r w:rsidRPr="003A3EEA">
        <w:rPr>
          <w:rFonts w:ascii="Calibri" w:hAnsi="Calibri"/>
          <w:i/>
        </w:rPr>
        <w:t>Preparation and administration of the designer drug</w:t>
      </w:r>
      <w:r w:rsidRPr="003A3EEA">
        <w:rPr>
          <w:rFonts w:ascii="Calibri" w:hAnsi="Calibri"/>
        </w:rPr>
        <w:t>:</w:t>
      </w:r>
      <w:r w:rsidR="004D3C57" w:rsidRPr="003A3EEA">
        <w:rPr>
          <w:rFonts w:ascii="Calibri" w:hAnsi="Calibri"/>
        </w:rPr>
        <w:t xml:space="preserve"> </w:t>
      </w:r>
      <w:r w:rsidRPr="003A3EEA">
        <w:rPr>
          <w:rFonts w:ascii="Calibri" w:hAnsi="Calibri"/>
        </w:rPr>
        <w:t xml:space="preserve">CNO, </w:t>
      </w:r>
      <w:r w:rsidR="00F87740" w:rsidRPr="003A3EEA">
        <w:rPr>
          <w:rFonts w:ascii="Calibri" w:hAnsi="Calibri"/>
        </w:rPr>
        <w:t xml:space="preserve">the designer drug, </w:t>
      </w:r>
      <w:r w:rsidRPr="003A3EEA">
        <w:rPr>
          <w:rFonts w:ascii="Calibri" w:hAnsi="Calibri"/>
        </w:rPr>
        <w:t>binds to the designer receptor and silences neural activity but is otherwise biologically inert</w:t>
      </w:r>
      <w:r w:rsidR="00B5789D" w:rsidRPr="003A3EEA">
        <w:rPr>
          <w:rFonts w:ascii="Calibri" w:hAnsi="Calibri"/>
          <w:vertAlign w:val="superscript"/>
        </w:rPr>
        <w:t>1</w:t>
      </w:r>
      <w:r w:rsidR="002270E2" w:rsidRPr="003A3EEA">
        <w:rPr>
          <w:rFonts w:ascii="Calibri" w:hAnsi="Calibri"/>
          <w:vertAlign w:val="superscript"/>
        </w:rPr>
        <w:t>,3</w:t>
      </w:r>
      <w:r w:rsidRPr="003A3EEA">
        <w:rPr>
          <w:rFonts w:ascii="Calibri" w:hAnsi="Calibri"/>
        </w:rPr>
        <w:t>.</w:t>
      </w:r>
      <w:r w:rsidR="004D3C57" w:rsidRPr="003A3EEA">
        <w:rPr>
          <w:rFonts w:ascii="Calibri" w:hAnsi="Calibri"/>
        </w:rPr>
        <w:t xml:space="preserve"> </w:t>
      </w:r>
      <w:r w:rsidRPr="003A3EEA">
        <w:rPr>
          <w:rFonts w:ascii="Calibri" w:hAnsi="Calibri"/>
        </w:rPr>
        <w:t>Shipments of CNO from suppliers can vary in consistency.</w:t>
      </w:r>
      <w:r w:rsidR="004D3C57" w:rsidRPr="003A3EEA">
        <w:rPr>
          <w:rFonts w:ascii="Calibri" w:hAnsi="Calibri"/>
        </w:rPr>
        <w:t xml:space="preserve"> </w:t>
      </w:r>
      <w:r w:rsidRPr="003A3EEA">
        <w:rPr>
          <w:rFonts w:ascii="Calibri" w:hAnsi="Calibri"/>
        </w:rPr>
        <w:t xml:space="preserve">The compound should arrive as a </w:t>
      </w:r>
      <w:r w:rsidR="007958EB" w:rsidRPr="003A3EEA">
        <w:rPr>
          <w:rFonts w:ascii="Calibri" w:hAnsi="Calibri"/>
        </w:rPr>
        <w:t xml:space="preserve">powder </w:t>
      </w:r>
      <w:r w:rsidRPr="003A3EEA">
        <w:rPr>
          <w:rFonts w:ascii="Calibri" w:hAnsi="Calibri"/>
        </w:rPr>
        <w:t xml:space="preserve">that is not adhered to the </w:t>
      </w:r>
      <w:r w:rsidR="007958EB" w:rsidRPr="003A3EEA">
        <w:rPr>
          <w:rFonts w:ascii="Calibri" w:hAnsi="Calibri"/>
        </w:rPr>
        <w:t xml:space="preserve">sides of the </w:t>
      </w:r>
      <w:r w:rsidRPr="003A3EEA">
        <w:rPr>
          <w:rFonts w:ascii="Calibri" w:hAnsi="Calibri"/>
        </w:rPr>
        <w:t>container.</w:t>
      </w:r>
      <w:r w:rsidR="004D3C57" w:rsidRPr="003A3EEA">
        <w:rPr>
          <w:rFonts w:ascii="Calibri" w:hAnsi="Calibri"/>
        </w:rPr>
        <w:t xml:space="preserve"> </w:t>
      </w:r>
      <w:r w:rsidR="007161F3" w:rsidRPr="003A3EEA">
        <w:rPr>
          <w:rFonts w:ascii="Calibri" w:hAnsi="Calibri"/>
        </w:rPr>
        <w:t xml:space="preserve"> </w:t>
      </w:r>
    </w:p>
    <w:p w14:paraId="2A97EDC6" w14:textId="77777777" w:rsidR="00D66A36" w:rsidRPr="003A3EEA" w:rsidRDefault="00D66A36" w:rsidP="003A3EEA">
      <w:pPr>
        <w:rPr>
          <w:rFonts w:ascii="Calibri" w:hAnsi="Calibri" w:cs="Arial"/>
          <w:i/>
        </w:rPr>
      </w:pPr>
    </w:p>
    <w:p w14:paraId="78891E36" w14:textId="6FB7DFB5" w:rsidR="008F1712" w:rsidRPr="003A3EEA" w:rsidRDefault="008F1712" w:rsidP="003A3EEA">
      <w:pPr>
        <w:rPr>
          <w:rFonts w:ascii="Calibri" w:hAnsi="Calibri" w:cs="Arial"/>
        </w:rPr>
      </w:pPr>
      <w:r w:rsidRPr="003A3EEA">
        <w:rPr>
          <w:rFonts w:ascii="Calibri" w:hAnsi="Calibri" w:cs="Arial"/>
          <w:i/>
        </w:rPr>
        <w:t>Important control groups to consider:</w:t>
      </w:r>
      <w:r w:rsidR="0091394B" w:rsidRPr="003A3EEA">
        <w:rPr>
          <w:rFonts w:ascii="Calibri" w:hAnsi="Calibri" w:cs="Arial"/>
        </w:rPr>
        <w:t xml:space="preserve"> </w:t>
      </w:r>
      <w:r w:rsidRPr="003A3EEA">
        <w:rPr>
          <w:rFonts w:ascii="Calibri" w:hAnsi="Calibri" w:cs="Arial"/>
        </w:rPr>
        <w:t xml:space="preserve">To control for non-specific effects of the designer drug, prior to behavioral testing, </w:t>
      </w:r>
      <w:r w:rsidR="00E76024" w:rsidRPr="003A3EEA">
        <w:rPr>
          <w:rFonts w:ascii="Calibri" w:hAnsi="Calibri" w:cs="Arial"/>
        </w:rPr>
        <w:t>infuse a different set of experimental</w:t>
      </w:r>
      <w:r w:rsidRPr="003A3EEA">
        <w:rPr>
          <w:rFonts w:ascii="Calibri" w:hAnsi="Calibri" w:cs="Arial"/>
        </w:rPr>
        <w:t xml:space="preserve"> rats </w:t>
      </w:r>
      <w:r w:rsidR="00E76024" w:rsidRPr="003A3EEA">
        <w:rPr>
          <w:rFonts w:ascii="Calibri" w:hAnsi="Calibri" w:cs="Arial"/>
        </w:rPr>
        <w:t>(</w:t>
      </w:r>
      <w:r w:rsidR="00E76024" w:rsidRPr="003A3EEA">
        <w:rPr>
          <w:rFonts w:ascii="Calibri" w:hAnsi="Calibri" w:cs="Arial"/>
          <w:i/>
        </w:rPr>
        <w:t>i.e.,</w:t>
      </w:r>
      <w:r w:rsidR="00E76024" w:rsidRPr="003A3EEA">
        <w:rPr>
          <w:rFonts w:ascii="Calibri" w:hAnsi="Calibri" w:cs="Arial"/>
        </w:rPr>
        <w:t xml:space="preserve"> those that express </w:t>
      </w:r>
      <w:r w:rsidRPr="003A3EEA">
        <w:rPr>
          <w:rFonts w:ascii="Calibri" w:hAnsi="Calibri" w:cs="Arial"/>
        </w:rPr>
        <w:t>the designer receptor</w:t>
      </w:r>
      <w:r w:rsidR="00E76024" w:rsidRPr="003A3EEA">
        <w:rPr>
          <w:rFonts w:ascii="Calibri" w:hAnsi="Calibri" w:cs="Arial"/>
        </w:rPr>
        <w:t>) with</w:t>
      </w:r>
      <w:r w:rsidRPr="003A3EEA">
        <w:rPr>
          <w:rFonts w:ascii="Calibri" w:hAnsi="Calibri" w:cs="Arial"/>
        </w:rPr>
        <w:t xml:space="preserve"> vehicle injections instead of CNO. In addition, to control for non-specific ef</w:t>
      </w:r>
      <w:r w:rsidR="00E76024" w:rsidRPr="003A3EEA">
        <w:rPr>
          <w:rFonts w:ascii="Calibri" w:hAnsi="Calibri" w:cs="Arial"/>
        </w:rPr>
        <w:t xml:space="preserve">fects of the designer receptor </w:t>
      </w:r>
      <w:r w:rsidRPr="003A3EEA">
        <w:rPr>
          <w:rFonts w:ascii="Calibri" w:hAnsi="Calibri" w:cs="Arial"/>
        </w:rPr>
        <w:t>include a group of rats that are infused with a control virus that contains a fluorescent reporter but not the modified designer receptor</w:t>
      </w:r>
      <w:r w:rsidR="002B0E85" w:rsidRPr="003A3EEA">
        <w:rPr>
          <w:rFonts w:ascii="Calibri" w:hAnsi="Calibri" w:cs="Arial"/>
        </w:rPr>
        <w:t xml:space="preserve"> and inject these rats with the designer drug (</w:t>
      </w:r>
      <w:r w:rsidR="002B0E85" w:rsidRPr="003A3EEA">
        <w:rPr>
          <w:rFonts w:ascii="Calibri" w:hAnsi="Calibri" w:cs="Arial"/>
          <w:i/>
        </w:rPr>
        <w:t>i.e.,</w:t>
      </w:r>
      <w:r w:rsidR="002B0E85" w:rsidRPr="003A3EEA">
        <w:rPr>
          <w:rFonts w:ascii="Calibri" w:hAnsi="Calibri" w:cs="Arial"/>
        </w:rPr>
        <w:t xml:space="preserve"> CNO)</w:t>
      </w:r>
      <w:r w:rsidRPr="003A3EEA">
        <w:rPr>
          <w:rFonts w:ascii="Calibri" w:hAnsi="Calibri" w:cs="Arial"/>
        </w:rPr>
        <w:t xml:space="preserve">. </w:t>
      </w:r>
      <w:r w:rsidR="009B294F" w:rsidRPr="003A3EEA">
        <w:rPr>
          <w:rFonts w:ascii="Calibri" w:hAnsi="Calibri" w:cs="Arial"/>
        </w:rPr>
        <w:t xml:space="preserve"> Ensure adequate experimental design by counterbalancing across groups.</w:t>
      </w:r>
    </w:p>
    <w:p w14:paraId="30BA77AA" w14:textId="77777777" w:rsidR="008F1712" w:rsidRPr="003A3EEA" w:rsidRDefault="008F1712" w:rsidP="003A3EEA">
      <w:pPr>
        <w:rPr>
          <w:rFonts w:ascii="Calibri" w:hAnsi="Calibri"/>
        </w:rPr>
      </w:pPr>
    </w:p>
    <w:p w14:paraId="3D60AA2E" w14:textId="39EB88B2" w:rsidR="00DC1BBF" w:rsidRPr="003A3EEA" w:rsidRDefault="00DC1BBF" w:rsidP="003A3EEA">
      <w:pPr>
        <w:rPr>
          <w:rFonts w:ascii="Calibri" w:hAnsi="Calibri"/>
        </w:rPr>
      </w:pPr>
      <w:r w:rsidRPr="003A3EEA">
        <w:rPr>
          <w:rFonts w:ascii="Calibri" w:hAnsi="Calibri"/>
          <w:i/>
        </w:rPr>
        <w:t>Verifying expression of the construct:</w:t>
      </w:r>
      <w:r w:rsidR="004D3C57" w:rsidRPr="003A3EEA">
        <w:rPr>
          <w:rFonts w:ascii="Calibri" w:hAnsi="Calibri"/>
        </w:rPr>
        <w:t xml:space="preserve"> </w:t>
      </w:r>
      <w:r w:rsidRPr="003A3EEA">
        <w:rPr>
          <w:rFonts w:ascii="Calibri" w:hAnsi="Calibri"/>
        </w:rPr>
        <w:t>There are a number of ways to maximize the expression and detection of the designer receptor.</w:t>
      </w:r>
      <w:r w:rsidR="004D3C57" w:rsidRPr="003A3EEA">
        <w:rPr>
          <w:rFonts w:ascii="Calibri" w:hAnsi="Calibri"/>
        </w:rPr>
        <w:t xml:space="preserve"> </w:t>
      </w:r>
      <w:r w:rsidR="002B0E85" w:rsidRPr="003A3EEA">
        <w:rPr>
          <w:rFonts w:ascii="Calibri" w:hAnsi="Calibri"/>
        </w:rPr>
        <w:t>Prior to infusion, verify that the viral titre is</w:t>
      </w:r>
      <w:r w:rsidRPr="003A3EEA">
        <w:rPr>
          <w:rFonts w:ascii="Calibri" w:hAnsi="Calibri"/>
        </w:rPr>
        <w:t xml:space="preserve"> </w:t>
      </w:r>
      <w:r w:rsidR="00C06AFB" w:rsidRPr="003A3EEA">
        <w:rPr>
          <w:rFonts w:ascii="Calibri" w:hAnsi="Calibri"/>
        </w:rPr>
        <w:t>near 10</w:t>
      </w:r>
      <w:r w:rsidR="00C06AFB" w:rsidRPr="003A3EEA">
        <w:rPr>
          <w:rFonts w:ascii="Calibri" w:hAnsi="Calibri"/>
          <w:vertAlign w:val="superscript"/>
        </w:rPr>
        <w:t>12</w:t>
      </w:r>
      <w:r w:rsidR="00C06AFB" w:rsidRPr="003A3EEA">
        <w:rPr>
          <w:rFonts w:ascii="Calibri" w:hAnsi="Calibri"/>
        </w:rPr>
        <w:t xml:space="preserve"> </w:t>
      </w:r>
      <w:r w:rsidR="00552B8C" w:rsidRPr="003A3EEA">
        <w:rPr>
          <w:rFonts w:ascii="Calibri" w:hAnsi="Calibri"/>
        </w:rPr>
        <w:t>particle</w:t>
      </w:r>
      <w:r w:rsidR="00F87740" w:rsidRPr="003A3EEA">
        <w:rPr>
          <w:rFonts w:ascii="Calibri" w:hAnsi="Calibri"/>
        </w:rPr>
        <w:t>s</w:t>
      </w:r>
      <w:r w:rsidR="00552B8C" w:rsidRPr="003A3EEA">
        <w:rPr>
          <w:rFonts w:ascii="Calibri" w:hAnsi="Calibri"/>
        </w:rPr>
        <w:t>/ml</w:t>
      </w:r>
      <w:r w:rsidRPr="003A3EEA">
        <w:rPr>
          <w:rFonts w:ascii="Calibri" w:hAnsi="Calibri"/>
        </w:rPr>
        <w:t>.</w:t>
      </w:r>
      <w:r w:rsidR="004D3C57" w:rsidRPr="003A3EEA">
        <w:rPr>
          <w:rFonts w:ascii="Calibri" w:hAnsi="Calibri"/>
        </w:rPr>
        <w:t xml:space="preserve"> </w:t>
      </w:r>
      <w:r w:rsidR="00164838" w:rsidRPr="003A3EEA">
        <w:rPr>
          <w:rFonts w:ascii="Calibri" w:hAnsi="Calibri"/>
        </w:rPr>
        <w:t>Often visualization of the</w:t>
      </w:r>
      <w:r w:rsidRPr="003A3EEA">
        <w:rPr>
          <w:rFonts w:ascii="Calibri" w:hAnsi="Calibri"/>
        </w:rPr>
        <w:t xml:space="preserve"> fluorescent reporter is </w:t>
      </w:r>
      <w:r w:rsidR="00FA4D59" w:rsidRPr="003A3EEA">
        <w:rPr>
          <w:rFonts w:ascii="Calibri" w:hAnsi="Calibri"/>
        </w:rPr>
        <w:t>low</w:t>
      </w:r>
      <w:r w:rsidR="00164838" w:rsidRPr="003A3EEA">
        <w:rPr>
          <w:rFonts w:ascii="Calibri" w:hAnsi="Calibri"/>
        </w:rPr>
        <w:t xml:space="preserve"> and thus</w:t>
      </w:r>
      <w:r w:rsidRPr="003A3EEA">
        <w:rPr>
          <w:rFonts w:ascii="Calibri" w:hAnsi="Calibri"/>
        </w:rPr>
        <w:t xml:space="preserve">, </w:t>
      </w:r>
      <w:r w:rsidR="00FA4D59" w:rsidRPr="003A3EEA">
        <w:rPr>
          <w:rFonts w:ascii="Calibri" w:hAnsi="Calibri"/>
        </w:rPr>
        <w:t>it is recommended that immunohistochemistry</w:t>
      </w:r>
      <w:r w:rsidRPr="003A3EEA">
        <w:rPr>
          <w:rFonts w:ascii="Calibri" w:hAnsi="Calibri"/>
        </w:rPr>
        <w:t xml:space="preserve"> be performed </w:t>
      </w:r>
      <w:r w:rsidR="00FA4D59" w:rsidRPr="003A3EEA">
        <w:rPr>
          <w:rFonts w:ascii="Calibri" w:hAnsi="Calibri"/>
        </w:rPr>
        <w:t xml:space="preserve">on the region of interest </w:t>
      </w:r>
      <w:r w:rsidR="007958EB" w:rsidRPr="003A3EEA">
        <w:rPr>
          <w:rFonts w:ascii="Calibri" w:hAnsi="Calibri"/>
        </w:rPr>
        <w:t>using antibodies directed</w:t>
      </w:r>
      <w:r w:rsidRPr="003A3EEA">
        <w:rPr>
          <w:rFonts w:ascii="Calibri" w:hAnsi="Calibri"/>
        </w:rPr>
        <w:t xml:space="preserve"> against the reporter</w:t>
      </w:r>
      <w:r w:rsidR="007958EB" w:rsidRPr="003A3EEA">
        <w:rPr>
          <w:rFonts w:ascii="Calibri" w:hAnsi="Calibri"/>
        </w:rPr>
        <w:t>(</w:t>
      </w:r>
      <w:r w:rsidRPr="003A3EEA">
        <w:rPr>
          <w:rFonts w:ascii="Calibri" w:hAnsi="Calibri"/>
        </w:rPr>
        <w:t>s</w:t>
      </w:r>
      <w:r w:rsidR="007958EB" w:rsidRPr="003A3EEA">
        <w:rPr>
          <w:rFonts w:ascii="Calibri" w:hAnsi="Calibri"/>
        </w:rPr>
        <w:t>)</w:t>
      </w:r>
      <w:r w:rsidRPr="003A3EEA">
        <w:rPr>
          <w:rFonts w:ascii="Calibri" w:hAnsi="Calibri"/>
        </w:rPr>
        <w:t xml:space="preserve"> inclu</w:t>
      </w:r>
      <w:r w:rsidR="007958EB" w:rsidRPr="003A3EEA">
        <w:rPr>
          <w:rFonts w:ascii="Calibri" w:hAnsi="Calibri"/>
        </w:rPr>
        <w:t>ded in the viral construct</w:t>
      </w:r>
      <w:r w:rsidR="007161F3" w:rsidRPr="003A3EEA">
        <w:rPr>
          <w:rFonts w:ascii="Calibri" w:hAnsi="Calibri"/>
          <w:vertAlign w:val="superscript"/>
        </w:rPr>
        <w:t>2</w:t>
      </w:r>
      <w:r w:rsidR="00CA758E" w:rsidRPr="003A3EEA">
        <w:rPr>
          <w:rFonts w:ascii="Calibri" w:hAnsi="Calibri"/>
          <w:vertAlign w:val="superscript"/>
        </w:rPr>
        <w:t>5</w:t>
      </w:r>
      <w:r w:rsidRPr="003A3EEA">
        <w:rPr>
          <w:rFonts w:ascii="Calibri" w:hAnsi="Calibri"/>
        </w:rPr>
        <w:t>.</w:t>
      </w:r>
      <w:r w:rsidR="004D3C57" w:rsidRPr="003A3EEA">
        <w:rPr>
          <w:rFonts w:ascii="Calibri" w:hAnsi="Calibri"/>
        </w:rPr>
        <w:t xml:space="preserve"> </w:t>
      </w:r>
      <w:r w:rsidR="007958EB" w:rsidRPr="003A3EEA">
        <w:rPr>
          <w:rFonts w:ascii="Calibri" w:hAnsi="Calibri"/>
        </w:rPr>
        <w:t>In this example, anti-GFP immunoreactivity</w:t>
      </w:r>
      <w:r w:rsidRPr="003A3EEA">
        <w:rPr>
          <w:rFonts w:ascii="Calibri" w:hAnsi="Calibri"/>
        </w:rPr>
        <w:t xml:space="preserve"> provide</w:t>
      </w:r>
      <w:r w:rsidR="007958EB" w:rsidRPr="003A3EEA">
        <w:rPr>
          <w:rFonts w:ascii="Calibri" w:hAnsi="Calibri"/>
        </w:rPr>
        <w:t>s a</w:t>
      </w:r>
      <w:r w:rsidRPr="003A3EEA">
        <w:rPr>
          <w:rFonts w:ascii="Calibri" w:hAnsi="Calibri"/>
        </w:rPr>
        <w:t xml:space="preserve"> robust signal</w:t>
      </w:r>
      <w:r w:rsidR="00FA4D59" w:rsidRPr="003A3EEA">
        <w:rPr>
          <w:rFonts w:ascii="Calibri" w:hAnsi="Calibri"/>
        </w:rPr>
        <w:t xml:space="preserve"> (Fig</w:t>
      </w:r>
      <w:r w:rsidR="00501AE3" w:rsidRPr="003A3EEA">
        <w:rPr>
          <w:rFonts w:ascii="Calibri" w:hAnsi="Calibri"/>
        </w:rPr>
        <w:t>ures</w:t>
      </w:r>
      <w:r w:rsidR="00FA4D59" w:rsidRPr="003A3EEA">
        <w:rPr>
          <w:rFonts w:ascii="Calibri" w:hAnsi="Calibri"/>
        </w:rPr>
        <w:t xml:space="preserve"> 4B-D)</w:t>
      </w:r>
      <w:r w:rsidRPr="003A3EEA">
        <w:rPr>
          <w:rFonts w:ascii="Calibri" w:hAnsi="Calibri"/>
        </w:rPr>
        <w:t>.</w:t>
      </w:r>
      <w:r w:rsidR="004D3C57" w:rsidRPr="003A3EEA">
        <w:rPr>
          <w:rFonts w:ascii="Calibri" w:hAnsi="Calibri"/>
        </w:rPr>
        <w:t xml:space="preserve"> </w:t>
      </w:r>
      <w:r w:rsidRPr="003A3EEA">
        <w:rPr>
          <w:rFonts w:ascii="Calibri" w:hAnsi="Calibri"/>
        </w:rPr>
        <w:t xml:space="preserve">Importantly, because of the nature of fluorescent labels, </w:t>
      </w:r>
      <w:r w:rsidR="002B0E85" w:rsidRPr="003A3EEA">
        <w:rPr>
          <w:rFonts w:ascii="Calibri" w:hAnsi="Calibri"/>
        </w:rPr>
        <w:t xml:space="preserve">limit </w:t>
      </w:r>
      <w:r w:rsidRPr="003A3EEA">
        <w:rPr>
          <w:rFonts w:ascii="Calibri" w:hAnsi="Calibri"/>
        </w:rPr>
        <w:t>the length of fixation time to 2</w:t>
      </w:r>
      <w:r w:rsidR="00272024" w:rsidRPr="003A3EEA">
        <w:rPr>
          <w:rFonts w:ascii="Calibri" w:hAnsi="Calibri"/>
        </w:rPr>
        <w:t xml:space="preserve"> h</w:t>
      </w:r>
      <w:r w:rsidR="003850A1" w:rsidRPr="003A3EEA">
        <w:rPr>
          <w:rFonts w:ascii="Calibri" w:hAnsi="Calibri"/>
        </w:rPr>
        <w:t>.</w:t>
      </w:r>
    </w:p>
    <w:p w14:paraId="406D8B44" w14:textId="77777777" w:rsidR="00DC1BBF" w:rsidRPr="003A3EEA" w:rsidRDefault="00DC1BBF" w:rsidP="003A3EEA">
      <w:pPr>
        <w:rPr>
          <w:rFonts w:ascii="Calibri" w:hAnsi="Calibri"/>
        </w:rPr>
      </w:pPr>
    </w:p>
    <w:p w14:paraId="0CDB0B27" w14:textId="375148FD" w:rsidR="007958EB" w:rsidRPr="003A3EEA" w:rsidRDefault="007958EB" w:rsidP="003A3EEA">
      <w:pPr>
        <w:rPr>
          <w:rFonts w:ascii="Calibri" w:hAnsi="Calibri"/>
          <w:b/>
        </w:rPr>
      </w:pPr>
      <w:r w:rsidRPr="003A3EEA">
        <w:rPr>
          <w:rFonts w:ascii="Calibri" w:hAnsi="Calibri"/>
          <w:b/>
        </w:rPr>
        <w:t xml:space="preserve">Advantages of the </w:t>
      </w:r>
      <w:r w:rsidR="005D1BA6" w:rsidRPr="003A3EEA">
        <w:rPr>
          <w:rFonts w:ascii="Calibri" w:hAnsi="Calibri"/>
          <w:b/>
        </w:rPr>
        <w:t>T</w:t>
      </w:r>
      <w:r w:rsidRPr="003A3EEA">
        <w:rPr>
          <w:rFonts w:ascii="Calibri" w:hAnsi="Calibri"/>
          <w:b/>
        </w:rPr>
        <w:t>echnique</w:t>
      </w:r>
      <w:r w:rsidR="005D1BA6" w:rsidRPr="003A3EEA">
        <w:rPr>
          <w:rFonts w:ascii="Calibri" w:hAnsi="Calibri"/>
          <w:b/>
        </w:rPr>
        <w:t>s</w:t>
      </w:r>
    </w:p>
    <w:p w14:paraId="45848067" w14:textId="7BEDA9A4" w:rsidR="00DC1BBF" w:rsidRPr="003A3EEA" w:rsidRDefault="00DC1BBF" w:rsidP="003A3EEA">
      <w:pPr>
        <w:rPr>
          <w:rFonts w:ascii="Calibri" w:hAnsi="Calibri"/>
        </w:rPr>
      </w:pPr>
      <w:r w:rsidRPr="003A3EEA">
        <w:rPr>
          <w:rFonts w:ascii="Calibri" w:hAnsi="Calibri"/>
        </w:rPr>
        <w:t>Once the viral construct has been delivered to the brain via stereotaxic surgery, the pharmacogenetic approach allows for the temporary inactivation of brain activity in discrete regions by means of a minimally invasive systemic injection of the designer d</w:t>
      </w:r>
      <w:r w:rsidR="00E11FA9" w:rsidRPr="003A3EEA">
        <w:rPr>
          <w:rFonts w:ascii="Calibri" w:hAnsi="Calibri"/>
        </w:rPr>
        <w:t>rug.</w:t>
      </w:r>
      <w:r w:rsidR="004D3C57" w:rsidRPr="003A3EEA">
        <w:rPr>
          <w:rFonts w:ascii="Calibri" w:hAnsi="Calibri"/>
        </w:rPr>
        <w:t xml:space="preserve"> </w:t>
      </w:r>
      <w:r w:rsidR="00E11FA9" w:rsidRPr="003A3EEA">
        <w:rPr>
          <w:rFonts w:ascii="Calibri" w:hAnsi="Calibri"/>
        </w:rPr>
        <w:t>Drug administrati</w:t>
      </w:r>
      <w:r w:rsidRPr="003A3EEA">
        <w:rPr>
          <w:rFonts w:ascii="Calibri" w:hAnsi="Calibri"/>
        </w:rPr>
        <w:t>on c</w:t>
      </w:r>
      <w:r w:rsidR="00242FC4" w:rsidRPr="003A3EEA">
        <w:rPr>
          <w:rFonts w:ascii="Calibri" w:hAnsi="Calibri"/>
        </w:rPr>
        <w:t>an occur repeatedly</w:t>
      </w:r>
      <w:r w:rsidRPr="003A3EEA">
        <w:rPr>
          <w:rFonts w:ascii="Calibri" w:hAnsi="Calibri"/>
        </w:rPr>
        <w:t>, which is advantageous for behavioral tasks that occur across successive days or weeks</w:t>
      </w:r>
      <w:r w:rsidR="00800097" w:rsidRPr="003A3EEA">
        <w:rPr>
          <w:rFonts w:ascii="Calibri" w:hAnsi="Calibri"/>
          <w:vertAlign w:val="superscript"/>
        </w:rPr>
        <w:t>1</w:t>
      </w:r>
      <w:r w:rsidR="003850A1" w:rsidRPr="003A3EEA">
        <w:rPr>
          <w:rFonts w:ascii="Calibri" w:hAnsi="Calibri"/>
          <w:vertAlign w:val="superscript"/>
        </w:rPr>
        <w:t>2</w:t>
      </w:r>
      <w:r w:rsidR="00800097" w:rsidRPr="003A3EEA">
        <w:rPr>
          <w:rFonts w:ascii="Calibri" w:hAnsi="Calibri"/>
          <w:vertAlign w:val="superscript"/>
        </w:rPr>
        <w:t xml:space="preserve">, </w:t>
      </w:r>
      <w:r w:rsidR="00CA758E" w:rsidRPr="003A3EEA">
        <w:rPr>
          <w:rFonts w:ascii="Calibri" w:hAnsi="Calibri"/>
          <w:vertAlign w:val="superscript"/>
        </w:rPr>
        <w:t>24</w:t>
      </w:r>
      <w:r w:rsidR="007958EB" w:rsidRPr="003A3EEA">
        <w:rPr>
          <w:rFonts w:ascii="Calibri" w:hAnsi="Calibri"/>
          <w:vertAlign w:val="superscript"/>
        </w:rPr>
        <w:t xml:space="preserve">, </w:t>
      </w:r>
      <w:r w:rsidR="00CA758E" w:rsidRPr="003A3EEA">
        <w:rPr>
          <w:rFonts w:ascii="Calibri" w:hAnsi="Calibri"/>
          <w:vertAlign w:val="superscript"/>
        </w:rPr>
        <w:t>26</w:t>
      </w:r>
      <w:r w:rsidRPr="003A3EEA">
        <w:rPr>
          <w:rFonts w:ascii="Calibri" w:hAnsi="Calibri"/>
        </w:rPr>
        <w:t>.</w:t>
      </w:r>
      <w:r w:rsidR="004D3C57" w:rsidRPr="003A3EEA">
        <w:rPr>
          <w:rFonts w:ascii="Calibri" w:hAnsi="Calibri"/>
        </w:rPr>
        <w:t xml:space="preserve"> </w:t>
      </w:r>
      <w:r w:rsidRPr="003A3EEA">
        <w:rPr>
          <w:rFonts w:ascii="Calibri" w:hAnsi="Calibri"/>
        </w:rPr>
        <w:t>Furthermo</w:t>
      </w:r>
      <w:r w:rsidR="00402E4F" w:rsidRPr="003A3EEA">
        <w:rPr>
          <w:rFonts w:ascii="Calibri" w:hAnsi="Calibri"/>
        </w:rPr>
        <w:t xml:space="preserve">re, evidence indicates that the designer drug (CNO) </w:t>
      </w:r>
      <w:r w:rsidRPr="003A3EEA">
        <w:rPr>
          <w:rFonts w:ascii="Calibri" w:hAnsi="Calibri"/>
        </w:rPr>
        <w:t>does not interfere with locomotor behavior or appetite</w:t>
      </w:r>
      <w:r w:rsidR="00CA758E" w:rsidRPr="003A3EEA">
        <w:rPr>
          <w:rFonts w:ascii="Calibri" w:hAnsi="Calibri"/>
          <w:vertAlign w:val="superscript"/>
        </w:rPr>
        <w:t>27</w:t>
      </w:r>
      <w:r w:rsidR="007958EB" w:rsidRPr="003A3EEA">
        <w:rPr>
          <w:rFonts w:ascii="Calibri" w:hAnsi="Calibri"/>
          <w:vertAlign w:val="superscript"/>
        </w:rPr>
        <w:t xml:space="preserve">, </w:t>
      </w:r>
      <w:r w:rsidR="00CA758E" w:rsidRPr="003A3EEA">
        <w:rPr>
          <w:rFonts w:ascii="Calibri" w:hAnsi="Calibri"/>
          <w:vertAlign w:val="superscript"/>
        </w:rPr>
        <w:t>28</w:t>
      </w:r>
      <w:r w:rsidRPr="003A3EEA">
        <w:rPr>
          <w:rFonts w:ascii="Calibri" w:hAnsi="Calibri"/>
        </w:rPr>
        <w:t>.</w:t>
      </w:r>
      <w:r w:rsidR="004D3C57" w:rsidRPr="003A3EEA">
        <w:rPr>
          <w:rFonts w:ascii="Calibri" w:hAnsi="Calibri"/>
        </w:rPr>
        <w:t xml:space="preserve"> </w:t>
      </w:r>
      <w:r w:rsidRPr="003A3EEA">
        <w:rPr>
          <w:rFonts w:ascii="Calibri" w:hAnsi="Calibri"/>
        </w:rPr>
        <w:t>Thus, the method pro</w:t>
      </w:r>
      <w:r w:rsidR="00242FC4" w:rsidRPr="003A3EEA">
        <w:rPr>
          <w:rFonts w:ascii="Calibri" w:hAnsi="Calibri"/>
        </w:rPr>
        <w:t>vides the opportunity to attenuate</w:t>
      </w:r>
      <w:r w:rsidRPr="003A3EEA">
        <w:rPr>
          <w:rFonts w:ascii="Calibri" w:hAnsi="Calibri"/>
        </w:rPr>
        <w:t xml:space="preserve"> neural activity for a short period of time (2 – 5</w:t>
      </w:r>
      <w:r w:rsidR="00272024" w:rsidRPr="003A3EEA">
        <w:rPr>
          <w:rFonts w:ascii="Calibri" w:hAnsi="Calibri"/>
        </w:rPr>
        <w:t xml:space="preserve"> h</w:t>
      </w:r>
      <w:r w:rsidRPr="003A3EEA">
        <w:rPr>
          <w:rFonts w:ascii="Calibri" w:hAnsi="Calibri"/>
        </w:rPr>
        <w:t xml:space="preserve">), while avoiding </w:t>
      </w:r>
      <w:r w:rsidRPr="003A3EEA">
        <w:rPr>
          <w:rFonts w:ascii="Calibri" w:hAnsi="Calibri"/>
        </w:rPr>
        <w:lastRenderedPageBreak/>
        <w:t>the stressors inherent in other methods of temporary inactivation.</w:t>
      </w:r>
      <w:r w:rsidR="004D3C57" w:rsidRPr="003A3EEA">
        <w:rPr>
          <w:rFonts w:ascii="Calibri" w:hAnsi="Calibri"/>
        </w:rPr>
        <w:t xml:space="preserve"> </w:t>
      </w:r>
      <w:r w:rsidRPr="003A3EEA">
        <w:rPr>
          <w:rFonts w:ascii="Calibri" w:hAnsi="Calibri"/>
        </w:rPr>
        <w:t>Specifically, in cannulation studies, temporary inactivation is achieved by delivery of neurotoxins through cannulae that are permanently affixed to the skull.</w:t>
      </w:r>
      <w:r w:rsidR="004D3C57" w:rsidRPr="003A3EEA">
        <w:rPr>
          <w:rFonts w:ascii="Calibri" w:hAnsi="Calibri"/>
        </w:rPr>
        <w:t xml:space="preserve"> </w:t>
      </w:r>
      <w:r w:rsidRPr="003A3EEA">
        <w:rPr>
          <w:rFonts w:ascii="Calibri" w:hAnsi="Calibri"/>
        </w:rPr>
        <w:t>This approach is limited in that keeping the cannula clear of debris and protected is challenging.</w:t>
      </w:r>
      <w:r w:rsidR="004D3C57" w:rsidRPr="003A3EEA">
        <w:rPr>
          <w:rFonts w:ascii="Calibri" w:hAnsi="Calibri"/>
        </w:rPr>
        <w:t xml:space="preserve"> </w:t>
      </w:r>
      <w:r w:rsidRPr="003A3EEA">
        <w:rPr>
          <w:rFonts w:ascii="Calibri" w:hAnsi="Calibri"/>
        </w:rPr>
        <w:t>Furthermore, to induce inactivity, animals are handled extensively (to administer the toxin through the cannulae) just prior to behavioral testing, which imposes stress on the animal and also increases the likelihood that cannulae may dislodge from the skull.</w:t>
      </w:r>
      <w:r w:rsidR="004D3C57" w:rsidRPr="003A3EEA">
        <w:rPr>
          <w:rFonts w:ascii="Calibri" w:hAnsi="Calibri"/>
        </w:rPr>
        <w:t xml:space="preserve"> </w:t>
      </w:r>
      <w:r w:rsidRPr="003A3EEA">
        <w:rPr>
          <w:rFonts w:ascii="Calibri" w:hAnsi="Calibri"/>
        </w:rPr>
        <w:t xml:space="preserve">Because the effects of CNO are relatively short term, the possibility of </w:t>
      </w:r>
      <w:r w:rsidR="00500255" w:rsidRPr="003A3EEA">
        <w:rPr>
          <w:rFonts w:ascii="Calibri" w:hAnsi="Calibri"/>
        </w:rPr>
        <w:t>long term compensatory mechanisms (</w:t>
      </w:r>
      <w:r w:rsidRPr="003A3EEA">
        <w:rPr>
          <w:rFonts w:ascii="Calibri" w:hAnsi="Calibri"/>
        </w:rPr>
        <w:t>such as those observed following permanent lesions</w:t>
      </w:r>
      <w:r w:rsidR="00242FC4" w:rsidRPr="003A3EEA">
        <w:rPr>
          <w:rFonts w:ascii="Calibri" w:hAnsi="Calibri"/>
        </w:rPr>
        <w:t xml:space="preserve"> </w:t>
      </w:r>
      <w:r w:rsidR="00500255" w:rsidRPr="003A3EEA">
        <w:rPr>
          <w:rFonts w:ascii="Calibri" w:hAnsi="Calibri"/>
        </w:rPr>
        <w:t>or i</w:t>
      </w:r>
      <w:r w:rsidRPr="003A3EEA">
        <w:rPr>
          <w:rFonts w:ascii="Calibri" w:hAnsi="Calibri"/>
        </w:rPr>
        <w:t xml:space="preserve">n genetically </w:t>
      </w:r>
      <w:r w:rsidR="00242FC4" w:rsidRPr="003A3EEA">
        <w:rPr>
          <w:rFonts w:ascii="Calibri" w:hAnsi="Calibri"/>
        </w:rPr>
        <w:t>engineered mice</w:t>
      </w:r>
      <w:r w:rsidR="00500255" w:rsidRPr="003A3EEA">
        <w:rPr>
          <w:rFonts w:ascii="Calibri" w:hAnsi="Calibri"/>
        </w:rPr>
        <w:t>)</w:t>
      </w:r>
      <w:r w:rsidRPr="003A3EEA">
        <w:rPr>
          <w:rFonts w:ascii="Calibri" w:hAnsi="Calibri"/>
        </w:rPr>
        <w:t xml:space="preserve"> are minimized</w:t>
      </w:r>
      <w:r w:rsidR="00800097" w:rsidRPr="003A3EEA">
        <w:rPr>
          <w:rFonts w:ascii="Calibri" w:hAnsi="Calibri"/>
          <w:vertAlign w:val="superscript"/>
        </w:rPr>
        <w:t>2</w:t>
      </w:r>
      <w:r w:rsidR="00CA758E" w:rsidRPr="003A3EEA">
        <w:rPr>
          <w:rFonts w:ascii="Calibri" w:hAnsi="Calibri"/>
          <w:vertAlign w:val="superscript"/>
        </w:rPr>
        <w:t>9</w:t>
      </w:r>
      <w:r w:rsidR="00800097" w:rsidRPr="003A3EEA">
        <w:rPr>
          <w:rFonts w:ascii="Calibri" w:hAnsi="Calibri"/>
          <w:vertAlign w:val="superscript"/>
        </w:rPr>
        <w:t>,</w:t>
      </w:r>
      <w:r w:rsidR="00242FC4" w:rsidRPr="003A3EEA">
        <w:rPr>
          <w:rFonts w:ascii="Calibri" w:hAnsi="Calibri"/>
          <w:vertAlign w:val="superscript"/>
        </w:rPr>
        <w:t xml:space="preserve"> </w:t>
      </w:r>
      <w:r w:rsidR="00CA758E" w:rsidRPr="003A3EEA">
        <w:rPr>
          <w:rFonts w:ascii="Calibri" w:hAnsi="Calibri"/>
          <w:vertAlign w:val="superscript"/>
        </w:rPr>
        <w:t>30</w:t>
      </w:r>
      <w:r w:rsidRPr="003A3EEA">
        <w:rPr>
          <w:rFonts w:ascii="Calibri" w:hAnsi="Calibri"/>
        </w:rPr>
        <w:t>.</w:t>
      </w:r>
      <w:r w:rsidR="0035781A" w:rsidRPr="003A3EEA">
        <w:rPr>
          <w:rFonts w:ascii="Calibri" w:hAnsi="Calibri"/>
        </w:rPr>
        <w:t xml:space="preserve">  </w:t>
      </w:r>
    </w:p>
    <w:p w14:paraId="180BD95B" w14:textId="77777777" w:rsidR="006A1503" w:rsidRPr="003A3EEA" w:rsidRDefault="006A1503" w:rsidP="003A3EEA">
      <w:pPr>
        <w:rPr>
          <w:rFonts w:ascii="Calibri" w:hAnsi="Calibri"/>
        </w:rPr>
      </w:pPr>
    </w:p>
    <w:p w14:paraId="60AAC1CA" w14:textId="40FD6BF7" w:rsidR="006A1503" w:rsidRPr="003A3EEA" w:rsidRDefault="006A1503" w:rsidP="003A3EEA">
      <w:pPr>
        <w:rPr>
          <w:rFonts w:ascii="Calibri" w:hAnsi="Calibri"/>
          <w:b/>
        </w:rPr>
      </w:pPr>
      <w:r w:rsidRPr="003A3EEA">
        <w:rPr>
          <w:rFonts w:ascii="Calibri" w:hAnsi="Calibri"/>
          <w:b/>
        </w:rPr>
        <w:t>Limitations of the Techniques</w:t>
      </w:r>
    </w:p>
    <w:p w14:paraId="1C5E7685" w14:textId="6791F2B6" w:rsidR="006A1503" w:rsidRPr="003A3EEA" w:rsidRDefault="006A1503" w:rsidP="003A3EEA">
      <w:pPr>
        <w:rPr>
          <w:rFonts w:ascii="Calibri" w:hAnsi="Calibri"/>
        </w:rPr>
      </w:pPr>
      <w:r w:rsidRPr="003A3EEA">
        <w:rPr>
          <w:rFonts w:ascii="Calibri" w:hAnsi="Calibri"/>
        </w:rPr>
        <w:t>DREADD is a relatively new method of non-invasively attenuating neuronal activity.  As such experimenters may be inclined to independently verify that neuronal silencing occurs in their preparation.  Verification can be performed using electrophysiological approaches</w:t>
      </w:r>
      <w:r w:rsidR="003E7A38" w:rsidRPr="003A3EEA">
        <w:rPr>
          <w:rFonts w:ascii="Calibri" w:hAnsi="Calibri"/>
        </w:rPr>
        <w:t xml:space="preserve">, but these experiments are time consuming, costly and require specific expertise.  In addition, while chemogenetic techniques are less costly than optogenetics, the approach is more expensive than traditional inactivation with pharmacological agents such as TTX.  Another limitation of the DREADD approach is that </w:t>
      </w:r>
      <w:r w:rsidR="002270E2" w:rsidRPr="003A3EEA">
        <w:rPr>
          <w:rFonts w:ascii="Calibri" w:hAnsi="Calibri"/>
        </w:rPr>
        <w:t>infusion of the viral constructs does</w:t>
      </w:r>
      <w:r w:rsidR="003E7A38" w:rsidRPr="003A3EEA">
        <w:rPr>
          <w:rFonts w:ascii="Calibri" w:hAnsi="Calibri"/>
        </w:rPr>
        <w:t xml:space="preserve"> not result in 100% infection of neurons in the region of interest, nor does inactivation via CNO lead to 100% reduction of neuronal activity.  Lastly, some AAV serotypes can be retrogradely transported which can complicate interpretation of experimental results</w:t>
      </w:r>
      <w:r w:rsidR="00881769" w:rsidRPr="003A3EEA">
        <w:rPr>
          <w:rFonts w:ascii="Calibri" w:hAnsi="Calibri"/>
          <w:vertAlign w:val="superscript"/>
        </w:rPr>
        <w:t>2</w:t>
      </w:r>
      <w:r w:rsidR="003E7A38" w:rsidRPr="003A3EEA">
        <w:rPr>
          <w:rFonts w:ascii="Calibri" w:hAnsi="Calibri"/>
        </w:rPr>
        <w:t>.</w:t>
      </w:r>
    </w:p>
    <w:p w14:paraId="06F59306" w14:textId="77777777" w:rsidR="00272024" w:rsidRPr="003A3EEA" w:rsidRDefault="00272024" w:rsidP="003A3EEA">
      <w:pPr>
        <w:rPr>
          <w:rFonts w:ascii="Calibri" w:hAnsi="Calibri"/>
        </w:rPr>
      </w:pPr>
    </w:p>
    <w:p w14:paraId="1615FA5D" w14:textId="576EC978" w:rsidR="00272024" w:rsidRPr="003A3EEA" w:rsidRDefault="00272024" w:rsidP="003A3EEA">
      <w:pPr>
        <w:rPr>
          <w:rFonts w:ascii="Calibri" w:hAnsi="Calibri"/>
          <w:b/>
        </w:rPr>
      </w:pPr>
      <w:r w:rsidRPr="003A3EEA">
        <w:rPr>
          <w:rFonts w:ascii="Calibri" w:hAnsi="Calibri"/>
          <w:b/>
        </w:rPr>
        <w:t>DISCLOSURES</w:t>
      </w:r>
      <w:r w:rsidR="003A3EEA" w:rsidRPr="003A3EEA">
        <w:rPr>
          <w:rFonts w:ascii="Calibri" w:hAnsi="Calibri"/>
          <w:b/>
        </w:rPr>
        <w:t>:</w:t>
      </w:r>
    </w:p>
    <w:p w14:paraId="64328991" w14:textId="77777777" w:rsidR="00272024" w:rsidRPr="003A3EEA" w:rsidRDefault="00272024" w:rsidP="003A3EEA">
      <w:pPr>
        <w:rPr>
          <w:rFonts w:ascii="Calibri" w:hAnsi="Calibri"/>
        </w:rPr>
      </w:pPr>
      <w:r w:rsidRPr="003A3EEA">
        <w:rPr>
          <w:rFonts w:ascii="Calibri" w:hAnsi="Calibri"/>
        </w:rPr>
        <w:t>The authors declare that they have no competing financial interests.</w:t>
      </w:r>
    </w:p>
    <w:p w14:paraId="7A88ACAC" w14:textId="77777777" w:rsidR="009D44D7" w:rsidRPr="003A3EEA" w:rsidRDefault="009D44D7" w:rsidP="003A3EEA">
      <w:pPr>
        <w:rPr>
          <w:rFonts w:ascii="Calibri" w:hAnsi="Calibri"/>
        </w:rPr>
      </w:pPr>
    </w:p>
    <w:p w14:paraId="458891C5" w14:textId="5B15C198" w:rsidR="009D44D7" w:rsidRPr="003A3EEA" w:rsidRDefault="009D44D7" w:rsidP="003A3EEA">
      <w:pPr>
        <w:rPr>
          <w:rFonts w:ascii="Calibri" w:hAnsi="Calibri"/>
          <w:b/>
        </w:rPr>
      </w:pPr>
      <w:r w:rsidRPr="003A3EEA">
        <w:rPr>
          <w:rFonts w:ascii="Calibri" w:hAnsi="Calibri"/>
          <w:b/>
        </w:rPr>
        <w:t>ACKNOWLEDGEMENTS</w:t>
      </w:r>
      <w:r w:rsidR="003A3EEA" w:rsidRPr="003A3EEA">
        <w:rPr>
          <w:rFonts w:ascii="Calibri" w:hAnsi="Calibri"/>
          <w:b/>
        </w:rPr>
        <w:t>:</w:t>
      </w:r>
    </w:p>
    <w:p w14:paraId="5F0F95DF" w14:textId="24A2CADE" w:rsidR="009D44D7" w:rsidRPr="003A3EEA" w:rsidRDefault="009D44D7" w:rsidP="003A3EEA">
      <w:pPr>
        <w:rPr>
          <w:rFonts w:ascii="Calibri" w:hAnsi="Calibri"/>
        </w:rPr>
      </w:pPr>
      <w:r w:rsidRPr="003A3EEA">
        <w:rPr>
          <w:rFonts w:ascii="Calibri" w:hAnsi="Calibri"/>
        </w:rPr>
        <w:t>We t</w:t>
      </w:r>
      <w:r w:rsidR="00F87740" w:rsidRPr="003A3EEA">
        <w:rPr>
          <w:rFonts w:ascii="Calibri" w:hAnsi="Calibri"/>
        </w:rPr>
        <w:t xml:space="preserve">hank the authors of Robinson </w:t>
      </w:r>
      <w:r w:rsidR="00F87740" w:rsidRPr="003A3EEA">
        <w:rPr>
          <w:rFonts w:ascii="Calibri" w:hAnsi="Calibri"/>
          <w:i/>
        </w:rPr>
        <w:t>et</w:t>
      </w:r>
      <w:r w:rsidRPr="003A3EEA">
        <w:rPr>
          <w:rFonts w:ascii="Calibri" w:hAnsi="Calibri"/>
          <w:i/>
        </w:rPr>
        <w:t xml:space="preserve"> al.</w:t>
      </w:r>
      <w:r w:rsidR="00F87740" w:rsidRPr="003A3EEA">
        <w:rPr>
          <w:rFonts w:ascii="Calibri" w:hAnsi="Calibri"/>
          <w:vertAlign w:val="superscript"/>
        </w:rPr>
        <w:t>1</w:t>
      </w:r>
      <w:r w:rsidR="003850A1" w:rsidRPr="003A3EEA">
        <w:rPr>
          <w:rFonts w:ascii="Calibri" w:hAnsi="Calibri"/>
          <w:vertAlign w:val="superscript"/>
        </w:rPr>
        <w:t>2</w:t>
      </w:r>
      <w:r w:rsidRPr="003A3EEA">
        <w:rPr>
          <w:rFonts w:ascii="Calibri" w:hAnsi="Calibri"/>
        </w:rPr>
        <w:t xml:space="preserve"> for their contributions to the manuscript </w:t>
      </w:r>
      <w:r w:rsidR="00F77DF7" w:rsidRPr="003A3EEA">
        <w:rPr>
          <w:rFonts w:ascii="Calibri" w:hAnsi="Calibri"/>
        </w:rPr>
        <w:t>from which this protocol is partially derived</w:t>
      </w:r>
      <w:r w:rsidRPr="003A3EEA">
        <w:rPr>
          <w:rFonts w:ascii="Calibri" w:hAnsi="Calibri"/>
        </w:rPr>
        <w:t>.</w:t>
      </w:r>
    </w:p>
    <w:p w14:paraId="073EBAF3" w14:textId="77777777" w:rsidR="00DC1BBF" w:rsidRPr="003A3EEA" w:rsidRDefault="00DC1BBF" w:rsidP="003A3EEA">
      <w:pPr>
        <w:rPr>
          <w:rFonts w:ascii="Calibri" w:hAnsi="Calibri"/>
        </w:rPr>
      </w:pPr>
    </w:p>
    <w:p w14:paraId="28CB81DB" w14:textId="6CB0D881" w:rsidR="00595095" w:rsidRPr="003A3EEA" w:rsidRDefault="009D44D7" w:rsidP="003A3EEA">
      <w:pPr>
        <w:rPr>
          <w:rFonts w:asciiTheme="majorHAnsi" w:hAnsiTheme="majorHAnsi" w:cs="Times New Roman"/>
          <w:b/>
        </w:rPr>
      </w:pPr>
      <w:r w:rsidRPr="003A3EEA">
        <w:rPr>
          <w:rFonts w:asciiTheme="majorHAnsi" w:hAnsiTheme="majorHAnsi" w:cs="Times New Roman"/>
          <w:b/>
        </w:rPr>
        <w:t>REFERENCES</w:t>
      </w:r>
      <w:r w:rsidR="003A3EEA" w:rsidRPr="003A3EEA">
        <w:rPr>
          <w:rFonts w:asciiTheme="majorHAnsi" w:hAnsiTheme="majorHAnsi" w:cs="Times New Roman"/>
          <w:b/>
        </w:rPr>
        <w:t>:</w:t>
      </w:r>
    </w:p>
    <w:p w14:paraId="2040BCEE" w14:textId="7C793CB9" w:rsidR="00595095" w:rsidRPr="003A3EEA" w:rsidRDefault="005C5846" w:rsidP="003A3EEA">
      <w:pPr>
        <w:rPr>
          <w:rFonts w:asciiTheme="majorHAnsi" w:hAnsiTheme="majorHAnsi" w:cs="Times New Roman"/>
        </w:rPr>
      </w:pPr>
      <w:r w:rsidRPr="003A3EEA">
        <w:rPr>
          <w:rFonts w:asciiTheme="majorHAnsi" w:hAnsiTheme="majorHAnsi" w:cs="Times New Roman"/>
        </w:rPr>
        <w:t>1.</w:t>
      </w:r>
      <w:r w:rsidR="004D3C57" w:rsidRPr="003A3EEA">
        <w:rPr>
          <w:rFonts w:asciiTheme="majorHAnsi" w:hAnsiTheme="majorHAnsi" w:cs="Times New Roman"/>
        </w:rPr>
        <w:t xml:space="preserve"> </w:t>
      </w:r>
      <w:r w:rsidRPr="003A3EEA">
        <w:rPr>
          <w:rFonts w:asciiTheme="majorHAnsi" w:hAnsiTheme="majorHAnsi" w:cs="Times New Roman"/>
        </w:rPr>
        <w:t>Armbruster</w:t>
      </w:r>
      <w:r w:rsidR="00551CC7" w:rsidRPr="003A3EEA">
        <w:rPr>
          <w:rFonts w:asciiTheme="majorHAnsi" w:hAnsiTheme="majorHAnsi" w:cs="Times New Roman"/>
        </w:rPr>
        <w:t>,</w:t>
      </w:r>
      <w:r w:rsidRPr="003A3EEA">
        <w:rPr>
          <w:rFonts w:asciiTheme="majorHAnsi" w:hAnsiTheme="majorHAnsi" w:cs="Times New Roman"/>
        </w:rPr>
        <w:t xml:space="preserve"> B</w:t>
      </w:r>
      <w:r w:rsidR="00551CC7" w:rsidRPr="003A3EEA">
        <w:rPr>
          <w:rFonts w:asciiTheme="majorHAnsi" w:hAnsiTheme="majorHAnsi" w:cs="Times New Roman"/>
        </w:rPr>
        <w:t>.</w:t>
      </w:r>
      <w:r w:rsidRPr="003A3EEA">
        <w:rPr>
          <w:rFonts w:asciiTheme="majorHAnsi" w:hAnsiTheme="majorHAnsi" w:cs="Times New Roman"/>
        </w:rPr>
        <w:t>N</w:t>
      </w:r>
      <w:r w:rsidR="00551CC7" w:rsidRPr="003A3EEA">
        <w:rPr>
          <w:rFonts w:asciiTheme="majorHAnsi" w:hAnsiTheme="majorHAnsi" w:cs="Times New Roman"/>
        </w:rPr>
        <w:t>.</w:t>
      </w:r>
      <w:r w:rsidRPr="003A3EEA">
        <w:rPr>
          <w:rFonts w:asciiTheme="majorHAnsi" w:hAnsiTheme="majorHAnsi" w:cs="Times New Roman"/>
        </w:rPr>
        <w:t>, Li</w:t>
      </w:r>
      <w:r w:rsidR="00551CC7" w:rsidRPr="003A3EEA">
        <w:rPr>
          <w:rFonts w:asciiTheme="majorHAnsi" w:hAnsiTheme="majorHAnsi" w:cs="Times New Roman"/>
        </w:rPr>
        <w:t>, X.,</w:t>
      </w:r>
      <w:r w:rsidRPr="003A3EEA">
        <w:rPr>
          <w:rFonts w:asciiTheme="majorHAnsi" w:hAnsiTheme="majorHAnsi" w:cs="Times New Roman"/>
        </w:rPr>
        <w:t xml:space="preserve"> Pausch</w:t>
      </w:r>
      <w:r w:rsidR="00551CC7" w:rsidRPr="003A3EEA">
        <w:rPr>
          <w:rFonts w:asciiTheme="majorHAnsi" w:hAnsiTheme="majorHAnsi" w:cs="Times New Roman"/>
        </w:rPr>
        <w:t>,</w:t>
      </w:r>
      <w:r w:rsidRPr="003A3EEA">
        <w:rPr>
          <w:rFonts w:asciiTheme="majorHAnsi" w:hAnsiTheme="majorHAnsi" w:cs="Times New Roman"/>
        </w:rPr>
        <w:t xml:space="preserve"> M</w:t>
      </w:r>
      <w:r w:rsidR="00551CC7" w:rsidRPr="003A3EEA">
        <w:rPr>
          <w:rFonts w:asciiTheme="majorHAnsi" w:hAnsiTheme="majorHAnsi" w:cs="Times New Roman"/>
        </w:rPr>
        <w:t>.</w:t>
      </w:r>
      <w:r w:rsidRPr="003A3EEA">
        <w:rPr>
          <w:rFonts w:asciiTheme="majorHAnsi" w:hAnsiTheme="majorHAnsi" w:cs="Times New Roman"/>
        </w:rPr>
        <w:t>H</w:t>
      </w:r>
      <w:r w:rsidR="00551CC7" w:rsidRPr="003A3EEA">
        <w:rPr>
          <w:rFonts w:asciiTheme="majorHAnsi" w:hAnsiTheme="majorHAnsi" w:cs="Times New Roman"/>
        </w:rPr>
        <w:t>.</w:t>
      </w:r>
      <w:r w:rsidRPr="003A3EEA">
        <w:rPr>
          <w:rFonts w:asciiTheme="majorHAnsi" w:hAnsiTheme="majorHAnsi" w:cs="Times New Roman"/>
        </w:rPr>
        <w:t>, Herlitze</w:t>
      </w:r>
      <w:r w:rsidR="00551CC7" w:rsidRPr="003A3EEA">
        <w:rPr>
          <w:rFonts w:asciiTheme="majorHAnsi" w:hAnsiTheme="majorHAnsi" w:cs="Times New Roman"/>
        </w:rPr>
        <w:t>.</w:t>
      </w:r>
      <w:r w:rsidRPr="003A3EEA">
        <w:rPr>
          <w:rFonts w:asciiTheme="majorHAnsi" w:hAnsiTheme="majorHAnsi" w:cs="Times New Roman"/>
        </w:rPr>
        <w:t xml:space="preserve"> S</w:t>
      </w:r>
      <w:r w:rsidR="00551CC7" w:rsidRPr="003A3EEA">
        <w:rPr>
          <w:rFonts w:asciiTheme="majorHAnsi" w:hAnsiTheme="majorHAnsi" w:cs="Times New Roman"/>
        </w:rPr>
        <w:t>.</w:t>
      </w:r>
      <w:r w:rsidRPr="003A3EEA">
        <w:rPr>
          <w:rFonts w:asciiTheme="majorHAnsi" w:hAnsiTheme="majorHAnsi" w:cs="Times New Roman"/>
        </w:rPr>
        <w:t xml:space="preserve"> &amp; Roth</w:t>
      </w:r>
      <w:r w:rsidR="00551CC7" w:rsidRPr="003A3EEA">
        <w:rPr>
          <w:rFonts w:asciiTheme="majorHAnsi" w:hAnsiTheme="majorHAnsi" w:cs="Times New Roman"/>
        </w:rPr>
        <w:t>,</w:t>
      </w:r>
      <w:r w:rsidRPr="003A3EEA">
        <w:rPr>
          <w:rFonts w:asciiTheme="majorHAnsi" w:hAnsiTheme="majorHAnsi" w:cs="Times New Roman"/>
        </w:rPr>
        <w:t xml:space="preserve"> B</w:t>
      </w:r>
      <w:r w:rsidR="00551CC7" w:rsidRPr="003A3EEA">
        <w:rPr>
          <w:rFonts w:asciiTheme="majorHAnsi" w:hAnsiTheme="majorHAnsi" w:cs="Times New Roman"/>
        </w:rPr>
        <w:t>.</w:t>
      </w:r>
      <w:r w:rsidRPr="003A3EEA">
        <w:rPr>
          <w:rFonts w:asciiTheme="majorHAnsi" w:hAnsiTheme="majorHAnsi" w:cs="Times New Roman"/>
        </w:rPr>
        <w:t>L</w:t>
      </w:r>
      <w:r w:rsidR="003546F3" w:rsidRPr="003A3EEA">
        <w:rPr>
          <w:rFonts w:asciiTheme="majorHAnsi" w:hAnsiTheme="majorHAnsi" w:cs="Times New Roman"/>
        </w:rPr>
        <w:t>.</w:t>
      </w:r>
      <w:r w:rsidR="004D3C57" w:rsidRPr="003A3EEA">
        <w:rPr>
          <w:rFonts w:asciiTheme="majorHAnsi" w:hAnsiTheme="majorHAnsi" w:cs="Times New Roman"/>
        </w:rPr>
        <w:t xml:space="preserve"> </w:t>
      </w:r>
      <w:r w:rsidR="003546F3" w:rsidRPr="003A3EEA">
        <w:rPr>
          <w:rFonts w:asciiTheme="majorHAnsi" w:hAnsiTheme="majorHAnsi" w:cs="Times New Roman"/>
        </w:rPr>
        <w:t xml:space="preserve">Evolving the lock to fit the key to create a family of </w:t>
      </w:r>
      <w:r w:rsidR="00B5789D" w:rsidRPr="003A3EEA">
        <w:rPr>
          <w:rFonts w:asciiTheme="majorHAnsi" w:hAnsiTheme="majorHAnsi" w:cs="Times New Roman"/>
        </w:rPr>
        <w:t>G-protein coupled</w:t>
      </w:r>
      <w:r w:rsidR="003546F3" w:rsidRPr="003A3EEA">
        <w:rPr>
          <w:rFonts w:asciiTheme="majorHAnsi" w:hAnsiTheme="majorHAnsi" w:cs="Times New Roman"/>
        </w:rPr>
        <w:t xml:space="preserve"> receptors potently activated by an inert ligand. </w:t>
      </w:r>
      <w:r w:rsidR="003546F3" w:rsidRPr="003A3EEA">
        <w:rPr>
          <w:rFonts w:asciiTheme="majorHAnsi" w:hAnsiTheme="majorHAnsi" w:cs="Times New Roman"/>
          <w:i/>
        </w:rPr>
        <w:t>Proc</w:t>
      </w:r>
      <w:r w:rsidR="006F67F4" w:rsidRPr="003A3EEA">
        <w:rPr>
          <w:rFonts w:asciiTheme="majorHAnsi" w:hAnsiTheme="majorHAnsi" w:cs="Times New Roman"/>
          <w:i/>
        </w:rPr>
        <w:t>.</w:t>
      </w:r>
      <w:r w:rsidR="003546F3" w:rsidRPr="003A3EEA">
        <w:rPr>
          <w:rFonts w:asciiTheme="majorHAnsi" w:hAnsiTheme="majorHAnsi" w:cs="Times New Roman"/>
          <w:i/>
        </w:rPr>
        <w:t xml:space="preserve"> Natl</w:t>
      </w:r>
      <w:r w:rsidR="006F67F4" w:rsidRPr="003A3EEA">
        <w:rPr>
          <w:rFonts w:asciiTheme="majorHAnsi" w:hAnsiTheme="majorHAnsi" w:cs="Times New Roman"/>
          <w:i/>
        </w:rPr>
        <w:t>.</w:t>
      </w:r>
      <w:r w:rsidR="003546F3" w:rsidRPr="003A3EEA">
        <w:rPr>
          <w:rFonts w:asciiTheme="majorHAnsi" w:hAnsiTheme="majorHAnsi" w:cs="Times New Roman"/>
          <w:i/>
        </w:rPr>
        <w:t xml:space="preserve"> Acad</w:t>
      </w:r>
      <w:r w:rsidR="006F67F4" w:rsidRPr="003A3EEA">
        <w:rPr>
          <w:rFonts w:asciiTheme="majorHAnsi" w:hAnsiTheme="majorHAnsi" w:cs="Times New Roman"/>
          <w:i/>
        </w:rPr>
        <w:t>.</w:t>
      </w:r>
      <w:r w:rsidR="003546F3" w:rsidRPr="003A3EEA">
        <w:rPr>
          <w:rFonts w:asciiTheme="majorHAnsi" w:hAnsiTheme="majorHAnsi" w:cs="Times New Roman"/>
          <w:i/>
        </w:rPr>
        <w:t xml:space="preserve"> Sci</w:t>
      </w:r>
      <w:r w:rsidR="006F67F4" w:rsidRPr="003A3EEA">
        <w:rPr>
          <w:rFonts w:asciiTheme="majorHAnsi" w:hAnsiTheme="majorHAnsi" w:cs="Times New Roman"/>
          <w:i/>
        </w:rPr>
        <w:t>.</w:t>
      </w:r>
      <w:r w:rsidR="003546F3" w:rsidRPr="003A3EEA">
        <w:rPr>
          <w:rFonts w:asciiTheme="majorHAnsi" w:hAnsiTheme="majorHAnsi" w:cs="Times New Roman"/>
          <w:i/>
        </w:rPr>
        <w:t xml:space="preserve"> USA</w:t>
      </w:r>
      <w:r w:rsidR="003546F3" w:rsidRPr="003A3EEA">
        <w:rPr>
          <w:rFonts w:asciiTheme="majorHAnsi" w:hAnsiTheme="majorHAnsi" w:cs="Times New Roman"/>
        </w:rPr>
        <w:t xml:space="preserve">. </w:t>
      </w:r>
      <w:r w:rsidR="003546F3" w:rsidRPr="003A3EEA">
        <w:rPr>
          <w:rFonts w:asciiTheme="majorHAnsi" w:hAnsiTheme="majorHAnsi" w:cs="Times New Roman"/>
          <w:b/>
        </w:rPr>
        <w:t xml:space="preserve">104 </w:t>
      </w:r>
      <w:r w:rsidR="003546F3" w:rsidRPr="003A3EEA">
        <w:rPr>
          <w:rFonts w:asciiTheme="majorHAnsi" w:hAnsiTheme="majorHAnsi" w:cs="Times New Roman"/>
        </w:rPr>
        <w:t>(12), 5163-5168</w:t>
      </w:r>
      <w:r w:rsidR="00095874" w:rsidRPr="003A3EEA">
        <w:rPr>
          <w:rFonts w:asciiTheme="majorHAnsi" w:hAnsiTheme="majorHAnsi" w:cs="Times New Roman"/>
        </w:rPr>
        <w:t>,</w:t>
      </w:r>
      <w:r w:rsidR="003546F3" w:rsidRPr="003A3EEA">
        <w:rPr>
          <w:rFonts w:asciiTheme="majorHAnsi" w:hAnsiTheme="majorHAnsi" w:cs="Times New Roman"/>
        </w:rPr>
        <w:t xml:space="preserve"> </w:t>
      </w:r>
      <w:r w:rsidR="00C04802" w:rsidRPr="003A3EEA">
        <w:rPr>
          <w:rFonts w:asciiTheme="majorHAnsi" w:hAnsiTheme="majorHAnsi" w:cs="Arial"/>
        </w:rPr>
        <w:t>d</w:t>
      </w:r>
      <w:r w:rsidR="00095874" w:rsidRPr="003A3EEA">
        <w:rPr>
          <w:rFonts w:asciiTheme="majorHAnsi" w:hAnsiTheme="majorHAnsi" w:cs="Arial"/>
        </w:rPr>
        <w:t>oi:</w:t>
      </w:r>
      <w:r w:rsidR="000B11C3" w:rsidRPr="003A3EEA">
        <w:rPr>
          <w:rFonts w:asciiTheme="majorHAnsi" w:hAnsiTheme="majorHAnsi" w:cs="Arial"/>
        </w:rPr>
        <w:t xml:space="preserve"> 10.1073/pnas.0700293104</w:t>
      </w:r>
      <w:r w:rsidR="00095874" w:rsidRPr="003A3EEA">
        <w:rPr>
          <w:rFonts w:asciiTheme="majorHAnsi" w:hAnsiTheme="majorHAnsi" w:cs="Arial"/>
        </w:rPr>
        <w:t xml:space="preserve"> </w:t>
      </w:r>
      <w:r w:rsidR="00095874" w:rsidRPr="003A3EEA">
        <w:rPr>
          <w:rFonts w:asciiTheme="majorHAnsi" w:hAnsiTheme="majorHAnsi" w:cs="Times New Roman"/>
        </w:rPr>
        <w:t>(2007).</w:t>
      </w:r>
    </w:p>
    <w:p w14:paraId="3B6DC2EB" w14:textId="521B864F" w:rsidR="00806B05" w:rsidRPr="003A3EEA" w:rsidRDefault="00806B05" w:rsidP="003A3EEA">
      <w:pPr>
        <w:rPr>
          <w:rFonts w:asciiTheme="majorHAnsi" w:hAnsiTheme="majorHAnsi" w:cs="Times New Roman"/>
        </w:rPr>
      </w:pPr>
      <w:r w:rsidRPr="003A3EEA">
        <w:rPr>
          <w:rFonts w:asciiTheme="majorHAnsi" w:hAnsiTheme="majorHAnsi" w:cs="Times New Roman"/>
        </w:rPr>
        <w:t xml:space="preserve">2. Urban, D.J. &amp; Roth, B.L. DREADDs (Designer Receptors Exclusively Activated by Designer Drugs): Chemogenetic tools with therapeutic utility. </w:t>
      </w:r>
      <w:r w:rsidRPr="003A3EEA">
        <w:rPr>
          <w:rFonts w:asciiTheme="majorHAnsi" w:hAnsiTheme="majorHAnsi" w:cs="Times New Roman"/>
          <w:i/>
        </w:rPr>
        <w:t>Annu. Rev. Pharmacol.Toxicol</w:t>
      </w:r>
      <w:r w:rsidRPr="003A3EEA">
        <w:rPr>
          <w:rFonts w:asciiTheme="majorHAnsi" w:hAnsiTheme="majorHAnsi" w:cs="Times New Roman"/>
        </w:rPr>
        <w:t xml:space="preserve">. In press, </w:t>
      </w:r>
      <w:r w:rsidR="00C04802" w:rsidRPr="003A3EEA">
        <w:rPr>
          <w:rFonts w:asciiTheme="majorHAnsi" w:hAnsiTheme="majorHAnsi" w:cs="Times New Roman"/>
        </w:rPr>
        <w:t>d</w:t>
      </w:r>
      <w:r w:rsidR="00095874" w:rsidRPr="003A3EEA">
        <w:rPr>
          <w:rFonts w:asciiTheme="majorHAnsi" w:hAnsiTheme="majorHAnsi" w:cs="Times New Roman"/>
        </w:rPr>
        <w:t>oi:</w:t>
      </w:r>
      <w:r w:rsidRPr="003A3EEA">
        <w:rPr>
          <w:rFonts w:asciiTheme="majorHAnsi" w:hAnsiTheme="majorHAnsi" w:cs="Times New Roman"/>
        </w:rPr>
        <w:t xml:space="preserve"> 10.1146/annurev-pharmtox-010814-124803</w:t>
      </w:r>
      <w:r w:rsidR="00095874" w:rsidRPr="003A3EEA">
        <w:rPr>
          <w:rFonts w:asciiTheme="majorHAnsi" w:hAnsiTheme="majorHAnsi" w:cs="Times New Roman"/>
        </w:rPr>
        <w:t xml:space="preserve"> (2015).  </w:t>
      </w:r>
    </w:p>
    <w:p w14:paraId="3B8AE392" w14:textId="47EFE10D" w:rsidR="00595095" w:rsidRPr="003A3EEA" w:rsidRDefault="00806B05" w:rsidP="003A3EEA">
      <w:pPr>
        <w:rPr>
          <w:rFonts w:asciiTheme="majorHAnsi" w:hAnsiTheme="majorHAnsi" w:cs="Times New Roman"/>
        </w:rPr>
      </w:pPr>
      <w:r w:rsidRPr="003A3EEA">
        <w:rPr>
          <w:rFonts w:asciiTheme="majorHAnsi" w:hAnsiTheme="majorHAnsi" w:cs="Times New Roman"/>
        </w:rPr>
        <w:t>3</w:t>
      </w:r>
      <w:r w:rsidR="00595095" w:rsidRPr="003A3EEA">
        <w:rPr>
          <w:rFonts w:asciiTheme="majorHAnsi" w:hAnsiTheme="majorHAnsi" w:cs="Times New Roman"/>
        </w:rPr>
        <w:t>.</w:t>
      </w:r>
      <w:r w:rsidR="004D3C57" w:rsidRPr="003A3EEA">
        <w:rPr>
          <w:rFonts w:asciiTheme="majorHAnsi" w:hAnsiTheme="majorHAnsi" w:cs="Times New Roman"/>
        </w:rPr>
        <w:t xml:space="preserve"> </w:t>
      </w:r>
      <w:r w:rsidR="008E64A2" w:rsidRPr="003A3EEA">
        <w:rPr>
          <w:rFonts w:asciiTheme="majorHAnsi" w:hAnsiTheme="majorHAnsi" w:cs="Times New Roman"/>
        </w:rPr>
        <w:t>Weiner</w:t>
      </w:r>
      <w:r w:rsidR="00551CC7" w:rsidRPr="003A3EEA">
        <w:rPr>
          <w:rFonts w:asciiTheme="majorHAnsi" w:hAnsiTheme="majorHAnsi" w:cs="Times New Roman"/>
        </w:rPr>
        <w:t>,</w:t>
      </w:r>
      <w:r w:rsidR="008E64A2" w:rsidRPr="003A3EEA">
        <w:rPr>
          <w:rFonts w:asciiTheme="majorHAnsi" w:hAnsiTheme="majorHAnsi" w:cs="Times New Roman"/>
        </w:rPr>
        <w:t xml:space="preserve"> D</w:t>
      </w:r>
      <w:r w:rsidR="00551CC7" w:rsidRPr="003A3EEA">
        <w:rPr>
          <w:rFonts w:asciiTheme="majorHAnsi" w:hAnsiTheme="majorHAnsi" w:cs="Times New Roman"/>
        </w:rPr>
        <w:t>.M.</w:t>
      </w:r>
      <w:r w:rsidR="00715171" w:rsidRPr="003A3EEA">
        <w:rPr>
          <w:rFonts w:asciiTheme="majorHAnsi" w:hAnsiTheme="majorHAnsi" w:cs="Times New Roman"/>
        </w:rPr>
        <w:t>,</w:t>
      </w:r>
      <w:r w:rsidR="00551CC7" w:rsidRPr="003A3EEA">
        <w:rPr>
          <w:rFonts w:asciiTheme="majorHAnsi" w:hAnsiTheme="majorHAnsi" w:cs="Times New Roman"/>
        </w:rPr>
        <w:t xml:space="preserve"> </w:t>
      </w:r>
      <w:r w:rsidR="00551CC7" w:rsidRPr="003A3EEA">
        <w:rPr>
          <w:rFonts w:asciiTheme="majorHAnsi" w:hAnsiTheme="majorHAnsi" w:cs="Times New Roman"/>
          <w:i/>
        </w:rPr>
        <w:t>et al.</w:t>
      </w:r>
      <w:r w:rsidR="00715171" w:rsidRPr="003A3EEA">
        <w:rPr>
          <w:rFonts w:asciiTheme="majorHAnsi" w:hAnsiTheme="majorHAnsi" w:cs="Times New Roman"/>
          <w:i/>
        </w:rPr>
        <w:t>,</w:t>
      </w:r>
      <w:r w:rsidR="004D3C57" w:rsidRPr="003A3EEA">
        <w:rPr>
          <w:rFonts w:asciiTheme="majorHAnsi" w:hAnsiTheme="majorHAnsi" w:cs="Times New Roman"/>
        </w:rPr>
        <w:t xml:space="preserve"> </w:t>
      </w:r>
      <w:r w:rsidR="008E64A2" w:rsidRPr="003A3EEA">
        <w:rPr>
          <w:rFonts w:asciiTheme="majorHAnsi" w:hAnsiTheme="majorHAnsi" w:cs="Times New Roman"/>
        </w:rPr>
        <w:t xml:space="preserve">The role of M1 muscarinic receptor agonism of N-desmethylclozapine in the unique clinical effects of clozapine. </w:t>
      </w:r>
      <w:r w:rsidR="006F67F4" w:rsidRPr="003A3EEA">
        <w:rPr>
          <w:rFonts w:asciiTheme="majorHAnsi" w:hAnsiTheme="majorHAnsi" w:cs="Times New Roman"/>
          <w:i/>
        </w:rPr>
        <w:t>Psychopharm.</w:t>
      </w:r>
      <w:r w:rsidR="008E64A2" w:rsidRPr="003A3EEA">
        <w:rPr>
          <w:rFonts w:asciiTheme="majorHAnsi" w:hAnsiTheme="majorHAnsi" w:cs="Times New Roman"/>
          <w:i/>
        </w:rPr>
        <w:t xml:space="preserve"> (Berl)</w:t>
      </w:r>
      <w:r w:rsidR="008E64A2" w:rsidRPr="003A3EEA">
        <w:rPr>
          <w:rFonts w:asciiTheme="majorHAnsi" w:hAnsiTheme="majorHAnsi" w:cs="Times New Roman"/>
        </w:rPr>
        <w:t xml:space="preserve">. </w:t>
      </w:r>
      <w:r w:rsidR="008E64A2" w:rsidRPr="003A3EEA">
        <w:rPr>
          <w:rFonts w:asciiTheme="majorHAnsi" w:hAnsiTheme="majorHAnsi" w:cs="Times New Roman"/>
          <w:b/>
        </w:rPr>
        <w:t>177</w:t>
      </w:r>
      <w:r w:rsidR="008E64A2" w:rsidRPr="003A3EEA">
        <w:rPr>
          <w:rFonts w:asciiTheme="majorHAnsi" w:hAnsiTheme="majorHAnsi" w:cs="Times New Roman"/>
        </w:rPr>
        <w:t xml:space="preserve"> (1-2), 207-216</w:t>
      </w:r>
      <w:r w:rsidR="00095874" w:rsidRPr="003A3EEA">
        <w:rPr>
          <w:rFonts w:asciiTheme="majorHAnsi" w:hAnsiTheme="majorHAnsi" w:cs="Times New Roman"/>
        </w:rPr>
        <w:t>,</w:t>
      </w:r>
      <w:r w:rsidR="008E64A2" w:rsidRPr="003A3EEA">
        <w:rPr>
          <w:rFonts w:asciiTheme="majorHAnsi" w:hAnsiTheme="majorHAnsi" w:cs="Times New Roman"/>
        </w:rPr>
        <w:t xml:space="preserve"> </w:t>
      </w:r>
      <w:r w:rsidR="00095874" w:rsidRPr="003A3EEA">
        <w:rPr>
          <w:rFonts w:asciiTheme="majorHAnsi" w:hAnsiTheme="majorHAnsi" w:cs="Helvetica Neue"/>
        </w:rPr>
        <w:t>doi:</w:t>
      </w:r>
      <w:r w:rsidR="000B11C3" w:rsidRPr="003A3EEA">
        <w:rPr>
          <w:rFonts w:asciiTheme="majorHAnsi" w:hAnsiTheme="majorHAnsi" w:cs="Helvetica Neue"/>
        </w:rPr>
        <w:t> 10.1007/s00213-004-1940-5</w:t>
      </w:r>
      <w:r w:rsidR="00095874" w:rsidRPr="003A3EEA">
        <w:rPr>
          <w:rFonts w:asciiTheme="majorHAnsi" w:hAnsiTheme="majorHAnsi" w:cs="Helvetica Neue"/>
        </w:rPr>
        <w:t xml:space="preserve"> </w:t>
      </w:r>
      <w:r w:rsidR="00095874" w:rsidRPr="003A3EEA">
        <w:rPr>
          <w:rFonts w:asciiTheme="majorHAnsi" w:hAnsiTheme="majorHAnsi" w:cs="Times New Roman"/>
        </w:rPr>
        <w:t>(2004).</w:t>
      </w:r>
    </w:p>
    <w:p w14:paraId="3C119638" w14:textId="562626A3" w:rsidR="00A95871" w:rsidRPr="003A3EEA" w:rsidRDefault="00806B05" w:rsidP="003A3EEA">
      <w:pPr>
        <w:rPr>
          <w:rFonts w:asciiTheme="majorHAnsi" w:hAnsiTheme="majorHAnsi" w:cs="Times New Roman"/>
        </w:rPr>
      </w:pPr>
      <w:r w:rsidRPr="003A3EEA">
        <w:rPr>
          <w:rFonts w:asciiTheme="majorHAnsi" w:hAnsiTheme="majorHAnsi" w:cs="Times New Roman"/>
        </w:rPr>
        <w:t>4</w:t>
      </w:r>
      <w:r w:rsidR="0026249A" w:rsidRPr="003A3EEA">
        <w:rPr>
          <w:rFonts w:asciiTheme="majorHAnsi" w:hAnsiTheme="majorHAnsi" w:cs="Times New Roman"/>
        </w:rPr>
        <w:t>.</w:t>
      </w:r>
      <w:r w:rsidR="004D3C57" w:rsidRPr="003A3EEA">
        <w:rPr>
          <w:rFonts w:asciiTheme="majorHAnsi" w:hAnsiTheme="majorHAnsi" w:cs="Times New Roman"/>
        </w:rPr>
        <w:t xml:space="preserve"> </w:t>
      </w:r>
      <w:r w:rsidR="0026249A" w:rsidRPr="003A3EEA">
        <w:rPr>
          <w:rFonts w:asciiTheme="majorHAnsi" w:hAnsiTheme="majorHAnsi" w:cs="Times New Roman"/>
        </w:rPr>
        <w:t>Cohen</w:t>
      </w:r>
      <w:r w:rsidR="00551CC7" w:rsidRPr="003A3EEA">
        <w:rPr>
          <w:rFonts w:asciiTheme="majorHAnsi" w:hAnsiTheme="majorHAnsi" w:cs="Times New Roman"/>
        </w:rPr>
        <w:t>,</w:t>
      </w:r>
      <w:r w:rsidR="0026249A" w:rsidRPr="003A3EEA">
        <w:rPr>
          <w:rFonts w:asciiTheme="majorHAnsi" w:hAnsiTheme="majorHAnsi" w:cs="Times New Roman"/>
        </w:rPr>
        <w:t xml:space="preserve"> N</w:t>
      </w:r>
      <w:r w:rsidR="00551CC7" w:rsidRPr="003A3EEA">
        <w:rPr>
          <w:rFonts w:asciiTheme="majorHAnsi" w:hAnsiTheme="majorHAnsi" w:cs="Times New Roman"/>
        </w:rPr>
        <w:t>.</w:t>
      </w:r>
      <w:r w:rsidR="0026249A" w:rsidRPr="003A3EEA">
        <w:rPr>
          <w:rFonts w:asciiTheme="majorHAnsi" w:hAnsiTheme="majorHAnsi" w:cs="Times New Roman"/>
        </w:rPr>
        <w:t>J</w:t>
      </w:r>
      <w:r w:rsidR="00551CC7" w:rsidRPr="003A3EEA">
        <w:rPr>
          <w:rFonts w:asciiTheme="majorHAnsi" w:hAnsiTheme="majorHAnsi" w:cs="Times New Roman"/>
        </w:rPr>
        <w:t>.</w:t>
      </w:r>
      <w:r w:rsidR="0026249A" w:rsidRPr="003A3EEA">
        <w:rPr>
          <w:rFonts w:asciiTheme="majorHAnsi" w:hAnsiTheme="majorHAnsi" w:cs="Times New Roman"/>
        </w:rPr>
        <w:t xml:space="preserve"> &amp; Eichenbaum</w:t>
      </w:r>
      <w:r w:rsidR="00551CC7" w:rsidRPr="003A3EEA">
        <w:rPr>
          <w:rFonts w:asciiTheme="majorHAnsi" w:hAnsiTheme="majorHAnsi" w:cs="Times New Roman"/>
        </w:rPr>
        <w:t>,</w:t>
      </w:r>
      <w:r w:rsidR="0026249A" w:rsidRPr="003A3EEA">
        <w:rPr>
          <w:rFonts w:asciiTheme="majorHAnsi" w:hAnsiTheme="majorHAnsi" w:cs="Times New Roman"/>
        </w:rPr>
        <w:t xml:space="preserve"> H.</w:t>
      </w:r>
      <w:r w:rsidR="004D3C57" w:rsidRPr="003A3EEA">
        <w:rPr>
          <w:rFonts w:asciiTheme="majorHAnsi" w:hAnsiTheme="majorHAnsi" w:cs="Times New Roman"/>
        </w:rPr>
        <w:t xml:space="preserve"> </w:t>
      </w:r>
      <w:r w:rsidR="0026249A" w:rsidRPr="003A3EEA">
        <w:rPr>
          <w:rFonts w:asciiTheme="majorHAnsi" w:hAnsiTheme="majorHAnsi" w:cs="Times New Roman"/>
          <w:i/>
        </w:rPr>
        <w:t>Memory, amnesia and the hippocampal system.</w:t>
      </w:r>
      <w:r w:rsidR="004D3C57" w:rsidRPr="003A3EEA">
        <w:rPr>
          <w:rFonts w:asciiTheme="majorHAnsi" w:hAnsiTheme="majorHAnsi" w:cs="Times New Roman"/>
        </w:rPr>
        <w:t xml:space="preserve"> </w:t>
      </w:r>
      <w:r w:rsidR="00BE2A3C" w:rsidRPr="003A3EEA">
        <w:rPr>
          <w:rFonts w:asciiTheme="majorHAnsi" w:hAnsiTheme="majorHAnsi" w:cs="Times New Roman"/>
        </w:rPr>
        <w:t xml:space="preserve">MIT Press, </w:t>
      </w:r>
      <w:r w:rsidR="0026249A" w:rsidRPr="003A3EEA">
        <w:rPr>
          <w:rFonts w:asciiTheme="majorHAnsi" w:hAnsiTheme="majorHAnsi" w:cs="Times New Roman"/>
        </w:rPr>
        <w:t>Cambridge, MA: MIT</w:t>
      </w:r>
      <w:r w:rsidR="00BE2A3C" w:rsidRPr="003A3EEA">
        <w:rPr>
          <w:rFonts w:asciiTheme="majorHAnsi" w:hAnsiTheme="majorHAnsi" w:cs="Times New Roman"/>
        </w:rPr>
        <w:t xml:space="preserve"> (1993)</w:t>
      </w:r>
      <w:r w:rsidR="00AB45D0" w:rsidRPr="003A3EEA">
        <w:rPr>
          <w:rFonts w:asciiTheme="majorHAnsi" w:hAnsiTheme="majorHAnsi" w:cs="Times New Roman"/>
        </w:rPr>
        <w:t>.</w:t>
      </w:r>
      <w:bookmarkStart w:id="0" w:name="_GoBack"/>
      <w:bookmarkEnd w:id="0"/>
    </w:p>
    <w:p w14:paraId="355C4572" w14:textId="2B399447" w:rsidR="00831A2D" w:rsidRPr="003A3EEA" w:rsidRDefault="00806B05" w:rsidP="003A3EEA">
      <w:pPr>
        <w:rPr>
          <w:rFonts w:asciiTheme="majorHAnsi" w:hAnsiTheme="majorHAnsi" w:cs="Times New Roman"/>
        </w:rPr>
      </w:pPr>
      <w:r w:rsidRPr="003A3EEA">
        <w:rPr>
          <w:rFonts w:asciiTheme="majorHAnsi" w:hAnsiTheme="majorHAnsi" w:cs="Times New Roman"/>
        </w:rPr>
        <w:t>5</w:t>
      </w:r>
      <w:r w:rsidR="00A95871" w:rsidRPr="003A3EEA">
        <w:rPr>
          <w:rFonts w:asciiTheme="majorHAnsi" w:hAnsiTheme="majorHAnsi" w:cs="Times New Roman"/>
        </w:rPr>
        <w:t>.</w:t>
      </w:r>
      <w:r w:rsidR="004D3C57" w:rsidRPr="003A3EEA">
        <w:rPr>
          <w:rFonts w:asciiTheme="majorHAnsi" w:hAnsiTheme="majorHAnsi" w:cs="Times New Roman"/>
        </w:rPr>
        <w:t xml:space="preserve"> </w:t>
      </w:r>
      <w:r w:rsidR="00AB45D0" w:rsidRPr="003A3EEA">
        <w:rPr>
          <w:rFonts w:asciiTheme="majorHAnsi" w:hAnsiTheme="majorHAnsi" w:cs="Times New Roman"/>
        </w:rPr>
        <w:t>van Strien</w:t>
      </w:r>
      <w:r w:rsidR="00551CC7" w:rsidRPr="003A3EEA">
        <w:rPr>
          <w:rFonts w:asciiTheme="majorHAnsi" w:hAnsiTheme="majorHAnsi" w:cs="Times New Roman"/>
        </w:rPr>
        <w:t>,</w:t>
      </w:r>
      <w:r w:rsidR="00AB45D0" w:rsidRPr="003A3EEA">
        <w:rPr>
          <w:rFonts w:asciiTheme="majorHAnsi" w:hAnsiTheme="majorHAnsi" w:cs="Times New Roman"/>
        </w:rPr>
        <w:t xml:space="preserve"> N</w:t>
      </w:r>
      <w:r w:rsidR="00551CC7" w:rsidRPr="003A3EEA">
        <w:rPr>
          <w:rFonts w:asciiTheme="majorHAnsi" w:hAnsiTheme="majorHAnsi" w:cs="Times New Roman"/>
        </w:rPr>
        <w:t>.</w:t>
      </w:r>
      <w:r w:rsidR="00AB45D0" w:rsidRPr="003A3EEA">
        <w:rPr>
          <w:rFonts w:asciiTheme="majorHAnsi" w:hAnsiTheme="majorHAnsi" w:cs="Times New Roman"/>
        </w:rPr>
        <w:t>M</w:t>
      </w:r>
      <w:r w:rsidR="00551CC7" w:rsidRPr="003A3EEA">
        <w:rPr>
          <w:rFonts w:asciiTheme="majorHAnsi" w:hAnsiTheme="majorHAnsi" w:cs="Times New Roman"/>
        </w:rPr>
        <w:t>.</w:t>
      </w:r>
      <w:r w:rsidR="00AB45D0" w:rsidRPr="003A3EEA">
        <w:rPr>
          <w:rFonts w:asciiTheme="majorHAnsi" w:hAnsiTheme="majorHAnsi" w:cs="Times New Roman"/>
        </w:rPr>
        <w:t>, Cappaert</w:t>
      </w:r>
      <w:r w:rsidR="00551CC7" w:rsidRPr="003A3EEA">
        <w:rPr>
          <w:rFonts w:asciiTheme="majorHAnsi" w:hAnsiTheme="majorHAnsi" w:cs="Times New Roman"/>
        </w:rPr>
        <w:t>,</w:t>
      </w:r>
      <w:r w:rsidR="00AB45D0" w:rsidRPr="003A3EEA">
        <w:rPr>
          <w:rFonts w:asciiTheme="majorHAnsi" w:hAnsiTheme="majorHAnsi" w:cs="Times New Roman"/>
        </w:rPr>
        <w:t xml:space="preserve"> N</w:t>
      </w:r>
      <w:r w:rsidR="00551CC7" w:rsidRPr="003A3EEA">
        <w:rPr>
          <w:rFonts w:asciiTheme="majorHAnsi" w:hAnsiTheme="majorHAnsi" w:cs="Times New Roman"/>
        </w:rPr>
        <w:t>.</w:t>
      </w:r>
      <w:r w:rsidR="00AB45D0" w:rsidRPr="003A3EEA">
        <w:rPr>
          <w:rFonts w:asciiTheme="majorHAnsi" w:hAnsiTheme="majorHAnsi" w:cs="Times New Roman"/>
        </w:rPr>
        <w:t>L</w:t>
      </w:r>
      <w:r w:rsidR="00551CC7" w:rsidRPr="003A3EEA">
        <w:rPr>
          <w:rFonts w:asciiTheme="majorHAnsi" w:hAnsiTheme="majorHAnsi" w:cs="Times New Roman"/>
        </w:rPr>
        <w:t>.,</w:t>
      </w:r>
      <w:r w:rsidR="00AB45D0" w:rsidRPr="003A3EEA">
        <w:rPr>
          <w:rFonts w:asciiTheme="majorHAnsi" w:hAnsiTheme="majorHAnsi" w:cs="Times New Roman"/>
        </w:rPr>
        <w:t xml:space="preserve"> &amp; Witter</w:t>
      </w:r>
      <w:r w:rsidR="00551CC7" w:rsidRPr="003A3EEA">
        <w:rPr>
          <w:rFonts w:asciiTheme="majorHAnsi" w:hAnsiTheme="majorHAnsi" w:cs="Times New Roman"/>
        </w:rPr>
        <w:t>,</w:t>
      </w:r>
      <w:r w:rsidR="00AB45D0" w:rsidRPr="003A3EEA">
        <w:rPr>
          <w:rFonts w:asciiTheme="majorHAnsi" w:hAnsiTheme="majorHAnsi" w:cs="Times New Roman"/>
        </w:rPr>
        <w:t xml:space="preserve"> M</w:t>
      </w:r>
      <w:r w:rsidR="00551CC7" w:rsidRPr="003A3EEA">
        <w:rPr>
          <w:rFonts w:asciiTheme="majorHAnsi" w:hAnsiTheme="majorHAnsi" w:cs="Times New Roman"/>
        </w:rPr>
        <w:t>.</w:t>
      </w:r>
      <w:r w:rsidR="00AB45D0" w:rsidRPr="003A3EEA">
        <w:rPr>
          <w:rFonts w:asciiTheme="majorHAnsi" w:hAnsiTheme="majorHAnsi" w:cs="Times New Roman"/>
        </w:rPr>
        <w:t>P. The anatomy of memory: an interactive overview of the parahippocampal-hippocampal network.</w:t>
      </w:r>
      <w:r w:rsidR="004D3C57" w:rsidRPr="003A3EEA">
        <w:rPr>
          <w:rFonts w:asciiTheme="majorHAnsi" w:hAnsiTheme="majorHAnsi" w:cs="Times New Roman"/>
        </w:rPr>
        <w:t xml:space="preserve"> </w:t>
      </w:r>
      <w:r w:rsidR="00AB45D0" w:rsidRPr="003A3EEA">
        <w:rPr>
          <w:rFonts w:asciiTheme="majorHAnsi" w:hAnsiTheme="majorHAnsi" w:cs="Times New Roman"/>
          <w:i/>
        </w:rPr>
        <w:t>Nat. Rev. Neurosci</w:t>
      </w:r>
      <w:r w:rsidR="006F67F4" w:rsidRPr="003A3EEA">
        <w:rPr>
          <w:rFonts w:asciiTheme="majorHAnsi" w:hAnsiTheme="majorHAnsi" w:cs="Times New Roman"/>
          <w:i/>
        </w:rPr>
        <w:t>.</w:t>
      </w:r>
      <w:r w:rsidR="00AB45D0" w:rsidRPr="003A3EEA">
        <w:rPr>
          <w:rFonts w:asciiTheme="majorHAnsi" w:hAnsiTheme="majorHAnsi" w:cs="Times New Roman"/>
        </w:rPr>
        <w:t xml:space="preserve"> </w:t>
      </w:r>
      <w:r w:rsidR="00AB45D0" w:rsidRPr="003A3EEA">
        <w:rPr>
          <w:rFonts w:asciiTheme="majorHAnsi" w:hAnsiTheme="majorHAnsi" w:cs="Times New Roman"/>
          <w:b/>
        </w:rPr>
        <w:t>10</w:t>
      </w:r>
      <w:r w:rsidR="00AB45D0" w:rsidRPr="003A3EEA">
        <w:rPr>
          <w:rFonts w:asciiTheme="majorHAnsi" w:hAnsiTheme="majorHAnsi" w:cs="Times New Roman"/>
        </w:rPr>
        <w:t xml:space="preserve"> (4), 272-282</w:t>
      </w:r>
      <w:r w:rsidR="00095874" w:rsidRPr="003A3EEA">
        <w:rPr>
          <w:rFonts w:asciiTheme="majorHAnsi" w:hAnsiTheme="majorHAnsi" w:cs="Times New Roman"/>
        </w:rPr>
        <w:t>,</w:t>
      </w:r>
      <w:r w:rsidR="00AB45D0" w:rsidRPr="003A3EEA">
        <w:rPr>
          <w:rFonts w:asciiTheme="majorHAnsi" w:hAnsiTheme="majorHAnsi" w:cs="Times New Roman"/>
        </w:rPr>
        <w:t xml:space="preserve"> </w:t>
      </w:r>
      <w:r w:rsidR="00095874" w:rsidRPr="003A3EEA">
        <w:rPr>
          <w:rFonts w:asciiTheme="majorHAnsi" w:hAnsiTheme="majorHAnsi" w:cs="Arial"/>
        </w:rPr>
        <w:t>doi:</w:t>
      </w:r>
      <w:r w:rsidR="000B11C3" w:rsidRPr="003A3EEA">
        <w:rPr>
          <w:rFonts w:asciiTheme="majorHAnsi" w:hAnsiTheme="majorHAnsi" w:cs="Arial"/>
        </w:rPr>
        <w:t xml:space="preserve"> 10.1038/nrn2614</w:t>
      </w:r>
      <w:r w:rsidR="00095874" w:rsidRPr="003A3EEA">
        <w:rPr>
          <w:rFonts w:asciiTheme="majorHAnsi" w:hAnsiTheme="majorHAnsi" w:cs="Arial"/>
        </w:rPr>
        <w:t xml:space="preserve"> </w:t>
      </w:r>
      <w:r w:rsidR="00095874" w:rsidRPr="003A3EEA">
        <w:rPr>
          <w:rFonts w:asciiTheme="majorHAnsi" w:hAnsiTheme="majorHAnsi" w:cs="Times New Roman"/>
        </w:rPr>
        <w:t>(2009).</w:t>
      </w:r>
    </w:p>
    <w:p w14:paraId="3C7C192B" w14:textId="0280FF79" w:rsidR="00831A2D" w:rsidRPr="003A3EEA" w:rsidRDefault="00806B05" w:rsidP="003A3EEA">
      <w:pPr>
        <w:rPr>
          <w:rFonts w:asciiTheme="majorHAnsi" w:hAnsiTheme="majorHAnsi" w:cs="Times New Roman"/>
        </w:rPr>
      </w:pPr>
      <w:r w:rsidRPr="003A3EEA">
        <w:rPr>
          <w:rFonts w:asciiTheme="majorHAnsi" w:hAnsiTheme="majorHAnsi" w:cs="Times New Roman"/>
        </w:rPr>
        <w:lastRenderedPageBreak/>
        <w:t>6</w:t>
      </w:r>
      <w:r w:rsidR="0005488D" w:rsidRPr="003A3EEA">
        <w:rPr>
          <w:rFonts w:asciiTheme="majorHAnsi" w:hAnsiTheme="majorHAnsi" w:cs="Times New Roman"/>
        </w:rPr>
        <w:t>.</w:t>
      </w:r>
      <w:r w:rsidR="004D3C57" w:rsidRPr="003A3EEA">
        <w:rPr>
          <w:rFonts w:asciiTheme="majorHAnsi" w:hAnsiTheme="majorHAnsi" w:cs="Times New Roman"/>
        </w:rPr>
        <w:t xml:space="preserve"> </w:t>
      </w:r>
      <w:r w:rsidR="0005488D" w:rsidRPr="003A3EEA">
        <w:rPr>
          <w:rFonts w:asciiTheme="majorHAnsi" w:hAnsiTheme="majorHAnsi" w:cs="Times New Roman"/>
        </w:rPr>
        <w:t>Agster</w:t>
      </w:r>
      <w:r w:rsidR="00551CC7" w:rsidRPr="003A3EEA">
        <w:rPr>
          <w:rFonts w:asciiTheme="majorHAnsi" w:hAnsiTheme="majorHAnsi" w:cs="Times New Roman"/>
        </w:rPr>
        <w:t>,</w:t>
      </w:r>
      <w:r w:rsidR="0005488D" w:rsidRPr="003A3EEA">
        <w:rPr>
          <w:rFonts w:asciiTheme="majorHAnsi" w:hAnsiTheme="majorHAnsi" w:cs="Times New Roman"/>
        </w:rPr>
        <w:t xml:space="preserve"> K</w:t>
      </w:r>
      <w:r w:rsidR="00551CC7" w:rsidRPr="003A3EEA">
        <w:rPr>
          <w:rFonts w:asciiTheme="majorHAnsi" w:hAnsiTheme="majorHAnsi" w:cs="Times New Roman"/>
        </w:rPr>
        <w:t>.</w:t>
      </w:r>
      <w:r w:rsidR="0005488D" w:rsidRPr="003A3EEA">
        <w:rPr>
          <w:rFonts w:asciiTheme="majorHAnsi" w:hAnsiTheme="majorHAnsi" w:cs="Times New Roman"/>
        </w:rPr>
        <w:t>L</w:t>
      </w:r>
      <w:r w:rsidR="00551CC7" w:rsidRPr="003A3EEA">
        <w:rPr>
          <w:rFonts w:asciiTheme="majorHAnsi" w:hAnsiTheme="majorHAnsi" w:cs="Times New Roman"/>
        </w:rPr>
        <w:t>.,</w:t>
      </w:r>
      <w:r w:rsidR="0005488D" w:rsidRPr="003A3EEA">
        <w:rPr>
          <w:rFonts w:asciiTheme="majorHAnsi" w:hAnsiTheme="majorHAnsi" w:cs="Times New Roman"/>
        </w:rPr>
        <w:t xml:space="preserve"> &amp; Burwell</w:t>
      </w:r>
      <w:r w:rsidR="00551CC7" w:rsidRPr="003A3EEA">
        <w:rPr>
          <w:rFonts w:asciiTheme="majorHAnsi" w:hAnsiTheme="majorHAnsi" w:cs="Times New Roman"/>
        </w:rPr>
        <w:t>,</w:t>
      </w:r>
      <w:r w:rsidR="0005488D" w:rsidRPr="003A3EEA">
        <w:rPr>
          <w:rFonts w:asciiTheme="majorHAnsi" w:hAnsiTheme="majorHAnsi" w:cs="Times New Roman"/>
        </w:rPr>
        <w:t xml:space="preserve"> R</w:t>
      </w:r>
      <w:r w:rsidR="00551CC7" w:rsidRPr="003A3EEA">
        <w:rPr>
          <w:rFonts w:asciiTheme="majorHAnsi" w:hAnsiTheme="majorHAnsi" w:cs="Times New Roman"/>
        </w:rPr>
        <w:t>.</w:t>
      </w:r>
      <w:r w:rsidR="0005488D" w:rsidRPr="003A3EEA">
        <w:rPr>
          <w:rFonts w:asciiTheme="majorHAnsi" w:hAnsiTheme="majorHAnsi" w:cs="Times New Roman"/>
        </w:rPr>
        <w:t>D.</w:t>
      </w:r>
      <w:r w:rsidR="004D3C57" w:rsidRPr="003A3EEA">
        <w:rPr>
          <w:rFonts w:asciiTheme="majorHAnsi" w:hAnsiTheme="majorHAnsi" w:cs="Times New Roman"/>
        </w:rPr>
        <w:t xml:space="preserve"> </w:t>
      </w:r>
      <w:r w:rsidR="0005488D" w:rsidRPr="003A3EEA">
        <w:rPr>
          <w:rFonts w:asciiTheme="majorHAnsi" w:hAnsiTheme="majorHAnsi" w:cs="Times New Roman"/>
        </w:rPr>
        <w:t>Cortical efferents of the perirhinal, pos</w:t>
      </w:r>
      <w:r w:rsidR="0012767D" w:rsidRPr="003A3EEA">
        <w:rPr>
          <w:rFonts w:asciiTheme="majorHAnsi" w:hAnsiTheme="majorHAnsi" w:cs="Times New Roman"/>
        </w:rPr>
        <w:t>trhinal and entorhinal cortices of the rat.</w:t>
      </w:r>
      <w:r w:rsidR="004D3C57" w:rsidRPr="003A3EEA">
        <w:rPr>
          <w:rFonts w:asciiTheme="majorHAnsi" w:hAnsiTheme="majorHAnsi" w:cs="Times New Roman"/>
        </w:rPr>
        <w:t xml:space="preserve"> </w:t>
      </w:r>
      <w:r w:rsidR="0012767D" w:rsidRPr="003A3EEA">
        <w:rPr>
          <w:rFonts w:asciiTheme="majorHAnsi" w:hAnsiTheme="majorHAnsi" w:cs="Times New Roman"/>
          <w:i/>
        </w:rPr>
        <w:t>Hippocampus</w:t>
      </w:r>
      <w:r w:rsidR="0012767D" w:rsidRPr="003A3EEA">
        <w:rPr>
          <w:rFonts w:asciiTheme="majorHAnsi" w:hAnsiTheme="majorHAnsi" w:cs="Times New Roman"/>
        </w:rPr>
        <w:t xml:space="preserve">. </w:t>
      </w:r>
      <w:r w:rsidR="0012767D" w:rsidRPr="003A3EEA">
        <w:rPr>
          <w:rFonts w:asciiTheme="majorHAnsi" w:hAnsiTheme="majorHAnsi" w:cs="Times New Roman"/>
          <w:b/>
        </w:rPr>
        <w:t>19</w:t>
      </w:r>
      <w:r w:rsidR="0012767D" w:rsidRPr="003A3EEA">
        <w:rPr>
          <w:rFonts w:asciiTheme="majorHAnsi" w:hAnsiTheme="majorHAnsi" w:cs="Times New Roman"/>
        </w:rPr>
        <w:t xml:space="preserve"> (12), 1159-1186</w:t>
      </w:r>
      <w:r w:rsidR="00095874" w:rsidRPr="003A3EEA">
        <w:rPr>
          <w:rFonts w:asciiTheme="majorHAnsi" w:hAnsiTheme="majorHAnsi" w:cs="Times New Roman"/>
        </w:rPr>
        <w:t>,</w:t>
      </w:r>
      <w:r w:rsidR="0012767D" w:rsidRPr="003A3EEA">
        <w:rPr>
          <w:rFonts w:asciiTheme="majorHAnsi" w:hAnsiTheme="majorHAnsi" w:cs="Times New Roman"/>
        </w:rPr>
        <w:t xml:space="preserve"> </w:t>
      </w:r>
      <w:r w:rsidR="009B294F" w:rsidRPr="003A3EEA">
        <w:rPr>
          <w:rFonts w:asciiTheme="majorHAnsi" w:hAnsiTheme="majorHAnsi" w:cs="Calibri"/>
        </w:rPr>
        <w:t>d</w:t>
      </w:r>
      <w:r w:rsidR="00095874" w:rsidRPr="003A3EEA">
        <w:rPr>
          <w:rFonts w:asciiTheme="majorHAnsi" w:hAnsiTheme="majorHAnsi" w:cs="Calibri"/>
        </w:rPr>
        <w:t>oi:</w:t>
      </w:r>
      <w:r w:rsidR="000B11C3" w:rsidRPr="003A3EEA">
        <w:rPr>
          <w:rFonts w:asciiTheme="majorHAnsi" w:hAnsiTheme="majorHAnsi" w:cs="Arial"/>
        </w:rPr>
        <w:t> 10.1002/hipo.20578</w:t>
      </w:r>
      <w:r w:rsidR="00095874" w:rsidRPr="003A3EEA">
        <w:rPr>
          <w:rFonts w:asciiTheme="majorHAnsi" w:hAnsiTheme="majorHAnsi" w:cs="Arial"/>
        </w:rPr>
        <w:t xml:space="preserve"> </w:t>
      </w:r>
      <w:r w:rsidR="00095874" w:rsidRPr="003A3EEA">
        <w:rPr>
          <w:rFonts w:asciiTheme="majorHAnsi" w:hAnsiTheme="majorHAnsi" w:cs="Times New Roman"/>
        </w:rPr>
        <w:t>(2009)</w:t>
      </w:r>
      <w:r w:rsidR="000B11C3" w:rsidRPr="003A3EEA">
        <w:rPr>
          <w:rFonts w:asciiTheme="majorHAnsi" w:hAnsiTheme="majorHAnsi" w:cs="Arial"/>
        </w:rPr>
        <w:t>.</w:t>
      </w:r>
    </w:p>
    <w:p w14:paraId="534586C9" w14:textId="55351CD5" w:rsidR="00A95871" w:rsidRPr="003A3EEA" w:rsidRDefault="00806B05" w:rsidP="003A3EEA">
      <w:pPr>
        <w:rPr>
          <w:rFonts w:asciiTheme="majorHAnsi" w:hAnsiTheme="majorHAnsi" w:cs="Times New Roman"/>
        </w:rPr>
      </w:pPr>
      <w:r w:rsidRPr="003A3EEA">
        <w:rPr>
          <w:rFonts w:asciiTheme="majorHAnsi" w:hAnsiTheme="majorHAnsi" w:cs="Times New Roman"/>
        </w:rPr>
        <w:t>7</w:t>
      </w:r>
      <w:r w:rsidR="0005488D" w:rsidRPr="003A3EEA">
        <w:rPr>
          <w:rFonts w:asciiTheme="majorHAnsi" w:hAnsiTheme="majorHAnsi" w:cs="Times New Roman"/>
        </w:rPr>
        <w:t>.</w:t>
      </w:r>
      <w:r w:rsidR="004D3C57" w:rsidRPr="003A3EEA">
        <w:rPr>
          <w:rFonts w:asciiTheme="majorHAnsi" w:hAnsiTheme="majorHAnsi" w:cs="Times New Roman"/>
        </w:rPr>
        <w:t xml:space="preserve"> </w:t>
      </w:r>
      <w:r w:rsidR="0005488D" w:rsidRPr="003A3EEA">
        <w:rPr>
          <w:rFonts w:asciiTheme="majorHAnsi" w:hAnsiTheme="majorHAnsi" w:cs="Times New Roman"/>
        </w:rPr>
        <w:t>Aggleton</w:t>
      </w:r>
      <w:r w:rsidR="00551CC7" w:rsidRPr="003A3EEA">
        <w:rPr>
          <w:rFonts w:asciiTheme="majorHAnsi" w:hAnsiTheme="majorHAnsi" w:cs="Times New Roman"/>
        </w:rPr>
        <w:t>,</w:t>
      </w:r>
      <w:r w:rsidR="0005488D" w:rsidRPr="003A3EEA">
        <w:rPr>
          <w:rFonts w:asciiTheme="majorHAnsi" w:hAnsiTheme="majorHAnsi" w:cs="Times New Roman"/>
        </w:rPr>
        <w:t xml:space="preserve"> J</w:t>
      </w:r>
      <w:r w:rsidR="00551CC7" w:rsidRPr="003A3EEA">
        <w:rPr>
          <w:rFonts w:asciiTheme="majorHAnsi" w:hAnsiTheme="majorHAnsi" w:cs="Times New Roman"/>
        </w:rPr>
        <w:t>.</w:t>
      </w:r>
      <w:r w:rsidR="0005488D" w:rsidRPr="003A3EEA">
        <w:rPr>
          <w:rFonts w:asciiTheme="majorHAnsi" w:hAnsiTheme="majorHAnsi" w:cs="Times New Roman"/>
        </w:rPr>
        <w:t>P.</w:t>
      </w:r>
      <w:r w:rsidR="004D3C57" w:rsidRPr="003A3EEA">
        <w:rPr>
          <w:rFonts w:asciiTheme="majorHAnsi" w:hAnsiTheme="majorHAnsi" w:cs="Times New Roman"/>
        </w:rPr>
        <w:t xml:space="preserve"> </w:t>
      </w:r>
      <w:r w:rsidR="0005488D" w:rsidRPr="003A3EEA">
        <w:rPr>
          <w:rFonts w:asciiTheme="majorHAnsi" w:hAnsiTheme="majorHAnsi" w:cs="Times New Roman"/>
        </w:rPr>
        <w:t>Multiple anatomical systems embedded within the primate medial temporal lobe: implications for hippocampal function.</w:t>
      </w:r>
      <w:r w:rsidR="004D3C57" w:rsidRPr="003A3EEA">
        <w:rPr>
          <w:rFonts w:asciiTheme="majorHAnsi" w:hAnsiTheme="majorHAnsi" w:cs="Times New Roman"/>
        </w:rPr>
        <w:t xml:space="preserve"> </w:t>
      </w:r>
      <w:r w:rsidR="006F67F4" w:rsidRPr="003A3EEA">
        <w:rPr>
          <w:rFonts w:asciiTheme="majorHAnsi" w:hAnsiTheme="majorHAnsi" w:cs="Times New Roman"/>
          <w:i/>
        </w:rPr>
        <w:t>Neurosci.</w:t>
      </w:r>
      <w:r w:rsidR="0005488D" w:rsidRPr="003A3EEA">
        <w:rPr>
          <w:rFonts w:asciiTheme="majorHAnsi" w:hAnsiTheme="majorHAnsi" w:cs="Times New Roman"/>
          <w:i/>
        </w:rPr>
        <w:t xml:space="preserve"> Biobehav. Rev</w:t>
      </w:r>
      <w:r w:rsidR="0005488D" w:rsidRPr="003A3EEA">
        <w:rPr>
          <w:rFonts w:asciiTheme="majorHAnsi" w:hAnsiTheme="majorHAnsi" w:cs="Times New Roman"/>
        </w:rPr>
        <w:t xml:space="preserve">. </w:t>
      </w:r>
      <w:r w:rsidR="0005488D" w:rsidRPr="003A3EEA">
        <w:rPr>
          <w:rFonts w:asciiTheme="majorHAnsi" w:hAnsiTheme="majorHAnsi" w:cs="Times New Roman"/>
          <w:b/>
        </w:rPr>
        <w:t>36</w:t>
      </w:r>
      <w:r w:rsidR="0005488D" w:rsidRPr="003A3EEA">
        <w:rPr>
          <w:rFonts w:asciiTheme="majorHAnsi" w:hAnsiTheme="majorHAnsi" w:cs="Times New Roman"/>
        </w:rPr>
        <w:t>, 1579-1596</w:t>
      </w:r>
      <w:r w:rsidR="00095874" w:rsidRPr="003A3EEA">
        <w:rPr>
          <w:rFonts w:asciiTheme="majorHAnsi" w:hAnsiTheme="majorHAnsi" w:cs="Times New Roman"/>
        </w:rPr>
        <w:t>,</w:t>
      </w:r>
      <w:r w:rsidR="0005488D" w:rsidRPr="003A3EEA">
        <w:rPr>
          <w:rFonts w:asciiTheme="majorHAnsi" w:hAnsiTheme="majorHAnsi" w:cs="Times New Roman"/>
        </w:rPr>
        <w:t xml:space="preserve"> </w:t>
      </w:r>
      <w:r w:rsidR="00095874" w:rsidRPr="003A3EEA">
        <w:rPr>
          <w:rFonts w:asciiTheme="majorHAnsi" w:hAnsiTheme="majorHAnsi" w:cs="Arial"/>
        </w:rPr>
        <w:t>doi:</w:t>
      </w:r>
      <w:r w:rsidR="000B11C3" w:rsidRPr="003A3EEA">
        <w:rPr>
          <w:rFonts w:asciiTheme="majorHAnsi" w:hAnsiTheme="majorHAnsi" w:cs="Arial"/>
        </w:rPr>
        <w:t> 10.1016/j.neubiorev.2011.09.005</w:t>
      </w:r>
      <w:r w:rsidR="00095874" w:rsidRPr="003A3EEA">
        <w:rPr>
          <w:rFonts w:asciiTheme="majorHAnsi" w:hAnsiTheme="majorHAnsi" w:cs="Arial"/>
        </w:rPr>
        <w:t xml:space="preserve"> </w:t>
      </w:r>
      <w:r w:rsidR="00095874" w:rsidRPr="003A3EEA">
        <w:rPr>
          <w:rFonts w:asciiTheme="majorHAnsi" w:hAnsiTheme="majorHAnsi" w:cs="Times New Roman"/>
        </w:rPr>
        <w:t>(2012).</w:t>
      </w:r>
    </w:p>
    <w:p w14:paraId="359C97C0" w14:textId="2D688D7E" w:rsidR="00A95871" w:rsidRPr="003A3EEA" w:rsidRDefault="000A6C12" w:rsidP="003A3EEA">
      <w:pPr>
        <w:rPr>
          <w:rFonts w:asciiTheme="majorHAnsi" w:hAnsiTheme="majorHAnsi" w:cs="Times New Roman"/>
        </w:rPr>
      </w:pPr>
      <w:r w:rsidRPr="003A3EEA">
        <w:rPr>
          <w:rFonts w:asciiTheme="majorHAnsi" w:hAnsiTheme="majorHAnsi" w:cs="Times New Roman"/>
        </w:rPr>
        <w:t>8</w:t>
      </w:r>
      <w:r w:rsidR="00A95871" w:rsidRPr="003A3EEA">
        <w:rPr>
          <w:rFonts w:asciiTheme="majorHAnsi" w:hAnsiTheme="majorHAnsi" w:cs="Times New Roman"/>
        </w:rPr>
        <w:t>.</w:t>
      </w:r>
      <w:r w:rsidR="004D3C57" w:rsidRPr="003A3EEA">
        <w:rPr>
          <w:rFonts w:asciiTheme="majorHAnsi" w:hAnsiTheme="majorHAnsi" w:cs="Times New Roman"/>
        </w:rPr>
        <w:t xml:space="preserve"> </w:t>
      </w:r>
      <w:r w:rsidR="0012767D" w:rsidRPr="003A3EEA">
        <w:rPr>
          <w:rFonts w:asciiTheme="majorHAnsi" w:hAnsiTheme="majorHAnsi" w:cs="Times New Roman"/>
        </w:rPr>
        <w:t>Robinson</w:t>
      </w:r>
      <w:r w:rsidR="00551CC7" w:rsidRPr="003A3EEA">
        <w:rPr>
          <w:rFonts w:asciiTheme="majorHAnsi" w:hAnsiTheme="majorHAnsi" w:cs="Times New Roman"/>
        </w:rPr>
        <w:t>, S.,</w:t>
      </w:r>
      <w:r w:rsidR="0012767D" w:rsidRPr="003A3EEA">
        <w:rPr>
          <w:rFonts w:asciiTheme="majorHAnsi" w:hAnsiTheme="majorHAnsi" w:cs="Times New Roman"/>
        </w:rPr>
        <w:t xml:space="preserve"> Poorman</w:t>
      </w:r>
      <w:r w:rsidR="00551CC7" w:rsidRPr="003A3EEA">
        <w:rPr>
          <w:rFonts w:asciiTheme="majorHAnsi" w:hAnsiTheme="majorHAnsi" w:cs="Times New Roman"/>
        </w:rPr>
        <w:t>,</w:t>
      </w:r>
      <w:r w:rsidR="0012767D" w:rsidRPr="003A3EEA">
        <w:rPr>
          <w:rFonts w:asciiTheme="majorHAnsi" w:hAnsiTheme="majorHAnsi" w:cs="Times New Roman"/>
        </w:rPr>
        <w:t xml:space="preserve"> C</w:t>
      </w:r>
      <w:r w:rsidR="00551CC7" w:rsidRPr="003A3EEA">
        <w:rPr>
          <w:rFonts w:asciiTheme="majorHAnsi" w:hAnsiTheme="majorHAnsi" w:cs="Times New Roman"/>
        </w:rPr>
        <w:t>.</w:t>
      </w:r>
      <w:r w:rsidR="0012767D" w:rsidRPr="003A3EEA">
        <w:rPr>
          <w:rFonts w:asciiTheme="majorHAnsi" w:hAnsiTheme="majorHAnsi" w:cs="Times New Roman"/>
        </w:rPr>
        <w:t>E</w:t>
      </w:r>
      <w:r w:rsidR="00551CC7" w:rsidRPr="003A3EEA">
        <w:rPr>
          <w:rFonts w:asciiTheme="majorHAnsi" w:hAnsiTheme="majorHAnsi" w:cs="Times New Roman"/>
        </w:rPr>
        <w:t>.</w:t>
      </w:r>
      <w:r w:rsidR="0012767D" w:rsidRPr="003A3EEA">
        <w:rPr>
          <w:rFonts w:asciiTheme="majorHAnsi" w:hAnsiTheme="majorHAnsi" w:cs="Times New Roman"/>
        </w:rPr>
        <w:t>, Marder</w:t>
      </w:r>
      <w:r w:rsidR="00551CC7" w:rsidRPr="003A3EEA">
        <w:rPr>
          <w:rFonts w:asciiTheme="majorHAnsi" w:hAnsiTheme="majorHAnsi" w:cs="Times New Roman"/>
        </w:rPr>
        <w:t>,</w:t>
      </w:r>
      <w:r w:rsidR="0012767D" w:rsidRPr="003A3EEA">
        <w:rPr>
          <w:rFonts w:asciiTheme="majorHAnsi" w:hAnsiTheme="majorHAnsi" w:cs="Times New Roman"/>
        </w:rPr>
        <w:t xml:space="preserve"> T</w:t>
      </w:r>
      <w:r w:rsidR="00551CC7" w:rsidRPr="003A3EEA">
        <w:rPr>
          <w:rFonts w:asciiTheme="majorHAnsi" w:hAnsiTheme="majorHAnsi" w:cs="Times New Roman"/>
        </w:rPr>
        <w:t>.</w:t>
      </w:r>
      <w:r w:rsidR="0012767D" w:rsidRPr="003A3EEA">
        <w:rPr>
          <w:rFonts w:asciiTheme="majorHAnsi" w:hAnsiTheme="majorHAnsi" w:cs="Times New Roman"/>
        </w:rPr>
        <w:t>J</w:t>
      </w:r>
      <w:r w:rsidR="00551CC7" w:rsidRPr="003A3EEA">
        <w:rPr>
          <w:rFonts w:asciiTheme="majorHAnsi" w:hAnsiTheme="majorHAnsi" w:cs="Times New Roman"/>
        </w:rPr>
        <w:t>.,</w:t>
      </w:r>
      <w:r w:rsidR="0012767D" w:rsidRPr="003A3EEA">
        <w:rPr>
          <w:rFonts w:asciiTheme="majorHAnsi" w:hAnsiTheme="majorHAnsi" w:cs="Times New Roman"/>
        </w:rPr>
        <w:t xml:space="preserve"> &amp; Bucci</w:t>
      </w:r>
      <w:r w:rsidR="00551CC7" w:rsidRPr="003A3EEA">
        <w:rPr>
          <w:rFonts w:asciiTheme="majorHAnsi" w:hAnsiTheme="majorHAnsi" w:cs="Times New Roman"/>
        </w:rPr>
        <w:t>,</w:t>
      </w:r>
      <w:r w:rsidR="0012767D" w:rsidRPr="003A3EEA">
        <w:rPr>
          <w:rFonts w:asciiTheme="majorHAnsi" w:hAnsiTheme="majorHAnsi" w:cs="Times New Roman"/>
        </w:rPr>
        <w:t xml:space="preserve"> D</w:t>
      </w:r>
      <w:r w:rsidR="00551CC7" w:rsidRPr="003A3EEA">
        <w:rPr>
          <w:rFonts w:asciiTheme="majorHAnsi" w:hAnsiTheme="majorHAnsi" w:cs="Times New Roman"/>
        </w:rPr>
        <w:t>.</w:t>
      </w:r>
      <w:r w:rsidR="0012767D" w:rsidRPr="003A3EEA">
        <w:rPr>
          <w:rFonts w:asciiTheme="majorHAnsi" w:hAnsiTheme="majorHAnsi" w:cs="Times New Roman"/>
        </w:rPr>
        <w:t>J.</w:t>
      </w:r>
      <w:r w:rsidR="004D3C57" w:rsidRPr="003A3EEA">
        <w:rPr>
          <w:rFonts w:asciiTheme="majorHAnsi" w:hAnsiTheme="majorHAnsi" w:cs="Times New Roman"/>
        </w:rPr>
        <w:t xml:space="preserve"> </w:t>
      </w:r>
      <w:r w:rsidR="0012767D" w:rsidRPr="003A3EEA">
        <w:rPr>
          <w:rFonts w:asciiTheme="majorHAnsi" w:hAnsiTheme="majorHAnsi" w:cs="Times New Roman"/>
        </w:rPr>
        <w:t xml:space="preserve">Identification of functional circuitry between retrosplenial and postrhinal cortices during fear conditioning. </w:t>
      </w:r>
      <w:r w:rsidR="006F67F4" w:rsidRPr="003A3EEA">
        <w:rPr>
          <w:rFonts w:asciiTheme="majorHAnsi" w:hAnsiTheme="majorHAnsi" w:cs="Times New Roman"/>
          <w:i/>
        </w:rPr>
        <w:t>J. Neurosci</w:t>
      </w:r>
      <w:r w:rsidR="006F67F4" w:rsidRPr="003A3EEA">
        <w:rPr>
          <w:rFonts w:asciiTheme="majorHAnsi" w:hAnsiTheme="majorHAnsi" w:cs="Times New Roman"/>
        </w:rPr>
        <w:t>.</w:t>
      </w:r>
      <w:r w:rsidR="0012767D" w:rsidRPr="003A3EEA">
        <w:rPr>
          <w:rFonts w:asciiTheme="majorHAnsi" w:hAnsiTheme="majorHAnsi" w:cs="Times New Roman"/>
        </w:rPr>
        <w:t xml:space="preserve"> </w:t>
      </w:r>
      <w:r w:rsidR="0012767D" w:rsidRPr="003A3EEA">
        <w:rPr>
          <w:rFonts w:asciiTheme="majorHAnsi" w:hAnsiTheme="majorHAnsi" w:cs="Times New Roman"/>
          <w:b/>
        </w:rPr>
        <w:t>32</w:t>
      </w:r>
      <w:r w:rsidR="0012767D" w:rsidRPr="003A3EEA">
        <w:rPr>
          <w:rFonts w:asciiTheme="majorHAnsi" w:hAnsiTheme="majorHAnsi" w:cs="Times New Roman"/>
        </w:rPr>
        <w:t xml:space="preserve"> (35), 12076-12086</w:t>
      </w:r>
      <w:r w:rsidR="00095874" w:rsidRPr="003A3EEA">
        <w:rPr>
          <w:rFonts w:asciiTheme="majorHAnsi" w:hAnsiTheme="majorHAnsi" w:cs="Times New Roman"/>
        </w:rPr>
        <w:t>,</w:t>
      </w:r>
      <w:r w:rsidR="0012767D" w:rsidRPr="003A3EEA">
        <w:rPr>
          <w:rFonts w:asciiTheme="majorHAnsi" w:hAnsiTheme="majorHAnsi" w:cs="Times New Roman"/>
        </w:rPr>
        <w:t xml:space="preserve"> </w:t>
      </w:r>
      <w:r w:rsidR="00095874" w:rsidRPr="003A3EEA">
        <w:rPr>
          <w:rFonts w:asciiTheme="majorHAnsi" w:hAnsiTheme="majorHAnsi" w:cs="Arial"/>
        </w:rPr>
        <w:t>doi:</w:t>
      </w:r>
      <w:r w:rsidR="000B11C3" w:rsidRPr="003A3EEA">
        <w:rPr>
          <w:rFonts w:asciiTheme="majorHAnsi" w:hAnsiTheme="majorHAnsi" w:cs="Arial"/>
        </w:rPr>
        <w:t xml:space="preserve"> 10.1523/JNEUROSCI.2814-12.2012</w:t>
      </w:r>
      <w:r w:rsidR="00095874" w:rsidRPr="003A3EEA">
        <w:rPr>
          <w:rFonts w:asciiTheme="majorHAnsi" w:hAnsiTheme="majorHAnsi" w:cs="Arial"/>
        </w:rPr>
        <w:t xml:space="preserve"> </w:t>
      </w:r>
      <w:r w:rsidR="00095874" w:rsidRPr="003A3EEA">
        <w:rPr>
          <w:rFonts w:asciiTheme="majorHAnsi" w:hAnsiTheme="majorHAnsi" w:cs="Times New Roman"/>
        </w:rPr>
        <w:t>(2012).</w:t>
      </w:r>
    </w:p>
    <w:p w14:paraId="16C9891B" w14:textId="18219ECB" w:rsidR="00A95871" w:rsidRPr="003A3EEA" w:rsidRDefault="000A6C12" w:rsidP="003A3EEA">
      <w:pPr>
        <w:rPr>
          <w:rFonts w:asciiTheme="majorHAnsi" w:hAnsiTheme="majorHAnsi" w:cs="Times New Roman"/>
        </w:rPr>
      </w:pPr>
      <w:r w:rsidRPr="003A3EEA">
        <w:rPr>
          <w:rFonts w:asciiTheme="majorHAnsi" w:hAnsiTheme="majorHAnsi" w:cs="Times New Roman"/>
        </w:rPr>
        <w:t>9</w:t>
      </w:r>
      <w:r w:rsidR="00A95871" w:rsidRPr="003A3EEA">
        <w:rPr>
          <w:rFonts w:asciiTheme="majorHAnsi" w:hAnsiTheme="majorHAnsi" w:cs="Times New Roman"/>
        </w:rPr>
        <w:t>.</w:t>
      </w:r>
      <w:r w:rsidR="004D3C57" w:rsidRPr="003A3EEA">
        <w:rPr>
          <w:rFonts w:asciiTheme="majorHAnsi" w:hAnsiTheme="majorHAnsi" w:cs="Times New Roman"/>
        </w:rPr>
        <w:t xml:space="preserve"> </w:t>
      </w:r>
      <w:r w:rsidR="009135B9" w:rsidRPr="003A3EEA">
        <w:rPr>
          <w:rFonts w:asciiTheme="majorHAnsi" w:hAnsiTheme="majorHAnsi" w:cs="Times New Roman"/>
        </w:rPr>
        <w:t>Bucci</w:t>
      </w:r>
      <w:r w:rsidR="00551CC7" w:rsidRPr="003A3EEA">
        <w:rPr>
          <w:rFonts w:asciiTheme="majorHAnsi" w:hAnsiTheme="majorHAnsi" w:cs="Times New Roman"/>
        </w:rPr>
        <w:t>,</w:t>
      </w:r>
      <w:r w:rsidR="009135B9" w:rsidRPr="003A3EEA">
        <w:rPr>
          <w:rFonts w:asciiTheme="majorHAnsi" w:hAnsiTheme="majorHAnsi" w:cs="Times New Roman"/>
        </w:rPr>
        <w:t xml:space="preserve"> D</w:t>
      </w:r>
      <w:r w:rsidR="00551CC7" w:rsidRPr="003A3EEA">
        <w:rPr>
          <w:rFonts w:asciiTheme="majorHAnsi" w:hAnsiTheme="majorHAnsi" w:cs="Times New Roman"/>
        </w:rPr>
        <w:t>.</w:t>
      </w:r>
      <w:r w:rsidR="009135B9" w:rsidRPr="003A3EEA">
        <w:rPr>
          <w:rFonts w:asciiTheme="majorHAnsi" w:hAnsiTheme="majorHAnsi" w:cs="Times New Roman"/>
        </w:rPr>
        <w:t>J</w:t>
      </w:r>
      <w:r w:rsidR="00551CC7" w:rsidRPr="003A3EEA">
        <w:rPr>
          <w:rFonts w:asciiTheme="majorHAnsi" w:hAnsiTheme="majorHAnsi" w:cs="Times New Roman"/>
        </w:rPr>
        <w:t>.</w:t>
      </w:r>
      <w:r w:rsidR="009135B9" w:rsidRPr="003A3EEA">
        <w:rPr>
          <w:rFonts w:asciiTheme="majorHAnsi" w:hAnsiTheme="majorHAnsi" w:cs="Times New Roman"/>
        </w:rPr>
        <w:t>, Saddoris</w:t>
      </w:r>
      <w:r w:rsidR="00551CC7" w:rsidRPr="003A3EEA">
        <w:rPr>
          <w:rFonts w:asciiTheme="majorHAnsi" w:hAnsiTheme="majorHAnsi" w:cs="Times New Roman"/>
        </w:rPr>
        <w:t>,</w:t>
      </w:r>
      <w:r w:rsidR="009135B9" w:rsidRPr="003A3EEA">
        <w:rPr>
          <w:rFonts w:asciiTheme="majorHAnsi" w:hAnsiTheme="majorHAnsi" w:cs="Times New Roman"/>
        </w:rPr>
        <w:t xml:space="preserve"> M</w:t>
      </w:r>
      <w:r w:rsidR="00551CC7" w:rsidRPr="003A3EEA">
        <w:rPr>
          <w:rFonts w:asciiTheme="majorHAnsi" w:hAnsiTheme="majorHAnsi" w:cs="Times New Roman"/>
        </w:rPr>
        <w:t>.</w:t>
      </w:r>
      <w:r w:rsidR="009135B9" w:rsidRPr="003A3EEA">
        <w:rPr>
          <w:rFonts w:asciiTheme="majorHAnsi" w:hAnsiTheme="majorHAnsi" w:cs="Times New Roman"/>
        </w:rPr>
        <w:t>P</w:t>
      </w:r>
      <w:r w:rsidR="00551CC7" w:rsidRPr="003A3EEA">
        <w:rPr>
          <w:rFonts w:asciiTheme="majorHAnsi" w:hAnsiTheme="majorHAnsi" w:cs="Times New Roman"/>
        </w:rPr>
        <w:t>.,</w:t>
      </w:r>
      <w:r w:rsidR="009135B9" w:rsidRPr="003A3EEA">
        <w:rPr>
          <w:rFonts w:asciiTheme="majorHAnsi" w:hAnsiTheme="majorHAnsi" w:cs="Times New Roman"/>
        </w:rPr>
        <w:t xml:space="preserve"> &amp; Burwell</w:t>
      </w:r>
      <w:r w:rsidR="00551CC7" w:rsidRPr="003A3EEA">
        <w:rPr>
          <w:rFonts w:asciiTheme="majorHAnsi" w:hAnsiTheme="majorHAnsi" w:cs="Times New Roman"/>
        </w:rPr>
        <w:t>,</w:t>
      </w:r>
      <w:r w:rsidR="009135B9" w:rsidRPr="003A3EEA">
        <w:rPr>
          <w:rFonts w:asciiTheme="majorHAnsi" w:hAnsiTheme="majorHAnsi" w:cs="Times New Roman"/>
        </w:rPr>
        <w:t xml:space="preserve"> R</w:t>
      </w:r>
      <w:r w:rsidR="00551CC7" w:rsidRPr="003A3EEA">
        <w:rPr>
          <w:rFonts w:asciiTheme="majorHAnsi" w:hAnsiTheme="majorHAnsi" w:cs="Times New Roman"/>
        </w:rPr>
        <w:t>.</w:t>
      </w:r>
      <w:r w:rsidR="009135B9" w:rsidRPr="003A3EEA">
        <w:rPr>
          <w:rFonts w:asciiTheme="majorHAnsi" w:hAnsiTheme="majorHAnsi" w:cs="Times New Roman"/>
        </w:rPr>
        <w:t>D.</w:t>
      </w:r>
      <w:r w:rsidR="004D3C57" w:rsidRPr="003A3EEA">
        <w:rPr>
          <w:rFonts w:asciiTheme="majorHAnsi" w:hAnsiTheme="majorHAnsi" w:cs="Times New Roman"/>
        </w:rPr>
        <w:t xml:space="preserve"> </w:t>
      </w:r>
      <w:r w:rsidR="009135B9" w:rsidRPr="003A3EEA">
        <w:rPr>
          <w:rFonts w:asciiTheme="majorHAnsi" w:hAnsiTheme="majorHAnsi" w:cs="Times New Roman"/>
        </w:rPr>
        <w:t>Corticohippocampal contributions to spatial and contextual learning.</w:t>
      </w:r>
      <w:r w:rsidR="004D3C57" w:rsidRPr="003A3EEA">
        <w:rPr>
          <w:rFonts w:asciiTheme="majorHAnsi" w:hAnsiTheme="majorHAnsi" w:cs="Times New Roman"/>
        </w:rPr>
        <w:t xml:space="preserve"> </w:t>
      </w:r>
      <w:r w:rsidR="006F67F4" w:rsidRPr="003A3EEA">
        <w:rPr>
          <w:rFonts w:asciiTheme="majorHAnsi" w:hAnsiTheme="majorHAnsi" w:cs="Times New Roman"/>
          <w:i/>
        </w:rPr>
        <w:t>J. Neurosci</w:t>
      </w:r>
      <w:r w:rsidR="006F67F4" w:rsidRPr="003A3EEA">
        <w:rPr>
          <w:rFonts w:asciiTheme="majorHAnsi" w:hAnsiTheme="majorHAnsi" w:cs="Times New Roman"/>
        </w:rPr>
        <w:t xml:space="preserve">. </w:t>
      </w:r>
      <w:r w:rsidR="009135B9" w:rsidRPr="003A3EEA">
        <w:rPr>
          <w:rFonts w:asciiTheme="majorHAnsi" w:hAnsiTheme="majorHAnsi" w:cs="Times New Roman"/>
          <w:b/>
        </w:rPr>
        <w:t>24</w:t>
      </w:r>
      <w:r w:rsidR="009135B9" w:rsidRPr="003A3EEA">
        <w:rPr>
          <w:rFonts w:asciiTheme="majorHAnsi" w:hAnsiTheme="majorHAnsi" w:cs="Times New Roman"/>
        </w:rPr>
        <w:t xml:space="preserve"> (15), 3826-3836</w:t>
      </w:r>
      <w:r w:rsidR="00095874" w:rsidRPr="003A3EEA">
        <w:rPr>
          <w:rFonts w:asciiTheme="majorHAnsi" w:hAnsiTheme="majorHAnsi" w:cs="Times New Roman"/>
        </w:rPr>
        <w:t>,</w:t>
      </w:r>
      <w:r w:rsidR="009135B9" w:rsidRPr="003A3EEA">
        <w:rPr>
          <w:rFonts w:asciiTheme="majorHAnsi" w:hAnsiTheme="majorHAnsi" w:cs="Times New Roman"/>
        </w:rPr>
        <w:t xml:space="preserve"> </w:t>
      </w:r>
      <w:r w:rsidR="00095874" w:rsidRPr="003A3EEA">
        <w:rPr>
          <w:rFonts w:asciiTheme="majorHAnsi" w:hAnsiTheme="majorHAnsi" w:cs="Calibri"/>
        </w:rPr>
        <w:t>doi:</w:t>
      </w:r>
      <w:r w:rsidR="000B11C3" w:rsidRPr="003A3EEA">
        <w:rPr>
          <w:rFonts w:asciiTheme="majorHAnsi" w:hAnsiTheme="majorHAnsi" w:cs="Arial"/>
          <w:b/>
          <w:bCs/>
        </w:rPr>
        <w:t xml:space="preserve"> </w:t>
      </w:r>
      <w:r w:rsidR="000B11C3" w:rsidRPr="003A3EEA">
        <w:rPr>
          <w:rFonts w:asciiTheme="majorHAnsi" w:hAnsiTheme="majorHAnsi" w:cs="Arial"/>
        </w:rPr>
        <w:t>10.1523/JNEUROSCI.0410-04.2004</w:t>
      </w:r>
      <w:r w:rsidR="00095874" w:rsidRPr="003A3EEA">
        <w:rPr>
          <w:rFonts w:asciiTheme="majorHAnsi" w:hAnsiTheme="majorHAnsi" w:cs="Arial"/>
        </w:rPr>
        <w:t xml:space="preserve"> </w:t>
      </w:r>
      <w:r w:rsidR="00095874" w:rsidRPr="003A3EEA">
        <w:rPr>
          <w:rFonts w:asciiTheme="majorHAnsi" w:hAnsiTheme="majorHAnsi" w:cs="Times New Roman"/>
        </w:rPr>
        <w:t>(2004)</w:t>
      </w:r>
      <w:r w:rsidR="000B11C3" w:rsidRPr="003A3EEA">
        <w:rPr>
          <w:rFonts w:asciiTheme="majorHAnsi" w:hAnsiTheme="majorHAnsi" w:cs="Arial"/>
        </w:rPr>
        <w:t>.</w:t>
      </w:r>
    </w:p>
    <w:p w14:paraId="53290E31" w14:textId="4CE7F6E0" w:rsidR="00A27635" w:rsidRPr="003A3EEA" w:rsidRDefault="00800097" w:rsidP="003A3EEA">
      <w:pPr>
        <w:rPr>
          <w:rFonts w:asciiTheme="majorHAnsi" w:hAnsiTheme="majorHAnsi" w:cs="Times New Roman"/>
        </w:rPr>
      </w:pPr>
      <w:r w:rsidRPr="003A3EEA">
        <w:rPr>
          <w:rFonts w:asciiTheme="majorHAnsi" w:hAnsiTheme="majorHAnsi" w:cs="Times New Roman"/>
        </w:rPr>
        <w:t>1</w:t>
      </w:r>
      <w:r w:rsidR="000A6C12" w:rsidRPr="003A3EEA">
        <w:rPr>
          <w:rFonts w:asciiTheme="majorHAnsi" w:hAnsiTheme="majorHAnsi" w:cs="Times New Roman"/>
        </w:rPr>
        <w:t>0</w:t>
      </w:r>
      <w:r w:rsidR="009135B9" w:rsidRPr="003A3EEA">
        <w:rPr>
          <w:rFonts w:asciiTheme="majorHAnsi" w:hAnsiTheme="majorHAnsi" w:cs="Times New Roman"/>
        </w:rPr>
        <w:t xml:space="preserve">. </w:t>
      </w:r>
      <w:r w:rsidR="0051421B" w:rsidRPr="003A3EEA">
        <w:rPr>
          <w:rFonts w:asciiTheme="majorHAnsi" w:hAnsiTheme="majorHAnsi" w:cs="Times New Roman"/>
        </w:rPr>
        <w:t>Kaut</w:t>
      </w:r>
      <w:r w:rsidR="00551CC7" w:rsidRPr="003A3EEA">
        <w:rPr>
          <w:rFonts w:asciiTheme="majorHAnsi" w:hAnsiTheme="majorHAnsi" w:cs="Times New Roman"/>
        </w:rPr>
        <w:t>,</w:t>
      </w:r>
      <w:r w:rsidR="0051421B" w:rsidRPr="003A3EEA">
        <w:rPr>
          <w:rFonts w:asciiTheme="majorHAnsi" w:hAnsiTheme="majorHAnsi" w:cs="Times New Roman"/>
        </w:rPr>
        <w:t xml:space="preserve"> K</w:t>
      </w:r>
      <w:r w:rsidR="00551CC7" w:rsidRPr="003A3EEA">
        <w:rPr>
          <w:rFonts w:asciiTheme="majorHAnsi" w:hAnsiTheme="majorHAnsi" w:cs="Times New Roman"/>
        </w:rPr>
        <w:t>.</w:t>
      </w:r>
      <w:r w:rsidR="0051421B" w:rsidRPr="003A3EEA">
        <w:rPr>
          <w:rFonts w:asciiTheme="majorHAnsi" w:hAnsiTheme="majorHAnsi" w:cs="Times New Roman"/>
        </w:rPr>
        <w:t>P</w:t>
      </w:r>
      <w:r w:rsidR="00551CC7" w:rsidRPr="003A3EEA">
        <w:rPr>
          <w:rFonts w:asciiTheme="majorHAnsi" w:hAnsiTheme="majorHAnsi" w:cs="Times New Roman"/>
        </w:rPr>
        <w:t>.,</w:t>
      </w:r>
      <w:r w:rsidR="0051421B" w:rsidRPr="003A3EEA">
        <w:rPr>
          <w:rFonts w:asciiTheme="majorHAnsi" w:hAnsiTheme="majorHAnsi" w:cs="Times New Roman"/>
        </w:rPr>
        <w:t xml:space="preserve"> &amp; Bunsey</w:t>
      </w:r>
      <w:r w:rsidR="00551CC7" w:rsidRPr="003A3EEA">
        <w:rPr>
          <w:rFonts w:asciiTheme="majorHAnsi" w:hAnsiTheme="majorHAnsi" w:cs="Times New Roman"/>
        </w:rPr>
        <w:t>,</w:t>
      </w:r>
      <w:r w:rsidR="0051421B" w:rsidRPr="003A3EEA">
        <w:rPr>
          <w:rFonts w:asciiTheme="majorHAnsi" w:hAnsiTheme="majorHAnsi" w:cs="Times New Roman"/>
        </w:rPr>
        <w:t xml:space="preserve"> M</w:t>
      </w:r>
      <w:r w:rsidR="00551CC7" w:rsidRPr="003A3EEA">
        <w:rPr>
          <w:rFonts w:asciiTheme="majorHAnsi" w:hAnsiTheme="majorHAnsi" w:cs="Times New Roman"/>
        </w:rPr>
        <w:t>.</w:t>
      </w:r>
      <w:r w:rsidR="0051421B" w:rsidRPr="003A3EEA">
        <w:rPr>
          <w:rFonts w:asciiTheme="majorHAnsi" w:hAnsiTheme="majorHAnsi" w:cs="Times New Roman"/>
        </w:rPr>
        <w:t>D.</w:t>
      </w:r>
      <w:r w:rsidR="004D3C57" w:rsidRPr="003A3EEA">
        <w:rPr>
          <w:rFonts w:asciiTheme="majorHAnsi" w:hAnsiTheme="majorHAnsi" w:cs="Times New Roman"/>
        </w:rPr>
        <w:t xml:space="preserve"> </w:t>
      </w:r>
      <w:r w:rsidR="0051421B" w:rsidRPr="003A3EEA">
        <w:rPr>
          <w:rFonts w:asciiTheme="majorHAnsi" w:hAnsiTheme="majorHAnsi" w:cs="Times New Roman"/>
        </w:rPr>
        <w:t>The effects of lesions to the rat hippocampus or rhinal cortex on olfactory and spatial memory: retrograde and anterograde findings.</w:t>
      </w:r>
      <w:r w:rsidR="006F67F4" w:rsidRPr="003A3EEA">
        <w:rPr>
          <w:rFonts w:asciiTheme="majorHAnsi" w:hAnsiTheme="majorHAnsi" w:cs="Times New Roman"/>
        </w:rPr>
        <w:t xml:space="preserve"> </w:t>
      </w:r>
      <w:r w:rsidR="006F67F4" w:rsidRPr="003A3EEA">
        <w:rPr>
          <w:rFonts w:asciiTheme="majorHAnsi" w:hAnsiTheme="majorHAnsi" w:cs="Times New Roman"/>
          <w:i/>
        </w:rPr>
        <w:t>Cogn. Affect. Behav. Neurosci.</w:t>
      </w:r>
      <w:r w:rsidR="0051421B" w:rsidRPr="003A3EEA">
        <w:rPr>
          <w:rFonts w:asciiTheme="majorHAnsi" w:hAnsiTheme="majorHAnsi" w:cs="Times New Roman"/>
        </w:rPr>
        <w:t xml:space="preserve"> </w:t>
      </w:r>
      <w:r w:rsidR="0051421B" w:rsidRPr="003A3EEA">
        <w:rPr>
          <w:rFonts w:asciiTheme="majorHAnsi" w:hAnsiTheme="majorHAnsi" w:cs="Times New Roman"/>
          <w:b/>
        </w:rPr>
        <w:t>1</w:t>
      </w:r>
      <w:r w:rsidR="0051421B" w:rsidRPr="003A3EEA">
        <w:rPr>
          <w:rFonts w:asciiTheme="majorHAnsi" w:hAnsiTheme="majorHAnsi" w:cs="Times New Roman"/>
        </w:rPr>
        <w:t xml:space="preserve"> (3), 270-286</w:t>
      </w:r>
      <w:r w:rsidR="00095874" w:rsidRPr="003A3EEA">
        <w:rPr>
          <w:rFonts w:asciiTheme="majorHAnsi" w:hAnsiTheme="majorHAnsi" w:cs="Times New Roman"/>
        </w:rPr>
        <w:t>,</w:t>
      </w:r>
      <w:r w:rsidR="0051421B" w:rsidRPr="003A3EEA">
        <w:rPr>
          <w:rFonts w:asciiTheme="majorHAnsi" w:hAnsiTheme="majorHAnsi" w:cs="Times New Roman"/>
        </w:rPr>
        <w:t xml:space="preserve"> </w:t>
      </w:r>
      <w:r w:rsidR="00095874" w:rsidRPr="003A3EEA">
        <w:rPr>
          <w:rFonts w:asciiTheme="majorHAnsi" w:hAnsiTheme="majorHAnsi" w:cs="Helvetica Neue"/>
        </w:rPr>
        <w:t>doi:</w:t>
      </w:r>
      <w:r w:rsidR="000B11C3" w:rsidRPr="003A3EEA">
        <w:rPr>
          <w:rFonts w:asciiTheme="majorHAnsi" w:hAnsiTheme="majorHAnsi" w:cs="Helvetica Neue"/>
        </w:rPr>
        <w:t> 10.3758/CABN.1.3.270</w:t>
      </w:r>
      <w:r w:rsidR="00095874" w:rsidRPr="003A3EEA">
        <w:rPr>
          <w:rFonts w:asciiTheme="majorHAnsi" w:hAnsiTheme="majorHAnsi" w:cs="Helvetica Neue"/>
        </w:rPr>
        <w:t xml:space="preserve"> </w:t>
      </w:r>
      <w:r w:rsidR="00095874" w:rsidRPr="003A3EEA">
        <w:rPr>
          <w:rFonts w:asciiTheme="majorHAnsi" w:hAnsiTheme="majorHAnsi" w:cs="Times New Roman"/>
        </w:rPr>
        <w:t>(2001)</w:t>
      </w:r>
      <w:r w:rsidR="000B11C3" w:rsidRPr="003A3EEA">
        <w:rPr>
          <w:rFonts w:asciiTheme="majorHAnsi" w:hAnsiTheme="majorHAnsi" w:cs="Helvetica Neue"/>
        </w:rPr>
        <w:t>.</w:t>
      </w:r>
    </w:p>
    <w:p w14:paraId="48931102" w14:textId="6FCDE470" w:rsidR="00806B05" w:rsidRPr="003A3EEA" w:rsidRDefault="00806B05" w:rsidP="003A3EEA">
      <w:pPr>
        <w:rPr>
          <w:rFonts w:asciiTheme="majorHAnsi" w:hAnsiTheme="majorHAnsi" w:cs="Times New Roman"/>
        </w:rPr>
      </w:pPr>
      <w:r w:rsidRPr="003A3EEA">
        <w:rPr>
          <w:rFonts w:asciiTheme="majorHAnsi" w:hAnsiTheme="majorHAnsi" w:cs="Times New Roman"/>
        </w:rPr>
        <w:t xml:space="preserve">11. Brogden, W.J. Sensory preconditioning. </w:t>
      </w:r>
      <w:r w:rsidRPr="003A3EEA">
        <w:rPr>
          <w:rFonts w:asciiTheme="majorHAnsi" w:hAnsiTheme="majorHAnsi" w:cs="Times New Roman"/>
          <w:i/>
        </w:rPr>
        <w:t>J. Exp. Psychol.</w:t>
      </w:r>
      <w:r w:rsidRPr="003A3EEA">
        <w:rPr>
          <w:rFonts w:asciiTheme="majorHAnsi" w:hAnsiTheme="majorHAnsi" w:cs="Times New Roman"/>
        </w:rPr>
        <w:t xml:space="preserve"> </w:t>
      </w:r>
      <w:r w:rsidRPr="003A3EEA">
        <w:rPr>
          <w:rFonts w:asciiTheme="majorHAnsi" w:hAnsiTheme="majorHAnsi" w:cs="Times New Roman"/>
          <w:b/>
        </w:rPr>
        <w:t>25</w:t>
      </w:r>
      <w:r w:rsidRPr="003A3EEA">
        <w:rPr>
          <w:rFonts w:asciiTheme="majorHAnsi" w:hAnsiTheme="majorHAnsi" w:cs="Times New Roman"/>
        </w:rPr>
        <w:t>, 323-332 (1939).</w:t>
      </w:r>
    </w:p>
    <w:p w14:paraId="4FBC698B" w14:textId="583F96F2" w:rsidR="00A27635" w:rsidRPr="003A3EEA" w:rsidRDefault="00800097" w:rsidP="003A3EEA">
      <w:pPr>
        <w:rPr>
          <w:rFonts w:asciiTheme="majorHAnsi" w:hAnsiTheme="majorHAnsi" w:cs="Times New Roman"/>
        </w:rPr>
      </w:pPr>
      <w:r w:rsidRPr="003A3EEA">
        <w:rPr>
          <w:rFonts w:asciiTheme="majorHAnsi" w:hAnsiTheme="majorHAnsi" w:cs="Times New Roman"/>
        </w:rPr>
        <w:t>1</w:t>
      </w:r>
      <w:r w:rsidR="00F25C48" w:rsidRPr="003A3EEA">
        <w:rPr>
          <w:rFonts w:asciiTheme="majorHAnsi" w:hAnsiTheme="majorHAnsi" w:cs="Times New Roman"/>
        </w:rPr>
        <w:t>2</w:t>
      </w:r>
      <w:r w:rsidR="00A27635" w:rsidRPr="003A3EEA">
        <w:rPr>
          <w:rFonts w:asciiTheme="majorHAnsi" w:hAnsiTheme="majorHAnsi" w:cs="Times New Roman"/>
        </w:rPr>
        <w:t>.</w:t>
      </w:r>
      <w:r w:rsidR="00551CC7" w:rsidRPr="003A3EEA">
        <w:rPr>
          <w:rFonts w:asciiTheme="majorHAnsi" w:hAnsiTheme="majorHAnsi" w:cs="Times New Roman"/>
        </w:rPr>
        <w:t xml:space="preserve"> </w:t>
      </w:r>
      <w:r w:rsidR="00643817" w:rsidRPr="003A3EEA">
        <w:rPr>
          <w:rFonts w:asciiTheme="majorHAnsi" w:hAnsiTheme="majorHAnsi" w:cs="Times New Roman"/>
        </w:rPr>
        <w:t>Robinson</w:t>
      </w:r>
      <w:r w:rsidR="00551CC7" w:rsidRPr="003A3EEA">
        <w:rPr>
          <w:rFonts w:asciiTheme="majorHAnsi" w:hAnsiTheme="majorHAnsi" w:cs="Times New Roman"/>
        </w:rPr>
        <w:t>, S.,</w:t>
      </w:r>
      <w:r w:rsidR="00643817" w:rsidRPr="003A3EEA">
        <w:rPr>
          <w:rFonts w:asciiTheme="majorHAnsi" w:hAnsiTheme="majorHAnsi" w:cs="Times New Roman"/>
        </w:rPr>
        <w:t xml:space="preserve"> </w:t>
      </w:r>
      <w:r w:rsidR="00643817" w:rsidRPr="003A3EEA">
        <w:rPr>
          <w:rFonts w:asciiTheme="majorHAnsi" w:hAnsiTheme="majorHAnsi" w:cs="Times New Roman"/>
          <w:i/>
        </w:rPr>
        <w:t>et al</w:t>
      </w:r>
      <w:r w:rsidR="00643817" w:rsidRPr="003A3EEA">
        <w:rPr>
          <w:rFonts w:asciiTheme="majorHAnsi" w:hAnsiTheme="majorHAnsi" w:cs="Times New Roman"/>
        </w:rPr>
        <w:t>.</w:t>
      </w:r>
      <w:r w:rsidR="00715171" w:rsidRPr="003A3EEA">
        <w:rPr>
          <w:rFonts w:asciiTheme="majorHAnsi" w:hAnsiTheme="majorHAnsi" w:cs="Times New Roman"/>
        </w:rPr>
        <w:t>,</w:t>
      </w:r>
      <w:r w:rsidR="00643817" w:rsidRPr="003A3EEA">
        <w:rPr>
          <w:rFonts w:asciiTheme="majorHAnsi" w:hAnsiTheme="majorHAnsi" w:cs="Times New Roman"/>
        </w:rPr>
        <w:t xml:space="preserve"> </w:t>
      </w:r>
      <w:r w:rsidR="00F97759" w:rsidRPr="003A3EEA">
        <w:rPr>
          <w:rFonts w:asciiTheme="majorHAnsi" w:hAnsiTheme="majorHAnsi" w:cs="Times New Roman"/>
        </w:rPr>
        <w:t>Chemogenetic silencing of neurons in retrosplenial cortex disrupts sensory preconditioning.</w:t>
      </w:r>
      <w:r w:rsidR="00643817" w:rsidRPr="003A3EEA">
        <w:rPr>
          <w:rFonts w:asciiTheme="majorHAnsi" w:hAnsiTheme="majorHAnsi" w:cs="Times New Roman"/>
        </w:rPr>
        <w:t xml:space="preserve"> </w:t>
      </w:r>
      <w:r w:rsidR="006F67F4" w:rsidRPr="003A3EEA">
        <w:rPr>
          <w:rFonts w:asciiTheme="majorHAnsi" w:hAnsiTheme="majorHAnsi" w:cs="Times New Roman"/>
          <w:i/>
        </w:rPr>
        <w:t>J. Neurosci</w:t>
      </w:r>
      <w:r w:rsidR="006F67F4" w:rsidRPr="003A3EEA">
        <w:rPr>
          <w:rFonts w:asciiTheme="majorHAnsi" w:hAnsiTheme="majorHAnsi" w:cs="Times New Roman"/>
        </w:rPr>
        <w:t xml:space="preserve">. </w:t>
      </w:r>
      <w:r w:rsidR="00F97759" w:rsidRPr="003A3EEA">
        <w:rPr>
          <w:rFonts w:asciiTheme="majorHAnsi" w:hAnsiTheme="majorHAnsi" w:cs="Times New Roman"/>
          <w:b/>
        </w:rPr>
        <w:t>34</w:t>
      </w:r>
      <w:r w:rsidR="00F97759" w:rsidRPr="003A3EEA">
        <w:rPr>
          <w:rFonts w:asciiTheme="majorHAnsi" w:hAnsiTheme="majorHAnsi" w:cs="Times New Roman"/>
        </w:rPr>
        <w:t xml:space="preserve"> (33), 10982-10988</w:t>
      </w:r>
      <w:r w:rsidR="00095874" w:rsidRPr="003A3EEA">
        <w:rPr>
          <w:rFonts w:asciiTheme="majorHAnsi" w:hAnsiTheme="majorHAnsi" w:cs="Times New Roman"/>
        </w:rPr>
        <w:t>,</w:t>
      </w:r>
      <w:r w:rsidR="00F97759" w:rsidRPr="003A3EEA">
        <w:rPr>
          <w:rFonts w:asciiTheme="majorHAnsi" w:hAnsiTheme="majorHAnsi" w:cs="Times New Roman"/>
        </w:rPr>
        <w:t xml:space="preserve"> </w:t>
      </w:r>
      <w:r w:rsidR="00095874" w:rsidRPr="003A3EEA">
        <w:rPr>
          <w:rFonts w:asciiTheme="majorHAnsi" w:hAnsiTheme="majorHAnsi" w:cs="Arial"/>
        </w:rPr>
        <w:t>doi:</w:t>
      </w:r>
      <w:r w:rsidR="000B11C3" w:rsidRPr="003A3EEA">
        <w:rPr>
          <w:rFonts w:asciiTheme="majorHAnsi" w:hAnsiTheme="majorHAnsi" w:cs="Arial"/>
        </w:rPr>
        <w:t xml:space="preserve"> 10.1523/JNEUROSCI.1349-14.2014</w:t>
      </w:r>
      <w:r w:rsidR="00095874" w:rsidRPr="003A3EEA">
        <w:rPr>
          <w:rFonts w:asciiTheme="majorHAnsi" w:hAnsiTheme="majorHAnsi" w:cs="Arial"/>
        </w:rPr>
        <w:t xml:space="preserve"> </w:t>
      </w:r>
      <w:r w:rsidR="00095874" w:rsidRPr="003A3EEA">
        <w:rPr>
          <w:rFonts w:asciiTheme="majorHAnsi" w:hAnsiTheme="majorHAnsi" w:cs="Times New Roman"/>
        </w:rPr>
        <w:t>(2014).</w:t>
      </w:r>
    </w:p>
    <w:p w14:paraId="0199B9A4" w14:textId="3B935B86" w:rsidR="003C1DC7" w:rsidRPr="003A3EEA" w:rsidRDefault="00800097" w:rsidP="003A3EEA">
      <w:pPr>
        <w:rPr>
          <w:rFonts w:asciiTheme="majorHAnsi" w:hAnsiTheme="majorHAnsi" w:cs="Times New Roman"/>
        </w:rPr>
      </w:pPr>
      <w:r w:rsidRPr="003A3EEA">
        <w:rPr>
          <w:rFonts w:asciiTheme="majorHAnsi" w:hAnsiTheme="majorHAnsi" w:cs="Times New Roman"/>
        </w:rPr>
        <w:t>1</w:t>
      </w:r>
      <w:r w:rsidR="000A6C12" w:rsidRPr="003A3EEA">
        <w:rPr>
          <w:rFonts w:asciiTheme="majorHAnsi" w:hAnsiTheme="majorHAnsi" w:cs="Times New Roman"/>
        </w:rPr>
        <w:t>3</w:t>
      </w:r>
      <w:r w:rsidR="00551CC7" w:rsidRPr="003A3EEA">
        <w:rPr>
          <w:rFonts w:asciiTheme="majorHAnsi" w:hAnsiTheme="majorHAnsi" w:cs="Times New Roman"/>
        </w:rPr>
        <w:t>.</w:t>
      </w:r>
      <w:r w:rsidR="004D3C57" w:rsidRPr="003A3EEA">
        <w:rPr>
          <w:rFonts w:asciiTheme="majorHAnsi" w:hAnsiTheme="majorHAnsi" w:cs="Times New Roman"/>
        </w:rPr>
        <w:t xml:space="preserve"> </w:t>
      </w:r>
      <w:r w:rsidR="001D366E" w:rsidRPr="003A3EEA">
        <w:rPr>
          <w:rFonts w:asciiTheme="majorHAnsi" w:hAnsiTheme="majorHAnsi" w:cs="Times New Roman"/>
        </w:rPr>
        <w:t>NIH guidelines</w:t>
      </w:r>
      <w:r w:rsidR="00551CC7" w:rsidRPr="003A3EEA">
        <w:rPr>
          <w:rFonts w:asciiTheme="majorHAnsi" w:hAnsiTheme="majorHAnsi" w:cs="Times New Roman"/>
        </w:rPr>
        <w:t xml:space="preserve"> for research involving recombinant or synthetic nucleic acid molecules </w:t>
      </w:r>
      <w:r w:rsidR="001D366E" w:rsidRPr="003A3EEA">
        <w:rPr>
          <w:rFonts w:asciiTheme="majorHAnsi" w:hAnsiTheme="majorHAnsi" w:cs="Arial"/>
        </w:rPr>
        <w:t>(</w:t>
      </w:r>
      <w:r w:rsidR="00501AE3" w:rsidRPr="003A3EEA">
        <w:rPr>
          <w:rFonts w:asciiTheme="majorHAnsi" w:hAnsiTheme="majorHAnsi"/>
        </w:rPr>
        <w:t>http://oba.od.nih.gov/rdna/nih_guidelines_oba.html</w:t>
      </w:r>
      <w:r w:rsidR="001D366E" w:rsidRPr="003A3EEA">
        <w:rPr>
          <w:rFonts w:asciiTheme="majorHAnsi" w:eastAsia="Times New Roman" w:hAnsiTheme="majorHAnsi" w:cs="Times New Roman"/>
        </w:rPr>
        <w:t>)</w:t>
      </w:r>
      <w:r w:rsidR="00501AE3" w:rsidRPr="003A3EEA">
        <w:rPr>
          <w:rFonts w:asciiTheme="majorHAnsi" w:hAnsiTheme="majorHAnsi" w:cs="Times New Roman"/>
        </w:rPr>
        <w:t xml:space="preserve"> (2013).</w:t>
      </w:r>
    </w:p>
    <w:p w14:paraId="7EB82952" w14:textId="529FC0ED" w:rsidR="00FB25BE" w:rsidRPr="003A3EEA" w:rsidRDefault="00642C41" w:rsidP="003A3EEA">
      <w:pPr>
        <w:rPr>
          <w:rFonts w:asciiTheme="majorHAnsi" w:eastAsia="Times New Roman" w:hAnsiTheme="majorHAnsi" w:cs="Times New Roman"/>
        </w:rPr>
      </w:pPr>
      <w:r w:rsidRPr="003A3EEA">
        <w:rPr>
          <w:rFonts w:asciiTheme="majorHAnsi" w:eastAsia="Times New Roman" w:hAnsiTheme="majorHAnsi" w:cs="Times New Roman"/>
        </w:rPr>
        <w:t>14</w:t>
      </w:r>
      <w:r w:rsidR="00A66D3D" w:rsidRPr="003A3EEA">
        <w:rPr>
          <w:rFonts w:asciiTheme="majorHAnsi" w:eastAsia="Times New Roman" w:hAnsiTheme="majorHAnsi" w:cs="Times New Roman"/>
        </w:rPr>
        <w:t xml:space="preserve">. </w:t>
      </w:r>
      <w:r w:rsidR="00977934" w:rsidRPr="003A3EEA">
        <w:rPr>
          <w:rFonts w:asciiTheme="majorHAnsi" w:eastAsia="Times New Roman" w:hAnsiTheme="majorHAnsi" w:cs="Times New Roman"/>
        </w:rPr>
        <w:t>Samulski, R. J. &amp;</w:t>
      </w:r>
      <w:r w:rsidR="00095874" w:rsidRPr="003A3EEA">
        <w:rPr>
          <w:rFonts w:asciiTheme="majorHAnsi" w:eastAsia="Times New Roman" w:hAnsiTheme="majorHAnsi" w:cs="Times New Roman"/>
        </w:rPr>
        <w:t xml:space="preserve"> Muzyczka, N. AAV-mediated gene</w:t>
      </w:r>
      <w:r w:rsidR="00977934" w:rsidRPr="003A3EEA">
        <w:rPr>
          <w:rFonts w:asciiTheme="majorHAnsi" w:eastAsia="Times New Roman" w:hAnsiTheme="majorHAnsi" w:cs="Times New Roman"/>
        </w:rPr>
        <w:t xml:space="preserve"> therapy for research and therapeutic purposes. </w:t>
      </w:r>
      <w:r w:rsidR="00977934" w:rsidRPr="003A3EEA">
        <w:rPr>
          <w:rFonts w:asciiTheme="majorHAnsi" w:eastAsia="Times New Roman" w:hAnsiTheme="majorHAnsi" w:cs="Times New Roman"/>
          <w:i/>
        </w:rPr>
        <w:t>Annu. Rev. Virol</w:t>
      </w:r>
      <w:r w:rsidR="00977934" w:rsidRPr="003A3EEA">
        <w:rPr>
          <w:rFonts w:asciiTheme="majorHAnsi" w:eastAsia="Times New Roman" w:hAnsiTheme="majorHAnsi" w:cs="Times New Roman"/>
        </w:rPr>
        <w:t xml:space="preserve">. </w:t>
      </w:r>
      <w:r w:rsidR="00977934" w:rsidRPr="003A3EEA">
        <w:rPr>
          <w:rFonts w:asciiTheme="majorHAnsi" w:eastAsia="Times New Roman" w:hAnsiTheme="majorHAnsi" w:cs="Times New Roman"/>
          <w:b/>
        </w:rPr>
        <w:t>1</w:t>
      </w:r>
      <w:r w:rsidR="00977934" w:rsidRPr="003A3EEA">
        <w:rPr>
          <w:rFonts w:asciiTheme="majorHAnsi" w:eastAsia="Times New Roman" w:hAnsiTheme="majorHAnsi" w:cs="Times New Roman"/>
        </w:rPr>
        <w:t xml:space="preserve">, 427-451, </w:t>
      </w:r>
      <w:r w:rsidR="00095874" w:rsidRPr="003A3EEA">
        <w:rPr>
          <w:rFonts w:asciiTheme="majorHAnsi" w:eastAsia="Times New Roman" w:hAnsiTheme="majorHAnsi" w:cs="Times New Roman"/>
        </w:rPr>
        <w:t>doi:</w:t>
      </w:r>
      <w:r w:rsidR="00977934" w:rsidRPr="003A3EEA">
        <w:rPr>
          <w:rFonts w:asciiTheme="majorHAnsi" w:eastAsia="Times New Roman" w:hAnsiTheme="majorHAnsi" w:cs="Times New Roman"/>
        </w:rPr>
        <w:t xml:space="preserve"> 10.1146/annrev-virology-031413-085355 (2014).</w:t>
      </w:r>
    </w:p>
    <w:p w14:paraId="6A2CFD76" w14:textId="11FF91B0" w:rsidR="00977934" w:rsidRPr="003A3EEA" w:rsidRDefault="00642C41" w:rsidP="003A3EEA">
      <w:pPr>
        <w:rPr>
          <w:rFonts w:asciiTheme="majorHAnsi" w:eastAsia="Times New Roman" w:hAnsiTheme="majorHAnsi" w:cs="Times New Roman"/>
        </w:rPr>
      </w:pPr>
      <w:r w:rsidRPr="003A3EEA">
        <w:rPr>
          <w:rFonts w:asciiTheme="majorHAnsi" w:eastAsia="Times New Roman" w:hAnsiTheme="majorHAnsi" w:cs="Times New Roman"/>
        </w:rPr>
        <w:t>15</w:t>
      </w:r>
      <w:r w:rsidR="00977934" w:rsidRPr="003A3EEA">
        <w:rPr>
          <w:rFonts w:asciiTheme="majorHAnsi" w:eastAsia="Times New Roman" w:hAnsiTheme="majorHAnsi" w:cs="Times New Roman"/>
        </w:rPr>
        <w:t xml:space="preserve">. Tenenbaum, L., Lehtonen, E., &amp; Monahan P.E. Evaluation of risks related to the use of adeno-associated virus-based vectors. </w:t>
      </w:r>
      <w:r w:rsidR="00977934" w:rsidRPr="003A3EEA">
        <w:rPr>
          <w:rFonts w:asciiTheme="majorHAnsi" w:eastAsia="Times New Roman" w:hAnsiTheme="majorHAnsi" w:cs="Times New Roman"/>
          <w:i/>
        </w:rPr>
        <w:t>Gene Ther.</w:t>
      </w:r>
      <w:r w:rsidR="00977934" w:rsidRPr="003A3EEA">
        <w:rPr>
          <w:rFonts w:asciiTheme="majorHAnsi" w:eastAsia="Times New Roman" w:hAnsiTheme="majorHAnsi" w:cs="Times New Roman"/>
        </w:rPr>
        <w:t xml:space="preserve"> </w:t>
      </w:r>
      <w:r w:rsidR="00977934" w:rsidRPr="003A3EEA">
        <w:rPr>
          <w:rFonts w:asciiTheme="majorHAnsi" w:eastAsia="Times New Roman" w:hAnsiTheme="majorHAnsi" w:cs="Times New Roman"/>
          <w:b/>
        </w:rPr>
        <w:t>3</w:t>
      </w:r>
      <w:r w:rsidR="00977934" w:rsidRPr="003A3EEA">
        <w:rPr>
          <w:rFonts w:asciiTheme="majorHAnsi" w:eastAsia="Times New Roman" w:hAnsiTheme="majorHAnsi" w:cs="Times New Roman"/>
        </w:rPr>
        <w:t>, 545-565</w:t>
      </w:r>
      <w:r w:rsidR="00095874" w:rsidRPr="003A3EEA">
        <w:rPr>
          <w:rFonts w:asciiTheme="majorHAnsi" w:eastAsia="Times New Roman" w:hAnsiTheme="majorHAnsi" w:cs="Times New Roman"/>
        </w:rPr>
        <w:t>,</w:t>
      </w:r>
      <w:r w:rsidR="00977934" w:rsidRPr="003A3EEA">
        <w:rPr>
          <w:rFonts w:asciiTheme="majorHAnsi" w:eastAsia="Times New Roman" w:hAnsiTheme="majorHAnsi" w:cs="Times New Roman"/>
        </w:rPr>
        <w:t xml:space="preserve"> </w:t>
      </w:r>
      <w:r w:rsidR="00095874" w:rsidRPr="003A3EEA">
        <w:rPr>
          <w:rFonts w:asciiTheme="majorHAnsi" w:eastAsia="Times New Roman" w:hAnsiTheme="majorHAnsi" w:cs="Times New Roman"/>
        </w:rPr>
        <w:t>doi:</w:t>
      </w:r>
      <w:r w:rsidR="00977934" w:rsidRPr="003A3EEA">
        <w:rPr>
          <w:rFonts w:asciiTheme="majorHAnsi" w:eastAsia="Times New Roman" w:hAnsiTheme="majorHAnsi" w:cs="Times New Roman"/>
        </w:rPr>
        <w:t xml:space="preserve"> 10.2174/1566523034578131</w:t>
      </w:r>
      <w:r w:rsidR="00095874" w:rsidRPr="003A3EEA">
        <w:rPr>
          <w:rFonts w:asciiTheme="majorHAnsi" w:eastAsia="Times New Roman" w:hAnsiTheme="majorHAnsi" w:cs="Times New Roman"/>
        </w:rPr>
        <w:t xml:space="preserve"> (2003).  </w:t>
      </w:r>
    </w:p>
    <w:p w14:paraId="29ABE0AB" w14:textId="6F1086A6" w:rsidR="00FB25BE" w:rsidRPr="003A3EEA" w:rsidRDefault="00642C41" w:rsidP="003A3EEA">
      <w:pPr>
        <w:rPr>
          <w:rFonts w:asciiTheme="majorHAnsi" w:eastAsia="Times New Roman" w:hAnsiTheme="majorHAnsi" w:cs="Times New Roman"/>
        </w:rPr>
      </w:pPr>
      <w:r w:rsidRPr="003A3EEA">
        <w:rPr>
          <w:rFonts w:asciiTheme="majorHAnsi" w:eastAsia="Times New Roman" w:hAnsiTheme="majorHAnsi" w:cs="Times New Roman"/>
        </w:rPr>
        <w:t>16</w:t>
      </w:r>
      <w:r w:rsidR="00D4164E" w:rsidRPr="003A3EEA">
        <w:rPr>
          <w:rFonts w:asciiTheme="majorHAnsi" w:eastAsia="Times New Roman" w:hAnsiTheme="majorHAnsi" w:cs="Times New Roman"/>
        </w:rPr>
        <w:t xml:space="preserve">. Arechavaleta-Velasco, F., Ma, Y., Zhang, J., McGrath, C. M. &amp; Parry, S. Adeno-associated virus-2 (AAV-2) causes trophoblast dysfunction, and placental AAV-2 infection is associated with preeclampsia. </w:t>
      </w:r>
      <w:r w:rsidR="00D4164E" w:rsidRPr="003A3EEA">
        <w:rPr>
          <w:rFonts w:asciiTheme="majorHAnsi" w:eastAsia="Times New Roman" w:hAnsiTheme="majorHAnsi" w:cs="Times New Roman"/>
          <w:i/>
        </w:rPr>
        <w:t>Am J Path</w:t>
      </w:r>
      <w:r w:rsidR="00D4164E" w:rsidRPr="003A3EEA">
        <w:rPr>
          <w:rFonts w:asciiTheme="majorHAnsi" w:eastAsia="Times New Roman" w:hAnsiTheme="majorHAnsi" w:cs="Times New Roman"/>
        </w:rPr>
        <w:t xml:space="preserve">. </w:t>
      </w:r>
      <w:r w:rsidR="00D4164E" w:rsidRPr="003A3EEA">
        <w:rPr>
          <w:rFonts w:asciiTheme="majorHAnsi" w:eastAsia="Times New Roman" w:hAnsiTheme="majorHAnsi" w:cs="Times New Roman"/>
          <w:b/>
        </w:rPr>
        <w:t>168</w:t>
      </w:r>
      <w:r w:rsidR="00D4164E" w:rsidRPr="003A3EEA">
        <w:rPr>
          <w:rFonts w:asciiTheme="majorHAnsi" w:eastAsia="Times New Roman" w:hAnsiTheme="majorHAnsi" w:cs="Times New Roman"/>
        </w:rPr>
        <w:t xml:space="preserve"> (6), 1951-1959</w:t>
      </w:r>
      <w:r w:rsidR="00095874" w:rsidRPr="003A3EEA">
        <w:rPr>
          <w:rFonts w:asciiTheme="majorHAnsi" w:eastAsia="Times New Roman" w:hAnsiTheme="majorHAnsi" w:cs="Times New Roman"/>
        </w:rPr>
        <w:t>,</w:t>
      </w:r>
      <w:r w:rsidR="00D4164E" w:rsidRPr="003A3EEA">
        <w:rPr>
          <w:rFonts w:asciiTheme="majorHAnsi" w:eastAsia="Times New Roman" w:hAnsiTheme="majorHAnsi" w:cs="Times New Roman"/>
        </w:rPr>
        <w:t xml:space="preserve"> </w:t>
      </w:r>
      <w:r w:rsidR="00095874" w:rsidRPr="003A3EEA">
        <w:rPr>
          <w:rFonts w:asciiTheme="majorHAnsi" w:eastAsia="Times New Roman" w:hAnsiTheme="majorHAnsi" w:cs="Times New Roman"/>
        </w:rPr>
        <w:t>doi:</w:t>
      </w:r>
      <w:r w:rsidR="00D4164E" w:rsidRPr="003A3EEA">
        <w:rPr>
          <w:rFonts w:asciiTheme="majorHAnsi" w:eastAsia="Times New Roman" w:hAnsiTheme="majorHAnsi" w:cs="Times New Roman"/>
        </w:rPr>
        <w:t xml:space="preserve">  10.2353/ajpath.2006.050781 (2006).</w:t>
      </w:r>
    </w:p>
    <w:p w14:paraId="4E49ADCA" w14:textId="1E0F7F25" w:rsidR="00D4164E" w:rsidRPr="003A3EEA" w:rsidRDefault="00642C41" w:rsidP="003A3EEA">
      <w:pPr>
        <w:rPr>
          <w:rFonts w:asciiTheme="majorHAnsi" w:eastAsia="Times New Roman" w:hAnsiTheme="majorHAnsi" w:cs="Times New Roman"/>
        </w:rPr>
      </w:pPr>
      <w:r w:rsidRPr="003A3EEA">
        <w:rPr>
          <w:rFonts w:asciiTheme="majorHAnsi" w:eastAsia="Times New Roman" w:hAnsiTheme="majorHAnsi" w:cs="Times New Roman"/>
        </w:rPr>
        <w:t>17</w:t>
      </w:r>
      <w:r w:rsidR="00D4164E" w:rsidRPr="003A3EEA">
        <w:rPr>
          <w:rFonts w:asciiTheme="majorHAnsi" w:eastAsia="Times New Roman" w:hAnsiTheme="majorHAnsi" w:cs="Times New Roman"/>
        </w:rPr>
        <w:t>. Erles, K., Rohde, V., Thaele, M., Roth, S., Edler, L &amp; Schlehofer, J.R. DNA of adeno-associated virus (AAV) in testicular tissue and in abnormal semen samples</w:t>
      </w:r>
      <w:r w:rsidR="009D2E6E" w:rsidRPr="003A3EEA">
        <w:rPr>
          <w:rFonts w:asciiTheme="majorHAnsi" w:eastAsia="Times New Roman" w:hAnsiTheme="majorHAnsi" w:cs="Times New Roman"/>
        </w:rPr>
        <w:t xml:space="preserve">. </w:t>
      </w:r>
      <w:r w:rsidR="009D2E6E" w:rsidRPr="003A3EEA">
        <w:rPr>
          <w:rFonts w:asciiTheme="majorHAnsi" w:eastAsia="Times New Roman" w:hAnsiTheme="majorHAnsi" w:cs="Times New Roman"/>
          <w:i/>
        </w:rPr>
        <w:t>Hum. Reprod</w:t>
      </w:r>
      <w:r w:rsidR="003A3EEA" w:rsidRPr="003A3EEA">
        <w:rPr>
          <w:rFonts w:asciiTheme="majorHAnsi" w:eastAsia="Times New Roman" w:hAnsiTheme="majorHAnsi" w:cs="Times New Roman"/>
        </w:rPr>
        <w:t>.</w:t>
      </w:r>
      <w:r w:rsidR="009D2E6E" w:rsidRPr="003A3EEA">
        <w:rPr>
          <w:rFonts w:asciiTheme="majorHAnsi" w:eastAsia="Times New Roman" w:hAnsiTheme="majorHAnsi" w:cs="Times New Roman"/>
        </w:rPr>
        <w:t xml:space="preserve"> </w:t>
      </w:r>
      <w:r w:rsidR="009D2E6E" w:rsidRPr="003A3EEA">
        <w:rPr>
          <w:rFonts w:asciiTheme="majorHAnsi" w:eastAsia="Times New Roman" w:hAnsiTheme="majorHAnsi" w:cs="Times New Roman"/>
          <w:b/>
        </w:rPr>
        <w:t>16</w:t>
      </w:r>
      <w:r w:rsidR="009D2E6E" w:rsidRPr="003A3EEA">
        <w:rPr>
          <w:rFonts w:asciiTheme="majorHAnsi" w:eastAsia="Times New Roman" w:hAnsiTheme="majorHAnsi" w:cs="Times New Roman"/>
        </w:rPr>
        <w:t xml:space="preserve"> (11), 2333-</w:t>
      </w:r>
      <w:r w:rsidR="009B294F" w:rsidRPr="003A3EEA">
        <w:rPr>
          <w:rFonts w:asciiTheme="majorHAnsi" w:eastAsia="Times New Roman" w:hAnsiTheme="majorHAnsi" w:cs="Times New Roman"/>
        </w:rPr>
        <w:t>2337</w:t>
      </w:r>
      <w:r w:rsidR="00095874" w:rsidRPr="003A3EEA">
        <w:rPr>
          <w:rFonts w:asciiTheme="majorHAnsi" w:eastAsia="Times New Roman" w:hAnsiTheme="majorHAnsi" w:cs="Times New Roman"/>
        </w:rPr>
        <w:t>, doi:</w:t>
      </w:r>
      <w:r w:rsidR="009D2E6E" w:rsidRPr="003A3EEA">
        <w:rPr>
          <w:rFonts w:asciiTheme="majorHAnsi" w:eastAsia="Times New Roman" w:hAnsiTheme="majorHAnsi" w:cs="Times New Roman"/>
        </w:rPr>
        <w:t xml:space="preserve"> 10.1093/humrep/16.11.2333 (2001).</w:t>
      </w:r>
    </w:p>
    <w:p w14:paraId="39AC0694" w14:textId="7014879D" w:rsidR="009D2E6E" w:rsidRPr="003A3EEA" w:rsidRDefault="00642C41" w:rsidP="003A3EEA">
      <w:pPr>
        <w:rPr>
          <w:rFonts w:asciiTheme="majorHAnsi" w:eastAsia="Times New Roman" w:hAnsiTheme="majorHAnsi" w:cs="Times New Roman"/>
        </w:rPr>
      </w:pPr>
      <w:r w:rsidRPr="003A3EEA">
        <w:rPr>
          <w:rFonts w:asciiTheme="majorHAnsi" w:eastAsia="Times New Roman" w:hAnsiTheme="majorHAnsi" w:cs="Times New Roman"/>
        </w:rPr>
        <w:t>18</w:t>
      </w:r>
      <w:r w:rsidR="009D2E6E" w:rsidRPr="003A3EEA">
        <w:rPr>
          <w:rFonts w:asciiTheme="majorHAnsi" w:eastAsia="Times New Roman" w:hAnsiTheme="majorHAnsi" w:cs="Times New Roman"/>
        </w:rPr>
        <w:t xml:space="preserve">. </w:t>
      </w:r>
      <w:r w:rsidR="00533F46" w:rsidRPr="003A3EEA">
        <w:rPr>
          <w:rFonts w:asciiTheme="majorHAnsi" w:eastAsia="Times New Roman" w:hAnsiTheme="majorHAnsi" w:cs="Times New Roman"/>
        </w:rPr>
        <w:t xml:space="preserve">Donsante, A., </w:t>
      </w:r>
      <w:r w:rsidR="00533F46" w:rsidRPr="003A3EEA">
        <w:rPr>
          <w:rFonts w:asciiTheme="majorHAnsi" w:eastAsia="Times New Roman" w:hAnsiTheme="majorHAnsi" w:cs="Times New Roman"/>
          <w:i/>
        </w:rPr>
        <w:t>et al</w:t>
      </w:r>
      <w:r w:rsidR="00533F46" w:rsidRPr="003A3EEA">
        <w:rPr>
          <w:rFonts w:asciiTheme="majorHAnsi" w:eastAsia="Times New Roman" w:hAnsiTheme="majorHAnsi" w:cs="Times New Roman"/>
        </w:rPr>
        <w:t xml:space="preserve">. </w:t>
      </w:r>
      <w:r w:rsidR="00977934" w:rsidRPr="003A3EEA">
        <w:rPr>
          <w:rFonts w:asciiTheme="majorHAnsi" w:eastAsia="Times New Roman" w:hAnsiTheme="majorHAnsi" w:cs="Times New Roman"/>
        </w:rPr>
        <w:t xml:space="preserve">AAV vector integration sites in mouse hepatocellular carcinoma. </w:t>
      </w:r>
      <w:r w:rsidR="00977934" w:rsidRPr="003A3EEA">
        <w:rPr>
          <w:rFonts w:asciiTheme="majorHAnsi" w:eastAsia="Times New Roman" w:hAnsiTheme="majorHAnsi" w:cs="Times New Roman"/>
          <w:i/>
        </w:rPr>
        <w:t>Science</w:t>
      </w:r>
      <w:r w:rsidR="00977934" w:rsidRPr="003A3EEA">
        <w:rPr>
          <w:rFonts w:asciiTheme="majorHAnsi" w:eastAsia="Times New Roman" w:hAnsiTheme="majorHAnsi" w:cs="Times New Roman"/>
        </w:rPr>
        <w:t xml:space="preserve">, </w:t>
      </w:r>
      <w:r w:rsidR="00977934" w:rsidRPr="003A3EEA">
        <w:rPr>
          <w:rFonts w:asciiTheme="majorHAnsi" w:eastAsia="Times New Roman" w:hAnsiTheme="majorHAnsi" w:cs="Times New Roman"/>
          <w:b/>
        </w:rPr>
        <w:t xml:space="preserve">317 </w:t>
      </w:r>
      <w:r w:rsidR="00977934" w:rsidRPr="003A3EEA">
        <w:rPr>
          <w:rFonts w:asciiTheme="majorHAnsi" w:eastAsia="Times New Roman" w:hAnsiTheme="majorHAnsi" w:cs="Times New Roman"/>
        </w:rPr>
        <w:t xml:space="preserve">(5837), 477, </w:t>
      </w:r>
      <w:r w:rsidR="00095874" w:rsidRPr="003A3EEA">
        <w:rPr>
          <w:rFonts w:asciiTheme="majorHAnsi" w:eastAsia="Times New Roman" w:hAnsiTheme="majorHAnsi" w:cs="Times New Roman"/>
        </w:rPr>
        <w:t>doi:</w:t>
      </w:r>
      <w:r w:rsidR="00977934" w:rsidRPr="003A3EEA">
        <w:rPr>
          <w:rFonts w:asciiTheme="majorHAnsi" w:eastAsia="Times New Roman" w:hAnsiTheme="majorHAnsi" w:cs="Times New Roman"/>
        </w:rPr>
        <w:t xml:space="preserve"> 10/1126/science.1142834 (2007).</w:t>
      </w:r>
    </w:p>
    <w:p w14:paraId="02F8217D" w14:textId="54B0245A" w:rsidR="00977934" w:rsidRPr="003A3EEA" w:rsidRDefault="00642C41" w:rsidP="003A3EEA">
      <w:pPr>
        <w:rPr>
          <w:rFonts w:asciiTheme="majorHAnsi" w:eastAsia="Times New Roman" w:hAnsiTheme="majorHAnsi" w:cs="Times New Roman"/>
        </w:rPr>
      </w:pPr>
      <w:r w:rsidRPr="003A3EEA">
        <w:rPr>
          <w:rFonts w:asciiTheme="majorHAnsi" w:eastAsia="Times New Roman" w:hAnsiTheme="majorHAnsi" w:cs="Times New Roman"/>
        </w:rPr>
        <w:t>19</w:t>
      </w:r>
      <w:r w:rsidR="00533F46" w:rsidRPr="003A3EEA">
        <w:rPr>
          <w:rFonts w:asciiTheme="majorHAnsi" w:eastAsia="Times New Roman" w:hAnsiTheme="majorHAnsi" w:cs="Times New Roman"/>
        </w:rPr>
        <w:t xml:space="preserve">.  Donsante, A., </w:t>
      </w:r>
      <w:r w:rsidR="00533F46" w:rsidRPr="003A3EEA">
        <w:rPr>
          <w:rFonts w:asciiTheme="majorHAnsi" w:eastAsia="Times New Roman" w:hAnsiTheme="majorHAnsi" w:cs="Times New Roman"/>
          <w:i/>
        </w:rPr>
        <w:t>et al</w:t>
      </w:r>
      <w:r w:rsidR="00533F46" w:rsidRPr="003A3EEA">
        <w:rPr>
          <w:rFonts w:asciiTheme="majorHAnsi" w:eastAsia="Times New Roman" w:hAnsiTheme="majorHAnsi" w:cs="Times New Roman"/>
        </w:rPr>
        <w:t xml:space="preserve">. Observed incidence of tumorigenesis in long-term rodent studies of rAAV vectors. </w:t>
      </w:r>
      <w:r w:rsidR="00533F46" w:rsidRPr="003A3EEA">
        <w:rPr>
          <w:rFonts w:asciiTheme="majorHAnsi" w:eastAsia="Times New Roman" w:hAnsiTheme="majorHAnsi" w:cs="Times New Roman"/>
          <w:i/>
        </w:rPr>
        <w:t>Gene Ther</w:t>
      </w:r>
      <w:r w:rsidR="00533F46" w:rsidRPr="003A3EEA">
        <w:rPr>
          <w:rFonts w:asciiTheme="majorHAnsi" w:eastAsia="Times New Roman" w:hAnsiTheme="majorHAnsi" w:cs="Times New Roman"/>
        </w:rPr>
        <w:t xml:space="preserve">. </w:t>
      </w:r>
      <w:r w:rsidR="00533F46" w:rsidRPr="003A3EEA">
        <w:rPr>
          <w:rFonts w:asciiTheme="majorHAnsi" w:eastAsia="Times New Roman" w:hAnsiTheme="majorHAnsi" w:cs="Times New Roman"/>
          <w:b/>
        </w:rPr>
        <w:t>8</w:t>
      </w:r>
      <w:r w:rsidR="00533F46" w:rsidRPr="003A3EEA">
        <w:rPr>
          <w:rFonts w:asciiTheme="majorHAnsi" w:eastAsia="Times New Roman" w:hAnsiTheme="majorHAnsi" w:cs="Times New Roman"/>
        </w:rPr>
        <w:t xml:space="preserve"> (17), 1343-1346</w:t>
      </w:r>
      <w:r w:rsidR="00095874" w:rsidRPr="003A3EEA">
        <w:rPr>
          <w:rFonts w:asciiTheme="majorHAnsi" w:eastAsia="Times New Roman" w:hAnsiTheme="majorHAnsi" w:cs="Times New Roman"/>
        </w:rPr>
        <w:t>,</w:t>
      </w:r>
      <w:r w:rsidR="00533F46" w:rsidRPr="003A3EEA">
        <w:rPr>
          <w:rFonts w:asciiTheme="majorHAnsi" w:eastAsia="Times New Roman" w:hAnsiTheme="majorHAnsi" w:cs="Times New Roman"/>
        </w:rPr>
        <w:t xml:space="preserve"> (2001).</w:t>
      </w:r>
    </w:p>
    <w:p w14:paraId="75140840" w14:textId="664E0732" w:rsidR="00533F46" w:rsidRPr="003A3EEA" w:rsidRDefault="00642C41" w:rsidP="003A3EEA">
      <w:pPr>
        <w:rPr>
          <w:rFonts w:asciiTheme="majorHAnsi" w:eastAsia="Times New Roman" w:hAnsiTheme="majorHAnsi" w:cs="Times New Roman"/>
        </w:rPr>
      </w:pPr>
      <w:r w:rsidRPr="003A3EEA">
        <w:rPr>
          <w:rFonts w:asciiTheme="majorHAnsi" w:eastAsia="Times New Roman" w:hAnsiTheme="majorHAnsi" w:cs="Times New Roman"/>
        </w:rPr>
        <w:t>20</w:t>
      </w:r>
      <w:r w:rsidR="00533F46" w:rsidRPr="003A3EEA">
        <w:rPr>
          <w:rFonts w:asciiTheme="majorHAnsi" w:eastAsia="Times New Roman" w:hAnsiTheme="majorHAnsi" w:cs="Times New Roman"/>
        </w:rPr>
        <w:t>.  Wu, K., et al. Enhanced expression of Pctk1, Tcf12 and Ccnd in hippocampus of rats:  impact on cognitive function, synaptic plasticity and pathology</w:t>
      </w:r>
      <w:r w:rsidR="001B6AD1" w:rsidRPr="003A3EEA">
        <w:rPr>
          <w:rFonts w:asciiTheme="majorHAnsi" w:eastAsia="Times New Roman" w:hAnsiTheme="majorHAnsi" w:cs="Times New Roman"/>
        </w:rPr>
        <w:t xml:space="preserve">.  </w:t>
      </w:r>
      <w:r w:rsidR="001B6AD1" w:rsidRPr="003A3EEA">
        <w:rPr>
          <w:rFonts w:asciiTheme="majorHAnsi" w:eastAsia="Times New Roman" w:hAnsiTheme="majorHAnsi" w:cs="Times New Roman"/>
          <w:i/>
        </w:rPr>
        <w:t>Neurobiol. Learn. Mem</w:t>
      </w:r>
      <w:r w:rsidR="001B6AD1" w:rsidRPr="003A3EEA">
        <w:rPr>
          <w:rFonts w:asciiTheme="majorHAnsi" w:eastAsia="Times New Roman" w:hAnsiTheme="majorHAnsi" w:cs="Times New Roman"/>
        </w:rPr>
        <w:t xml:space="preserve"> </w:t>
      </w:r>
      <w:r w:rsidR="001B6AD1" w:rsidRPr="003A3EEA">
        <w:rPr>
          <w:rFonts w:asciiTheme="majorHAnsi" w:eastAsia="Times New Roman" w:hAnsiTheme="majorHAnsi" w:cs="Times New Roman"/>
          <w:b/>
        </w:rPr>
        <w:t>97</w:t>
      </w:r>
      <w:r w:rsidR="001B6AD1" w:rsidRPr="003A3EEA">
        <w:rPr>
          <w:rFonts w:asciiTheme="majorHAnsi" w:eastAsia="Times New Roman" w:hAnsiTheme="majorHAnsi" w:cs="Times New Roman"/>
        </w:rPr>
        <w:t xml:space="preserve"> (1), 69-80</w:t>
      </w:r>
      <w:r w:rsidR="00514785" w:rsidRPr="003A3EEA">
        <w:rPr>
          <w:rFonts w:asciiTheme="majorHAnsi" w:eastAsia="Times New Roman" w:hAnsiTheme="majorHAnsi" w:cs="Times New Roman"/>
        </w:rPr>
        <w:t xml:space="preserve">, </w:t>
      </w:r>
      <w:r w:rsidR="00095874" w:rsidRPr="003A3EEA">
        <w:rPr>
          <w:rFonts w:asciiTheme="majorHAnsi" w:eastAsia="Times New Roman" w:hAnsiTheme="majorHAnsi" w:cs="Times New Roman"/>
        </w:rPr>
        <w:t>doi:</w:t>
      </w:r>
      <w:r w:rsidR="00514785" w:rsidRPr="003A3EEA">
        <w:rPr>
          <w:rFonts w:asciiTheme="majorHAnsi" w:eastAsia="Times New Roman" w:hAnsiTheme="majorHAnsi" w:cs="Times New Roman"/>
        </w:rPr>
        <w:t xml:space="preserve"> 10.1016/j.nlm.2011.09.006 (2011).</w:t>
      </w:r>
    </w:p>
    <w:p w14:paraId="67CFB0EF" w14:textId="55F1045F" w:rsidR="00642C41" w:rsidRPr="003A3EEA" w:rsidRDefault="00642C41" w:rsidP="003A3EEA">
      <w:pPr>
        <w:rPr>
          <w:rFonts w:asciiTheme="majorHAnsi" w:hAnsiTheme="majorHAnsi" w:cs="Times New Roman"/>
        </w:rPr>
      </w:pPr>
      <w:r w:rsidRPr="003A3EEA">
        <w:rPr>
          <w:rFonts w:asciiTheme="majorHAnsi" w:hAnsiTheme="majorHAnsi" w:cs="Times New Roman"/>
        </w:rPr>
        <w:t xml:space="preserve">21. National Academy Press. </w:t>
      </w:r>
      <w:r w:rsidRPr="003A3EEA">
        <w:rPr>
          <w:rFonts w:asciiTheme="majorHAnsi" w:hAnsiTheme="majorHAnsi" w:cs="Times New Roman"/>
          <w:i/>
        </w:rPr>
        <w:t>Guide for the Care and Use of Laboratory Animals</w:t>
      </w:r>
      <w:r w:rsidRPr="003A3EEA">
        <w:rPr>
          <w:rFonts w:asciiTheme="majorHAnsi" w:hAnsiTheme="majorHAnsi" w:cs="Times New Roman"/>
        </w:rPr>
        <w:t>. National Academy Press: Washington, DC (1996).</w:t>
      </w:r>
    </w:p>
    <w:p w14:paraId="75787DBE" w14:textId="02E39904" w:rsidR="005C5846" w:rsidRPr="003A3EEA" w:rsidRDefault="00095874" w:rsidP="003A3EEA">
      <w:pPr>
        <w:rPr>
          <w:rFonts w:asciiTheme="majorHAnsi" w:hAnsiTheme="majorHAnsi" w:cs="Times New Roman"/>
        </w:rPr>
      </w:pPr>
      <w:r w:rsidRPr="003A3EEA">
        <w:rPr>
          <w:rFonts w:asciiTheme="majorHAnsi" w:eastAsia="Times New Roman" w:hAnsiTheme="majorHAnsi" w:cs="Times New Roman"/>
        </w:rPr>
        <w:t>22</w:t>
      </w:r>
      <w:r w:rsidR="00137D59" w:rsidRPr="003A3EEA">
        <w:rPr>
          <w:rFonts w:asciiTheme="majorHAnsi" w:eastAsia="Times New Roman" w:hAnsiTheme="majorHAnsi" w:cs="Times New Roman"/>
        </w:rPr>
        <w:t>.</w:t>
      </w:r>
      <w:r w:rsidR="004D3C57" w:rsidRPr="003A3EEA">
        <w:rPr>
          <w:rFonts w:asciiTheme="majorHAnsi" w:eastAsia="Times New Roman" w:hAnsiTheme="majorHAnsi" w:cs="Times New Roman"/>
        </w:rPr>
        <w:t xml:space="preserve"> </w:t>
      </w:r>
      <w:r w:rsidR="00137D59" w:rsidRPr="003A3EEA">
        <w:rPr>
          <w:rFonts w:asciiTheme="majorHAnsi" w:eastAsia="Times New Roman" w:hAnsiTheme="majorHAnsi" w:cs="Times New Roman"/>
        </w:rPr>
        <w:t>Lowery</w:t>
      </w:r>
      <w:r w:rsidR="00551CC7" w:rsidRPr="003A3EEA">
        <w:rPr>
          <w:rFonts w:asciiTheme="majorHAnsi" w:eastAsia="Times New Roman" w:hAnsiTheme="majorHAnsi" w:cs="Times New Roman"/>
        </w:rPr>
        <w:t>,</w:t>
      </w:r>
      <w:r w:rsidR="00137D59" w:rsidRPr="003A3EEA">
        <w:rPr>
          <w:rFonts w:asciiTheme="majorHAnsi" w:eastAsia="Times New Roman" w:hAnsiTheme="majorHAnsi" w:cs="Times New Roman"/>
        </w:rPr>
        <w:t xml:space="preserve"> R</w:t>
      </w:r>
      <w:r w:rsidR="00551CC7" w:rsidRPr="003A3EEA">
        <w:rPr>
          <w:rFonts w:asciiTheme="majorHAnsi" w:eastAsia="Times New Roman" w:hAnsiTheme="majorHAnsi" w:cs="Times New Roman"/>
        </w:rPr>
        <w:t>.</w:t>
      </w:r>
      <w:r w:rsidR="00137D59" w:rsidRPr="003A3EEA">
        <w:rPr>
          <w:rFonts w:asciiTheme="majorHAnsi" w:eastAsia="Times New Roman" w:hAnsiTheme="majorHAnsi" w:cs="Times New Roman"/>
        </w:rPr>
        <w:t>L</w:t>
      </w:r>
      <w:r w:rsidR="00551CC7" w:rsidRPr="003A3EEA">
        <w:rPr>
          <w:rFonts w:asciiTheme="majorHAnsi" w:eastAsia="Times New Roman" w:hAnsiTheme="majorHAnsi" w:cs="Times New Roman"/>
        </w:rPr>
        <w:t>.,</w:t>
      </w:r>
      <w:r w:rsidR="00137D59" w:rsidRPr="003A3EEA">
        <w:rPr>
          <w:rFonts w:asciiTheme="majorHAnsi" w:eastAsia="Times New Roman" w:hAnsiTheme="majorHAnsi" w:cs="Times New Roman"/>
        </w:rPr>
        <w:t xml:space="preserve"> &amp; Majewska</w:t>
      </w:r>
      <w:r w:rsidR="00551CC7" w:rsidRPr="003A3EEA">
        <w:rPr>
          <w:rFonts w:asciiTheme="majorHAnsi" w:eastAsia="Times New Roman" w:hAnsiTheme="majorHAnsi" w:cs="Times New Roman"/>
        </w:rPr>
        <w:t>,</w:t>
      </w:r>
      <w:r w:rsidR="00137D59" w:rsidRPr="003A3EEA">
        <w:rPr>
          <w:rFonts w:asciiTheme="majorHAnsi" w:eastAsia="Times New Roman" w:hAnsiTheme="majorHAnsi" w:cs="Times New Roman"/>
        </w:rPr>
        <w:t xml:space="preserve"> A</w:t>
      </w:r>
      <w:r w:rsidR="00551CC7" w:rsidRPr="003A3EEA">
        <w:rPr>
          <w:rFonts w:asciiTheme="majorHAnsi" w:eastAsia="Times New Roman" w:hAnsiTheme="majorHAnsi" w:cs="Times New Roman"/>
        </w:rPr>
        <w:t>.</w:t>
      </w:r>
      <w:r w:rsidR="00137D59" w:rsidRPr="003A3EEA">
        <w:rPr>
          <w:rFonts w:asciiTheme="majorHAnsi" w:eastAsia="Times New Roman" w:hAnsiTheme="majorHAnsi" w:cs="Times New Roman"/>
        </w:rPr>
        <w:t>K.</w:t>
      </w:r>
      <w:r w:rsidR="004D3C57" w:rsidRPr="003A3EEA">
        <w:rPr>
          <w:rFonts w:asciiTheme="majorHAnsi" w:eastAsia="Times New Roman" w:hAnsiTheme="majorHAnsi" w:cs="Times New Roman"/>
        </w:rPr>
        <w:t xml:space="preserve"> </w:t>
      </w:r>
      <w:r w:rsidR="00137D59" w:rsidRPr="003A3EEA">
        <w:rPr>
          <w:rFonts w:asciiTheme="majorHAnsi" w:eastAsia="Times New Roman" w:hAnsiTheme="majorHAnsi" w:cs="Times New Roman"/>
        </w:rPr>
        <w:t>Intracranial injection of adeno-associated viral vectors.</w:t>
      </w:r>
      <w:r w:rsidR="004D3C57" w:rsidRPr="003A3EEA">
        <w:rPr>
          <w:rFonts w:asciiTheme="majorHAnsi" w:eastAsia="Times New Roman" w:hAnsiTheme="majorHAnsi" w:cs="Times New Roman"/>
        </w:rPr>
        <w:t xml:space="preserve"> </w:t>
      </w:r>
      <w:r w:rsidR="00137D59" w:rsidRPr="003A3EEA">
        <w:rPr>
          <w:rFonts w:asciiTheme="majorHAnsi" w:eastAsia="Times New Roman" w:hAnsiTheme="majorHAnsi" w:cs="Times New Roman"/>
          <w:i/>
        </w:rPr>
        <w:t>J. Vis</w:t>
      </w:r>
      <w:r w:rsidR="006F67F4" w:rsidRPr="003A3EEA">
        <w:rPr>
          <w:rFonts w:asciiTheme="majorHAnsi" w:eastAsia="Times New Roman" w:hAnsiTheme="majorHAnsi" w:cs="Times New Roman"/>
          <w:i/>
        </w:rPr>
        <w:t>.</w:t>
      </w:r>
      <w:r w:rsidR="00137D59" w:rsidRPr="003A3EEA">
        <w:rPr>
          <w:rFonts w:asciiTheme="majorHAnsi" w:eastAsia="Times New Roman" w:hAnsiTheme="majorHAnsi" w:cs="Times New Roman"/>
          <w:i/>
        </w:rPr>
        <w:t xml:space="preserve"> Exp.</w:t>
      </w:r>
      <w:r w:rsidR="00137D59" w:rsidRPr="003A3EEA">
        <w:rPr>
          <w:rFonts w:asciiTheme="majorHAnsi" w:eastAsia="Times New Roman" w:hAnsiTheme="majorHAnsi" w:cs="Times New Roman"/>
        </w:rPr>
        <w:t xml:space="preserve"> (</w:t>
      </w:r>
      <w:r w:rsidR="00137D59" w:rsidRPr="003A3EEA">
        <w:rPr>
          <w:rFonts w:asciiTheme="majorHAnsi" w:eastAsia="Times New Roman" w:hAnsiTheme="majorHAnsi" w:cs="Times New Roman"/>
          <w:b/>
        </w:rPr>
        <w:t>45</w:t>
      </w:r>
      <w:r w:rsidR="00137D59" w:rsidRPr="003A3EEA">
        <w:rPr>
          <w:rFonts w:asciiTheme="majorHAnsi" w:eastAsia="Times New Roman" w:hAnsiTheme="majorHAnsi" w:cs="Times New Roman"/>
        </w:rPr>
        <w:t xml:space="preserve">), e2140, </w:t>
      </w:r>
      <w:r w:rsidRPr="003A3EEA">
        <w:rPr>
          <w:rFonts w:asciiTheme="majorHAnsi" w:hAnsiTheme="majorHAnsi" w:cs="Calibri"/>
        </w:rPr>
        <w:t>doi:</w:t>
      </w:r>
      <w:r w:rsidR="00EE339D" w:rsidRPr="003A3EEA">
        <w:rPr>
          <w:rFonts w:asciiTheme="majorHAnsi" w:hAnsiTheme="majorHAnsi" w:cs="Calibri"/>
        </w:rPr>
        <w:t xml:space="preserve"> 10.3791/2140 (2010).</w:t>
      </w:r>
    </w:p>
    <w:p w14:paraId="529C4004" w14:textId="7B60919F" w:rsidR="007958EB" w:rsidRPr="003A3EEA" w:rsidRDefault="00095874" w:rsidP="003A3EEA">
      <w:pPr>
        <w:rPr>
          <w:rFonts w:asciiTheme="majorHAnsi" w:hAnsiTheme="majorHAnsi" w:cs="Times New Roman"/>
        </w:rPr>
      </w:pPr>
      <w:r w:rsidRPr="003A3EEA">
        <w:rPr>
          <w:rFonts w:asciiTheme="majorHAnsi" w:hAnsiTheme="majorHAnsi" w:cs="Times New Roman"/>
        </w:rPr>
        <w:lastRenderedPageBreak/>
        <w:t>23</w:t>
      </w:r>
      <w:r w:rsidR="00345606" w:rsidRPr="003A3EEA">
        <w:rPr>
          <w:rFonts w:asciiTheme="majorHAnsi" w:hAnsiTheme="majorHAnsi" w:cs="Times New Roman"/>
        </w:rPr>
        <w:t>. Cavaletti</w:t>
      </w:r>
      <w:r w:rsidR="00551CC7" w:rsidRPr="003A3EEA">
        <w:rPr>
          <w:rFonts w:asciiTheme="majorHAnsi" w:hAnsiTheme="majorHAnsi" w:cs="Times New Roman"/>
        </w:rPr>
        <w:t>,</w:t>
      </w:r>
      <w:r w:rsidR="00345606" w:rsidRPr="003A3EEA">
        <w:rPr>
          <w:rFonts w:asciiTheme="majorHAnsi" w:hAnsiTheme="majorHAnsi" w:cs="Times New Roman"/>
        </w:rPr>
        <w:t xml:space="preserve"> G.</w:t>
      </w:r>
      <w:r w:rsidR="00551CC7" w:rsidRPr="003A3EEA">
        <w:rPr>
          <w:rFonts w:asciiTheme="majorHAnsi" w:hAnsiTheme="majorHAnsi" w:cs="Times New Roman"/>
        </w:rPr>
        <w:t xml:space="preserve">, </w:t>
      </w:r>
      <w:r w:rsidR="00551CC7" w:rsidRPr="003A3EEA">
        <w:rPr>
          <w:rFonts w:asciiTheme="majorHAnsi" w:hAnsiTheme="majorHAnsi" w:cs="Times New Roman"/>
          <w:i/>
        </w:rPr>
        <w:t>et al.</w:t>
      </w:r>
      <w:r w:rsidR="00AA3B42" w:rsidRPr="003A3EEA">
        <w:rPr>
          <w:rFonts w:asciiTheme="majorHAnsi" w:hAnsiTheme="majorHAnsi" w:cs="Times New Roman"/>
        </w:rPr>
        <w:t xml:space="preserve"> Effect in the peripheral nervous system of systemically administered dimethylsulfoxide in the rat: a neurophysiological and pathological study. </w:t>
      </w:r>
      <w:r w:rsidR="00AA3B42" w:rsidRPr="003A3EEA">
        <w:rPr>
          <w:rFonts w:asciiTheme="majorHAnsi" w:hAnsiTheme="majorHAnsi" w:cs="Times New Roman"/>
          <w:i/>
        </w:rPr>
        <w:t>Toxicol</w:t>
      </w:r>
      <w:r w:rsidR="006F67F4" w:rsidRPr="003A3EEA">
        <w:rPr>
          <w:rFonts w:asciiTheme="majorHAnsi" w:hAnsiTheme="majorHAnsi" w:cs="Times New Roman"/>
          <w:i/>
        </w:rPr>
        <w:t>.</w:t>
      </w:r>
      <w:r w:rsidR="00AA3B42" w:rsidRPr="003A3EEA">
        <w:rPr>
          <w:rFonts w:asciiTheme="majorHAnsi" w:hAnsiTheme="majorHAnsi" w:cs="Times New Roman"/>
          <w:i/>
        </w:rPr>
        <w:t xml:space="preserve"> Lett</w:t>
      </w:r>
      <w:r w:rsidR="006F67F4" w:rsidRPr="003A3EEA">
        <w:rPr>
          <w:rFonts w:asciiTheme="majorHAnsi" w:hAnsiTheme="majorHAnsi" w:cs="Times New Roman"/>
          <w:i/>
        </w:rPr>
        <w:t>.</w:t>
      </w:r>
      <w:r w:rsidR="00AA3B42" w:rsidRPr="003A3EEA">
        <w:rPr>
          <w:rFonts w:asciiTheme="majorHAnsi" w:hAnsiTheme="majorHAnsi" w:cs="Times New Roman"/>
        </w:rPr>
        <w:t xml:space="preserve"> </w:t>
      </w:r>
      <w:r w:rsidR="00AA3B42" w:rsidRPr="003A3EEA">
        <w:rPr>
          <w:rFonts w:asciiTheme="majorHAnsi" w:hAnsiTheme="majorHAnsi" w:cs="Times New Roman"/>
          <w:b/>
        </w:rPr>
        <w:t>11</w:t>
      </w:r>
      <w:r w:rsidR="004A46D6" w:rsidRPr="003A3EEA">
        <w:rPr>
          <w:rFonts w:asciiTheme="majorHAnsi" w:hAnsiTheme="majorHAnsi" w:cs="Times New Roman"/>
          <w:b/>
        </w:rPr>
        <w:t>9</w:t>
      </w:r>
      <w:r w:rsidR="00345606" w:rsidRPr="003A3EEA">
        <w:rPr>
          <w:rFonts w:asciiTheme="majorHAnsi" w:hAnsiTheme="majorHAnsi" w:cs="Times New Roman"/>
          <w:b/>
        </w:rPr>
        <w:t xml:space="preserve">, </w:t>
      </w:r>
      <w:r w:rsidR="006F67F4" w:rsidRPr="003A3EEA">
        <w:rPr>
          <w:rFonts w:asciiTheme="majorHAnsi" w:hAnsiTheme="majorHAnsi" w:cs="Times New Roman"/>
          <w:b/>
        </w:rPr>
        <w:t>(</w:t>
      </w:r>
      <w:r w:rsidR="00345606" w:rsidRPr="003A3EEA">
        <w:rPr>
          <w:rFonts w:asciiTheme="majorHAnsi" w:hAnsiTheme="majorHAnsi" w:cs="Times New Roman"/>
        </w:rPr>
        <w:t>1-2</w:t>
      </w:r>
      <w:r w:rsidR="006F67F4" w:rsidRPr="003A3EEA">
        <w:rPr>
          <w:rFonts w:asciiTheme="majorHAnsi" w:hAnsiTheme="majorHAnsi" w:cs="Times New Roman"/>
        </w:rPr>
        <w:t>)</w:t>
      </w:r>
      <w:r w:rsidR="00345606" w:rsidRPr="003A3EEA">
        <w:rPr>
          <w:rFonts w:asciiTheme="majorHAnsi" w:hAnsiTheme="majorHAnsi" w:cs="Times New Roman"/>
        </w:rPr>
        <w:t>,</w:t>
      </w:r>
      <w:r w:rsidR="00345606" w:rsidRPr="003A3EEA">
        <w:rPr>
          <w:rFonts w:asciiTheme="majorHAnsi" w:hAnsiTheme="majorHAnsi" w:cs="Times New Roman"/>
          <w:b/>
        </w:rPr>
        <w:t xml:space="preserve"> </w:t>
      </w:r>
      <w:r w:rsidR="00345606" w:rsidRPr="003A3EEA">
        <w:rPr>
          <w:rFonts w:asciiTheme="majorHAnsi" w:hAnsiTheme="majorHAnsi" w:cs="Times New Roman"/>
        </w:rPr>
        <w:t>103–10</w:t>
      </w:r>
      <w:r w:rsidRPr="003A3EEA">
        <w:rPr>
          <w:rFonts w:asciiTheme="majorHAnsi" w:hAnsiTheme="majorHAnsi" w:cs="Times New Roman"/>
        </w:rPr>
        <w:t xml:space="preserve">7, </w:t>
      </w:r>
      <w:r w:rsidRPr="003A3EEA">
        <w:rPr>
          <w:rFonts w:asciiTheme="majorHAnsi" w:hAnsiTheme="majorHAnsi" w:cs="Calibri"/>
        </w:rPr>
        <w:t>doi:</w:t>
      </w:r>
      <w:r w:rsidR="00EE339D" w:rsidRPr="003A3EEA">
        <w:rPr>
          <w:rFonts w:asciiTheme="majorHAnsi" w:hAnsiTheme="majorHAnsi" w:cs="Calibri"/>
        </w:rPr>
        <w:t xml:space="preserve"> 10.1016/S0378-4274(00)00269-1</w:t>
      </w:r>
      <w:r w:rsidRPr="003A3EEA">
        <w:rPr>
          <w:rFonts w:asciiTheme="majorHAnsi" w:hAnsiTheme="majorHAnsi" w:cs="Calibri"/>
        </w:rPr>
        <w:t xml:space="preserve"> (2000)</w:t>
      </w:r>
      <w:r w:rsidR="00EE339D" w:rsidRPr="003A3EEA">
        <w:rPr>
          <w:rFonts w:asciiTheme="majorHAnsi" w:hAnsiTheme="majorHAnsi" w:cs="Calibri"/>
        </w:rPr>
        <w:t>.</w:t>
      </w:r>
    </w:p>
    <w:p w14:paraId="4A730AD1" w14:textId="212B1570" w:rsidR="007958EB" w:rsidRPr="003A3EEA" w:rsidRDefault="00095874" w:rsidP="003A3EEA">
      <w:pPr>
        <w:rPr>
          <w:rFonts w:asciiTheme="majorHAnsi" w:hAnsiTheme="majorHAnsi" w:cs="Times New Roman"/>
        </w:rPr>
      </w:pPr>
      <w:r w:rsidRPr="003A3EEA">
        <w:rPr>
          <w:rFonts w:asciiTheme="majorHAnsi" w:hAnsiTheme="majorHAnsi" w:cs="Times New Roman"/>
        </w:rPr>
        <w:t>24</w:t>
      </w:r>
      <w:r w:rsidR="007958EB" w:rsidRPr="003A3EEA">
        <w:rPr>
          <w:rFonts w:asciiTheme="majorHAnsi" w:hAnsiTheme="majorHAnsi" w:cs="Times New Roman"/>
        </w:rPr>
        <w:t>.</w:t>
      </w:r>
      <w:r w:rsidR="004D3C57" w:rsidRPr="003A3EEA">
        <w:rPr>
          <w:rFonts w:asciiTheme="majorHAnsi" w:hAnsiTheme="majorHAnsi" w:cs="Times New Roman"/>
        </w:rPr>
        <w:t xml:space="preserve"> </w:t>
      </w:r>
      <w:r w:rsidR="00966E47" w:rsidRPr="003A3EEA">
        <w:rPr>
          <w:rFonts w:asciiTheme="majorHAnsi" w:hAnsiTheme="majorHAnsi" w:cs="Times New Roman"/>
        </w:rPr>
        <w:t>Parnaudeau</w:t>
      </w:r>
      <w:r w:rsidR="00551CC7" w:rsidRPr="003A3EEA">
        <w:rPr>
          <w:rFonts w:asciiTheme="majorHAnsi" w:hAnsiTheme="majorHAnsi" w:cs="Times New Roman"/>
        </w:rPr>
        <w:t>,</w:t>
      </w:r>
      <w:r w:rsidR="00966E47" w:rsidRPr="003A3EEA">
        <w:rPr>
          <w:rFonts w:asciiTheme="majorHAnsi" w:hAnsiTheme="majorHAnsi" w:cs="Times New Roman"/>
        </w:rPr>
        <w:t xml:space="preserve"> </w:t>
      </w:r>
      <w:r w:rsidR="00551CC7" w:rsidRPr="003A3EEA">
        <w:rPr>
          <w:rFonts w:asciiTheme="majorHAnsi" w:hAnsiTheme="majorHAnsi" w:cs="Times New Roman"/>
        </w:rPr>
        <w:t>S</w:t>
      </w:r>
      <w:r w:rsidR="00501AE3" w:rsidRPr="003A3EEA">
        <w:rPr>
          <w:rFonts w:asciiTheme="majorHAnsi" w:hAnsiTheme="majorHAnsi" w:cs="Times New Roman"/>
        </w:rPr>
        <w:t xml:space="preserve">., </w:t>
      </w:r>
      <w:r w:rsidR="00501AE3" w:rsidRPr="003A3EEA">
        <w:rPr>
          <w:rFonts w:asciiTheme="majorHAnsi" w:hAnsiTheme="majorHAnsi" w:cs="Times New Roman"/>
          <w:i/>
        </w:rPr>
        <w:t xml:space="preserve">et al. </w:t>
      </w:r>
      <w:r w:rsidR="0055577D" w:rsidRPr="003A3EEA">
        <w:rPr>
          <w:rFonts w:asciiTheme="majorHAnsi" w:hAnsiTheme="majorHAnsi" w:cs="Times New Roman"/>
        </w:rPr>
        <w:t xml:space="preserve">Mediodorsal thalamus hypofunction impairs flexible goal-directed behavior. </w:t>
      </w:r>
      <w:r w:rsidR="00D66A36" w:rsidRPr="003A3EEA">
        <w:rPr>
          <w:rFonts w:asciiTheme="majorHAnsi" w:hAnsiTheme="majorHAnsi" w:cs="Times New Roman"/>
          <w:i/>
        </w:rPr>
        <w:t>Biol. Psychiatry</w:t>
      </w:r>
      <w:r w:rsidR="00D66A36" w:rsidRPr="003A3EEA">
        <w:rPr>
          <w:rFonts w:asciiTheme="majorHAnsi" w:hAnsiTheme="majorHAnsi" w:cs="Times New Roman"/>
        </w:rPr>
        <w:t xml:space="preserve">. </w:t>
      </w:r>
      <w:r w:rsidR="00137D59" w:rsidRPr="003A3EEA">
        <w:rPr>
          <w:rFonts w:asciiTheme="majorHAnsi" w:hAnsiTheme="majorHAnsi" w:cs="Times New Roman"/>
        </w:rPr>
        <w:t xml:space="preserve">In Press </w:t>
      </w:r>
      <w:r w:rsidRPr="003A3EEA">
        <w:rPr>
          <w:rFonts w:asciiTheme="majorHAnsi" w:hAnsiTheme="majorHAnsi" w:cs="Arial"/>
        </w:rPr>
        <w:t>doi:</w:t>
      </w:r>
      <w:r w:rsidR="00EE339D" w:rsidRPr="003A3EEA">
        <w:rPr>
          <w:rFonts w:asciiTheme="majorHAnsi" w:hAnsiTheme="majorHAnsi" w:cs="Arial"/>
        </w:rPr>
        <w:t xml:space="preserve"> 10.1016/j.biopsych.2014.03.020</w:t>
      </w:r>
      <w:r w:rsidRPr="003A3EEA">
        <w:rPr>
          <w:rFonts w:asciiTheme="majorHAnsi" w:hAnsiTheme="majorHAnsi" w:cs="Arial"/>
        </w:rPr>
        <w:t xml:space="preserve"> </w:t>
      </w:r>
      <w:r w:rsidRPr="003A3EEA">
        <w:rPr>
          <w:rFonts w:asciiTheme="majorHAnsi" w:hAnsiTheme="majorHAnsi" w:cs="Times New Roman"/>
        </w:rPr>
        <w:t>(2014)</w:t>
      </w:r>
      <w:r w:rsidR="00EE339D" w:rsidRPr="003A3EEA">
        <w:rPr>
          <w:rFonts w:asciiTheme="majorHAnsi" w:hAnsiTheme="majorHAnsi" w:cs="Arial"/>
        </w:rPr>
        <w:t>.</w:t>
      </w:r>
    </w:p>
    <w:p w14:paraId="0E421B66" w14:textId="70B72156" w:rsidR="00A601AC" w:rsidRPr="003A3EEA" w:rsidRDefault="00095874" w:rsidP="003A3EEA">
      <w:pPr>
        <w:rPr>
          <w:rFonts w:asciiTheme="majorHAnsi" w:hAnsiTheme="majorHAnsi" w:cs="Times New Roman"/>
        </w:rPr>
      </w:pPr>
      <w:r w:rsidRPr="003A3EEA">
        <w:rPr>
          <w:rFonts w:asciiTheme="majorHAnsi" w:hAnsiTheme="majorHAnsi" w:cs="Times New Roman"/>
        </w:rPr>
        <w:t>25</w:t>
      </w:r>
      <w:r w:rsidR="00A601AC" w:rsidRPr="003A3EEA">
        <w:rPr>
          <w:rFonts w:asciiTheme="majorHAnsi" w:hAnsiTheme="majorHAnsi" w:cs="Times New Roman"/>
        </w:rPr>
        <w:t xml:space="preserve">. </w:t>
      </w:r>
      <w:hyperlink r:id="rId8" w:history="1">
        <w:r w:rsidR="00A601AC" w:rsidRPr="003A3EEA">
          <w:rPr>
            <w:rStyle w:val="Hyperlink"/>
            <w:rFonts w:asciiTheme="majorHAnsi" w:hAnsiTheme="majorHAnsi" w:cs="Times New Roman"/>
            <w:color w:val="auto"/>
          </w:rPr>
          <w:t>www.dreadd.org</w:t>
        </w:r>
      </w:hyperlink>
      <w:r w:rsidR="00A601AC" w:rsidRPr="003A3EEA">
        <w:rPr>
          <w:rFonts w:asciiTheme="majorHAnsi" w:hAnsiTheme="majorHAnsi" w:cs="Times New Roman"/>
        </w:rPr>
        <w:t>. DREADD wiki</w:t>
      </w:r>
      <w:r w:rsidR="003A3EEA" w:rsidRPr="003A3EEA">
        <w:rPr>
          <w:rFonts w:asciiTheme="majorHAnsi" w:hAnsiTheme="majorHAnsi" w:cs="Times New Roman"/>
        </w:rPr>
        <w:t xml:space="preserve"> (2014).</w:t>
      </w:r>
    </w:p>
    <w:p w14:paraId="4871DE5F" w14:textId="34BAA780" w:rsidR="007958EB" w:rsidRPr="003A3EEA" w:rsidRDefault="00095874" w:rsidP="003A3EEA">
      <w:pPr>
        <w:rPr>
          <w:rFonts w:asciiTheme="majorHAnsi" w:hAnsiTheme="majorHAnsi" w:cs="Times New Roman"/>
        </w:rPr>
      </w:pPr>
      <w:r w:rsidRPr="003A3EEA">
        <w:rPr>
          <w:rFonts w:asciiTheme="majorHAnsi" w:hAnsiTheme="majorHAnsi" w:cs="Times New Roman"/>
        </w:rPr>
        <w:t>26</w:t>
      </w:r>
      <w:r w:rsidR="007958EB" w:rsidRPr="003A3EEA">
        <w:rPr>
          <w:rFonts w:asciiTheme="majorHAnsi" w:hAnsiTheme="majorHAnsi" w:cs="Times New Roman"/>
        </w:rPr>
        <w:t xml:space="preserve">. </w:t>
      </w:r>
      <w:r w:rsidR="007C5A0A" w:rsidRPr="003A3EEA">
        <w:rPr>
          <w:rFonts w:asciiTheme="majorHAnsi" w:hAnsiTheme="majorHAnsi" w:cs="Times New Roman"/>
        </w:rPr>
        <w:t>Ferguson</w:t>
      </w:r>
      <w:r w:rsidR="00551CC7" w:rsidRPr="003A3EEA">
        <w:rPr>
          <w:rFonts w:asciiTheme="majorHAnsi" w:hAnsiTheme="majorHAnsi" w:cs="Times New Roman"/>
        </w:rPr>
        <w:t>,</w:t>
      </w:r>
      <w:r w:rsidR="007C5A0A" w:rsidRPr="003A3EEA">
        <w:rPr>
          <w:rFonts w:asciiTheme="majorHAnsi" w:hAnsiTheme="majorHAnsi" w:cs="Times New Roman"/>
        </w:rPr>
        <w:t xml:space="preserve"> S</w:t>
      </w:r>
      <w:r w:rsidR="00551CC7" w:rsidRPr="003A3EEA">
        <w:rPr>
          <w:rFonts w:asciiTheme="majorHAnsi" w:hAnsiTheme="majorHAnsi" w:cs="Times New Roman"/>
        </w:rPr>
        <w:t>.</w:t>
      </w:r>
      <w:r w:rsidR="007C5A0A" w:rsidRPr="003A3EEA">
        <w:rPr>
          <w:rFonts w:asciiTheme="majorHAnsi" w:hAnsiTheme="majorHAnsi" w:cs="Times New Roman"/>
        </w:rPr>
        <w:t>M</w:t>
      </w:r>
      <w:r w:rsidR="00551CC7" w:rsidRPr="003A3EEA">
        <w:rPr>
          <w:rFonts w:asciiTheme="majorHAnsi" w:hAnsiTheme="majorHAnsi" w:cs="Times New Roman"/>
        </w:rPr>
        <w:t>.</w:t>
      </w:r>
      <w:r w:rsidR="007C5A0A" w:rsidRPr="003A3EEA">
        <w:rPr>
          <w:rFonts w:asciiTheme="majorHAnsi" w:hAnsiTheme="majorHAnsi" w:cs="Times New Roman"/>
        </w:rPr>
        <w:t>, Phillips</w:t>
      </w:r>
      <w:r w:rsidR="00551CC7" w:rsidRPr="003A3EEA">
        <w:rPr>
          <w:rFonts w:asciiTheme="majorHAnsi" w:hAnsiTheme="majorHAnsi" w:cs="Times New Roman"/>
        </w:rPr>
        <w:t>,</w:t>
      </w:r>
      <w:r w:rsidR="007C5A0A" w:rsidRPr="003A3EEA">
        <w:rPr>
          <w:rFonts w:asciiTheme="majorHAnsi" w:hAnsiTheme="majorHAnsi" w:cs="Times New Roman"/>
        </w:rPr>
        <w:t xml:space="preserve"> P</w:t>
      </w:r>
      <w:r w:rsidR="00551CC7" w:rsidRPr="003A3EEA">
        <w:rPr>
          <w:rFonts w:asciiTheme="majorHAnsi" w:hAnsiTheme="majorHAnsi" w:cs="Times New Roman"/>
        </w:rPr>
        <w:t>.</w:t>
      </w:r>
      <w:r w:rsidR="007C5A0A" w:rsidRPr="003A3EEA">
        <w:rPr>
          <w:rFonts w:asciiTheme="majorHAnsi" w:hAnsiTheme="majorHAnsi" w:cs="Times New Roman"/>
        </w:rPr>
        <w:t>E</w:t>
      </w:r>
      <w:r w:rsidR="00551CC7" w:rsidRPr="003A3EEA">
        <w:rPr>
          <w:rFonts w:asciiTheme="majorHAnsi" w:hAnsiTheme="majorHAnsi" w:cs="Times New Roman"/>
        </w:rPr>
        <w:t>.</w:t>
      </w:r>
      <w:r w:rsidR="007C5A0A" w:rsidRPr="003A3EEA">
        <w:rPr>
          <w:rFonts w:asciiTheme="majorHAnsi" w:hAnsiTheme="majorHAnsi" w:cs="Times New Roman"/>
        </w:rPr>
        <w:t>M</w:t>
      </w:r>
      <w:r w:rsidR="00551CC7" w:rsidRPr="003A3EEA">
        <w:rPr>
          <w:rFonts w:asciiTheme="majorHAnsi" w:hAnsiTheme="majorHAnsi" w:cs="Times New Roman"/>
        </w:rPr>
        <w:t>.</w:t>
      </w:r>
      <w:r w:rsidR="007C5A0A" w:rsidRPr="003A3EEA">
        <w:rPr>
          <w:rFonts w:asciiTheme="majorHAnsi" w:hAnsiTheme="majorHAnsi" w:cs="Times New Roman"/>
        </w:rPr>
        <w:t>, Roth</w:t>
      </w:r>
      <w:r w:rsidR="00551CC7" w:rsidRPr="003A3EEA">
        <w:rPr>
          <w:rFonts w:asciiTheme="majorHAnsi" w:hAnsiTheme="majorHAnsi" w:cs="Times New Roman"/>
        </w:rPr>
        <w:t>,</w:t>
      </w:r>
      <w:r w:rsidR="007C5A0A" w:rsidRPr="003A3EEA">
        <w:rPr>
          <w:rFonts w:asciiTheme="majorHAnsi" w:hAnsiTheme="majorHAnsi" w:cs="Times New Roman"/>
        </w:rPr>
        <w:t xml:space="preserve"> B</w:t>
      </w:r>
      <w:r w:rsidR="00551CC7" w:rsidRPr="003A3EEA">
        <w:rPr>
          <w:rFonts w:asciiTheme="majorHAnsi" w:hAnsiTheme="majorHAnsi" w:cs="Times New Roman"/>
        </w:rPr>
        <w:t>.</w:t>
      </w:r>
      <w:r w:rsidR="007C5A0A" w:rsidRPr="003A3EEA">
        <w:rPr>
          <w:rFonts w:asciiTheme="majorHAnsi" w:hAnsiTheme="majorHAnsi" w:cs="Times New Roman"/>
        </w:rPr>
        <w:t>L</w:t>
      </w:r>
      <w:r w:rsidR="00551CC7" w:rsidRPr="003A3EEA">
        <w:rPr>
          <w:rFonts w:asciiTheme="majorHAnsi" w:hAnsiTheme="majorHAnsi" w:cs="Times New Roman"/>
        </w:rPr>
        <w:t>.</w:t>
      </w:r>
      <w:r w:rsidR="007C5A0A" w:rsidRPr="003A3EEA">
        <w:rPr>
          <w:rFonts w:asciiTheme="majorHAnsi" w:hAnsiTheme="majorHAnsi" w:cs="Times New Roman"/>
        </w:rPr>
        <w:t>, Wess</w:t>
      </w:r>
      <w:r w:rsidR="00551CC7" w:rsidRPr="003A3EEA">
        <w:rPr>
          <w:rFonts w:asciiTheme="majorHAnsi" w:hAnsiTheme="majorHAnsi" w:cs="Times New Roman"/>
        </w:rPr>
        <w:t>,</w:t>
      </w:r>
      <w:r w:rsidR="007C5A0A" w:rsidRPr="003A3EEA">
        <w:rPr>
          <w:rFonts w:asciiTheme="majorHAnsi" w:hAnsiTheme="majorHAnsi" w:cs="Times New Roman"/>
        </w:rPr>
        <w:t xml:space="preserve"> J</w:t>
      </w:r>
      <w:r w:rsidR="00551CC7" w:rsidRPr="003A3EEA">
        <w:rPr>
          <w:rFonts w:asciiTheme="majorHAnsi" w:hAnsiTheme="majorHAnsi" w:cs="Times New Roman"/>
        </w:rPr>
        <w:t>.,</w:t>
      </w:r>
      <w:r w:rsidR="007C5A0A" w:rsidRPr="003A3EEA">
        <w:rPr>
          <w:rFonts w:asciiTheme="majorHAnsi" w:hAnsiTheme="majorHAnsi" w:cs="Times New Roman"/>
        </w:rPr>
        <w:t xml:space="preserve"> &amp; Neumaier</w:t>
      </w:r>
      <w:r w:rsidR="00551CC7" w:rsidRPr="003A3EEA">
        <w:rPr>
          <w:rFonts w:asciiTheme="majorHAnsi" w:hAnsiTheme="majorHAnsi" w:cs="Times New Roman"/>
        </w:rPr>
        <w:t>,</w:t>
      </w:r>
      <w:r w:rsidR="007C5A0A" w:rsidRPr="003A3EEA">
        <w:rPr>
          <w:rFonts w:asciiTheme="majorHAnsi" w:hAnsiTheme="majorHAnsi" w:cs="Times New Roman"/>
        </w:rPr>
        <w:t xml:space="preserve"> J</w:t>
      </w:r>
      <w:r w:rsidR="00551CC7" w:rsidRPr="003A3EEA">
        <w:rPr>
          <w:rFonts w:asciiTheme="majorHAnsi" w:hAnsiTheme="majorHAnsi" w:cs="Times New Roman"/>
        </w:rPr>
        <w:t>.</w:t>
      </w:r>
      <w:r w:rsidR="007C5A0A" w:rsidRPr="003A3EEA">
        <w:rPr>
          <w:rFonts w:asciiTheme="majorHAnsi" w:hAnsiTheme="majorHAnsi" w:cs="Times New Roman"/>
        </w:rPr>
        <w:t>F.</w:t>
      </w:r>
      <w:r w:rsidR="004D3C57" w:rsidRPr="003A3EEA">
        <w:rPr>
          <w:rFonts w:asciiTheme="majorHAnsi" w:hAnsiTheme="majorHAnsi" w:cs="Times New Roman"/>
        </w:rPr>
        <w:t xml:space="preserve"> </w:t>
      </w:r>
      <w:r w:rsidR="007C5A0A" w:rsidRPr="003A3EEA">
        <w:rPr>
          <w:rFonts w:asciiTheme="majorHAnsi" w:hAnsiTheme="majorHAnsi" w:cs="Times New Roman"/>
        </w:rPr>
        <w:t>Direct-pathway striatal neurons regulate the retention of decision-making strategies.</w:t>
      </w:r>
      <w:r w:rsidR="004D3C57" w:rsidRPr="003A3EEA">
        <w:rPr>
          <w:rFonts w:asciiTheme="majorHAnsi" w:hAnsiTheme="majorHAnsi" w:cs="Times New Roman"/>
        </w:rPr>
        <w:t xml:space="preserve"> </w:t>
      </w:r>
      <w:r w:rsidR="007C5A0A" w:rsidRPr="003A3EEA">
        <w:rPr>
          <w:rFonts w:asciiTheme="majorHAnsi" w:hAnsiTheme="majorHAnsi" w:cs="Times New Roman"/>
          <w:i/>
        </w:rPr>
        <w:t>J. Neurosci</w:t>
      </w:r>
      <w:r w:rsidR="007C5A0A" w:rsidRPr="003A3EEA">
        <w:rPr>
          <w:rFonts w:asciiTheme="majorHAnsi" w:hAnsiTheme="majorHAnsi" w:cs="Times New Roman"/>
        </w:rPr>
        <w:t xml:space="preserve">. </w:t>
      </w:r>
      <w:r w:rsidR="007C5A0A" w:rsidRPr="003A3EEA">
        <w:rPr>
          <w:rFonts w:asciiTheme="majorHAnsi" w:hAnsiTheme="majorHAnsi" w:cs="Times New Roman"/>
          <w:b/>
        </w:rPr>
        <w:t>33</w:t>
      </w:r>
      <w:r w:rsidR="007C5A0A" w:rsidRPr="003A3EEA">
        <w:rPr>
          <w:rFonts w:asciiTheme="majorHAnsi" w:hAnsiTheme="majorHAnsi" w:cs="Times New Roman"/>
        </w:rPr>
        <w:t xml:space="preserve"> (28), 11668-11676</w:t>
      </w:r>
      <w:r w:rsidRPr="003A3EEA">
        <w:rPr>
          <w:rFonts w:asciiTheme="majorHAnsi" w:hAnsiTheme="majorHAnsi" w:cs="Times New Roman"/>
        </w:rPr>
        <w:t>,</w:t>
      </w:r>
      <w:r w:rsidR="007C5A0A" w:rsidRPr="003A3EEA">
        <w:rPr>
          <w:rFonts w:asciiTheme="majorHAnsi" w:hAnsiTheme="majorHAnsi" w:cs="Times New Roman"/>
        </w:rPr>
        <w:t xml:space="preserve"> </w:t>
      </w:r>
      <w:r w:rsidRPr="003A3EEA">
        <w:rPr>
          <w:rFonts w:asciiTheme="majorHAnsi" w:hAnsiTheme="majorHAnsi" w:cs="Calibri"/>
        </w:rPr>
        <w:t>doi:</w:t>
      </w:r>
      <w:r w:rsidR="00EE339D" w:rsidRPr="003A3EEA">
        <w:rPr>
          <w:rFonts w:asciiTheme="majorHAnsi" w:hAnsiTheme="majorHAnsi" w:cs="Calibri"/>
        </w:rPr>
        <w:t xml:space="preserve">  10.1523/J</w:t>
      </w:r>
      <w:r w:rsidR="00881769" w:rsidRPr="003A3EEA">
        <w:rPr>
          <w:rFonts w:asciiTheme="majorHAnsi" w:hAnsiTheme="majorHAnsi" w:cs="Calibri"/>
        </w:rPr>
        <w:t>neurosci</w:t>
      </w:r>
      <w:r w:rsidR="00EE339D" w:rsidRPr="003A3EEA">
        <w:rPr>
          <w:rFonts w:asciiTheme="majorHAnsi" w:hAnsiTheme="majorHAnsi" w:cs="Calibri"/>
        </w:rPr>
        <w:t>.4783-12.2013</w:t>
      </w:r>
      <w:r w:rsidRPr="003A3EEA">
        <w:rPr>
          <w:rFonts w:asciiTheme="majorHAnsi" w:hAnsiTheme="majorHAnsi" w:cs="Calibri"/>
        </w:rPr>
        <w:t xml:space="preserve"> </w:t>
      </w:r>
      <w:r w:rsidRPr="003A3EEA">
        <w:rPr>
          <w:rFonts w:asciiTheme="majorHAnsi" w:hAnsiTheme="majorHAnsi" w:cs="Times New Roman"/>
        </w:rPr>
        <w:t>(2013).</w:t>
      </w:r>
    </w:p>
    <w:p w14:paraId="0D43A4FD" w14:textId="27C539A6" w:rsidR="007958EB" w:rsidRPr="003A3EEA" w:rsidRDefault="00A601AC" w:rsidP="003A3EEA">
      <w:pPr>
        <w:rPr>
          <w:rFonts w:asciiTheme="majorHAnsi" w:hAnsiTheme="majorHAnsi" w:cs="Times New Roman"/>
        </w:rPr>
      </w:pPr>
      <w:r w:rsidRPr="003A3EEA">
        <w:rPr>
          <w:rFonts w:asciiTheme="majorHAnsi" w:hAnsiTheme="majorHAnsi" w:cs="Times New Roman"/>
        </w:rPr>
        <w:t>2</w:t>
      </w:r>
      <w:r w:rsidR="00095874" w:rsidRPr="003A3EEA">
        <w:rPr>
          <w:rFonts w:asciiTheme="majorHAnsi" w:hAnsiTheme="majorHAnsi" w:cs="Times New Roman"/>
        </w:rPr>
        <w:t>7</w:t>
      </w:r>
      <w:r w:rsidR="007958EB" w:rsidRPr="003A3EEA">
        <w:rPr>
          <w:rFonts w:asciiTheme="majorHAnsi" w:hAnsiTheme="majorHAnsi" w:cs="Times New Roman"/>
        </w:rPr>
        <w:t>.</w:t>
      </w:r>
      <w:r w:rsidR="004D3C57" w:rsidRPr="003A3EEA">
        <w:rPr>
          <w:rFonts w:asciiTheme="majorHAnsi" w:hAnsiTheme="majorHAnsi" w:cs="Times New Roman"/>
        </w:rPr>
        <w:t xml:space="preserve"> </w:t>
      </w:r>
      <w:r w:rsidR="007958EB" w:rsidRPr="003A3EEA">
        <w:rPr>
          <w:rFonts w:asciiTheme="majorHAnsi" w:hAnsiTheme="majorHAnsi" w:cs="Times New Roman"/>
        </w:rPr>
        <w:t>Cassatarro</w:t>
      </w:r>
      <w:r w:rsidR="00551CC7" w:rsidRPr="003A3EEA">
        <w:rPr>
          <w:rFonts w:asciiTheme="majorHAnsi" w:hAnsiTheme="majorHAnsi" w:cs="Times New Roman"/>
        </w:rPr>
        <w:t>,</w:t>
      </w:r>
      <w:r w:rsidR="007958EB" w:rsidRPr="003A3EEA">
        <w:rPr>
          <w:rFonts w:asciiTheme="majorHAnsi" w:hAnsiTheme="majorHAnsi" w:cs="Times New Roman"/>
        </w:rPr>
        <w:t xml:space="preserve"> </w:t>
      </w:r>
      <w:r w:rsidR="003B71C4" w:rsidRPr="003A3EEA">
        <w:rPr>
          <w:rFonts w:asciiTheme="majorHAnsi" w:hAnsiTheme="majorHAnsi" w:cs="Times New Roman"/>
        </w:rPr>
        <w:t>D</w:t>
      </w:r>
      <w:r w:rsidR="00551CC7" w:rsidRPr="003A3EEA">
        <w:rPr>
          <w:rFonts w:asciiTheme="majorHAnsi" w:hAnsiTheme="majorHAnsi" w:cs="Times New Roman"/>
        </w:rPr>
        <w:t>.</w:t>
      </w:r>
      <w:r w:rsidR="003B71C4" w:rsidRPr="003A3EEA">
        <w:rPr>
          <w:rFonts w:asciiTheme="majorHAnsi" w:hAnsiTheme="majorHAnsi" w:cs="Times New Roman"/>
        </w:rPr>
        <w:t xml:space="preserve">, </w:t>
      </w:r>
      <w:r w:rsidR="007958EB" w:rsidRPr="003A3EEA">
        <w:rPr>
          <w:rFonts w:asciiTheme="majorHAnsi" w:hAnsiTheme="majorHAnsi" w:cs="Times New Roman"/>
          <w:i/>
        </w:rPr>
        <w:t>et al</w:t>
      </w:r>
      <w:r w:rsidR="003B71C4" w:rsidRPr="003A3EEA">
        <w:rPr>
          <w:rFonts w:asciiTheme="majorHAnsi" w:hAnsiTheme="majorHAnsi" w:cs="Times New Roman"/>
        </w:rPr>
        <w:t>.</w:t>
      </w:r>
      <w:r w:rsidR="00551CC7" w:rsidRPr="003A3EEA">
        <w:rPr>
          <w:rFonts w:asciiTheme="majorHAnsi" w:hAnsiTheme="majorHAnsi" w:cs="Times New Roman"/>
        </w:rPr>
        <w:t>,</w:t>
      </w:r>
      <w:r w:rsidR="003B71C4" w:rsidRPr="003A3EEA">
        <w:rPr>
          <w:rFonts w:asciiTheme="majorHAnsi" w:hAnsiTheme="majorHAnsi" w:cs="Times New Roman"/>
        </w:rPr>
        <w:t xml:space="preserve"> Reverse pharmacogenetic modulation of the nucleus accumbens reduces ethanol consumption in a limited access paradigm.</w:t>
      </w:r>
      <w:r w:rsidR="007C5A0A" w:rsidRPr="003A3EEA">
        <w:rPr>
          <w:rFonts w:asciiTheme="majorHAnsi" w:hAnsiTheme="majorHAnsi" w:cs="Times New Roman"/>
        </w:rPr>
        <w:t xml:space="preserve"> </w:t>
      </w:r>
      <w:r w:rsidR="007C5A0A" w:rsidRPr="003A3EEA">
        <w:rPr>
          <w:rFonts w:asciiTheme="majorHAnsi" w:hAnsiTheme="majorHAnsi" w:cs="Times New Roman"/>
          <w:i/>
        </w:rPr>
        <w:t>Neuropsychopharm</w:t>
      </w:r>
      <w:r w:rsidR="007C5A0A" w:rsidRPr="003A3EEA">
        <w:rPr>
          <w:rFonts w:asciiTheme="majorHAnsi" w:hAnsiTheme="majorHAnsi" w:cs="Times New Roman"/>
        </w:rPr>
        <w:t xml:space="preserve">. </w:t>
      </w:r>
      <w:r w:rsidR="007C5A0A" w:rsidRPr="003A3EEA">
        <w:rPr>
          <w:rFonts w:asciiTheme="majorHAnsi" w:hAnsiTheme="majorHAnsi" w:cs="Times New Roman"/>
          <w:b/>
        </w:rPr>
        <w:t>39</w:t>
      </w:r>
      <w:r w:rsidR="007C5A0A" w:rsidRPr="003A3EEA">
        <w:rPr>
          <w:rFonts w:asciiTheme="majorHAnsi" w:hAnsiTheme="majorHAnsi" w:cs="Times New Roman"/>
        </w:rPr>
        <w:t>, 283-290</w:t>
      </w:r>
      <w:r w:rsidR="00095874" w:rsidRPr="003A3EEA">
        <w:rPr>
          <w:rFonts w:asciiTheme="majorHAnsi" w:hAnsiTheme="majorHAnsi" w:cs="Times New Roman"/>
        </w:rPr>
        <w:t>,</w:t>
      </w:r>
      <w:r w:rsidR="007C5A0A" w:rsidRPr="003A3EEA">
        <w:rPr>
          <w:rFonts w:asciiTheme="majorHAnsi" w:hAnsiTheme="majorHAnsi" w:cs="Times New Roman"/>
        </w:rPr>
        <w:t xml:space="preserve"> </w:t>
      </w:r>
      <w:r w:rsidR="00095874" w:rsidRPr="003A3EEA">
        <w:rPr>
          <w:rFonts w:asciiTheme="majorHAnsi" w:hAnsiTheme="majorHAnsi" w:cs="Helvetica Neue"/>
        </w:rPr>
        <w:t>doi:</w:t>
      </w:r>
      <w:r w:rsidR="00EE339D" w:rsidRPr="003A3EEA">
        <w:rPr>
          <w:rFonts w:asciiTheme="majorHAnsi" w:hAnsiTheme="majorHAnsi" w:cs="Helvetica Neue"/>
        </w:rPr>
        <w:t> 10.1038/npp.2013.184</w:t>
      </w:r>
      <w:r w:rsidR="009B294F" w:rsidRPr="003A3EEA">
        <w:rPr>
          <w:rFonts w:asciiTheme="majorHAnsi" w:hAnsiTheme="majorHAnsi" w:cs="Helvetica Neue"/>
        </w:rPr>
        <w:t xml:space="preserve"> </w:t>
      </w:r>
      <w:r w:rsidR="009B294F" w:rsidRPr="003A3EEA">
        <w:rPr>
          <w:rFonts w:asciiTheme="majorHAnsi" w:hAnsiTheme="majorHAnsi" w:cs="Times New Roman"/>
        </w:rPr>
        <w:t>(2014).</w:t>
      </w:r>
    </w:p>
    <w:p w14:paraId="0D62DEA2" w14:textId="5107C7AA" w:rsidR="00500255" w:rsidRPr="003A3EEA" w:rsidRDefault="00A601AC" w:rsidP="003A3EEA">
      <w:pPr>
        <w:rPr>
          <w:rFonts w:asciiTheme="majorHAnsi" w:hAnsiTheme="majorHAnsi" w:cs="Times New Roman"/>
        </w:rPr>
      </w:pPr>
      <w:r w:rsidRPr="003A3EEA">
        <w:rPr>
          <w:rFonts w:asciiTheme="majorHAnsi" w:hAnsiTheme="majorHAnsi" w:cs="Times New Roman"/>
        </w:rPr>
        <w:t>2</w:t>
      </w:r>
      <w:r w:rsidR="00095874" w:rsidRPr="003A3EEA">
        <w:rPr>
          <w:rFonts w:asciiTheme="majorHAnsi" w:hAnsiTheme="majorHAnsi" w:cs="Times New Roman"/>
        </w:rPr>
        <w:t>8</w:t>
      </w:r>
      <w:r w:rsidR="003B71C4" w:rsidRPr="003A3EEA">
        <w:rPr>
          <w:rFonts w:asciiTheme="majorHAnsi" w:hAnsiTheme="majorHAnsi" w:cs="Times New Roman"/>
        </w:rPr>
        <w:t>.</w:t>
      </w:r>
      <w:r w:rsidR="004D3C57" w:rsidRPr="003A3EEA">
        <w:rPr>
          <w:rFonts w:asciiTheme="majorHAnsi" w:hAnsiTheme="majorHAnsi" w:cs="Times New Roman"/>
        </w:rPr>
        <w:t xml:space="preserve"> </w:t>
      </w:r>
      <w:r w:rsidR="003B71C4" w:rsidRPr="003A3EEA">
        <w:rPr>
          <w:rFonts w:asciiTheme="majorHAnsi" w:hAnsiTheme="majorHAnsi" w:cs="Times New Roman"/>
        </w:rPr>
        <w:t>Krashes</w:t>
      </w:r>
      <w:r w:rsidR="00551CC7" w:rsidRPr="003A3EEA">
        <w:rPr>
          <w:rFonts w:asciiTheme="majorHAnsi" w:hAnsiTheme="majorHAnsi" w:cs="Times New Roman"/>
        </w:rPr>
        <w:t>,</w:t>
      </w:r>
      <w:r w:rsidR="003B71C4" w:rsidRPr="003A3EEA">
        <w:rPr>
          <w:rFonts w:asciiTheme="majorHAnsi" w:hAnsiTheme="majorHAnsi" w:cs="Times New Roman"/>
        </w:rPr>
        <w:t xml:space="preserve"> M</w:t>
      </w:r>
      <w:r w:rsidR="00551CC7" w:rsidRPr="003A3EEA">
        <w:rPr>
          <w:rFonts w:asciiTheme="majorHAnsi" w:hAnsiTheme="majorHAnsi" w:cs="Times New Roman"/>
        </w:rPr>
        <w:t>.</w:t>
      </w:r>
      <w:r w:rsidR="003B71C4" w:rsidRPr="003A3EEA">
        <w:rPr>
          <w:rFonts w:asciiTheme="majorHAnsi" w:hAnsiTheme="majorHAnsi" w:cs="Times New Roman"/>
        </w:rPr>
        <w:t>J</w:t>
      </w:r>
      <w:r w:rsidR="00551CC7" w:rsidRPr="003A3EEA">
        <w:rPr>
          <w:rFonts w:asciiTheme="majorHAnsi" w:hAnsiTheme="majorHAnsi" w:cs="Times New Roman"/>
        </w:rPr>
        <w:t>.</w:t>
      </w:r>
      <w:r w:rsidR="003B71C4" w:rsidRPr="003A3EEA">
        <w:rPr>
          <w:rFonts w:asciiTheme="majorHAnsi" w:hAnsiTheme="majorHAnsi" w:cs="Times New Roman"/>
        </w:rPr>
        <w:t>, Shah</w:t>
      </w:r>
      <w:r w:rsidR="00551CC7" w:rsidRPr="003A3EEA">
        <w:rPr>
          <w:rFonts w:asciiTheme="majorHAnsi" w:hAnsiTheme="majorHAnsi" w:cs="Times New Roman"/>
        </w:rPr>
        <w:t>,</w:t>
      </w:r>
      <w:r w:rsidR="003B71C4" w:rsidRPr="003A3EEA">
        <w:rPr>
          <w:rFonts w:asciiTheme="majorHAnsi" w:hAnsiTheme="majorHAnsi" w:cs="Times New Roman"/>
        </w:rPr>
        <w:t xml:space="preserve"> B</w:t>
      </w:r>
      <w:r w:rsidR="00551CC7" w:rsidRPr="003A3EEA">
        <w:rPr>
          <w:rFonts w:asciiTheme="majorHAnsi" w:hAnsiTheme="majorHAnsi" w:cs="Times New Roman"/>
        </w:rPr>
        <w:t>.</w:t>
      </w:r>
      <w:r w:rsidR="003B71C4" w:rsidRPr="003A3EEA">
        <w:rPr>
          <w:rFonts w:asciiTheme="majorHAnsi" w:hAnsiTheme="majorHAnsi" w:cs="Times New Roman"/>
        </w:rPr>
        <w:t>P</w:t>
      </w:r>
      <w:r w:rsidR="00551CC7" w:rsidRPr="003A3EEA">
        <w:rPr>
          <w:rFonts w:asciiTheme="majorHAnsi" w:hAnsiTheme="majorHAnsi" w:cs="Times New Roman"/>
        </w:rPr>
        <w:t>.</w:t>
      </w:r>
      <w:r w:rsidR="003B71C4" w:rsidRPr="003A3EEA">
        <w:rPr>
          <w:rFonts w:asciiTheme="majorHAnsi" w:hAnsiTheme="majorHAnsi" w:cs="Times New Roman"/>
        </w:rPr>
        <w:t>, Koda</w:t>
      </w:r>
      <w:r w:rsidR="00551CC7" w:rsidRPr="003A3EEA">
        <w:rPr>
          <w:rFonts w:asciiTheme="majorHAnsi" w:hAnsiTheme="majorHAnsi" w:cs="Times New Roman"/>
        </w:rPr>
        <w:t>,</w:t>
      </w:r>
      <w:r w:rsidR="003B71C4" w:rsidRPr="003A3EEA">
        <w:rPr>
          <w:rFonts w:asciiTheme="majorHAnsi" w:hAnsiTheme="majorHAnsi" w:cs="Times New Roman"/>
        </w:rPr>
        <w:t xml:space="preserve"> S</w:t>
      </w:r>
      <w:r w:rsidR="00551CC7" w:rsidRPr="003A3EEA">
        <w:rPr>
          <w:rFonts w:asciiTheme="majorHAnsi" w:hAnsiTheme="majorHAnsi" w:cs="Times New Roman"/>
        </w:rPr>
        <w:t>.,</w:t>
      </w:r>
      <w:r w:rsidR="003B71C4" w:rsidRPr="003A3EEA">
        <w:rPr>
          <w:rFonts w:asciiTheme="majorHAnsi" w:hAnsiTheme="majorHAnsi" w:cs="Times New Roman"/>
        </w:rPr>
        <w:t xml:space="preserve"> &amp; Lowell</w:t>
      </w:r>
      <w:r w:rsidR="00551CC7" w:rsidRPr="003A3EEA">
        <w:rPr>
          <w:rFonts w:asciiTheme="majorHAnsi" w:hAnsiTheme="majorHAnsi" w:cs="Times New Roman"/>
        </w:rPr>
        <w:t>,</w:t>
      </w:r>
      <w:r w:rsidR="003B71C4" w:rsidRPr="003A3EEA">
        <w:rPr>
          <w:rFonts w:asciiTheme="majorHAnsi" w:hAnsiTheme="majorHAnsi" w:cs="Times New Roman"/>
        </w:rPr>
        <w:t xml:space="preserve"> B</w:t>
      </w:r>
      <w:r w:rsidR="00551CC7" w:rsidRPr="003A3EEA">
        <w:rPr>
          <w:rFonts w:asciiTheme="majorHAnsi" w:hAnsiTheme="majorHAnsi" w:cs="Times New Roman"/>
        </w:rPr>
        <w:t>.</w:t>
      </w:r>
      <w:r w:rsidR="003B71C4" w:rsidRPr="003A3EEA">
        <w:rPr>
          <w:rFonts w:asciiTheme="majorHAnsi" w:hAnsiTheme="majorHAnsi" w:cs="Times New Roman"/>
        </w:rPr>
        <w:t>B.</w:t>
      </w:r>
      <w:r w:rsidR="004D3C57" w:rsidRPr="003A3EEA">
        <w:rPr>
          <w:rFonts w:asciiTheme="majorHAnsi" w:hAnsiTheme="majorHAnsi" w:cs="Times New Roman"/>
        </w:rPr>
        <w:t xml:space="preserve"> </w:t>
      </w:r>
      <w:r w:rsidR="003B71C4" w:rsidRPr="003A3EEA">
        <w:rPr>
          <w:rFonts w:asciiTheme="majorHAnsi" w:hAnsiTheme="majorHAnsi" w:cs="Times New Roman"/>
        </w:rPr>
        <w:t xml:space="preserve">Rapid versus delayed stimulation of feeding by the endogenously released AgRP neuron mediators, GABA, NPY and AgRP. </w:t>
      </w:r>
      <w:r w:rsidR="003B71C4" w:rsidRPr="003A3EEA">
        <w:rPr>
          <w:rFonts w:asciiTheme="majorHAnsi" w:hAnsiTheme="majorHAnsi" w:cs="Times New Roman"/>
          <w:i/>
        </w:rPr>
        <w:t>Cell Metab</w:t>
      </w:r>
      <w:r w:rsidR="006F67F4" w:rsidRPr="003A3EEA">
        <w:rPr>
          <w:rFonts w:asciiTheme="majorHAnsi" w:hAnsiTheme="majorHAnsi" w:cs="Times New Roman"/>
          <w:i/>
        </w:rPr>
        <w:t>.</w:t>
      </w:r>
      <w:r w:rsidR="003B71C4" w:rsidRPr="003A3EEA">
        <w:rPr>
          <w:rFonts w:asciiTheme="majorHAnsi" w:hAnsiTheme="majorHAnsi" w:cs="Times New Roman"/>
        </w:rPr>
        <w:t xml:space="preserve"> </w:t>
      </w:r>
      <w:r w:rsidR="003B71C4" w:rsidRPr="003A3EEA">
        <w:rPr>
          <w:rFonts w:asciiTheme="majorHAnsi" w:hAnsiTheme="majorHAnsi" w:cs="Times New Roman"/>
          <w:b/>
        </w:rPr>
        <w:t>18</w:t>
      </w:r>
      <w:r w:rsidR="008939D7" w:rsidRPr="003A3EEA">
        <w:rPr>
          <w:rFonts w:asciiTheme="majorHAnsi" w:hAnsiTheme="majorHAnsi" w:cs="Times New Roman"/>
        </w:rPr>
        <w:t xml:space="preserve"> (4), </w:t>
      </w:r>
      <w:r w:rsidR="00162131" w:rsidRPr="003A3EEA">
        <w:rPr>
          <w:rFonts w:asciiTheme="majorHAnsi" w:hAnsiTheme="majorHAnsi" w:cs="Times New Roman"/>
        </w:rPr>
        <w:t>In Press</w:t>
      </w:r>
      <w:r w:rsidR="00095874" w:rsidRPr="003A3EEA">
        <w:rPr>
          <w:rFonts w:asciiTheme="majorHAnsi" w:hAnsiTheme="majorHAnsi" w:cs="Times New Roman"/>
        </w:rPr>
        <w:t>,</w:t>
      </w:r>
      <w:r w:rsidR="00EE339D" w:rsidRPr="003A3EEA">
        <w:rPr>
          <w:rFonts w:asciiTheme="majorHAnsi" w:hAnsiTheme="majorHAnsi" w:cs="Times New Roman"/>
        </w:rPr>
        <w:t xml:space="preserve"> </w:t>
      </w:r>
      <w:r w:rsidR="00095874" w:rsidRPr="003A3EEA">
        <w:rPr>
          <w:rFonts w:asciiTheme="majorHAnsi" w:hAnsiTheme="majorHAnsi" w:cs="Times New Roman"/>
        </w:rPr>
        <w:t>doi:</w:t>
      </w:r>
      <w:r w:rsidR="00EE339D" w:rsidRPr="003A3EEA">
        <w:rPr>
          <w:rFonts w:asciiTheme="majorHAnsi" w:hAnsiTheme="majorHAnsi" w:cs="Times New Roman"/>
        </w:rPr>
        <w:t xml:space="preserve"> 10.1016/j.cmet.2013.09.009</w:t>
      </w:r>
      <w:r w:rsidR="00095874" w:rsidRPr="003A3EEA">
        <w:rPr>
          <w:rFonts w:asciiTheme="majorHAnsi" w:hAnsiTheme="majorHAnsi" w:cs="Times New Roman"/>
        </w:rPr>
        <w:t xml:space="preserve"> (2014).</w:t>
      </w:r>
    </w:p>
    <w:p w14:paraId="5350C65E" w14:textId="2EDE1628" w:rsidR="00500255" w:rsidRPr="003A3EEA" w:rsidRDefault="00800097" w:rsidP="003A3EEA">
      <w:pPr>
        <w:rPr>
          <w:rFonts w:asciiTheme="majorHAnsi" w:hAnsiTheme="majorHAnsi" w:cs="Times New Roman"/>
        </w:rPr>
      </w:pPr>
      <w:r w:rsidRPr="003A3EEA">
        <w:rPr>
          <w:rFonts w:asciiTheme="majorHAnsi" w:hAnsiTheme="majorHAnsi" w:cs="Times New Roman"/>
        </w:rPr>
        <w:t>2</w:t>
      </w:r>
      <w:r w:rsidR="00095874" w:rsidRPr="003A3EEA">
        <w:rPr>
          <w:rFonts w:asciiTheme="majorHAnsi" w:hAnsiTheme="majorHAnsi" w:cs="Times New Roman"/>
        </w:rPr>
        <w:t>9</w:t>
      </w:r>
      <w:r w:rsidR="00500255" w:rsidRPr="003A3EEA">
        <w:rPr>
          <w:rFonts w:asciiTheme="majorHAnsi" w:hAnsiTheme="majorHAnsi" w:cs="Times New Roman"/>
        </w:rPr>
        <w:t>.</w:t>
      </w:r>
      <w:r w:rsidR="004D3C57" w:rsidRPr="003A3EEA">
        <w:rPr>
          <w:rFonts w:asciiTheme="majorHAnsi" w:hAnsiTheme="majorHAnsi" w:cs="Times New Roman"/>
        </w:rPr>
        <w:t xml:space="preserve"> </w:t>
      </w:r>
      <w:r w:rsidR="00500255" w:rsidRPr="003A3EEA">
        <w:rPr>
          <w:rFonts w:asciiTheme="majorHAnsi" w:hAnsiTheme="majorHAnsi" w:cs="Times New Roman"/>
        </w:rPr>
        <w:t>Gage</w:t>
      </w:r>
      <w:r w:rsidR="00551CC7" w:rsidRPr="003A3EEA">
        <w:rPr>
          <w:rFonts w:asciiTheme="majorHAnsi" w:hAnsiTheme="majorHAnsi" w:cs="Times New Roman"/>
        </w:rPr>
        <w:t>,</w:t>
      </w:r>
      <w:r w:rsidR="00500255" w:rsidRPr="003A3EEA">
        <w:rPr>
          <w:rFonts w:asciiTheme="majorHAnsi" w:hAnsiTheme="majorHAnsi" w:cs="Times New Roman"/>
        </w:rPr>
        <w:t xml:space="preserve"> F</w:t>
      </w:r>
      <w:r w:rsidR="00551CC7" w:rsidRPr="003A3EEA">
        <w:rPr>
          <w:rFonts w:asciiTheme="majorHAnsi" w:hAnsiTheme="majorHAnsi" w:cs="Times New Roman"/>
        </w:rPr>
        <w:t>.</w:t>
      </w:r>
      <w:r w:rsidR="00500255" w:rsidRPr="003A3EEA">
        <w:rPr>
          <w:rFonts w:asciiTheme="majorHAnsi" w:hAnsiTheme="majorHAnsi" w:cs="Times New Roman"/>
        </w:rPr>
        <w:t>H</w:t>
      </w:r>
      <w:r w:rsidR="00551CC7" w:rsidRPr="003A3EEA">
        <w:rPr>
          <w:rFonts w:asciiTheme="majorHAnsi" w:hAnsiTheme="majorHAnsi" w:cs="Times New Roman"/>
        </w:rPr>
        <w:t>.</w:t>
      </w:r>
      <w:r w:rsidR="00500255" w:rsidRPr="003A3EEA">
        <w:rPr>
          <w:rFonts w:asciiTheme="majorHAnsi" w:hAnsiTheme="majorHAnsi" w:cs="Times New Roman"/>
        </w:rPr>
        <w:t>, Bjorklund</w:t>
      </w:r>
      <w:r w:rsidR="00551CC7" w:rsidRPr="003A3EEA">
        <w:rPr>
          <w:rFonts w:asciiTheme="majorHAnsi" w:hAnsiTheme="majorHAnsi" w:cs="Times New Roman"/>
        </w:rPr>
        <w:t>,</w:t>
      </w:r>
      <w:r w:rsidR="00500255" w:rsidRPr="003A3EEA">
        <w:rPr>
          <w:rFonts w:asciiTheme="majorHAnsi" w:hAnsiTheme="majorHAnsi" w:cs="Times New Roman"/>
        </w:rPr>
        <w:t xml:space="preserve"> A</w:t>
      </w:r>
      <w:r w:rsidR="00551CC7" w:rsidRPr="003A3EEA">
        <w:rPr>
          <w:rFonts w:asciiTheme="majorHAnsi" w:hAnsiTheme="majorHAnsi" w:cs="Times New Roman"/>
        </w:rPr>
        <w:t>.</w:t>
      </w:r>
      <w:r w:rsidR="00500255" w:rsidRPr="003A3EEA">
        <w:rPr>
          <w:rFonts w:asciiTheme="majorHAnsi" w:hAnsiTheme="majorHAnsi" w:cs="Times New Roman"/>
        </w:rPr>
        <w:t>, Stenevi</w:t>
      </w:r>
      <w:r w:rsidR="00551CC7" w:rsidRPr="003A3EEA">
        <w:rPr>
          <w:rFonts w:asciiTheme="majorHAnsi" w:hAnsiTheme="majorHAnsi" w:cs="Times New Roman"/>
        </w:rPr>
        <w:t>,</w:t>
      </w:r>
      <w:r w:rsidR="00500255" w:rsidRPr="003A3EEA">
        <w:rPr>
          <w:rFonts w:asciiTheme="majorHAnsi" w:hAnsiTheme="majorHAnsi" w:cs="Times New Roman"/>
        </w:rPr>
        <w:t xml:space="preserve"> U</w:t>
      </w:r>
      <w:r w:rsidR="00551CC7" w:rsidRPr="003A3EEA">
        <w:rPr>
          <w:rFonts w:asciiTheme="majorHAnsi" w:hAnsiTheme="majorHAnsi" w:cs="Times New Roman"/>
        </w:rPr>
        <w:t>., &amp;</w:t>
      </w:r>
      <w:r w:rsidR="00500255" w:rsidRPr="003A3EEA">
        <w:rPr>
          <w:rFonts w:asciiTheme="majorHAnsi" w:hAnsiTheme="majorHAnsi" w:cs="Times New Roman"/>
        </w:rPr>
        <w:t xml:space="preserve"> Dunnett</w:t>
      </w:r>
      <w:r w:rsidR="00551CC7" w:rsidRPr="003A3EEA">
        <w:rPr>
          <w:rFonts w:asciiTheme="majorHAnsi" w:hAnsiTheme="majorHAnsi" w:cs="Times New Roman"/>
        </w:rPr>
        <w:t>,</w:t>
      </w:r>
      <w:r w:rsidR="00500255" w:rsidRPr="003A3EEA">
        <w:rPr>
          <w:rFonts w:asciiTheme="majorHAnsi" w:hAnsiTheme="majorHAnsi" w:cs="Times New Roman"/>
        </w:rPr>
        <w:t xml:space="preserve"> S</w:t>
      </w:r>
      <w:r w:rsidR="00551CC7" w:rsidRPr="003A3EEA">
        <w:rPr>
          <w:rFonts w:asciiTheme="majorHAnsi" w:hAnsiTheme="majorHAnsi" w:cs="Times New Roman"/>
        </w:rPr>
        <w:t>.</w:t>
      </w:r>
      <w:r w:rsidR="00500255" w:rsidRPr="003A3EEA">
        <w:rPr>
          <w:rFonts w:asciiTheme="majorHAnsi" w:hAnsiTheme="majorHAnsi" w:cs="Times New Roman"/>
        </w:rPr>
        <w:t>B.</w:t>
      </w:r>
      <w:r w:rsidR="004D3C57" w:rsidRPr="003A3EEA">
        <w:rPr>
          <w:rFonts w:asciiTheme="majorHAnsi" w:hAnsiTheme="majorHAnsi" w:cs="Times New Roman"/>
        </w:rPr>
        <w:t xml:space="preserve"> </w:t>
      </w:r>
      <w:r w:rsidR="00500255" w:rsidRPr="003A3EEA">
        <w:rPr>
          <w:rFonts w:asciiTheme="majorHAnsi" w:hAnsiTheme="majorHAnsi" w:cs="Times New Roman"/>
        </w:rPr>
        <w:t>Functional correlates of compensatory collateral sprouting by aminergic and cholinergic afferents in the hippocampal formation.</w:t>
      </w:r>
      <w:r w:rsidR="004D3C57" w:rsidRPr="003A3EEA">
        <w:rPr>
          <w:rFonts w:asciiTheme="majorHAnsi" w:hAnsiTheme="majorHAnsi" w:cs="Times New Roman"/>
        </w:rPr>
        <w:t xml:space="preserve"> </w:t>
      </w:r>
      <w:r w:rsidR="00500255" w:rsidRPr="003A3EEA">
        <w:rPr>
          <w:rFonts w:asciiTheme="majorHAnsi" w:hAnsiTheme="majorHAnsi" w:cs="Times New Roman"/>
          <w:i/>
        </w:rPr>
        <w:t>Brain Res</w:t>
      </w:r>
      <w:r w:rsidR="006F67F4" w:rsidRPr="003A3EEA">
        <w:rPr>
          <w:rFonts w:asciiTheme="majorHAnsi" w:hAnsiTheme="majorHAnsi" w:cs="Times New Roman"/>
        </w:rPr>
        <w:t>.</w:t>
      </w:r>
      <w:r w:rsidR="00500255" w:rsidRPr="003A3EEA">
        <w:rPr>
          <w:rFonts w:asciiTheme="majorHAnsi" w:hAnsiTheme="majorHAnsi" w:cs="Times New Roman"/>
        </w:rPr>
        <w:t xml:space="preserve"> </w:t>
      </w:r>
      <w:r w:rsidR="00500255" w:rsidRPr="003A3EEA">
        <w:rPr>
          <w:rFonts w:asciiTheme="majorHAnsi" w:hAnsiTheme="majorHAnsi" w:cs="Times New Roman"/>
          <w:b/>
        </w:rPr>
        <w:t>268</w:t>
      </w:r>
      <w:r w:rsidR="00500255" w:rsidRPr="003A3EEA">
        <w:rPr>
          <w:rFonts w:asciiTheme="majorHAnsi" w:hAnsiTheme="majorHAnsi" w:cs="Times New Roman"/>
        </w:rPr>
        <w:t xml:space="preserve"> (1), 39-47</w:t>
      </w:r>
      <w:r w:rsidR="00095874" w:rsidRPr="003A3EEA">
        <w:rPr>
          <w:rFonts w:asciiTheme="majorHAnsi" w:hAnsiTheme="majorHAnsi" w:cs="Times New Roman"/>
        </w:rPr>
        <w:t>,</w:t>
      </w:r>
      <w:r w:rsidR="00500255" w:rsidRPr="003A3EEA">
        <w:rPr>
          <w:rFonts w:asciiTheme="majorHAnsi" w:hAnsiTheme="majorHAnsi" w:cs="Times New Roman"/>
        </w:rPr>
        <w:t xml:space="preserve"> </w:t>
      </w:r>
      <w:r w:rsidR="00095874" w:rsidRPr="003A3EEA">
        <w:rPr>
          <w:rFonts w:asciiTheme="majorHAnsi" w:hAnsiTheme="majorHAnsi" w:cs="Helvetica Neue"/>
        </w:rPr>
        <w:t>doi:</w:t>
      </w:r>
      <w:r w:rsidR="00EE339D" w:rsidRPr="003A3EEA">
        <w:rPr>
          <w:rFonts w:asciiTheme="majorHAnsi" w:hAnsiTheme="majorHAnsi" w:cs="Helvetica Neue"/>
        </w:rPr>
        <w:t> 10.1016/0006-8993(83)90388-8</w:t>
      </w:r>
      <w:r w:rsidR="00095874" w:rsidRPr="003A3EEA">
        <w:rPr>
          <w:rFonts w:asciiTheme="majorHAnsi" w:hAnsiTheme="majorHAnsi" w:cs="Helvetica Neue"/>
        </w:rPr>
        <w:t xml:space="preserve"> </w:t>
      </w:r>
      <w:r w:rsidR="00095874" w:rsidRPr="003A3EEA">
        <w:rPr>
          <w:rFonts w:asciiTheme="majorHAnsi" w:hAnsiTheme="majorHAnsi" w:cs="Times New Roman"/>
        </w:rPr>
        <w:t>(1983).</w:t>
      </w:r>
    </w:p>
    <w:p w14:paraId="70EC9801" w14:textId="5033DD21" w:rsidR="0030426C" w:rsidRPr="003A3EEA" w:rsidRDefault="00095874" w:rsidP="003A3EEA">
      <w:pPr>
        <w:rPr>
          <w:rFonts w:asciiTheme="majorHAnsi" w:hAnsiTheme="majorHAnsi" w:cs="Times New Roman"/>
        </w:rPr>
      </w:pPr>
      <w:r w:rsidRPr="003A3EEA">
        <w:rPr>
          <w:rFonts w:asciiTheme="majorHAnsi" w:hAnsiTheme="majorHAnsi" w:cs="Times New Roman"/>
        </w:rPr>
        <w:t>30</w:t>
      </w:r>
      <w:r w:rsidR="00500255" w:rsidRPr="003A3EEA">
        <w:rPr>
          <w:rFonts w:asciiTheme="majorHAnsi" w:hAnsiTheme="majorHAnsi" w:cs="Times New Roman"/>
        </w:rPr>
        <w:t>.</w:t>
      </w:r>
      <w:r w:rsidR="004D3C57" w:rsidRPr="003A3EEA">
        <w:rPr>
          <w:rFonts w:asciiTheme="majorHAnsi" w:hAnsiTheme="majorHAnsi" w:cs="Times New Roman"/>
        </w:rPr>
        <w:t xml:space="preserve"> </w:t>
      </w:r>
      <w:r w:rsidR="00500255" w:rsidRPr="003A3EEA">
        <w:rPr>
          <w:rFonts w:asciiTheme="majorHAnsi" w:hAnsiTheme="majorHAnsi" w:cs="Times New Roman"/>
        </w:rPr>
        <w:t>Nelson</w:t>
      </w:r>
      <w:r w:rsidR="00551CC7" w:rsidRPr="003A3EEA">
        <w:rPr>
          <w:rFonts w:asciiTheme="majorHAnsi" w:hAnsiTheme="majorHAnsi" w:cs="Times New Roman"/>
        </w:rPr>
        <w:t>,</w:t>
      </w:r>
      <w:r w:rsidR="00500255" w:rsidRPr="003A3EEA">
        <w:rPr>
          <w:rFonts w:asciiTheme="majorHAnsi" w:hAnsiTheme="majorHAnsi" w:cs="Times New Roman"/>
        </w:rPr>
        <w:t xml:space="preserve"> R</w:t>
      </w:r>
      <w:r w:rsidR="00551CC7" w:rsidRPr="003A3EEA">
        <w:rPr>
          <w:rFonts w:asciiTheme="majorHAnsi" w:hAnsiTheme="majorHAnsi" w:cs="Times New Roman"/>
        </w:rPr>
        <w:t>.</w:t>
      </w:r>
      <w:r w:rsidR="00500255" w:rsidRPr="003A3EEA">
        <w:rPr>
          <w:rFonts w:asciiTheme="majorHAnsi" w:hAnsiTheme="majorHAnsi" w:cs="Times New Roman"/>
        </w:rPr>
        <w:t>J</w:t>
      </w:r>
      <w:r w:rsidR="00551CC7" w:rsidRPr="003A3EEA">
        <w:rPr>
          <w:rFonts w:asciiTheme="majorHAnsi" w:hAnsiTheme="majorHAnsi" w:cs="Times New Roman"/>
        </w:rPr>
        <w:t xml:space="preserve">., &amp; </w:t>
      </w:r>
      <w:r w:rsidR="00500255" w:rsidRPr="003A3EEA">
        <w:rPr>
          <w:rFonts w:asciiTheme="majorHAnsi" w:hAnsiTheme="majorHAnsi" w:cs="Times New Roman"/>
        </w:rPr>
        <w:t>Young</w:t>
      </w:r>
      <w:r w:rsidR="00551CC7" w:rsidRPr="003A3EEA">
        <w:rPr>
          <w:rFonts w:asciiTheme="majorHAnsi" w:hAnsiTheme="majorHAnsi" w:cs="Times New Roman"/>
        </w:rPr>
        <w:t>,</w:t>
      </w:r>
      <w:r w:rsidR="00500255" w:rsidRPr="003A3EEA">
        <w:rPr>
          <w:rFonts w:asciiTheme="majorHAnsi" w:hAnsiTheme="majorHAnsi" w:cs="Times New Roman"/>
        </w:rPr>
        <w:t xml:space="preserve"> K</w:t>
      </w:r>
      <w:r w:rsidR="00551CC7" w:rsidRPr="003A3EEA">
        <w:rPr>
          <w:rFonts w:asciiTheme="majorHAnsi" w:hAnsiTheme="majorHAnsi" w:cs="Times New Roman"/>
        </w:rPr>
        <w:t>.</w:t>
      </w:r>
      <w:r w:rsidR="00500255" w:rsidRPr="003A3EEA">
        <w:rPr>
          <w:rFonts w:asciiTheme="majorHAnsi" w:hAnsiTheme="majorHAnsi" w:cs="Times New Roman"/>
        </w:rPr>
        <w:t>A.</w:t>
      </w:r>
      <w:r w:rsidR="004D3C57" w:rsidRPr="003A3EEA">
        <w:rPr>
          <w:rFonts w:asciiTheme="majorHAnsi" w:hAnsiTheme="majorHAnsi" w:cs="Times New Roman"/>
        </w:rPr>
        <w:t xml:space="preserve"> </w:t>
      </w:r>
      <w:r w:rsidR="00500255" w:rsidRPr="003A3EEA">
        <w:rPr>
          <w:rFonts w:asciiTheme="majorHAnsi" w:hAnsiTheme="majorHAnsi" w:cs="Times New Roman"/>
        </w:rPr>
        <w:t>Behavior in mice with targeted disruption of single genes.</w:t>
      </w:r>
      <w:r w:rsidR="004D3C57" w:rsidRPr="003A3EEA">
        <w:rPr>
          <w:rFonts w:asciiTheme="majorHAnsi" w:hAnsiTheme="majorHAnsi" w:cs="Times New Roman"/>
        </w:rPr>
        <w:t xml:space="preserve"> </w:t>
      </w:r>
      <w:r w:rsidR="00500255" w:rsidRPr="003A3EEA">
        <w:rPr>
          <w:rFonts w:asciiTheme="majorHAnsi" w:hAnsiTheme="majorHAnsi" w:cs="Times New Roman"/>
          <w:i/>
        </w:rPr>
        <w:t>Neurosci</w:t>
      </w:r>
      <w:r w:rsidR="006F67F4" w:rsidRPr="003A3EEA">
        <w:rPr>
          <w:rFonts w:asciiTheme="majorHAnsi" w:hAnsiTheme="majorHAnsi" w:cs="Times New Roman"/>
          <w:i/>
        </w:rPr>
        <w:t>.</w:t>
      </w:r>
      <w:r w:rsidR="00500255" w:rsidRPr="003A3EEA">
        <w:rPr>
          <w:rFonts w:asciiTheme="majorHAnsi" w:hAnsiTheme="majorHAnsi" w:cs="Times New Roman"/>
          <w:i/>
        </w:rPr>
        <w:t xml:space="preserve"> Biobehav</w:t>
      </w:r>
      <w:r w:rsidR="006F67F4" w:rsidRPr="003A3EEA">
        <w:rPr>
          <w:rFonts w:asciiTheme="majorHAnsi" w:hAnsiTheme="majorHAnsi" w:cs="Times New Roman"/>
          <w:i/>
        </w:rPr>
        <w:t>.</w:t>
      </w:r>
      <w:r w:rsidR="00500255" w:rsidRPr="003A3EEA">
        <w:rPr>
          <w:rFonts w:asciiTheme="majorHAnsi" w:hAnsiTheme="majorHAnsi" w:cs="Times New Roman"/>
          <w:i/>
        </w:rPr>
        <w:t xml:space="preserve"> Rev</w:t>
      </w:r>
      <w:r w:rsidR="00500255" w:rsidRPr="003A3EEA">
        <w:rPr>
          <w:rFonts w:asciiTheme="majorHAnsi" w:hAnsiTheme="majorHAnsi" w:cs="Times New Roman"/>
        </w:rPr>
        <w:t xml:space="preserve">. </w:t>
      </w:r>
      <w:r w:rsidR="00500255" w:rsidRPr="003A3EEA">
        <w:rPr>
          <w:rFonts w:asciiTheme="majorHAnsi" w:hAnsiTheme="majorHAnsi" w:cs="Times New Roman"/>
          <w:b/>
        </w:rPr>
        <w:t>22</w:t>
      </w:r>
      <w:r w:rsidR="00500255" w:rsidRPr="003A3EEA">
        <w:rPr>
          <w:rFonts w:asciiTheme="majorHAnsi" w:hAnsiTheme="majorHAnsi" w:cs="Times New Roman"/>
        </w:rPr>
        <w:t xml:space="preserve"> (3), 453-62</w:t>
      </w:r>
      <w:r w:rsidRPr="003A3EEA">
        <w:rPr>
          <w:rFonts w:asciiTheme="majorHAnsi" w:hAnsiTheme="majorHAnsi" w:cs="Times New Roman"/>
        </w:rPr>
        <w:t>,</w:t>
      </w:r>
      <w:r w:rsidR="00500255" w:rsidRPr="003A3EEA">
        <w:rPr>
          <w:rFonts w:asciiTheme="majorHAnsi" w:hAnsiTheme="majorHAnsi" w:cs="Times New Roman"/>
        </w:rPr>
        <w:t xml:space="preserve"> </w:t>
      </w:r>
      <w:r w:rsidRPr="003A3EEA">
        <w:rPr>
          <w:rFonts w:asciiTheme="majorHAnsi" w:hAnsiTheme="majorHAnsi" w:cs="Calibri"/>
        </w:rPr>
        <w:t>doi:</w:t>
      </w:r>
      <w:r w:rsidR="003A3EEA" w:rsidRPr="003A3EEA">
        <w:rPr>
          <w:rFonts w:asciiTheme="majorHAnsi" w:hAnsiTheme="majorHAnsi" w:cs="Calibri"/>
        </w:rPr>
        <w:t xml:space="preserve"> </w:t>
      </w:r>
      <w:r w:rsidR="00EE339D" w:rsidRPr="003A3EEA">
        <w:rPr>
          <w:rFonts w:asciiTheme="majorHAnsi" w:hAnsiTheme="majorHAnsi" w:cs="Calibri"/>
        </w:rPr>
        <w:t>10.1016/S0149-7634(97)00053-5</w:t>
      </w:r>
      <w:r w:rsidRPr="003A3EEA">
        <w:rPr>
          <w:rFonts w:asciiTheme="majorHAnsi" w:hAnsiTheme="majorHAnsi" w:cs="Calibri"/>
        </w:rPr>
        <w:t xml:space="preserve"> </w:t>
      </w:r>
      <w:r w:rsidRPr="003A3EEA">
        <w:rPr>
          <w:rFonts w:asciiTheme="majorHAnsi" w:hAnsiTheme="majorHAnsi" w:cs="Times New Roman"/>
        </w:rPr>
        <w:t>(1998).</w:t>
      </w:r>
    </w:p>
    <w:sectPr w:rsidR="0030426C" w:rsidRPr="003A3EEA" w:rsidSect="003A3EE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F2AB7" w14:textId="77777777" w:rsidR="00BD25DF" w:rsidRDefault="00BD25DF" w:rsidP="00250F18">
      <w:r>
        <w:separator/>
      </w:r>
    </w:p>
  </w:endnote>
  <w:endnote w:type="continuationSeparator" w:id="0">
    <w:p w14:paraId="149C623E" w14:textId="77777777" w:rsidR="00BD25DF" w:rsidRDefault="00BD25DF" w:rsidP="0025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A64C" w14:textId="533F4358" w:rsidR="004566C1" w:rsidRDefault="004566C1">
    <w:pPr>
      <w:pStyle w:val="Footer"/>
    </w:pPr>
    <w:r>
      <w:rPr>
        <w:rStyle w:val="PageNumber"/>
      </w:rPr>
      <w:tab/>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AE4D12">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EFB67" w14:textId="77777777" w:rsidR="00BD25DF" w:rsidRDefault="00BD25DF" w:rsidP="00250F18">
      <w:r>
        <w:separator/>
      </w:r>
    </w:p>
  </w:footnote>
  <w:footnote w:type="continuationSeparator" w:id="0">
    <w:p w14:paraId="1C05F14A" w14:textId="77777777" w:rsidR="00BD25DF" w:rsidRDefault="00BD25DF" w:rsidP="00250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E0801"/>
    <w:multiLevelType w:val="multilevel"/>
    <w:tmpl w:val="89C4A7F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C64098"/>
    <w:multiLevelType w:val="multilevel"/>
    <w:tmpl w:val="81040B0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6A42EE"/>
    <w:multiLevelType w:val="multilevel"/>
    <w:tmpl w:val="DF8E03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161239"/>
    <w:multiLevelType w:val="multilevel"/>
    <w:tmpl w:val="8CB6A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89A6423"/>
    <w:multiLevelType w:val="multilevel"/>
    <w:tmpl w:val="A2447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730FD0"/>
    <w:multiLevelType w:val="multilevel"/>
    <w:tmpl w:val="C63EDBE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A073DE"/>
    <w:multiLevelType w:val="multilevel"/>
    <w:tmpl w:val="4740F6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F9F190B"/>
    <w:multiLevelType w:val="multilevel"/>
    <w:tmpl w:val="6C8812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0520CD"/>
    <w:multiLevelType w:val="multilevel"/>
    <w:tmpl w:val="BCA0D64A"/>
    <w:lvl w:ilvl="0">
      <w:start w:val="2"/>
      <w:numFmt w:val="decimal"/>
      <w:lvlText w:val="%1"/>
      <w:lvlJc w:val="left"/>
      <w:pPr>
        <w:ind w:left="460" w:hanging="460"/>
      </w:pPr>
      <w:rPr>
        <w:rFonts w:asciiTheme="minorHAnsi" w:hAnsiTheme="minorHAnsi" w:hint="default"/>
        <w:sz w:val="22"/>
      </w:rPr>
    </w:lvl>
    <w:lvl w:ilvl="1">
      <w:start w:val="2"/>
      <w:numFmt w:val="decimal"/>
      <w:lvlText w:val="%1.%2"/>
      <w:lvlJc w:val="left"/>
      <w:pPr>
        <w:ind w:left="460" w:hanging="460"/>
      </w:pPr>
      <w:rPr>
        <w:rFonts w:ascii="Calibri" w:hAnsi="Calibri" w:hint="default"/>
        <w:sz w:val="24"/>
        <w:szCs w:val="24"/>
      </w:rPr>
    </w:lvl>
    <w:lvl w:ilvl="2">
      <w:start w:val="1"/>
      <w:numFmt w:val="decimal"/>
      <w:lvlText w:val="%1.%2.%3"/>
      <w:lvlJc w:val="left"/>
      <w:pPr>
        <w:ind w:left="720" w:hanging="720"/>
      </w:pPr>
      <w:rPr>
        <w:rFonts w:ascii="Calibri" w:hAnsi="Calibri" w:hint="default"/>
        <w:sz w:val="24"/>
        <w:szCs w:val="24"/>
      </w:rPr>
    </w:lvl>
    <w:lvl w:ilvl="3">
      <w:start w:val="1"/>
      <w:numFmt w:val="decimal"/>
      <w:lvlText w:val="%1.%2.%3.%4"/>
      <w:lvlJc w:val="left"/>
      <w:pPr>
        <w:ind w:left="720" w:hanging="720"/>
      </w:pPr>
      <w:rPr>
        <w:rFonts w:asciiTheme="minorHAnsi" w:hAnsiTheme="minorHAnsi" w:hint="default"/>
        <w:sz w:val="22"/>
      </w:rPr>
    </w:lvl>
    <w:lvl w:ilvl="4">
      <w:start w:val="1"/>
      <w:numFmt w:val="decimal"/>
      <w:lvlText w:val="%1.%2.%3.%4.%5"/>
      <w:lvlJc w:val="left"/>
      <w:pPr>
        <w:ind w:left="1080" w:hanging="1080"/>
      </w:pPr>
      <w:rPr>
        <w:rFonts w:asciiTheme="minorHAnsi" w:hAnsiTheme="minorHAnsi" w:hint="default"/>
        <w:sz w:val="22"/>
      </w:rPr>
    </w:lvl>
    <w:lvl w:ilvl="5">
      <w:start w:val="1"/>
      <w:numFmt w:val="decimal"/>
      <w:lvlText w:val="%1.%2.%3.%4.%5.%6"/>
      <w:lvlJc w:val="left"/>
      <w:pPr>
        <w:ind w:left="1080" w:hanging="1080"/>
      </w:pPr>
      <w:rPr>
        <w:rFonts w:asciiTheme="minorHAnsi" w:hAnsiTheme="minorHAnsi" w:hint="default"/>
        <w:sz w:val="22"/>
      </w:rPr>
    </w:lvl>
    <w:lvl w:ilvl="6">
      <w:start w:val="1"/>
      <w:numFmt w:val="decimal"/>
      <w:lvlText w:val="%1.%2.%3.%4.%5.%6.%7"/>
      <w:lvlJc w:val="left"/>
      <w:pPr>
        <w:ind w:left="1440" w:hanging="1440"/>
      </w:pPr>
      <w:rPr>
        <w:rFonts w:asciiTheme="minorHAnsi" w:hAnsiTheme="minorHAnsi" w:hint="default"/>
        <w:sz w:val="22"/>
      </w:rPr>
    </w:lvl>
    <w:lvl w:ilvl="7">
      <w:start w:val="1"/>
      <w:numFmt w:val="decimal"/>
      <w:lvlText w:val="%1.%2.%3.%4.%5.%6.%7.%8"/>
      <w:lvlJc w:val="left"/>
      <w:pPr>
        <w:ind w:left="1440" w:hanging="1440"/>
      </w:pPr>
      <w:rPr>
        <w:rFonts w:asciiTheme="minorHAnsi" w:hAnsiTheme="minorHAnsi" w:hint="default"/>
        <w:sz w:val="22"/>
      </w:rPr>
    </w:lvl>
    <w:lvl w:ilvl="8">
      <w:start w:val="1"/>
      <w:numFmt w:val="decimal"/>
      <w:lvlText w:val="%1.%2.%3.%4.%5.%6.%7.%8.%9"/>
      <w:lvlJc w:val="left"/>
      <w:pPr>
        <w:ind w:left="1800" w:hanging="1800"/>
      </w:pPr>
      <w:rPr>
        <w:rFonts w:asciiTheme="minorHAnsi" w:hAnsiTheme="minorHAnsi" w:hint="default"/>
        <w:sz w:val="22"/>
      </w:rPr>
    </w:lvl>
  </w:abstractNum>
  <w:abstractNum w:abstractNumId="10">
    <w:nsid w:val="3CFD099A"/>
    <w:multiLevelType w:val="multilevel"/>
    <w:tmpl w:val="A2447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E0346F"/>
    <w:multiLevelType w:val="multilevel"/>
    <w:tmpl w:val="A2447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D33498"/>
    <w:multiLevelType w:val="hybridMultilevel"/>
    <w:tmpl w:val="C4FCAF30"/>
    <w:lvl w:ilvl="0" w:tplc="B46655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E5C0F"/>
    <w:multiLevelType w:val="hybridMultilevel"/>
    <w:tmpl w:val="BA68C03A"/>
    <w:lvl w:ilvl="0" w:tplc="9E3848B6">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277867"/>
    <w:multiLevelType w:val="hybridMultilevel"/>
    <w:tmpl w:val="9594B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6091B"/>
    <w:multiLevelType w:val="hybridMultilevel"/>
    <w:tmpl w:val="5DA0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831F16"/>
    <w:multiLevelType w:val="multilevel"/>
    <w:tmpl w:val="6C8812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0"/>
  </w:num>
  <w:num w:numId="4">
    <w:abstractNumId w:val="14"/>
  </w:num>
  <w:num w:numId="5">
    <w:abstractNumId w:val="13"/>
  </w:num>
  <w:num w:numId="6">
    <w:abstractNumId w:val="3"/>
  </w:num>
  <w:num w:numId="7">
    <w:abstractNumId w:val="6"/>
  </w:num>
  <w:num w:numId="8">
    <w:abstractNumId w:val="15"/>
  </w:num>
  <w:num w:numId="9">
    <w:abstractNumId w:val="7"/>
  </w:num>
  <w:num w:numId="10">
    <w:abstractNumId w:val="1"/>
  </w:num>
  <w:num w:numId="11">
    <w:abstractNumId w:val="5"/>
  </w:num>
  <w:num w:numId="12">
    <w:abstractNumId w:val="9"/>
  </w:num>
  <w:num w:numId="13">
    <w:abstractNumId w:val="16"/>
  </w:num>
  <w:num w:numId="14">
    <w:abstractNumId w:val="8"/>
  </w:num>
  <w:num w:numId="15">
    <w:abstractNumId w:val="10"/>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32"/>
    <w:rsid w:val="00005458"/>
    <w:rsid w:val="0001397D"/>
    <w:rsid w:val="00014F59"/>
    <w:rsid w:val="000159AE"/>
    <w:rsid w:val="00015C7A"/>
    <w:rsid w:val="000261FB"/>
    <w:rsid w:val="00030CE1"/>
    <w:rsid w:val="000431FD"/>
    <w:rsid w:val="00045285"/>
    <w:rsid w:val="0005488D"/>
    <w:rsid w:val="0005631C"/>
    <w:rsid w:val="00072D5C"/>
    <w:rsid w:val="000737AC"/>
    <w:rsid w:val="000853BF"/>
    <w:rsid w:val="000939AA"/>
    <w:rsid w:val="0009455C"/>
    <w:rsid w:val="00095874"/>
    <w:rsid w:val="00095DAF"/>
    <w:rsid w:val="000A5A83"/>
    <w:rsid w:val="000A6C12"/>
    <w:rsid w:val="000B11C3"/>
    <w:rsid w:val="000B264A"/>
    <w:rsid w:val="000B2D90"/>
    <w:rsid w:val="000B5F3C"/>
    <w:rsid w:val="000D41EC"/>
    <w:rsid w:val="000E0B4B"/>
    <w:rsid w:val="000E6E83"/>
    <w:rsid w:val="000F140E"/>
    <w:rsid w:val="000F3635"/>
    <w:rsid w:val="00112722"/>
    <w:rsid w:val="001151EF"/>
    <w:rsid w:val="00120630"/>
    <w:rsid w:val="0012306F"/>
    <w:rsid w:val="0012767D"/>
    <w:rsid w:val="00136430"/>
    <w:rsid w:val="001369DF"/>
    <w:rsid w:val="00137D59"/>
    <w:rsid w:val="00141D03"/>
    <w:rsid w:val="0014325B"/>
    <w:rsid w:val="00162131"/>
    <w:rsid w:val="00164838"/>
    <w:rsid w:val="00166808"/>
    <w:rsid w:val="00193A7C"/>
    <w:rsid w:val="001B6AD1"/>
    <w:rsid w:val="001C4385"/>
    <w:rsid w:val="001C6DBC"/>
    <w:rsid w:val="001C75E2"/>
    <w:rsid w:val="001D366E"/>
    <w:rsid w:val="001E155E"/>
    <w:rsid w:val="001E56FA"/>
    <w:rsid w:val="001E6476"/>
    <w:rsid w:val="001E6BFC"/>
    <w:rsid w:val="001F48CC"/>
    <w:rsid w:val="001F7C77"/>
    <w:rsid w:val="00200F19"/>
    <w:rsid w:val="00217193"/>
    <w:rsid w:val="00225CF2"/>
    <w:rsid w:val="00226411"/>
    <w:rsid w:val="002270E2"/>
    <w:rsid w:val="002331F4"/>
    <w:rsid w:val="00237F50"/>
    <w:rsid w:val="00242FC0"/>
    <w:rsid w:val="00242FC4"/>
    <w:rsid w:val="00246A47"/>
    <w:rsid w:val="00250F18"/>
    <w:rsid w:val="002511C0"/>
    <w:rsid w:val="00257D72"/>
    <w:rsid w:val="0026249A"/>
    <w:rsid w:val="00262612"/>
    <w:rsid w:val="00266D48"/>
    <w:rsid w:val="00272024"/>
    <w:rsid w:val="00276163"/>
    <w:rsid w:val="00280872"/>
    <w:rsid w:val="002915F6"/>
    <w:rsid w:val="00293405"/>
    <w:rsid w:val="002B0E85"/>
    <w:rsid w:val="002C308C"/>
    <w:rsid w:val="002D0C0A"/>
    <w:rsid w:val="002F02DF"/>
    <w:rsid w:val="0030426C"/>
    <w:rsid w:val="00307385"/>
    <w:rsid w:val="003150F6"/>
    <w:rsid w:val="00324FC7"/>
    <w:rsid w:val="00330BA0"/>
    <w:rsid w:val="00344BC4"/>
    <w:rsid w:val="00345606"/>
    <w:rsid w:val="00352039"/>
    <w:rsid w:val="003546F3"/>
    <w:rsid w:val="0035781A"/>
    <w:rsid w:val="0037178F"/>
    <w:rsid w:val="0038036B"/>
    <w:rsid w:val="00383EE2"/>
    <w:rsid w:val="003850A1"/>
    <w:rsid w:val="003860C5"/>
    <w:rsid w:val="003862EA"/>
    <w:rsid w:val="00392642"/>
    <w:rsid w:val="003A0FC8"/>
    <w:rsid w:val="003A3EEA"/>
    <w:rsid w:val="003A5C07"/>
    <w:rsid w:val="003B71C4"/>
    <w:rsid w:val="003B782F"/>
    <w:rsid w:val="003C0A6D"/>
    <w:rsid w:val="003C1DC7"/>
    <w:rsid w:val="003E7A38"/>
    <w:rsid w:val="003F2716"/>
    <w:rsid w:val="00401D5E"/>
    <w:rsid w:val="00402E4F"/>
    <w:rsid w:val="00444017"/>
    <w:rsid w:val="0045088E"/>
    <w:rsid w:val="00455C34"/>
    <w:rsid w:val="004566C1"/>
    <w:rsid w:val="00457390"/>
    <w:rsid w:val="00457696"/>
    <w:rsid w:val="00483B19"/>
    <w:rsid w:val="0048592F"/>
    <w:rsid w:val="00487707"/>
    <w:rsid w:val="004A3CB3"/>
    <w:rsid w:val="004A46D6"/>
    <w:rsid w:val="004A64DD"/>
    <w:rsid w:val="004B3809"/>
    <w:rsid w:val="004B4D42"/>
    <w:rsid w:val="004C20E1"/>
    <w:rsid w:val="004C4F57"/>
    <w:rsid w:val="004D3C57"/>
    <w:rsid w:val="004D7245"/>
    <w:rsid w:val="004F5E9A"/>
    <w:rsid w:val="00500255"/>
    <w:rsid w:val="00501028"/>
    <w:rsid w:val="00501AE3"/>
    <w:rsid w:val="005046F3"/>
    <w:rsid w:val="0051421B"/>
    <w:rsid w:val="00514785"/>
    <w:rsid w:val="00514B4C"/>
    <w:rsid w:val="005221B9"/>
    <w:rsid w:val="00533F46"/>
    <w:rsid w:val="0053640D"/>
    <w:rsid w:val="0054176E"/>
    <w:rsid w:val="005429C7"/>
    <w:rsid w:val="00551CC7"/>
    <w:rsid w:val="00552B8C"/>
    <w:rsid w:val="0055577D"/>
    <w:rsid w:val="00566752"/>
    <w:rsid w:val="00571FE2"/>
    <w:rsid w:val="00572161"/>
    <w:rsid w:val="0057324D"/>
    <w:rsid w:val="005747CE"/>
    <w:rsid w:val="00574B0D"/>
    <w:rsid w:val="0057718E"/>
    <w:rsid w:val="00584AF9"/>
    <w:rsid w:val="00595095"/>
    <w:rsid w:val="005A28BB"/>
    <w:rsid w:val="005A3D99"/>
    <w:rsid w:val="005B5A7D"/>
    <w:rsid w:val="005C5846"/>
    <w:rsid w:val="005D0CE6"/>
    <w:rsid w:val="005D1BA6"/>
    <w:rsid w:val="005D34E8"/>
    <w:rsid w:val="005D4C1D"/>
    <w:rsid w:val="005E5CFD"/>
    <w:rsid w:val="005E639A"/>
    <w:rsid w:val="005F79F7"/>
    <w:rsid w:val="00601F07"/>
    <w:rsid w:val="00611871"/>
    <w:rsid w:val="00622B26"/>
    <w:rsid w:val="0062672C"/>
    <w:rsid w:val="006404CE"/>
    <w:rsid w:val="00642C41"/>
    <w:rsid w:val="00643817"/>
    <w:rsid w:val="00646353"/>
    <w:rsid w:val="00647C87"/>
    <w:rsid w:val="0065281E"/>
    <w:rsid w:val="006532FD"/>
    <w:rsid w:val="00654E3E"/>
    <w:rsid w:val="006772EF"/>
    <w:rsid w:val="006812D5"/>
    <w:rsid w:val="006821B4"/>
    <w:rsid w:val="00687CC6"/>
    <w:rsid w:val="006A1503"/>
    <w:rsid w:val="006A4B5A"/>
    <w:rsid w:val="006B463A"/>
    <w:rsid w:val="006D19C2"/>
    <w:rsid w:val="006D2F34"/>
    <w:rsid w:val="006D3646"/>
    <w:rsid w:val="006D68BB"/>
    <w:rsid w:val="006D724D"/>
    <w:rsid w:val="006E5863"/>
    <w:rsid w:val="006F67F4"/>
    <w:rsid w:val="00702A30"/>
    <w:rsid w:val="00703169"/>
    <w:rsid w:val="00705210"/>
    <w:rsid w:val="00712BAB"/>
    <w:rsid w:val="00713CE3"/>
    <w:rsid w:val="00715171"/>
    <w:rsid w:val="007161F3"/>
    <w:rsid w:val="0072677E"/>
    <w:rsid w:val="00730B34"/>
    <w:rsid w:val="00731320"/>
    <w:rsid w:val="007348F5"/>
    <w:rsid w:val="00740394"/>
    <w:rsid w:val="0074125E"/>
    <w:rsid w:val="0074226A"/>
    <w:rsid w:val="007465CB"/>
    <w:rsid w:val="00764CEC"/>
    <w:rsid w:val="00767B1D"/>
    <w:rsid w:val="00783079"/>
    <w:rsid w:val="00786B0B"/>
    <w:rsid w:val="007870DE"/>
    <w:rsid w:val="00790E33"/>
    <w:rsid w:val="00793049"/>
    <w:rsid w:val="007958EB"/>
    <w:rsid w:val="007A0F5F"/>
    <w:rsid w:val="007A2F81"/>
    <w:rsid w:val="007B0FA2"/>
    <w:rsid w:val="007B3D10"/>
    <w:rsid w:val="007B4185"/>
    <w:rsid w:val="007C5A0A"/>
    <w:rsid w:val="007D20F9"/>
    <w:rsid w:val="007D2260"/>
    <w:rsid w:val="007D3D43"/>
    <w:rsid w:val="007D44F2"/>
    <w:rsid w:val="007E00CB"/>
    <w:rsid w:val="007E4B24"/>
    <w:rsid w:val="00800097"/>
    <w:rsid w:val="00806B05"/>
    <w:rsid w:val="008167FB"/>
    <w:rsid w:val="00831A2D"/>
    <w:rsid w:val="00851C8C"/>
    <w:rsid w:val="008524A3"/>
    <w:rsid w:val="00852E41"/>
    <w:rsid w:val="00865197"/>
    <w:rsid w:val="00881769"/>
    <w:rsid w:val="008939D7"/>
    <w:rsid w:val="008951F9"/>
    <w:rsid w:val="00897E82"/>
    <w:rsid w:val="008A1B5D"/>
    <w:rsid w:val="008A1DB4"/>
    <w:rsid w:val="008C336A"/>
    <w:rsid w:val="008C4816"/>
    <w:rsid w:val="008C73B4"/>
    <w:rsid w:val="008E160D"/>
    <w:rsid w:val="008E64A2"/>
    <w:rsid w:val="008F1712"/>
    <w:rsid w:val="008F34C1"/>
    <w:rsid w:val="008F43DE"/>
    <w:rsid w:val="008F5BC3"/>
    <w:rsid w:val="00904B49"/>
    <w:rsid w:val="00907E1D"/>
    <w:rsid w:val="009135B9"/>
    <w:rsid w:val="0091394B"/>
    <w:rsid w:val="00922448"/>
    <w:rsid w:val="00923803"/>
    <w:rsid w:val="00933802"/>
    <w:rsid w:val="00944C45"/>
    <w:rsid w:val="009454A1"/>
    <w:rsid w:val="00956280"/>
    <w:rsid w:val="00957479"/>
    <w:rsid w:val="00964441"/>
    <w:rsid w:val="00966746"/>
    <w:rsid w:val="00966E47"/>
    <w:rsid w:val="009735AA"/>
    <w:rsid w:val="00977934"/>
    <w:rsid w:val="00992A77"/>
    <w:rsid w:val="009A4459"/>
    <w:rsid w:val="009B2245"/>
    <w:rsid w:val="009B294F"/>
    <w:rsid w:val="009B5D4A"/>
    <w:rsid w:val="009D2E6E"/>
    <w:rsid w:val="009D44D7"/>
    <w:rsid w:val="009E42CB"/>
    <w:rsid w:val="009E652C"/>
    <w:rsid w:val="009F16DA"/>
    <w:rsid w:val="009F1F51"/>
    <w:rsid w:val="009F6F1F"/>
    <w:rsid w:val="00A016D3"/>
    <w:rsid w:val="00A1682C"/>
    <w:rsid w:val="00A17CEF"/>
    <w:rsid w:val="00A2285E"/>
    <w:rsid w:val="00A27635"/>
    <w:rsid w:val="00A33FF8"/>
    <w:rsid w:val="00A601AC"/>
    <w:rsid w:val="00A612D0"/>
    <w:rsid w:val="00A62ED2"/>
    <w:rsid w:val="00A66D3D"/>
    <w:rsid w:val="00A724D2"/>
    <w:rsid w:val="00A7579C"/>
    <w:rsid w:val="00A8156E"/>
    <w:rsid w:val="00A95871"/>
    <w:rsid w:val="00AA3B42"/>
    <w:rsid w:val="00AA6D37"/>
    <w:rsid w:val="00AB45D0"/>
    <w:rsid w:val="00AE0CA2"/>
    <w:rsid w:val="00AE286C"/>
    <w:rsid w:val="00AE4D12"/>
    <w:rsid w:val="00AF134F"/>
    <w:rsid w:val="00AF2B29"/>
    <w:rsid w:val="00B21BA7"/>
    <w:rsid w:val="00B22613"/>
    <w:rsid w:val="00B33227"/>
    <w:rsid w:val="00B50A15"/>
    <w:rsid w:val="00B50C00"/>
    <w:rsid w:val="00B53C96"/>
    <w:rsid w:val="00B56F72"/>
    <w:rsid w:val="00B5789D"/>
    <w:rsid w:val="00B64174"/>
    <w:rsid w:val="00B72D92"/>
    <w:rsid w:val="00B820ED"/>
    <w:rsid w:val="00B872E7"/>
    <w:rsid w:val="00BA6532"/>
    <w:rsid w:val="00BB091E"/>
    <w:rsid w:val="00BB3188"/>
    <w:rsid w:val="00BB67D4"/>
    <w:rsid w:val="00BC1B43"/>
    <w:rsid w:val="00BC4C68"/>
    <w:rsid w:val="00BD0975"/>
    <w:rsid w:val="00BD25DF"/>
    <w:rsid w:val="00BD693E"/>
    <w:rsid w:val="00BE2A3C"/>
    <w:rsid w:val="00BF556A"/>
    <w:rsid w:val="00BF79BD"/>
    <w:rsid w:val="00C04802"/>
    <w:rsid w:val="00C065C5"/>
    <w:rsid w:val="00C06AFB"/>
    <w:rsid w:val="00C208AB"/>
    <w:rsid w:val="00C34AC5"/>
    <w:rsid w:val="00C36A61"/>
    <w:rsid w:val="00C37A56"/>
    <w:rsid w:val="00C542CE"/>
    <w:rsid w:val="00C65A20"/>
    <w:rsid w:val="00C66418"/>
    <w:rsid w:val="00C70E78"/>
    <w:rsid w:val="00CA758E"/>
    <w:rsid w:val="00CB7131"/>
    <w:rsid w:val="00CC2DCD"/>
    <w:rsid w:val="00CC67C9"/>
    <w:rsid w:val="00CC6B42"/>
    <w:rsid w:val="00CD21F6"/>
    <w:rsid w:val="00CF028D"/>
    <w:rsid w:val="00D04724"/>
    <w:rsid w:val="00D22C13"/>
    <w:rsid w:val="00D24845"/>
    <w:rsid w:val="00D26115"/>
    <w:rsid w:val="00D4164E"/>
    <w:rsid w:val="00D4271C"/>
    <w:rsid w:val="00D42BFD"/>
    <w:rsid w:val="00D44E12"/>
    <w:rsid w:val="00D520A5"/>
    <w:rsid w:val="00D529D3"/>
    <w:rsid w:val="00D66A36"/>
    <w:rsid w:val="00D86519"/>
    <w:rsid w:val="00DA2B03"/>
    <w:rsid w:val="00DA5842"/>
    <w:rsid w:val="00DA6282"/>
    <w:rsid w:val="00DA653B"/>
    <w:rsid w:val="00DB04D6"/>
    <w:rsid w:val="00DC1BBF"/>
    <w:rsid w:val="00DC3234"/>
    <w:rsid w:val="00DD1C1B"/>
    <w:rsid w:val="00DE3399"/>
    <w:rsid w:val="00DF129E"/>
    <w:rsid w:val="00E03EE1"/>
    <w:rsid w:val="00E11FA9"/>
    <w:rsid w:val="00E223BC"/>
    <w:rsid w:val="00E24AB4"/>
    <w:rsid w:val="00E34B7A"/>
    <w:rsid w:val="00E34BFD"/>
    <w:rsid w:val="00E3630E"/>
    <w:rsid w:val="00E42933"/>
    <w:rsid w:val="00E53DB8"/>
    <w:rsid w:val="00E60411"/>
    <w:rsid w:val="00E650DD"/>
    <w:rsid w:val="00E76024"/>
    <w:rsid w:val="00EA35F0"/>
    <w:rsid w:val="00EA3E0F"/>
    <w:rsid w:val="00EB5603"/>
    <w:rsid w:val="00ED678C"/>
    <w:rsid w:val="00EE2502"/>
    <w:rsid w:val="00EE2F4C"/>
    <w:rsid w:val="00EE339D"/>
    <w:rsid w:val="00EF308A"/>
    <w:rsid w:val="00EF5E32"/>
    <w:rsid w:val="00EF6210"/>
    <w:rsid w:val="00F0191E"/>
    <w:rsid w:val="00F17B3A"/>
    <w:rsid w:val="00F20D46"/>
    <w:rsid w:val="00F25C48"/>
    <w:rsid w:val="00F3143F"/>
    <w:rsid w:val="00F34966"/>
    <w:rsid w:val="00F425FC"/>
    <w:rsid w:val="00F45227"/>
    <w:rsid w:val="00F5064A"/>
    <w:rsid w:val="00F576BA"/>
    <w:rsid w:val="00F623BB"/>
    <w:rsid w:val="00F72903"/>
    <w:rsid w:val="00F77DF7"/>
    <w:rsid w:val="00F84796"/>
    <w:rsid w:val="00F858BC"/>
    <w:rsid w:val="00F87740"/>
    <w:rsid w:val="00F92A18"/>
    <w:rsid w:val="00F94FFA"/>
    <w:rsid w:val="00F97759"/>
    <w:rsid w:val="00FA044A"/>
    <w:rsid w:val="00FA4D59"/>
    <w:rsid w:val="00FA73D1"/>
    <w:rsid w:val="00FB25BE"/>
    <w:rsid w:val="00FD743F"/>
    <w:rsid w:val="00FE4B5E"/>
    <w:rsid w:val="00FE6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85142"/>
  <w14:defaultImageDpi w14:val="300"/>
  <w15:docId w15:val="{9F9F5DE6-6B64-491B-8DAC-861A928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22B26"/>
  </w:style>
  <w:style w:type="character" w:styleId="CommentReference">
    <w:name w:val="annotation reference"/>
    <w:basedOn w:val="DefaultParagraphFont"/>
    <w:uiPriority w:val="99"/>
    <w:semiHidden/>
    <w:unhideWhenUsed/>
    <w:rsid w:val="008A1B5D"/>
    <w:rPr>
      <w:sz w:val="18"/>
      <w:szCs w:val="18"/>
    </w:rPr>
  </w:style>
  <w:style w:type="paragraph" w:styleId="CommentText">
    <w:name w:val="annotation text"/>
    <w:basedOn w:val="Normal"/>
    <w:link w:val="CommentTextChar"/>
    <w:uiPriority w:val="99"/>
    <w:semiHidden/>
    <w:unhideWhenUsed/>
    <w:rsid w:val="008A1B5D"/>
  </w:style>
  <w:style w:type="character" w:customStyle="1" w:styleId="CommentTextChar">
    <w:name w:val="Comment Text Char"/>
    <w:basedOn w:val="DefaultParagraphFont"/>
    <w:link w:val="CommentText"/>
    <w:uiPriority w:val="99"/>
    <w:semiHidden/>
    <w:rsid w:val="008A1B5D"/>
  </w:style>
  <w:style w:type="paragraph" w:styleId="CommentSubject">
    <w:name w:val="annotation subject"/>
    <w:basedOn w:val="CommentText"/>
    <w:next w:val="CommentText"/>
    <w:link w:val="CommentSubjectChar"/>
    <w:uiPriority w:val="99"/>
    <w:semiHidden/>
    <w:unhideWhenUsed/>
    <w:rsid w:val="008A1B5D"/>
    <w:rPr>
      <w:b/>
      <w:bCs/>
      <w:sz w:val="20"/>
      <w:szCs w:val="20"/>
    </w:rPr>
  </w:style>
  <w:style w:type="character" w:customStyle="1" w:styleId="CommentSubjectChar">
    <w:name w:val="Comment Subject Char"/>
    <w:basedOn w:val="CommentTextChar"/>
    <w:link w:val="CommentSubject"/>
    <w:uiPriority w:val="99"/>
    <w:semiHidden/>
    <w:rsid w:val="008A1B5D"/>
    <w:rPr>
      <w:b/>
      <w:bCs/>
      <w:sz w:val="20"/>
      <w:szCs w:val="20"/>
    </w:rPr>
  </w:style>
  <w:style w:type="paragraph" w:styleId="BalloonText">
    <w:name w:val="Balloon Text"/>
    <w:basedOn w:val="Normal"/>
    <w:link w:val="BalloonTextChar"/>
    <w:uiPriority w:val="99"/>
    <w:semiHidden/>
    <w:unhideWhenUsed/>
    <w:rsid w:val="008A1B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B5D"/>
    <w:rPr>
      <w:rFonts w:ascii="Lucida Grande" w:hAnsi="Lucida Grande" w:cs="Lucida Grande"/>
      <w:sz w:val="18"/>
      <w:szCs w:val="18"/>
    </w:rPr>
  </w:style>
  <w:style w:type="character" w:styleId="Hyperlink">
    <w:name w:val="Hyperlink"/>
    <w:basedOn w:val="DefaultParagraphFont"/>
    <w:uiPriority w:val="99"/>
    <w:unhideWhenUsed/>
    <w:rsid w:val="00793049"/>
    <w:rPr>
      <w:color w:val="0000FF" w:themeColor="hyperlink"/>
      <w:u w:val="single"/>
    </w:rPr>
  </w:style>
  <w:style w:type="paragraph" w:styleId="Header">
    <w:name w:val="header"/>
    <w:basedOn w:val="Normal"/>
    <w:link w:val="HeaderChar"/>
    <w:uiPriority w:val="99"/>
    <w:unhideWhenUsed/>
    <w:rsid w:val="00250F18"/>
    <w:pPr>
      <w:tabs>
        <w:tab w:val="center" w:pos="4320"/>
        <w:tab w:val="right" w:pos="8640"/>
      </w:tabs>
    </w:pPr>
  </w:style>
  <w:style w:type="character" w:customStyle="1" w:styleId="HeaderChar">
    <w:name w:val="Header Char"/>
    <w:basedOn w:val="DefaultParagraphFont"/>
    <w:link w:val="Header"/>
    <w:uiPriority w:val="99"/>
    <w:rsid w:val="00250F18"/>
  </w:style>
  <w:style w:type="paragraph" w:styleId="Footer">
    <w:name w:val="footer"/>
    <w:basedOn w:val="Normal"/>
    <w:link w:val="FooterChar"/>
    <w:uiPriority w:val="99"/>
    <w:unhideWhenUsed/>
    <w:rsid w:val="00250F18"/>
    <w:pPr>
      <w:tabs>
        <w:tab w:val="center" w:pos="4320"/>
        <w:tab w:val="right" w:pos="8640"/>
      </w:tabs>
    </w:pPr>
  </w:style>
  <w:style w:type="character" w:customStyle="1" w:styleId="FooterChar">
    <w:name w:val="Footer Char"/>
    <w:basedOn w:val="DefaultParagraphFont"/>
    <w:link w:val="Footer"/>
    <w:uiPriority w:val="99"/>
    <w:rsid w:val="00250F18"/>
  </w:style>
  <w:style w:type="character" w:styleId="PageNumber">
    <w:name w:val="page number"/>
    <w:basedOn w:val="DefaultParagraphFont"/>
    <w:uiPriority w:val="99"/>
    <w:semiHidden/>
    <w:unhideWhenUsed/>
    <w:rsid w:val="00250F18"/>
  </w:style>
  <w:style w:type="paragraph" w:styleId="ListParagraph">
    <w:name w:val="List Paragraph"/>
    <w:basedOn w:val="Normal"/>
    <w:uiPriority w:val="34"/>
    <w:qFormat/>
    <w:rsid w:val="00E650DD"/>
    <w:pPr>
      <w:ind w:left="720"/>
      <w:contextualSpacing/>
    </w:pPr>
  </w:style>
  <w:style w:type="paragraph" w:styleId="Revision">
    <w:name w:val="Revision"/>
    <w:hidden/>
    <w:uiPriority w:val="99"/>
    <w:semiHidden/>
    <w:rsid w:val="004A46D6"/>
  </w:style>
  <w:style w:type="character" w:styleId="FollowedHyperlink">
    <w:name w:val="FollowedHyperlink"/>
    <w:basedOn w:val="DefaultParagraphFont"/>
    <w:uiPriority w:val="99"/>
    <w:semiHidden/>
    <w:unhideWhenUsed/>
    <w:rsid w:val="00551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427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ad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F26B2-0B0B-4C5E-856E-7C5C4435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6137</Words>
  <Characters>34982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Adelman</dc:creator>
  <cp:keywords/>
  <dc:description/>
  <cp:lastModifiedBy>Nam Nguyen</cp:lastModifiedBy>
  <cp:revision>2</cp:revision>
  <cp:lastPrinted>2014-12-16T01:10:00Z</cp:lastPrinted>
  <dcterms:created xsi:type="dcterms:W3CDTF">2014-12-16T16:28:00Z</dcterms:created>
  <dcterms:modified xsi:type="dcterms:W3CDTF">2014-12-16T16:28:00Z</dcterms:modified>
</cp:coreProperties>
</file>