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A62276" w:rsidRPr="00BF5C84" w14:paraId="3B85FE91" w14:textId="77777777">
        <w:tc>
          <w:tcPr>
            <w:tcW w:w="10276" w:type="dxa"/>
            <w:shd w:val="clear" w:color="auto" w:fill="auto"/>
          </w:tcPr>
          <w:p w14:paraId="2A528A07" w14:textId="77777777" w:rsidR="00972697" w:rsidRPr="001522B3" w:rsidRDefault="00086C09" w:rsidP="00A62276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 wp14:anchorId="40561DFB" wp14:editId="42C8F1C9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64135</wp:posOffset>
                  </wp:positionV>
                  <wp:extent cx="1143635" cy="1149350"/>
                  <wp:effectExtent l="25400" t="0" r="0" b="0"/>
                  <wp:wrapTight wrapText="bothSides">
                    <wp:wrapPolygon edited="0">
                      <wp:start x="-480" y="0"/>
                      <wp:lineTo x="-480" y="21481"/>
                      <wp:lineTo x="21588" y="21481"/>
                      <wp:lineTo x="21588" y="0"/>
                      <wp:lineTo x="-48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35" cy="114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22B3">
              <w:rPr>
                <w:noProof/>
                <w:lang w:eastAsia="en-US"/>
              </w:rPr>
              <w:drawing>
                <wp:anchor distT="0" distB="0" distL="114300" distR="114300" simplePos="0" relativeHeight="251658752" behindDoc="0" locked="0" layoutInCell="1" allowOverlap="1" wp14:anchorId="31F0906D" wp14:editId="74E1685B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181610</wp:posOffset>
                  </wp:positionV>
                  <wp:extent cx="2002155" cy="701040"/>
                  <wp:effectExtent l="25400" t="0" r="4445" b="0"/>
                  <wp:wrapTight wrapText="bothSides">
                    <wp:wrapPolygon edited="0">
                      <wp:start x="-274" y="0"/>
                      <wp:lineTo x="-274" y="21130"/>
                      <wp:lineTo x="21648" y="21130"/>
                      <wp:lineTo x="21648" y="0"/>
                      <wp:lineTo x="-274" y="0"/>
                    </wp:wrapPolygon>
                  </wp:wrapTight>
                  <wp:docPr id="9" name="Image 6" descr="upmc-logoty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mc-logotype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22B3" w:rsidRPr="001522B3">
              <w:rPr>
                <w:noProof/>
                <w:lang w:eastAsia="en-US"/>
              </w:rPr>
              <w:drawing>
                <wp:anchor distT="0" distB="0" distL="114300" distR="114300" simplePos="0" relativeHeight="251659776" behindDoc="0" locked="0" layoutInCell="1" allowOverlap="1" wp14:anchorId="066D6532" wp14:editId="2DCFE5A3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0</wp:posOffset>
                  </wp:positionV>
                  <wp:extent cx="2204720" cy="1341120"/>
                  <wp:effectExtent l="25400" t="0" r="5080" b="0"/>
                  <wp:wrapSquare wrapText="bothSides"/>
                  <wp:docPr id="11" name="Image 1" descr="logo-New-institut_cu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New-institut_cu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72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83DA38" w14:textId="77777777" w:rsidR="001522B3" w:rsidRDefault="001522B3">
      <w:pPr>
        <w:tabs>
          <w:tab w:val="left" w:pos="5670"/>
        </w:tabs>
        <w:rPr>
          <w:sz w:val="20"/>
          <w:lang w:val="fr-FR"/>
        </w:rPr>
      </w:pPr>
    </w:p>
    <w:p w14:paraId="28F43066" w14:textId="7A439E00" w:rsidR="00625645" w:rsidRPr="00B326FD" w:rsidRDefault="00430831" w:rsidP="00625645">
      <w:pPr>
        <w:tabs>
          <w:tab w:val="left" w:pos="5670"/>
        </w:tabs>
        <w:rPr>
          <w:b/>
          <w:sz w:val="20"/>
          <w:lang w:val="fr-FR"/>
        </w:rPr>
      </w:pPr>
      <w:proofErr w:type="spellStart"/>
      <w:r>
        <w:rPr>
          <w:b/>
          <w:sz w:val="20"/>
          <w:lang w:val="fr-FR"/>
        </w:rPr>
        <w:t>Research</w:t>
      </w:r>
      <w:proofErr w:type="spellEnd"/>
      <w:r>
        <w:rPr>
          <w:b/>
          <w:sz w:val="20"/>
          <w:lang w:val="fr-FR"/>
        </w:rPr>
        <w:t xml:space="preserve"> Center</w:t>
      </w:r>
      <w:r w:rsidR="00625645" w:rsidRPr="00B326FD">
        <w:rPr>
          <w:b/>
          <w:sz w:val="20"/>
          <w:lang w:val="fr-FR"/>
        </w:rPr>
        <w:t xml:space="preserve"> – Institut Curie</w:t>
      </w:r>
    </w:p>
    <w:p w14:paraId="3162B3B7" w14:textId="77777777" w:rsidR="00625645" w:rsidRDefault="00625645" w:rsidP="00625645">
      <w:pPr>
        <w:tabs>
          <w:tab w:val="left" w:pos="5670"/>
        </w:tabs>
        <w:rPr>
          <w:sz w:val="20"/>
          <w:lang w:val="fr-FR"/>
        </w:rPr>
      </w:pPr>
      <w:r w:rsidRPr="00B326FD">
        <w:rPr>
          <w:sz w:val="20"/>
          <w:lang w:val="fr-FR"/>
        </w:rPr>
        <w:t>Physico-Chimie Curie</w:t>
      </w:r>
    </w:p>
    <w:p w14:paraId="0F116861" w14:textId="29DE06D0" w:rsidR="00430831" w:rsidRPr="00BF5C84" w:rsidRDefault="00625645" w:rsidP="00625645">
      <w:pPr>
        <w:tabs>
          <w:tab w:val="left" w:pos="5670"/>
        </w:tabs>
        <w:rPr>
          <w:sz w:val="20"/>
          <w:lang w:val="fr-FR"/>
        </w:rPr>
      </w:pPr>
      <w:r w:rsidRPr="00BF5C84">
        <w:rPr>
          <w:sz w:val="20"/>
          <w:lang w:val="fr-FR"/>
        </w:rPr>
        <w:t>UMR 168    CNRS / Institut Curie</w:t>
      </w:r>
      <w:r>
        <w:rPr>
          <w:sz w:val="20"/>
          <w:lang w:val="fr-FR"/>
        </w:rPr>
        <w:t>/UPMC</w:t>
      </w:r>
    </w:p>
    <w:p w14:paraId="3AF18B2D" w14:textId="658BE352" w:rsidR="00625645" w:rsidRPr="00BF5C84" w:rsidRDefault="00625645" w:rsidP="00625645">
      <w:pPr>
        <w:tabs>
          <w:tab w:val="left" w:pos="5670"/>
        </w:tabs>
        <w:rPr>
          <w:sz w:val="20"/>
          <w:lang w:val="fr-FR"/>
        </w:rPr>
      </w:pPr>
      <w:r w:rsidRPr="00BF5C84">
        <w:rPr>
          <w:sz w:val="20"/>
          <w:lang w:val="fr-FR"/>
        </w:rPr>
        <w:t>26 rue d'Ulm</w:t>
      </w:r>
    </w:p>
    <w:p w14:paraId="5F751A2F" w14:textId="2539B37F" w:rsidR="00625645" w:rsidRPr="00BF5C84" w:rsidRDefault="00625645" w:rsidP="00625645">
      <w:pPr>
        <w:tabs>
          <w:tab w:val="left" w:pos="5670"/>
        </w:tabs>
        <w:rPr>
          <w:sz w:val="20"/>
          <w:lang w:val="fr-FR"/>
        </w:rPr>
      </w:pPr>
      <w:r>
        <w:rPr>
          <w:sz w:val="20"/>
          <w:lang w:val="fr-FR"/>
        </w:rPr>
        <w:t>75248 Paris C</w:t>
      </w:r>
      <w:r w:rsidRPr="00BF5C84">
        <w:rPr>
          <w:sz w:val="20"/>
          <w:lang w:val="fr-FR"/>
        </w:rPr>
        <w:t>edex 05</w:t>
      </w:r>
      <w:r>
        <w:rPr>
          <w:sz w:val="20"/>
          <w:lang w:val="fr-FR"/>
        </w:rPr>
        <w:t>,</w:t>
      </w:r>
      <w:r w:rsidRPr="00BF5C84">
        <w:rPr>
          <w:sz w:val="20"/>
          <w:lang w:val="fr-FR"/>
        </w:rPr>
        <w:t xml:space="preserve"> FRANCE</w:t>
      </w:r>
    </w:p>
    <w:p w14:paraId="32B2BD30" w14:textId="0340359C" w:rsidR="00625645" w:rsidRPr="00B326FD" w:rsidRDefault="00625645" w:rsidP="00625645">
      <w:pPr>
        <w:tabs>
          <w:tab w:val="left" w:pos="5670"/>
        </w:tabs>
        <w:rPr>
          <w:sz w:val="20"/>
          <w:lang w:val="fr-FR"/>
        </w:rPr>
      </w:pPr>
    </w:p>
    <w:p w14:paraId="326233A5" w14:textId="64846A3A" w:rsidR="00625645" w:rsidRPr="00065A92" w:rsidRDefault="00625645" w:rsidP="00625645">
      <w:pPr>
        <w:tabs>
          <w:tab w:val="left" w:pos="5670"/>
        </w:tabs>
        <w:rPr>
          <w:b/>
          <w:sz w:val="20"/>
          <w:lang w:val="fr-FR"/>
        </w:rPr>
      </w:pPr>
      <w:r w:rsidRPr="00065A92">
        <w:rPr>
          <w:b/>
          <w:sz w:val="20"/>
          <w:lang w:val="fr-FR"/>
        </w:rPr>
        <w:t xml:space="preserve">Patricia </w:t>
      </w:r>
      <w:proofErr w:type="spellStart"/>
      <w:r w:rsidRPr="00065A92">
        <w:rPr>
          <w:b/>
          <w:sz w:val="20"/>
          <w:lang w:val="fr-FR"/>
        </w:rPr>
        <w:t>Bassereau</w:t>
      </w:r>
      <w:proofErr w:type="spellEnd"/>
      <w:r w:rsidRPr="00065A92">
        <w:rPr>
          <w:b/>
          <w:sz w:val="20"/>
          <w:lang w:val="fr-FR"/>
        </w:rPr>
        <w:tab/>
      </w:r>
    </w:p>
    <w:p w14:paraId="44F6E248" w14:textId="4CFB13BF" w:rsidR="00EE2F2E" w:rsidRPr="006E4287" w:rsidRDefault="00430831" w:rsidP="00625645">
      <w:pPr>
        <w:tabs>
          <w:tab w:val="left" w:pos="5670"/>
        </w:tabs>
        <w:rPr>
          <w:sz w:val="20"/>
        </w:rPr>
      </w:pPr>
      <w:r w:rsidRPr="006E4287">
        <w:rPr>
          <w:sz w:val="20"/>
        </w:rPr>
        <w:t>Research Director</w:t>
      </w:r>
      <w:r w:rsidR="00625645" w:rsidRPr="006E4287">
        <w:rPr>
          <w:sz w:val="20"/>
        </w:rPr>
        <w:t xml:space="preserve"> CNRS</w:t>
      </w:r>
      <w:r w:rsidR="00EE2F2E" w:rsidRPr="006E4287">
        <w:rPr>
          <w:sz w:val="20"/>
        </w:rPr>
        <w:tab/>
      </w:r>
    </w:p>
    <w:p w14:paraId="4E53CE08" w14:textId="2591BD5E" w:rsidR="00164E63" w:rsidRPr="006E4287" w:rsidRDefault="00EE2F2E" w:rsidP="00EE2F2E">
      <w:pPr>
        <w:tabs>
          <w:tab w:val="left" w:pos="5670"/>
        </w:tabs>
      </w:pPr>
      <w:proofErr w:type="spellStart"/>
      <w:proofErr w:type="gramStart"/>
      <w:r w:rsidRPr="006E4287">
        <w:rPr>
          <w:sz w:val="20"/>
        </w:rPr>
        <w:t>Tél</w:t>
      </w:r>
      <w:proofErr w:type="spellEnd"/>
      <w:r w:rsidRPr="006E4287">
        <w:rPr>
          <w:sz w:val="20"/>
        </w:rPr>
        <w:t>.</w:t>
      </w:r>
      <w:proofErr w:type="gramEnd"/>
      <w:r w:rsidRPr="006E4287">
        <w:rPr>
          <w:sz w:val="20"/>
        </w:rPr>
        <w:t xml:space="preserve">  +33 (0)1 56 24 67 84</w:t>
      </w:r>
      <w:r w:rsidRPr="006E4287">
        <w:rPr>
          <w:sz w:val="20"/>
        </w:rPr>
        <w:tab/>
      </w:r>
      <w:r w:rsidR="00164E63" w:rsidRPr="006E4287">
        <w:t>Paris,</w:t>
      </w:r>
      <w:r w:rsidR="00164E63" w:rsidRPr="006E4287">
        <w:tab/>
        <w:t xml:space="preserve"> </w:t>
      </w:r>
      <w:r w:rsidR="00065A92">
        <w:t>August</w:t>
      </w:r>
      <w:r w:rsidR="00FB270C" w:rsidRPr="006E4287">
        <w:t xml:space="preserve"> </w:t>
      </w:r>
      <w:r w:rsidR="00065A92">
        <w:t>12th</w:t>
      </w:r>
      <w:r w:rsidR="00FB270C" w:rsidRPr="006E4287">
        <w:t>, 2014</w:t>
      </w:r>
    </w:p>
    <w:p w14:paraId="0013D5A3" w14:textId="77777777" w:rsidR="00EE2F2E" w:rsidRPr="006E4287" w:rsidRDefault="00164E63" w:rsidP="00EE2F2E">
      <w:pPr>
        <w:tabs>
          <w:tab w:val="left" w:pos="5670"/>
        </w:tabs>
        <w:rPr>
          <w:sz w:val="20"/>
        </w:rPr>
      </w:pPr>
      <w:proofErr w:type="gramStart"/>
      <w:r w:rsidRPr="006E4287">
        <w:rPr>
          <w:sz w:val="20"/>
        </w:rPr>
        <w:t>Fax.</w:t>
      </w:r>
      <w:proofErr w:type="gramEnd"/>
      <w:r w:rsidRPr="006E4287">
        <w:rPr>
          <w:sz w:val="20"/>
        </w:rPr>
        <w:t xml:space="preserve"> +33 (0)1 40 51 06 36</w:t>
      </w:r>
      <w:r w:rsidRPr="006E4287">
        <w:rPr>
          <w:sz w:val="20"/>
        </w:rPr>
        <w:tab/>
      </w:r>
    </w:p>
    <w:p w14:paraId="13F781B2" w14:textId="77777777" w:rsidR="00EE2F2E" w:rsidRPr="006E4287" w:rsidRDefault="00EE2F2E" w:rsidP="00EE2F2E">
      <w:pPr>
        <w:tabs>
          <w:tab w:val="left" w:pos="5670"/>
        </w:tabs>
        <w:rPr>
          <w:sz w:val="18"/>
        </w:rPr>
      </w:pPr>
      <w:r w:rsidRPr="006E4287">
        <w:rPr>
          <w:sz w:val="20"/>
        </w:rPr>
        <w:t>patricia.bassereau@curie.fr</w:t>
      </w:r>
      <w:r w:rsidRPr="006E4287">
        <w:rPr>
          <w:sz w:val="20"/>
        </w:rPr>
        <w:tab/>
      </w:r>
    </w:p>
    <w:p w14:paraId="193734FA" w14:textId="77777777" w:rsidR="00EE2F2E" w:rsidRPr="006E4287" w:rsidRDefault="00EE2F2E" w:rsidP="00190AC4">
      <w:pPr>
        <w:tabs>
          <w:tab w:val="left" w:pos="5670"/>
        </w:tabs>
        <w:rPr>
          <w:sz w:val="18"/>
        </w:rPr>
      </w:pPr>
      <w:r w:rsidRPr="006E4287">
        <w:rPr>
          <w:sz w:val="18"/>
        </w:rPr>
        <w:tab/>
      </w:r>
    </w:p>
    <w:p w14:paraId="75F81B80" w14:textId="77777777" w:rsidR="00FA727E" w:rsidRPr="00144B3A" w:rsidRDefault="00FA727E" w:rsidP="00983469">
      <w:pPr>
        <w:pStyle w:val="BodyTextIndent"/>
        <w:tabs>
          <w:tab w:val="clear" w:pos="5670"/>
        </w:tabs>
        <w:spacing w:line="240" w:lineRule="auto"/>
        <w:ind w:left="567" w:firstLine="567"/>
      </w:pPr>
    </w:p>
    <w:p w14:paraId="3120E69A" w14:textId="66F4330A" w:rsidR="00FB270C" w:rsidRDefault="00065A92" w:rsidP="00FB270C">
      <w:pPr>
        <w:ind w:firstLine="567"/>
        <w:jc w:val="both"/>
      </w:pPr>
      <w:r>
        <w:tab/>
      </w:r>
      <w:r>
        <w:tab/>
      </w:r>
      <w:r>
        <w:tab/>
      </w:r>
      <w:r w:rsidR="00FB270C">
        <w:t xml:space="preserve">Dear Eric, </w:t>
      </w:r>
    </w:p>
    <w:p w14:paraId="3198E76A" w14:textId="77777777" w:rsidR="00FB270C" w:rsidRDefault="00FB270C" w:rsidP="00FB270C">
      <w:pPr>
        <w:ind w:firstLine="567"/>
        <w:jc w:val="both"/>
      </w:pPr>
    </w:p>
    <w:p w14:paraId="4EDC589D" w14:textId="5203885C" w:rsidR="00243D71" w:rsidRDefault="00065A92" w:rsidP="00FB270C">
      <w:pPr>
        <w:ind w:firstLine="567"/>
        <w:jc w:val="both"/>
      </w:pPr>
      <w:r>
        <w:t xml:space="preserve">We </w:t>
      </w:r>
      <w:r w:rsidR="00EB5584">
        <w:t xml:space="preserve">are very grateful to </w:t>
      </w:r>
      <w:r w:rsidR="00BA0D1C">
        <w:t xml:space="preserve">the </w:t>
      </w:r>
      <w:r>
        <w:t>reviewers</w:t>
      </w:r>
      <w:r w:rsidR="00EB5584">
        <w:t xml:space="preserve"> for</w:t>
      </w:r>
      <w:r w:rsidR="00BA0D1C">
        <w:t xml:space="preserve"> studying </w:t>
      </w:r>
      <w:r w:rsidR="00F12055">
        <w:t>our</w:t>
      </w:r>
      <w:r w:rsidR="00BA0D1C">
        <w:t xml:space="preserve"> manuscript</w:t>
      </w:r>
      <w:r w:rsidR="000163D8">
        <w:t xml:space="preserve"> so carefully and providing such detailed comments and suggestions.</w:t>
      </w:r>
      <w:r w:rsidR="00F12055">
        <w:t xml:space="preserve"> </w:t>
      </w:r>
    </w:p>
    <w:p w14:paraId="1D733CFD" w14:textId="77777777" w:rsidR="00243D71" w:rsidRDefault="00243D71" w:rsidP="00FB270C">
      <w:pPr>
        <w:ind w:firstLine="567"/>
        <w:jc w:val="both"/>
      </w:pPr>
    </w:p>
    <w:p w14:paraId="58AE0ABB" w14:textId="17BA25AE" w:rsidR="00243D71" w:rsidRDefault="00F12055" w:rsidP="00ED6F7D">
      <w:pPr>
        <w:ind w:firstLine="567"/>
        <w:jc w:val="both"/>
      </w:pPr>
      <w:r>
        <w:t xml:space="preserve">The only major concern </w:t>
      </w:r>
      <w:r>
        <w:t xml:space="preserve">was </w:t>
      </w:r>
      <w:r>
        <w:t>from reviewer #1, who</w:t>
      </w:r>
      <w:r>
        <w:t xml:space="preserve"> noted</w:t>
      </w:r>
      <w:r>
        <w:t xml:space="preserve"> that the channel conductance and inactivation in GUVs differs from </w:t>
      </w:r>
      <w:r>
        <w:t xml:space="preserve">studies </w:t>
      </w:r>
      <w:r w:rsidR="00BE447E">
        <w:t xml:space="preserve">of </w:t>
      </w:r>
      <w:proofErr w:type="spellStart"/>
      <w:r w:rsidR="00BE447E">
        <w:t>KvAP</w:t>
      </w:r>
      <w:proofErr w:type="spellEnd"/>
      <w:r w:rsidR="00BE447E">
        <w:t xml:space="preserve"> </w:t>
      </w:r>
      <w:r>
        <w:t>in Black Lipid Membranes (BLMs)</w:t>
      </w:r>
      <w:r>
        <w:t>.</w:t>
      </w:r>
      <w:r w:rsidR="00B7652D">
        <w:t xml:space="preserve"> </w:t>
      </w:r>
      <w:r w:rsidR="00243D71">
        <w:t xml:space="preserve"> However,</w:t>
      </w:r>
      <w:r w:rsidR="000163D8">
        <w:t xml:space="preserve"> as we explain in the response to reviewers,</w:t>
      </w:r>
      <w:r w:rsidR="00243D71">
        <w:t xml:space="preserve"> </w:t>
      </w:r>
      <w:r w:rsidR="00B7652D">
        <w:t>these differences in channel properties are entirely consistent with the different conditions in the BLM and GUV experiments</w:t>
      </w:r>
      <w:r w:rsidR="000163D8">
        <w:t>, while the intrinsic characteristics of the channel (i.e. K-selectivity, voltage-depe</w:t>
      </w:r>
      <w:bookmarkStart w:id="0" w:name="_GoBack"/>
      <w:bookmarkEnd w:id="0"/>
      <w:r w:rsidR="000163D8">
        <w:t>ndent activation) remain unchanged (</w:t>
      </w:r>
      <w:proofErr w:type="spellStart"/>
      <w:r w:rsidR="000163D8">
        <w:t>PLoS</w:t>
      </w:r>
      <w:proofErr w:type="spellEnd"/>
      <w:r w:rsidR="000163D8">
        <w:t xml:space="preserve"> One 6, e25529). We </w:t>
      </w:r>
      <w:r w:rsidR="00ED6F7D">
        <w:t>have</w:t>
      </w:r>
      <w:r w:rsidR="000163D8">
        <w:t xml:space="preserve"> carefully revised the manuscript to </w:t>
      </w:r>
      <w:r w:rsidR="00ED6F7D">
        <w:t xml:space="preserve">discuss this issue more fully, and to incorporate </w:t>
      </w:r>
      <w:r w:rsidR="00243D71">
        <w:t>the</w:t>
      </w:r>
      <w:r w:rsidR="00ED6F7D">
        <w:t xml:space="preserve"> many </w:t>
      </w:r>
      <w:r w:rsidR="00243D71">
        <w:t>suggest</w:t>
      </w:r>
      <w:r w:rsidR="00ED6F7D">
        <w:t>ions from all three reviewers.</w:t>
      </w:r>
    </w:p>
    <w:p w14:paraId="47E77A3B" w14:textId="315E2DB9" w:rsidR="00ED6F7D" w:rsidRDefault="00ED6F7D" w:rsidP="00ED6F7D">
      <w:pPr>
        <w:ind w:firstLine="567"/>
        <w:jc w:val="both"/>
      </w:pPr>
    </w:p>
    <w:p w14:paraId="49FB245A" w14:textId="662F610D" w:rsidR="000C59F1" w:rsidRDefault="00ED6F7D" w:rsidP="00ED6F7D">
      <w:pPr>
        <w:ind w:firstLine="567"/>
        <w:jc w:val="both"/>
      </w:pPr>
      <w:r>
        <w:t xml:space="preserve">The reviewers’ input has greatly improved the paper, and we hope the paper and </w:t>
      </w:r>
      <w:r w:rsidR="00565B7D">
        <w:t>video</w:t>
      </w:r>
      <w:r w:rsidR="00DF615A">
        <w:t>s</w:t>
      </w:r>
      <w:r w:rsidR="00565B7D">
        <w:t xml:space="preserve"> </w:t>
      </w:r>
      <w:r w:rsidR="00DF615A">
        <w:t>will</w:t>
      </w:r>
      <w:r w:rsidR="006E4287">
        <w:t xml:space="preserve"> </w:t>
      </w:r>
      <w:r>
        <w:t xml:space="preserve">help other scientists </w:t>
      </w:r>
      <w:r w:rsidR="00565B7D">
        <w:t>use GUVs with reconstituted proteins for many academic and technologic applications</w:t>
      </w:r>
      <w:r w:rsidR="00DF615A">
        <w:t>.</w:t>
      </w:r>
    </w:p>
    <w:p w14:paraId="7D372C64" w14:textId="77777777" w:rsidR="000C59F1" w:rsidRDefault="000C59F1" w:rsidP="00FB270C">
      <w:pPr>
        <w:ind w:firstLine="567"/>
        <w:jc w:val="both"/>
      </w:pPr>
    </w:p>
    <w:p w14:paraId="75E14938" w14:textId="14B4E593" w:rsidR="00FB270C" w:rsidRDefault="00DF615A" w:rsidP="00FB270C">
      <w:pPr>
        <w:ind w:firstLine="567"/>
        <w:jc w:val="both"/>
      </w:pPr>
      <w:r>
        <w:t>We are looking forward to hear from you</w:t>
      </w:r>
      <w:r w:rsidR="00ED6F7D">
        <w:t>,</w:t>
      </w:r>
    </w:p>
    <w:p w14:paraId="403521CF" w14:textId="77777777" w:rsidR="00DF615A" w:rsidRDefault="00DF615A" w:rsidP="00FB270C">
      <w:pPr>
        <w:ind w:firstLine="567"/>
        <w:jc w:val="both"/>
      </w:pPr>
    </w:p>
    <w:p w14:paraId="40F268DF" w14:textId="7AD7F0E5" w:rsidR="00DF615A" w:rsidRDefault="00DF615A" w:rsidP="00FB270C">
      <w:pPr>
        <w:ind w:firstLine="567"/>
        <w:jc w:val="both"/>
      </w:pPr>
      <w:r>
        <w:t>Best regards</w:t>
      </w:r>
      <w:r w:rsidR="00ED6F7D">
        <w:t>,</w:t>
      </w:r>
    </w:p>
    <w:p w14:paraId="4B03C370" w14:textId="77777777" w:rsidR="00972697" w:rsidRPr="00144B3A" w:rsidRDefault="00972697" w:rsidP="00144B3A">
      <w:pPr>
        <w:pStyle w:val="BodyTextIndent"/>
        <w:tabs>
          <w:tab w:val="clear" w:pos="5670"/>
        </w:tabs>
        <w:spacing w:line="240" w:lineRule="auto"/>
        <w:ind w:left="567"/>
      </w:pPr>
    </w:p>
    <w:p w14:paraId="2D242299" w14:textId="6646D7D5" w:rsidR="00D704A2" w:rsidRPr="006E4287" w:rsidRDefault="00D704A2" w:rsidP="00983469">
      <w:pPr>
        <w:pStyle w:val="BodyTextIndent"/>
        <w:tabs>
          <w:tab w:val="clear" w:pos="5670"/>
        </w:tabs>
        <w:spacing w:line="240" w:lineRule="auto"/>
        <w:ind w:left="567" w:firstLine="567"/>
      </w:pPr>
      <w:r>
        <w:rPr>
          <w:noProof/>
          <w:lang w:eastAsia="en-US"/>
        </w:rPr>
        <w:drawing>
          <wp:inline distT="0" distB="0" distL="0" distR="0" wp14:anchorId="1BA97A14" wp14:editId="38F8A9BA">
            <wp:extent cx="2423160" cy="2003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22" cy="200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15A" w:rsidRPr="006E4287">
        <w:t xml:space="preserve">Patricia </w:t>
      </w:r>
      <w:proofErr w:type="spellStart"/>
      <w:r w:rsidR="00DF615A" w:rsidRPr="006E4287">
        <w:t>Bassereau</w:t>
      </w:r>
      <w:proofErr w:type="spellEnd"/>
    </w:p>
    <w:p w14:paraId="5E500ED6" w14:textId="43948EBF" w:rsidR="00D704A2" w:rsidRPr="006E4287" w:rsidRDefault="00430831" w:rsidP="00983469">
      <w:pPr>
        <w:pStyle w:val="BodyTextIndent"/>
        <w:tabs>
          <w:tab w:val="clear" w:pos="5670"/>
        </w:tabs>
        <w:spacing w:line="240" w:lineRule="auto"/>
        <w:ind w:left="567" w:firstLine="567"/>
      </w:pPr>
      <w:r w:rsidRPr="006E4287">
        <w:t>Leader of the group</w:t>
      </w:r>
      <w:r w:rsidR="00D704A2" w:rsidRPr="006E4287">
        <w:t xml:space="preserve"> « Membrane </w:t>
      </w:r>
      <w:r w:rsidRPr="006E4287">
        <w:t>and Cell Functions</w:t>
      </w:r>
      <w:r w:rsidR="00D704A2" w:rsidRPr="006E4287">
        <w:t xml:space="preserve">» </w:t>
      </w:r>
    </w:p>
    <w:sectPr w:rsidR="00D704A2" w:rsidRPr="006E4287" w:rsidSect="00160208">
      <w:pgSz w:w="11901" w:h="16840"/>
      <w:pgMar w:top="618" w:right="1418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6E"/>
    <w:rsid w:val="000163D8"/>
    <w:rsid w:val="00065A92"/>
    <w:rsid w:val="00086C09"/>
    <w:rsid w:val="000C59F1"/>
    <w:rsid w:val="00144B3A"/>
    <w:rsid w:val="001522B3"/>
    <w:rsid w:val="00160208"/>
    <w:rsid w:val="00164E63"/>
    <w:rsid w:val="00190AC4"/>
    <w:rsid w:val="00243D71"/>
    <w:rsid w:val="00397C73"/>
    <w:rsid w:val="00400157"/>
    <w:rsid w:val="00430831"/>
    <w:rsid w:val="00512F82"/>
    <w:rsid w:val="00565B7D"/>
    <w:rsid w:val="00625645"/>
    <w:rsid w:val="00634418"/>
    <w:rsid w:val="00644DD1"/>
    <w:rsid w:val="006A2E8D"/>
    <w:rsid w:val="006E4287"/>
    <w:rsid w:val="007F750C"/>
    <w:rsid w:val="0091087C"/>
    <w:rsid w:val="00972697"/>
    <w:rsid w:val="00983469"/>
    <w:rsid w:val="009B526D"/>
    <w:rsid w:val="00A226BE"/>
    <w:rsid w:val="00A62276"/>
    <w:rsid w:val="00AE18FE"/>
    <w:rsid w:val="00B7652D"/>
    <w:rsid w:val="00BA0D1C"/>
    <w:rsid w:val="00BE447E"/>
    <w:rsid w:val="00BF5C84"/>
    <w:rsid w:val="00C241AD"/>
    <w:rsid w:val="00C82CBB"/>
    <w:rsid w:val="00D704A2"/>
    <w:rsid w:val="00D87D7E"/>
    <w:rsid w:val="00DF615A"/>
    <w:rsid w:val="00E06203"/>
    <w:rsid w:val="00E5626E"/>
    <w:rsid w:val="00EB5584"/>
    <w:rsid w:val="00ED6F7D"/>
    <w:rsid w:val="00EE2F2E"/>
    <w:rsid w:val="00F05526"/>
    <w:rsid w:val="00F12055"/>
    <w:rsid w:val="00F76D94"/>
    <w:rsid w:val="00FA727E"/>
    <w:rsid w:val="00FB2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DF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0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9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F3"/>
    <w:rPr>
      <w:rFonts w:ascii="Lucida Grande" w:hAnsi="Lucida Grande"/>
      <w:sz w:val="18"/>
      <w:szCs w:val="18"/>
    </w:rPr>
  </w:style>
  <w:style w:type="paragraph" w:styleId="EnvelopeAddress">
    <w:name w:val="envelope address"/>
    <w:basedOn w:val="Normal"/>
    <w:rsid w:val="00160208"/>
    <w:pPr>
      <w:framePr w:w="7938" w:h="1985" w:hRule="exact" w:hSpace="141" w:wrap="auto" w:hAnchor="page" w:xAlign="center" w:yAlign="bottom"/>
      <w:ind w:left="2835"/>
    </w:pPr>
  </w:style>
  <w:style w:type="character" w:styleId="Hyperlink">
    <w:name w:val="Hyperlink"/>
    <w:basedOn w:val="DefaultParagraphFont"/>
    <w:rsid w:val="00160208"/>
    <w:rPr>
      <w:color w:val="0000FF"/>
      <w:u w:val="single"/>
    </w:rPr>
  </w:style>
  <w:style w:type="character" w:styleId="FollowedHyperlink">
    <w:name w:val="FollowedHyperlink"/>
    <w:basedOn w:val="DefaultParagraphFont"/>
    <w:rsid w:val="00160208"/>
    <w:rPr>
      <w:color w:val="800080"/>
      <w:u w:val="single"/>
    </w:rPr>
  </w:style>
  <w:style w:type="paragraph" w:styleId="BodyTextIndent">
    <w:name w:val="Body Text Indent"/>
    <w:basedOn w:val="Normal"/>
    <w:rsid w:val="00160208"/>
    <w:pPr>
      <w:tabs>
        <w:tab w:val="left" w:pos="5670"/>
      </w:tabs>
      <w:spacing w:line="360" w:lineRule="auto"/>
      <w:ind w:left="1418"/>
      <w:jc w:val="both"/>
    </w:pPr>
  </w:style>
  <w:style w:type="paragraph" w:styleId="BodyText">
    <w:name w:val="Body Text"/>
    <w:basedOn w:val="Normal"/>
    <w:rsid w:val="00160208"/>
    <w:pPr>
      <w:jc w:val="both"/>
    </w:pPr>
    <w:rPr>
      <w:rFonts w:eastAsia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0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9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F3"/>
    <w:rPr>
      <w:rFonts w:ascii="Lucida Grande" w:hAnsi="Lucida Grande"/>
      <w:sz w:val="18"/>
      <w:szCs w:val="18"/>
    </w:rPr>
  </w:style>
  <w:style w:type="paragraph" w:styleId="EnvelopeAddress">
    <w:name w:val="envelope address"/>
    <w:basedOn w:val="Normal"/>
    <w:rsid w:val="00160208"/>
    <w:pPr>
      <w:framePr w:w="7938" w:h="1985" w:hRule="exact" w:hSpace="141" w:wrap="auto" w:hAnchor="page" w:xAlign="center" w:yAlign="bottom"/>
      <w:ind w:left="2835"/>
    </w:pPr>
  </w:style>
  <w:style w:type="character" w:styleId="Hyperlink">
    <w:name w:val="Hyperlink"/>
    <w:basedOn w:val="DefaultParagraphFont"/>
    <w:rsid w:val="00160208"/>
    <w:rPr>
      <w:color w:val="0000FF"/>
      <w:u w:val="single"/>
    </w:rPr>
  </w:style>
  <w:style w:type="character" w:styleId="FollowedHyperlink">
    <w:name w:val="FollowedHyperlink"/>
    <w:basedOn w:val="DefaultParagraphFont"/>
    <w:rsid w:val="00160208"/>
    <w:rPr>
      <w:color w:val="800080"/>
      <w:u w:val="single"/>
    </w:rPr>
  </w:style>
  <w:style w:type="paragraph" w:styleId="BodyTextIndent">
    <w:name w:val="Body Text Indent"/>
    <w:basedOn w:val="Normal"/>
    <w:rsid w:val="00160208"/>
    <w:pPr>
      <w:tabs>
        <w:tab w:val="left" w:pos="5670"/>
      </w:tabs>
      <w:spacing w:line="360" w:lineRule="auto"/>
      <w:ind w:left="1418"/>
      <w:jc w:val="both"/>
    </w:pPr>
  </w:style>
  <w:style w:type="paragraph" w:styleId="BodyText">
    <w:name w:val="Body Text"/>
    <w:basedOn w:val="Normal"/>
    <w:rsid w:val="00160208"/>
    <w:pPr>
      <w:jc w:val="both"/>
    </w:pPr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curie</Company>
  <LinksUpToDate>false</LinksUpToDate>
  <CharactersWithSpaces>1408</CharactersWithSpaces>
  <SharedDoc>false</SharedDoc>
  <HLinks>
    <vt:vector size="6" baseType="variant">
      <vt:variant>
        <vt:i4>6029312</vt:i4>
      </vt:variant>
      <vt:variant>
        <vt:i4>2049</vt:i4>
      </vt:variant>
      <vt:variant>
        <vt:i4>1025</vt:i4>
      </vt:variant>
      <vt:variant>
        <vt:i4>1</vt:i4>
      </vt:variant>
      <vt:variant>
        <vt:lpwstr>logo-New-institut_curie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Curie -- Section Recherche</dc:creator>
  <cp:lastModifiedBy>Toombes, Gilman (NIH/NINDS) [E]</cp:lastModifiedBy>
  <cp:revision>3</cp:revision>
  <cp:lastPrinted>2000-03-15T17:18:00Z</cp:lastPrinted>
  <dcterms:created xsi:type="dcterms:W3CDTF">2014-05-01T12:06:00Z</dcterms:created>
  <dcterms:modified xsi:type="dcterms:W3CDTF">2014-08-12T15:55:00Z</dcterms:modified>
</cp:coreProperties>
</file>