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D95301" w:rsidRPr="00D95301" w:rsidTr="00014EB5">
        <w:trPr>
          <w:tblCellSpacing w:w="15" w:type="dxa"/>
        </w:trPr>
        <w:tc>
          <w:tcPr>
            <w:tcW w:w="4968" w:type="pct"/>
            <w:vAlign w:val="center"/>
            <w:hideMark/>
          </w:tcPr>
          <w:p w:rsidR="00014EB5" w:rsidRPr="00014EB5" w:rsidRDefault="00014EB5" w:rsidP="00014EB5">
            <w:pPr>
              <w:pStyle w:val="NormalWeb"/>
              <w:shd w:val="clear" w:color="auto" w:fill="FFFFFF"/>
              <w:tabs>
                <w:tab w:val="left" w:pos="1530"/>
              </w:tabs>
              <w:spacing w:before="0" w:beforeAutospacing="0" w:after="0" w:afterAutospacing="0" w:line="210" w:lineRule="atLeast"/>
            </w:pPr>
            <w:r w:rsidRPr="00DC7F8A">
              <w:rPr>
                <w:color w:val="365F91" w:themeColor="accent1" w:themeShade="BF"/>
              </w:rPr>
              <w:t xml:space="preserve">Dear Dr. </w:t>
            </w:r>
            <w:r>
              <w:rPr>
                <w:color w:val="365F91" w:themeColor="accent1" w:themeShade="BF"/>
              </w:rPr>
              <w:t>Nguyen</w:t>
            </w:r>
            <w:r w:rsidRPr="00DC7F8A">
              <w:rPr>
                <w:color w:val="365F91" w:themeColor="accent1" w:themeShade="BF"/>
              </w:rPr>
              <w:t>,</w:t>
            </w:r>
            <w:r w:rsidRPr="00DC7F8A">
              <w:rPr>
                <w:rStyle w:val="apple-converted-space"/>
                <w:color w:val="365F91" w:themeColor="accent1" w:themeShade="BF"/>
              </w:rPr>
              <w:t> </w:t>
            </w:r>
            <w:r w:rsidRPr="00DC7F8A">
              <w:rPr>
                <w:color w:val="365F91" w:themeColor="accent1" w:themeShade="BF"/>
              </w:rPr>
              <w:br/>
            </w:r>
            <w:r w:rsidRPr="00DC7F8A">
              <w:rPr>
                <w:color w:val="365F91" w:themeColor="accent1" w:themeShade="BF"/>
              </w:rPr>
              <w:br/>
              <w:t>We appreciate your invitation to resubmit our manuscript</w:t>
            </w:r>
            <w:r>
              <w:rPr>
                <w:color w:val="365F91" w:themeColor="accent1" w:themeShade="BF"/>
              </w:rPr>
              <w:t xml:space="preserve"> </w:t>
            </w:r>
            <w:r w:rsidRPr="00014EB5">
              <w:rPr>
                <w:color w:val="365F91" w:themeColor="accent1" w:themeShade="BF"/>
              </w:rPr>
              <w:t>JoVE52484R1</w:t>
            </w:r>
            <w:r w:rsidRPr="00DC7F8A">
              <w:rPr>
                <w:color w:val="365F91" w:themeColor="accent1" w:themeShade="BF"/>
              </w:rPr>
              <w:t xml:space="preserve"> entitled,</w:t>
            </w:r>
            <w:r>
              <w:t xml:space="preserve"> “</w:t>
            </w:r>
            <w:r w:rsidRPr="00014EB5">
              <w:rPr>
                <w:color w:val="365F91" w:themeColor="accent1" w:themeShade="BF"/>
              </w:rPr>
              <w:t>Techniques for the Analysis of Extracellular Vesicles using Flow Cytometry</w:t>
            </w:r>
            <w:r>
              <w:rPr>
                <w:color w:val="365F91" w:themeColor="accent1" w:themeShade="BF"/>
              </w:rPr>
              <w:t>”</w:t>
            </w:r>
            <w:r w:rsidRPr="00DC7F8A">
              <w:rPr>
                <w:color w:val="365F91" w:themeColor="accent1" w:themeShade="BF"/>
              </w:rPr>
              <w:t>.  We would like to thank you and the reviewers for your insightful feedback; the constructive criticisms we received were tremendously helpful and very much appreciated.  Following your recommendations, we were able to make substantial improveme</w:t>
            </w:r>
            <w:r>
              <w:rPr>
                <w:color w:val="365F91" w:themeColor="accent1" w:themeShade="BF"/>
              </w:rPr>
              <w:t xml:space="preserve">nts to the manuscript. </w:t>
            </w:r>
            <w:r w:rsidRPr="00DC7F8A">
              <w:rPr>
                <w:color w:val="365F91" w:themeColor="accent1" w:themeShade="BF"/>
              </w:rPr>
              <w:t xml:space="preserve">In addition, we have provided a detailed, point-by-point response to each reviewer below. We believe these revisions have significantly enhanced the quality of our manuscript and hope you will reconsider this manuscript for publication in </w:t>
            </w:r>
            <w:proofErr w:type="spellStart"/>
            <w:r>
              <w:rPr>
                <w:color w:val="365F91" w:themeColor="accent1" w:themeShade="BF"/>
              </w:rPr>
              <w:t>JoVE</w:t>
            </w:r>
            <w:proofErr w:type="spellEnd"/>
            <w:r w:rsidRPr="00DC7F8A">
              <w:rPr>
                <w:color w:val="365F91" w:themeColor="accent1" w:themeShade="BF"/>
              </w:rPr>
              <w:t xml:space="preserve">.    </w:t>
            </w:r>
          </w:p>
          <w:p w:rsidR="00014EB5" w:rsidRPr="00DC7F8A" w:rsidRDefault="00014EB5" w:rsidP="00014EB5">
            <w:pPr>
              <w:pStyle w:val="pagecontents"/>
              <w:spacing w:before="0" w:beforeAutospacing="0" w:after="0" w:afterAutospacing="0"/>
              <w:rPr>
                <w:color w:val="365F91" w:themeColor="accent1" w:themeShade="BF"/>
              </w:rPr>
            </w:pPr>
          </w:p>
          <w:p w:rsidR="00B02997" w:rsidRDefault="00014EB5" w:rsidP="00D954C2">
            <w:pPr>
              <w:pStyle w:val="NormalWeb"/>
              <w:shd w:val="clear" w:color="auto" w:fill="FFFFFF"/>
              <w:tabs>
                <w:tab w:val="left" w:pos="1530"/>
              </w:tabs>
              <w:spacing w:before="0" w:beforeAutospacing="0" w:after="0" w:afterAutospacing="0" w:line="210" w:lineRule="atLeast"/>
              <w:rPr>
                <w:color w:val="365F91" w:themeColor="accent1" w:themeShade="BF"/>
              </w:rPr>
            </w:pPr>
            <w:r>
              <w:pict>
                <v:rect id="_x0000_i1027" style="width:0;height:.75pt" o:hrstd="t" o:hrnoshade="t" o:hr="t" fillcolor="#a0a0a0" stroked="f"/>
              </w:pict>
            </w:r>
            <w:r w:rsidR="000C2E46" w:rsidRPr="00D95301">
              <w:br/>
            </w:r>
            <w:r w:rsidR="000C2E46" w:rsidRPr="00D95301">
              <w:br/>
            </w:r>
            <w:r w:rsidR="000C2E46" w:rsidRPr="00D95301">
              <w:rPr>
                <w:b/>
                <w:bCs/>
              </w:rPr>
              <w:t>Reviewers' comments</w:t>
            </w:r>
            <w:proofErr w:type="gramStart"/>
            <w:r w:rsidR="000C2E46" w:rsidRPr="00D95301">
              <w:rPr>
                <w:b/>
                <w:bCs/>
              </w:rPr>
              <w:t>:</w:t>
            </w:r>
            <w:proofErr w:type="gramEnd"/>
            <w:r w:rsidR="000C2E46" w:rsidRPr="00D95301">
              <w:br/>
            </w:r>
            <w:r w:rsidR="000C2E46" w:rsidRPr="00D95301">
              <w:br/>
            </w:r>
            <w:r w:rsidR="000C2E46" w:rsidRPr="00D95301">
              <w:rPr>
                <w:b/>
                <w:bCs/>
              </w:rPr>
              <w:t>Editor’s Note:</w:t>
            </w:r>
            <w:r w:rsidR="000C2E46" w:rsidRPr="00D95301">
              <w:rPr>
                <w:rStyle w:val="apple-converted-space"/>
                <w:b/>
                <w:bCs/>
              </w:rPr>
              <w:t> </w:t>
            </w:r>
            <w:r w:rsidR="000C2E46" w:rsidRPr="00D95301">
              <w:t xml:space="preserve">Please note that the reviewers raised some significant concerns regarding your method and your manuscript. Please thoroughly address each concern by revising the manuscript </w:t>
            </w:r>
            <w:r w:rsidR="000C2E46" w:rsidRPr="00D95301">
              <w:lastRenderedPageBreak/>
              <w:t>or addressing the comment in your rebuttal letter.</w:t>
            </w:r>
            <w:r w:rsidR="000C2E46" w:rsidRPr="00D95301">
              <w:br/>
            </w:r>
            <w:r w:rsidR="000C2E46" w:rsidRPr="00D95301">
              <w:br/>
            </w:r>
            <w:r w:rsidR="000C2E46" w:rsidRPr="00D95301">
              <w:rPr>
                <w:b/>
                <w:bCs/>
              </w:rPr>
              <w:t>Reviewer #1:</w:t>
            </w:r>
            <w:r w:rsidR="000C2E46" w:rsidRPr="00D95301">
              <w:rPr>
                <w:rStyle w:val="apple-converted-space"/>
              </w:rPr>
              <w:t> </w:t>
            </w:r>
            <w:r w:rsidR="000C2E46" w:rsidRPr="00D95301">
              <w:br/>
            </w:r>
            <w:r w:rsidR="000C2E46" w:rsidRPr="00D95301">
              <w:rPr>
                <w:i/>
                <w:iCs/>
              </w:rPr>
              <w:t>Manuscript Summary:</w:t>
            </w:r>
            <w:r w:rsidR="000C2E46" w:rsidRPr="00D95301">
              <w:rPr>
                <w:rStyle w:val="apple-converted-space"/>
              </w:rPr>
              <w:t> </w:t>
            </w:r>
            <w:r w:rsidR="000C2E46" w:rsidRPr="00D95301">
              <w:br/>
              <w:t xml:space="preserve">comparison of protocols for </w:t>
            </w:r>
            <w:proofErr w:type="spellStart"/>
            <w:r w:rsidR="000C2E46" w:rsidRPr="00D95301">
              <w:t>microparticles</w:t>
            </w:r>
            <w:proofErr w:type="spellEnd"/>
            <w:r w:rsidR="000C2E46" w:rsidRPr="00D95301">
              <w:t xml:space="preserve"> analysis</w:t>
            </w:r>
            <w:r w:rsidR="000C2E46" w:rsidRPr="00D95301">
              <w:br/>
            </w:r>
            <w:r w:rsidR="000C2E46" w:rsidRPr="00D95301">
              <w:br/>
            </w:r>
            <w:r w:rsidR="000C2E46" w:rsidRPr="00D95301">
              <w:rPr>
                <w:i/>
                <w:iCs/>
              </w:rPr>
              <w:t>Major Concerns</w:t>
            </w:r>
            <w:proofErr w:type="gramStart"/>
            <w:r w:rsidR="000C2E46" w:rsidRPr="00D95301">
              <w:rPr>
                <w:i/>
                <w:iCs/>
              </w:rPr>
              <w:t>:</w:t>
            </w:r>
            <w:proofErr w:type="gramEnd"/>
            <w:r w:rsidR="000C2E46" w:rsidRPr="00D95301">
              <w:br/>
              <w:t>1) The reading of the paper is difficult and not pleasant</w:t>
            </w:r>
            <w:r w:rsidR="000C2E46" w:rsidRPr="00D95301">
              <w:br/>
            </w:r>
            <w:r w:rsidR="004D6869">
              <w:rPr>
                <w:color w:val="365F91" w:themeColor="accent1" w:themeShade="BF"/>
              </w:rPr>
              <w:t>We regret that the paper was difficult to follow (though Reviewer #2 found the protocol to be clear).  We have incorporated the constructive criticisms of each of the reviewers and feel we have improved the flow of the manuscript.</w:t>
            </w:r>
          </w:p>
          <w:p w:rsidR="00E2484C" w:rsidRDefault="000C2E46" w:rsidP="00D954C2">
            <w:pPr>
              <w:pStyle w:val="NormalWeb"/>
              <w:shd w:val="clear" w:color="auto" w:fill="FFFFFF"/>
              <w:tabs>
                <w:tab w:val="left" w:pos="1530"/>
              </w:tabs>
              <w:spacing w:before="0" w:beforeAutospacing="0" w:after="0" w:afterAutospacing="0" w:line="210" w:lineRule="atLeast"/>
            </w:pPr>
            <w:r w:rsidRPr="00D95301">
              <w:br/>
              <w:t xml:space="preserve">2) The paragraph « processing of blood samples » is not sufficiently detailed (anticoagulant, volume of tube, temperature of centrifugation, control of platelet count in PPP,….) and </w:t>
            </w:r>
            <w:r w:rsidRPr="00CA24B4">
              <w:t>should follow recommendations made by the 2 following papers</w:t>
            </w:r>
            <w:r w:rsidRPr="00D95301">
              <w:t xml:space="preserve"> (please add both references in the references section)</w:t>
            </w:r>
          </w:p>
          <w:p w:rsidR="00E2484C" w:rsidRDefault="000C2E46" w:rsidP="00D954C2">
            <w:pPr>
              <w:pStyle w:val="NormalWeb"/>
              <w:shd w:val="clear" w:color="auto" w:fill="FFFFFF"/>
              <w:tabs>
                <w:tab w:val="left" w:pos="1530"/>
              </w:tabs>
              <w:spacing w:before="0" w:beforeAutospacing="0" w:after="0" w:afterAutospacing="0" w:line="210" w:lineRule="atLeast"/>
              <w:rPr>
                <w:color w:val="4A442A" w:themeColor="background2" w:themeShade="40"/>
              </w:rPr>
            </w:pPr>
            <w:r w:rsidRPr="00D95301">
              <w:br/>
            </w:r>
            <w:r w:rsidRPr="00D30FCB">
              <w:rPr>
                <w:color w:val="4A442A" w:themeColor="background2" w:themeShade="40"/>
              </w:rPr>
              <w:t>Pre-analytical issues in the measurement of circulating microparticles: current recomme</w:t>
            </w:r>
            <w:r w:rsidR="00943784" w:rsidRPr="00D30FCB">
              <w:rPr>
                <w:color w:val="4A442A" w:themeColor="background2" w:themeShade="40"/>
              </w:rPr>
              <w:t xml:space="preserve">ndations and pending questions. </w:t>
            </w:r>
            <w:proofErr w:type="spellStart"/>
            <w:r w:rsidRPr="00D30FCB">
              <w:rPr>
                <w:color w:val="4A442A" w:themeColor="background2" w:themeShade="40"/>
              </w:rPr>
              <w:t>Mullier</w:t>
            </w:r>
            <w:proofErr w:type="spellEnd"/>
            <w:r w:rsidRPr="00D30FCB">
              <w:rPr>
                <w:color w:val="4A442A" w:themeColor="background2" w:themeShade="40"/>
              </w:rPr>
              <w:t xml:space="preserve"> F, </w:t>
            </w:r>
            <w:proofErr w:type="spellStart"/>
            <w:r w:rsidRPr="00D30FCB">
              <w:rPr>
                <w:color w:val="4A442A" w:themeColor="background2" w:themeShade="40"/>
              </w:rPr>
              <w:t>Bailly</w:t>
            </w:r>
            <w:proofErr w:type="spellEnd"/>
            <w:r w:rsidRPr="00D30FCB">
              <w:rPr>
                <w:color w:val="4A442A" w:themeColor="background2" w:themeShade="40"/>
              </w:rPr>
              <w:t xml:space="preserve"> N, </w:t>
            </w:r>
            <w:proofErr w:type="spellStart"/>
            <w:r w:rsidRPr="00D30FCB">
              <w:rPr>
                <w:color w:val="4A442A" w:themeColor="background2" w:themeShade="40"/>
              </w:rPr>
              <w:t>Chat</w:t>
            </w:r>
            <w:r w:rsidR="00D95301" w:rsidRPr="00D30FCB">
              <w:rPr>
                <w:color w:val="4A442A" w:themeColor="background2" w:themeShade="40"/>
              </w:rPr>
              <w:t>elain</w:t>
            </w:r>
            <w:proofErr w:type="spellEnd"/>
            <w:r w:rsidR="00D95301" w:rsidRPr="00D30FCB">
              <w:rPr>
                <w:color w:val="4A442A" w:themeColor="background2" w:themeShade="40"/>
              </w:rPr>
              <w:t xml:space="preserve"> C, </w:t>
            </w:r>
            <w:proofErr w:type="spellStart"/>
            <w:r w:rsidR="00D95301" w:rsidRPr="00D30FCB">
              <w:rPr>
                <w:color w:val="4A442A" w:themeColor="background2" w:themeShade="40"/>
              </w:rPr>
              <w:t>Chatelain</w:t>
            </w:r>
            <w:proofErr w:type="spellEnd"/>
            <w:r w:rsidR="00D95301" w:rsidRPr="00D30FCB">
              <w:rPr>
                <w:color w:val="4A442A" w:themeColor="background2" w:themeShade="40"/>
              </w:rPr>
              <w:t xml:space="preserve"> B, </w:t>
            </w:r>
            <w:proofErr w:type="spellStart"/>
            <w:r w:rsidR="00D95301" w:rsidRPr="00D30FCB">
              <w:rPr>
                <w:color w:val="4A442A" w:themeColor="background2" w:themeShade="40"/>
              </w:rPr>
              <w:t>Dogné</w:t>
            </w:r>
            <w:proofErr w:type="spellEnd"/>
            <w:r w:rsidR="00D95301" w:rsidRPr="00D30FCB">
              <w:rPr>
                <w:color w:val="4A442A" w:themeColor="background2" w:themeShade="40"/>
              </w:rPr>
              <w:t xml:space="preserve"> JM.</w:t>
            </w:r>
            <w:r w:rsidRPr="00D30FCB">
              <w:rPr>
                <w:color w:val="4A442A" w:themeColor="background2" w:themeShade="40"/>
              </w:rPr>
              <w:t xml:space="preserve">J </w:t>
            </w:r>
            <w:proofErr w:type="spellStart"/>
            <w:r w:rsidRPr="00D30FCB">
              <w:rPr>
                <w:color w:val="4A442A" w:themeColor="background2" w:themeShade="40"/>
              </w:rPr>
              <w:t>Thromb</w:t>
            </w:r>
            <w:proofErr w:type="spellEnd"/>
            <w:r w:rsidRPr="00D30FCB">
              <w:rPr>
                <w:color w:val="4A442A" w:themeColor="background2" w:themeShade="40"/>
              </w:rPr>
              <w:t xml:space="preserve"> </w:t>
            </w:r>
            <w:proofErr w:type="spellStart"/>
            <w:r w:rsidRPr="00D30FCB">
              <w:rPr>
                <w:color w:val="4A442A" w:themeColor="background2" w:themeShade="40"/>
              </w:rPr>
              <w:t>Haemost</w:t>
            </w:r>
            <w:proofErr w:type="spellEnd"/>
            <w:r w:rsidRPr="00D30FCB">
              <w:rPr>
                <w:color w:val="4A442A" w:themeColor="background2" w:themeShade="40"/>
              </w:rPr>
              <w:t>. 2013 Apr</w:t>
            </w:r>
            <w:proofErr w:type="gramStart"/>
            <w:r w:rsidRPr="00D30FCB">
              <w:rPr>
                <w:color w:val="4A442A" w:themeColor="background2" w:themeShade="40"/>
              </w:rPr>
              <w:t>;11</w:t>
            </w:r>
            <w:proofErr w:type="gramEnd"/>
            <w:r w:rsidRPr="00D30FCB">
              <w:rPr>
                <w:color w:val="4A442A" w:themeColor="background2" w:themeShade="40"/>
              </w:rPr>
              <w:t xml:space="preserve">(4):693-6. </w:t>
            </w:r>
            <w:proofErr w:type="spellStart"/>
            <w:proofErr w:type="gramStart"/>
            <w:r w:rsidRPr="00D30FCB">
              <w:rPr>
                <w:color w:val="4A442A" w:themeColor="background2" w:themeShade="40"/>
              </w:rPr>
              <w:t>doi</w:t>
            </w:r>
            <w:proofErr w:type="spellEnd"/>
            <w:proofErr w:type="gramEnd"/>
            <w:r w:rsidRPr="00D30FCB">
              <w:rPr>
                <w:color w:val="4A442A" w:themeColor="background2" w:themeShade="40"/>
              </w:rPr>
              <w:t>: 10.1111/jt</w:t>
            </w:r>
            <w:r w:rsidR="00D30FCB">
              <w:rPr>
                <w:color w:val="4A442A" w:themeColor="background2" w:themeShade="40"/>
              </w:rPr>
              <w:t>h.12171. No abstract available.</w:t>
            </w:r>
          </w:p>
          <w:p w:rsidR="005548F3" w:rsidRPr="00D30FCB" w:rsidRDefault="000C2E46" w:rsidP="00D954C2">
            <w:pPr>
              <w:pStyle w:val="NormalWeb"/>
              <w:shd w:val="clear" w:color="auto" w:fill="FFFFFF"/>
              <w:tabs>
                <w:tab w:val="left" w:pos="1530"/>
              </w:tabs>
              <w:spacing w:before="0" w:beforeAutospacing="0" w:after="0" w:afterAutospacing="0" w:line="210" w:lineRule="atLeast"/>
            </w:pPr>
            <w:r w:rsidRPr="00D30FCB">
              <w:rPr>
                <w:color w:val="4A442A" w:themeColor="background2" w:themeShade="40"/>
              </w:rPr>
              <w:br/>
              <w:t xml:space="preserve">Standardization of pre-analytical variables in plasma microparticle determination: results of the International Society on Thrombosis and </w:t>
            </w:r>
            <w:proofErr w:type="spellStart"/>
            <w:r w:rsidRPr="00D30FCB">
              <w:rPr>
                <w:color w:val="4A442A" w:themeColor="background2" w:themeShade="40"/>
              </w:rPr>
              <w:t>Haemostasis</w:t>
            </w:r>
            <w:proofErr w:type="spellEnd"/>
            <w:r w:rsidRPr="00D30FCB">
              <w:rPr>
                <w:color w:val="4A442A" w:themeColor="background2" w:themeShade="40"/>
              </w:rPr>
              <w:t xml:space="preserve"> SSC Collaborative workshop.</w:t>
            </w:r>
            <w:r w:rsidRPr="00D30FCB">
              <w:rPr>
                <w:color w:val="4A442A" w:themeColor="background2" w:themeShade="40"/>
              </w:rPr>
              <w:br/>
              <w:t xml:space="preserve">Lacroix R, </w:t>
            </w:r>
            <w:proofErr w:type="spellStart"/>
            <w:r w:rsidRPr="00D30FCB">
              <w:rPr>
                <w:color w:val="4A442A" w:themeColor="background2" w:themeShade="40"/>
              </w:rPr>
              <w:t>Judicone</w:t>
            </w:r>
            <w:proofErr w:type="spellEnd"/>
            <w:r w:rsidRPr="00D30FCB">
              <w:rPr>
                <w:color w:val="4A442A" w:themeColor="background2" w:themeShade="40"/>
              </w:rPr>
              <w:t xml:space="preserve"> C, </w:t>
            </w:r>
            <w:proofErr w:type="spellStart"/>
            <w:r w:rsidRPr="00D30FCB">
              <w:rPr>
                <w:color w:val="4A442A" w:themeColor="background2" w:themeShade="40"/>
              </w:rPr>
              <w:t>Mooberry</w:t>
            </w:r>
            <w:proofErr w:type="spellEnd"/>
            <w:r w:rsidRPr="00D30FCB">
              <w:rPr>
                <w:color w:val="4A442A" w:themeColor="background2" w:themeShade="40"/>
              </w:rPr>
              <w:t xml:space="preserve"> M, </w:t>
            </w:r>
            <w:proofErr w:type="spellStart"/>
            <w:r w:rsidRPr="00D30FCB">
              <w:rPr>
                <w:color w:val="4A442A" w:themeColor="background2" w:themeShade="40"/>
              </w:rPr>
              <w:t>Boucekine</w:t>
            </w:r>
            <w:proofErr w:type="spellEnd"/>
            <w:r w:rsidRPr="00D30FCB">
              <w:rPr>
                <w:color w:val="4A442A" w:themeColor="background2" w:themeShade="40"/>
              </w:rPr>
              <w:t xml:space="preserve"> M, Key NS, </w:t>
            </w:r>
            <w:proofErr w:type="spellStart"/>
            <w:r w:rsidRPr="00D30FCB">
              <w:rPr>
                <w:color w:val="4A442A" w:themeColor="background2" w:themeShade="40"/>
              </w:rPr>
              <w:t>Dignat</w:t>
            </w:r>
            <w:proofErr w:type="spellEnd"/>
            <w:r w:rsidRPr="00D30FCB">
              <w:rPr>
                <w:color w:val="4A442A" w:themeColor="background2" w:themeShade="40"/>
              </w:rPr>
              <w:t>-G</w:t>
            </w:r>
            <w:r w:rsidR="00D95301" w:rsidRPr="00D30FCB">
              <w:rPr>
                <w:color w:val="4A442A" w:themeColor="background2" w:themeShade="40"/>
              </w:rPr>
              <w:t xml:space="preserve">eorge F; The ISTH SSC </w:t>
            </w:r>
            <w:proofErr w:type="spellStart"/>
            <w:r w:rsidR="00D95301" w:rsidRPr="00D30FCB">
              <w:rPr>
                <w:color w:val="4A442A" w:themeColor="background2" w:themeShade="40"/>
              </w:rPr>
              <w:t>Workshop.</w:t>
            </w:r>
            <w:r w:rsidRPr="00D30FCB">
              <w:rPr>
                <w:color w:val="4A442A" w:themeColor="background2" w:themeShade="40"/>
              </w:rPr>
              <w:t>J</w:t>
            </w:r>
            <w:proofErr w:type="spellEnd"/>
            <w:r w:rsidRPr="00D30FCB">
              <w:rPr>
                <w:color w:val="4A442A" w:themeColor="background2" w:themeShade="40"/>
              </w:rPr>
              <w:t xml:space="preserve"> </w:t>
            </w:r>
            <w:proofErr w:type="spellStart"/>
            <w:r w:rsidRPr="00D30FCB">
              <w:rPr>
                <w:color w:val="4A442A" w:themeColor="background2" w:themeShade="40"/>
              </w:rPr>
              <w:t>Thromb</w:t>
            </w:r>
            <w:proofErr w:type="spellEnd"/>
            <w:r w:rsidRPr="00D30FCB">
              <w:rPr>
                <w:color w:val="4A442A" w:themeColor="background2" w:themeShade="40"/>
              </w:rPr>
              <w:t xml:space="preserve"> </w:t>
            </w:r>
            <w:proofErr w:type="spellStart"/>
            <w:r w:rsidRPr="00D30FCB">
              <w:rPr>
                <w:color w:val="4A442A" w:themeColor="background2" w:themeShade="40"/>
              </w:rPr>
              <w:t>Haemost</w:t>
            </w:r>
            <w:proofErr w:type="spellEnd"/>
            <w:r w:rsidRPr="00D30FCB">
              <w:rPr>
                <w:color w:val="4A442A" w:themeColor="background2" w:themeShade="40"/>
              </w:rPr>
              <w:t xml:space="preserve">. 2013 Apr 2. </w:t>
            </w:r>
            <w:proofErr w:type="spellStart"/>
            <w:proofErr w:type="gramStart"/>
            <w:r w:rsidRPr="00D30FCB">
              <w:rPr>
                <w:color w:val="4A442A" w:themeColor="background2" w:themeShade="40"/>
              </w:rPr>
              <w:t>doi</w:t>
            </w:r>
            <w:proofErr w:type="spellEnd"/>
            <w:proofErr w:type="gramEnd"/>
            <w:r w:rsidRPr="00D30FCB">
              <w:rPr>
                <w:color w:val="4A442A" w:themeColor="background2" w:themeShade="40"/>
              </w:rPr>
              <w:t>: 10.1111/jth.12207. [</w:t>
            </w:r>
            <w:proofErr w:type="spellStart"/>
            <w:r w:rsidRPr="00D30FCB">
              <w:rPr>
                <w:color w:val="4A442A" w:themeColor="background2" w:themeShade="40"/>
              </w:rPr>
              <w:t>Epub</w:t>
            </w:r>
            <w:proofErr w:type="spellEnd"/>
            <w:r w:rsidRPr="00D30FCB">
              <w:rPr>
                <w:color w:val="4A442A" w:themeColor="background2" w:themeShade="40"/>
              </w:rPr>
              <w:t xml:space="preserve"> ahead of print]</w:t>
            </w:r>
          </w:p>
          <w:p w:rsidR="005548F3" w:rsidRDefault="000C2E46" w:rsidP="00D954C2">
            <w:pPr>
              <w:pStyle w:val="NormalWeb"/>
              <w:shd w:val="clear" w:color="auto" w:fill="FFFFFF"/>
              <w:tabs>
                <w:tab w:val="left" w:pos="1530"/>
              </w:tabs>
              <w:spacing w:before="0" w:beforeAutospacing="0" w:after="0" w:afterAutospacing="0" w:line="210" w:lineRule="atLeast"/>
              <w:rPr>
                <w:color w:val="365F91" w:themeColor="accent1" w:themeShade="BF"/>
              </w:rPr>
            </w:pPr>
            <w:r w:rsidRPr="00D95301">
              <w:rPr>
                <w:color w:val="948A54" w:themeColor="background2" w:themeShade="80"/>
              </w:rPr>
              <w:br/>
            </w:r>
            <w:r w:rsidR="005548F3">
              <w:rPr>
                <w:color w:val="365F91" w:themeColor="accent1" w:themeShade="BF"/>
              </w:rPr>
              <w:t xml:space="preserve">We agree that the blood processing method should have been more detailed. We have added </w:t>
            </w:r>
            <w:r w:rsidR="00B61A53">
              <w:rPr>
                <w:color w:val="365F91" w:themeColor="accent1" w:themeShade="BF"/>
              </w:rPr>
              <w:t>more specifics, including</w:t>
            </w:r>
            <w:r w:rsidR="005548F3">
              <w:rPr>
                <w:color w:val="365F91" w:themeColor="accent1" w:themeShade="BF"/>
              </w:rPr>
              <w:t xml:space="preserve"> </w:t>
            </w:r>
            <w:r w:rsidR="005548F3" w:rsidRPr="005548F3">
              <w:rPr>
                <w:color w:val="365F91" w:themeColor="accent1" w:themeShade="BF"/>
              </w:rPr>
              <w:t xml:space="preserve">anticoagulant, volume of tube, </w:t>
            </w:r>
            <w:r w:rsidR="005548F3">
              <w:rPr>
                <w:color w:val="365F91" w:themeColor="accent1" w:themeShade="BF"/>
              </w:rPr>
              <w:t xml:space="preserve">and </w:t>
            </w:r>
            <w:r w:rsidR="005548F3" w:rsidRPr="005548F3">
              <w:rPr>
                <w:color w:val="365F91" w:themeColor="accent1" w:themeShade="BF"/>
              </w:rPr>
              <w:t>temperature of centrifugation</w:t>
            </w:r>
            <w:r w:rsidR="005548F3">
              <w:rPr>
                <w:color w:val="365F91" w:themeColor="accent1" w:themeShade="BF"/>
              </w:rPr>
              <w:t xml:space="preserve"> to all applicable steps within the protocol. As our EV isolation protocol </w:t>
            </w:r>
            <w:r w:rsidR="00B61A53">
              <w:rPr>
                <w:color w:val="365F91" w:themeColor="accent1" w:themeShade="BF"/>
              </w:rPr>
              <w:t>uses centrifugal forces that are</w:t>
            </w:r>
            <w:r w:rsidR="005548F3">
              <w:rPr>
                <w:color w:val="365F91" w:themeColor="accent1" w:themeShade="BF"/>
              </w:rPr>
              <w:t xml:space="preserve"> somewhat on the higher end of </w:t>
            </w:r>
            <w:r w:rsidR="00B61A53">
              <w:rPr>
                <w:color w:val="365F91" w:themeColor="accent1" w:themeShade="BF"/>
              </w:rPr>
              <w:t>what is</w:t>
            </w:r>
            <w:r w:rsidR="005548F3">
              <w:rPr>
                <w:color w:val="365F91" w:themeColor="accent1" w:themeShade="BF"/>
              </w:rPr>
              <w:t xml:space="preserve"> necessary for platelet removal</w:t>
            </w:r>
            <w:r w:rsidR="00B61A53">
              <w:rPr>
                <w:color w:val="365F91" w:themeColor="accent1" w:themeShade="BF"/>
              </w:rPr>
              <w:t xml:space="preserve"> (and what the majority of researchers use for EV isolation)</w:t>
            </w:r>
            <w:r w:rsidR="005548F3">
              <w:rPr>
                <w:color w:val="365F91" w:themeColor="accent1" w:themeShade="BF"/>
              </w:rPr>
              <w:t>, we can be certain that platelets have been effectively removed.</w:t>
            </w:r>
          </w:p>
          <w:p w:rsidR="00E71416" w:rsidRDefault="00B61A53" w:rsidP="00611C40">
            <w:pPr>
              <w:pStyle w:val="NormalWeb"/>
              <w:shd w:val="clear" w:color="auto" w:fill="FFFFFF"/>
              <w:tabs>
                <w:tab w:val="left" w:pos="1530"/>
              </w:tabs>
              <w:spacing w:before="0" w:beforeAutospacing="0" w:after="0" w:afterAutospacing="0" w:line="210" w:lineRule="atLeast"/>
              <w:rPr>
                <w:color w:val="365F91" w:themeColor="accent1" w:themeShade="BF"/>
              </w:rPr>
            </w:pPr>
            <w:r>
              <w:rPr>
                <w:color w:val="365F91" w:themeColor="accent1" w:themeShade="BF"/>
              </w:rPr>
              <w:t xml:space="preserve">Per your suggestion, we have referenced the two papers above in our introduction. However, we decided </w:t>
            </w:r>
            <w:r w:rsidR="005D021B">
              <w:rPr>
                <w:color w:val="365F91" w:themeColor="accent1" w:themeShade="BF"/>
              </w:rPr>
              <w:t>against converting</w:t>
            </w:r>
            <w:r>
              <w:rPr>
                <w:color w:val="365F91" w:themeColor="accent1" w:themeShade="BF"/>
              </w:rPr>
              <w:t xml:space="preserve"> </w:t>
            </w:r>
            <w:r w:rsidR="00CD5F81">
              <w:rPr>
                <w:color w:val="365F91" w:themeColor="accent1" w:themeShade="BF"/>
              </w:rPr>
              <w:t>all of the</w:t>
            </w:r>
            <w:r>
              <w:rPr>
                <w:color w:val="365F91" w:themeColor="accent1" w:themeShade="BF"/>
              </w:rPr>
              <w:t xml:space="preserve"> blood processing techniques </w:t>
            </w:r>
            <w:r w:rsidR="005D021B">
              <w:rPr>
                <w:color w:val="365F91" w:themeColor="accent1" w:themeShade="BF"/>
              </w:rPr>
              <w:t xml:space="preserve">in our protocol to those </w:t>
            </w:r>
            <w:r>
              <w:rPr>
                <w:color w:val="365F91" w:themeColor="accent1" w:themeShade="BF"/>
              </w:rPr>
              <w:t xml:space="preserve">recommended by </w:t>
            </w:r>
            <w:r w:rsidR="005D021B">
              <w:rPr>
                <w:color w:val="365F91" w:themeColor="accent1" w:themeShade="BF"/>
              </w:rPr>
              <w:t xml:space="preserve">the authors of the aforementioned papers. We have tested several anticoagulants and </w:t>
            </w:r>
            <w:r w:rsidR="00CD5F81">
              <w:rPr>
                <w:color w:val="365F91" w:themeColor="accent1" w:themeShade="BF"/>
              </w:rPr>
              <w:t xml:space="preserve">our internal research has </w:t>
            </w:r>
            <w:r w:rsidR="00611C40">
              <w:rPr>
                <w:color w:val="365F91" w:themeColor="accent1" w:themeShade="BF"/>
              </w:rPr>
              <w:t>shown</w:t>
            </w:r>
            <w:r w:rsidR="00CD5F81">
              <w:rPr>
                <w:color w:val="365F91" w:themeColor="accent1" w:themeShade="BF"/>
              </w:rPr>
              <w:t xml:space="preserve"> ACD to be a good and reliable anticoagulant to use for EV studies.</w:t>
            </w:r>
            <w:r w:rsidR="00611C40">
              <w:rPr>
                <w:color w:val="365F91" w:themeColor="accent1" w:themeShade="BF"/>
              </w:rPr>
              <w:t xml:space="preserve"> </w:t>
            </w:r>
            <w:r w:rsidR="00DD59CB">
              <w:rPr>
                <w:color w:val="365F91" w:themeColor="accent1" w:themeShade="BF"/>
              </w:rPr>
              <w:t>Of note</w:t>
            </w:r>
            <w:r w:rsidR="00611C40">
              <w:rPr>
                <w:color w:val="365F91" w:themeColor="accent1" w:themeShade="BF"/>
              </w:rPr>
              <w:t>, there is currently no consensus among EV researchers about which anticoagulant is best. For instance:</w:t>
            </w:r>
          </w:p>
          <w:p w:rsidR="00D02D98" w:rsidRDefault="005D021B" w:rsidP="00E71416">
            <w:pPr>
              <w:pStyle w:val="NormalWeb"/>
              <w:numPr>
                <w:ilvl w:val="0"/>
                <w:numId w:val="1"/>
              </w:numPr>
              <w:shd w:val="clear" w:color="auto" w:fill="FFFFFF"/>
              <w:tabs>
                <w:tab w:val="left" w:pos="1530"/>
              </w:tabs>
              <w:spacing w:line="210" w:lineRule="atLeast"/>
              <w:rPr>
                <w:color w:val="365F91" w:themeColor="accent1" w:themeShade="BF"/>
              </w:rPr>
            </w:pPr>
            <w:proofErr w:type="spellStart"/>
            <w:r w:rsidRPr="005D021B">
              <w:rPr>
                <w:color w:val="365F91" w:themeColor="accent1" w:themeShade="BF"/>
              </w:rPr>
              <w:t>Jayachandran</w:t>
            </w:r>
            <w:proofErr w:type="spellEnd"/>
            <w:r w:rsidRPr="005D021B">
              <w:rPr>
                <w:color w:val="365F91" w:themeColor="accent1" w:themeShade="BF"/>
              </w:rPr>
              <w:t xml:space="preserve"> </w:t>
            </w:r>
            <w:r>
              <w:rPr>
                <w:color w:val="365F91" w:themeColor="accent1" w:themeShade="BF"/>
              </w:rPr>
              <w:t xml:space="preserve">et al. (reference below) </w:t>
            </w:r>
            <w:r w:rsidR="00D02D98">
              <w:rPr>
                <w:color w:val="365F91" w:themeColor="accent1" w:themeShade="BF"/>
              </w:rPr>
              <w:t>concluded that p</w:t>
            </w:r>
            <w:r w:rsidR="00D02D98" w:rsidRPr="00D02D98">
              <w:rPr>
                <w:color w:val="365F91" w:themeColor="accent1" w:themeShade="BF"/>
              </w:rPr>
              <w:t xml:space="preserve">rotease inhibitor anticoagulants, </w:t>
            </w:r>
            <w:r w:rsidR="00D02D98">
              <w:rPr>
                <w:color w:val="365F91" w:themeColor="accent1" w:themeShade="BF"/>
              </w:rPr>
              <w:t>like</w:t>
            </w:r>
            <w:r w:rsidR="00D02D98" w:rsidRPr="00D02D98">
              <w:rPr>
                <w:color w:val="365F91" w:themeColor="accent1" w:themeShade="BF"/>
              </w:rPr>
              <w:t xml:space="preserve"> heparin</w:t>
            </w:r>
            <w:r w:rsidR="00D02D98">
              <w:rPr>
                <w:color w:val="365F91" w:themeColor="accent1" w:themeShade="BF"/>
              </w:rPr>
              <w:t xml:space="preserve">, were the best anticoagulants to use because they preserve EV counts, whereas </w:t>
            </w:r>
            <w:r w:rsidR="00D02D98" w:rsidRPr="00D02D98">
              <w:rPr>
                <w:color w:val="365F91" w:themeColor="accent1" w:themeShade="BF"/>
              </w:rPr>
              <w:t xml:space="preserve">citrate </w:t>
            </w:r>
            <w:r w:rsidR="00D02D98">
              <w:rPr>
                <w:color w:val="365F91" w:themeColor="accent1" w:themeShade="BF"/>
              </w:rPr>
              <w:t>and EDTA anticoagulants decrease or eliminate</w:t>
            </w:r>
            <w:r w:rsidR="00D02D98" w:rsidRPr="00D02D98">
              <w:rPr>
                <w:color w:val="365F91" w:themeColor="accent1" w:themeShade="BF"/>
              </w:rPr>
              <w:t xml:space="preserve"> microvesicles from plasma by inducing adhesion of the</w:t>
            </w:r>
            <w:r w:rsidR="00E71416">
              <w:rPr>
                <w:color w:val="365F91" w:themeColor="accent1" w:themeShade="BF"/>
              </w:rPr>
              <w:t xml:space="preserve"> </w:t>
            </w:r>
            <w:r w:rsidR="00D02D98" w:rsidRPr="00D02D98">
              <w:rPr>
                <w:color w:val="365F91" w:themeColor="accent1" w:themeShade="BF"/>
              </w:rPr>
              <w:t xml:space="preserve">microvesicles to platelets or other formed elements. </w:t>
            </w:r>
          </w:p>
          <w:p w:rsidR="00D02D98" w:rsidRPr="00E71416" w:rsidRDefault="00D02D98" w:rsidP="00E71416">
            <w:pPr>
              <w:pStyle w:val="NormalWeb"/>
              <w:shd w:val="clear" w:color="auto" w:fill="FFFFFF"/>
              <w:tabs>
                <w:tab w:val="left" w:pos="1530"/>
              </w:tabs>
              <w:spacing w:line="210" w:lineRule="atLeast"/>
              <w:ind w:left="720"/>
              <w:rPr>
                <w:color w:val="365F91" w:themeColor="accent1" w:themeShade="BF"/>
                <w:sz w:val="20"/>
                <w:szCs w:val="20"/>
              </w:rPr>
            </w:pPr>
            <w:r w:rsidRPr="00D02D98">
              <w:rPr>
                <w:color w:val="365F91" w:themeColor="accent1" w:themeShade="BF"/>
                <w:sz w:val="20"/>
                <w:szCs w:val="20"/>
              </w:rPr>
              <w:t xml:space="preserve">Methodology for isolation, identification and characterization of microvesicles in peripheral blood.  </w:t>
            </w:r>
            <w:proofErr w:type="spellStart"/>
            <w:r w:rsidRPr="00D02D98">
              <w:rPr>
                <w:color w:val="365F91" w:themeColor="accent1" w:themeShade="BF"/>
                <w:sz w:val="20"/>
                <w:szCs w:val="20"/>
              </w:rPr>
              <w:t>Muthuvel</w:t>
            </w:r>
            <w:proofErr w:type="spellEnd"/>
            <w:r w:rsidRPr="00D02D98">
              <w:rPr>
                <w:color w:val="365F91" w:themeColor="accent1" w:themeShade="BF"/>
                <w:sz w:val="20"/>
                <w:szCs w:val="20"/>
              </w:rPr>
              <w:t xml:space="preserve"> </w:t>
            </w:r>
            <w:proofErr w:type="spellStart"/>
            <w:r w:rsidRPr="00D02D98">
              <w:rPr>
                <w:color w:val="365F91" w:themeColor="accent1" w:themeShade="BF"/>
                <w:sz w:val="20"/>
                <w:szCs w:val="20"/>
              </w:rPr>
              <w:t>Jayachandran</w:t>
            </w:r>
            <w:proofErr w:type="spellEnd"/>
            <w:r w:rsidRPr="00D02D98">
              <w:rPr>
                <w:color w:val="365F91" w:themeColor="accent1" w:themeShade="BF"/>
                <w:sz w:val="20"/>
                <w:szCs w:val="20"/>
              </w:rPr>
              <w:t xml:space="preserve">, Virginia M. Miller, John A. </w:t>
            </w:r>
            <w:proofErr w:type="spellStart"/>
            <w:r w:rsidRPr="00D02D98">
              <w:rPr>
                <w:color w:val="365F91" w:themeColor="accent1" w:themeShade="BF"/>
                <w:sz w:val="20"/>
                <w:szCs w:val="20"/>
              </w:rPr>
              <w:t>Heit</w:t>
            </w:r>
            <w:proofErr w:type="spellEnd"/>
            <w:r w:rsidRPr="00D02D98">
              <w:rPr>
                <w:color w:val="365F91" w:themeColor="accent1" w:themeShade="BF"/>
                <w:sz w:val="20"/>
                <w:szCs w:val="20"/>
              </w:rPr>
              <w:t xml:space="preserve">, Whyte G. Owen. Journal of Immunological Methods, Volume 375, Issues 1–2, 31 January 2012, Pages 207-214, </w:t>
            </w:r>
            <w:r w:rsidRPr="00D02D98">
              <w:rPr>
                <w:color w:val="365F91" w:themeColor="accent1" w:themeShade="BF"/>
                <w:sz w:val="20"/>
                <w:szCs w:val="20"/>
              </w:rPr>
              <w:lastRenderedPageBreak/>
              <w:t>http://dx.doi.org/10.1016/j.jim.2011.10.012.</w:t>
            </w:r>
          </w:p>
          <w:p w:rsidR="00D02D98" w:rsidRDefault="00E71416" w:rsidP="00E71416">
            <w:pPr>
              <w:pStyle w:val="NormalWeb"/>
              <w:numPr>
                <w:ilvl w:val="0"/>
                <w:numId w:val="1"/>
              </w:numPr>
              <w:shd w:val="clear" w:color="auto" w:fill="FFFFFF"/>
              <w:tabs>
                <w:tab w:val="left" w:pos="1530"/>
              </w:tabs>
              <w:spacing w:line="210" w:lineRule="atLeast"/>
              <w:rPr>
                <w:color w:val="365F91" w:themeColor="accent1" w:themeShade="BF"/>
              </w:rPr>
            </w:pPr>
            <w:proofErr w:type="spellStart"/>
            <w:r w:rsidRPr="00E71416">
              <w:rPr>
                <w:color w:val="365F91" w:themeColor="accent1" w:themeShade="BF"/>
              </w:rPr>
              <w:t>György</w:t>
            </w:r>
            <w:proofErr w:type="spellEnd"/>
            <w:r w:rsidRPr="00E71416">
              <w:rPr>
                <w:color w:val="365F91" w:themeColor="accent1" w:themeShade="BF"/>
              </w:rPr>
              <w:t xml:space="preserve"> </w:t>
            </w:r>
            <w:r w:rsidR="00D02D98">
              <w:rPr>
                <w:color w:val="365F91" w:themeColor="accent1" w:themeShade="BF"/>
              </w:rPr>
              <w:t xml:space="preserve">et al. recommend the use of ACD, reporting that </w:t>
            </w:r>
            <w:r w:rsidR="00D02D98" w:rsidRPr="00D02D98">
              <w:rPr>
                <w:color w:val="365F91" w:themeColor="accent1" w:themeShade="BF"/>
              </w:rPr>
              <w:t xml:space="preserve">artificial, in vitro </w:t>
            </w:r>
            <w:proofErr w:type="spellStart"/>
            <w:r w:rsidR="00D02D98" w:rsidRPr="00D02D98">
              <w:rPr>
                <w:color w:val="365F91" w:themeColor="accent1" w:themeShade="BF"/>
              </w:rPr>
              <w:t>vesiculation</w:t>
            </w:r>
            <w:proofErr w:type="spellEnd"/>
            <w:r w:rsidR="00D02D98" w:rsidRPr="00D02D98">
              <w:rPr>
                <w:color w:val="365F91" w:themeColor="accent1" w:themeShade="BF"/>
              </w:rPr>
              <w:t xml:space="preserve"> </w:t>
            </w:r>
            <w:r w:rsidR="00D02D98">
              <w:rPr>
                <w:color w:val="365F91" w:themeColor="accent1" w:themeShade="BF"/>
              </w:rPr>
              <w:t>was</w:t>
            </w:r>
            <w:r w:rsidR="00D02D98" w:rsidRPr="00D02D98">
              <w:rPr>
                <w:color w:val="365F91" w:themeColor="accent1" w:themeShade="BF"/>
              </w:rPr>
              <w:t xml:space="preserve"> limited in</w:t>
            </w:r>
            <w:r w:rsidR="00D02D98">
              <w:rPr>
                <w:color w:val="365F91" w:themeColor="accent1" w:themeShade="BF"/>
              </w:rPr>
              <w:t xml:space="preserve"> ACD tubes</w:t>
            </w:r>
            <w:r w:rsidR="00D02D98" w:rsidRPr="00D02D98">
              <w:rPr>
                <w:color w:val="365F91" w:themeColor="accent1" w:themeShade="BF"/>
              </w:rPr>
              <w:t xml:space="preserve"> compared to other tubes</w:t>
            </w:r>
            <w:r w:rsidR="00D02D98">
              <w:rPr>
                <w:color w:val="365F91" w:themeColor="accent1" w:themeShade="BF"/>
              </w:rPr>
              <w:t>, because</w:t>
            </w:r>
            <w:r w:rsidR="00D02D98" w:rsidRPr="00D02D98">
              <w:rPr>
                <w:color w:val="365F91" w:themeColor="accent1" w:themeShade="BF"/>
              </w:rPr>
              <w:t xml:space="preserve"> </w:t>
            </w:r>
            <w:r w:rsidR="00D02D98">
              <w:rPr>
                <w:color w:val="365F91" w:themeColor="accent1" w:themeShade="BF"/>
              </w:rPr>
              <w:t>they had t</w:t>
            </w:r>
            <w:r w:rsidR="00D02D98" w:rsidRPr="00D02D98">
              <w:rPr>
                <w:color w:val="365F91" w:themeColor="accent1" w:themeShade="BF"/>
              </w:rPr>
              <w:t>he lowest MP number</w:t>
            </w:r>
            <w:r w:rsidR="00D02D98">
              <w:rPr>
                <w:color w:val="365F91" w:themeColor="accent1" w:themeShade="BF"/>
              </w:rPr>
              <w:t>s and lowest standard deviation.</w:t>
            </w:r>
          </w:p>
          <w:p w:rsidR="00D02D98" w:rsidRDefault="00E71416" w:rsidP="00D02D98">
            <w:pPr>
              <w:pStyle w:val="NormalWeb"/>
              <w:shd w:val="clear" w:color="auto" w:fill="FFFFFF"/>
              <w:tabs>
                <w:tab w:val="left" w:pos="1530"/>
              </w:tabs>
              <w:spacing w:line="210" w:lineRule="atLeast"/>
              <w:rPr>
                <w:color w:val="365F91" w:themeColor="accent1" w:themeShade="BF"/>
              </w:rPr>
            </w:pPr>
            <w:r>
              <w:rPr>
                <w:color w:val="365F91" w:themeColor="accent1" w:themeShade="BF"/>
              </w:rPr>
              <w:t xml:space="preserve">           </w:t>
            </w:r>
            <w:r w:rsidR="00D02D98" w:rsidRPr="00D02D98">
              <w:rPr>
                <w:noProof/>
                <w:color w:val="365F91" w:themeColor="accent1" w:themeShade="BF"/>
              </w:rPr>
              <w:drawing>
                <wp:inline distT="0" distB="0" distL="0" distR="0" wp14:anchorId="02DC9F9E" wp14:editId="64E42F1D">
                  <wp:extent cx="5943600" cy="1565275"/>
                  <wp:effectExtent l="0" t="0" r="0" b="0"/>
                  <wp:docPr id="17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565275"/>
                          </a:xfrm>
                          <a:prstGeom prst="rect">
                            <a:avLst/>
                          </a:prstGeom>
                          <a:noFill/>
                          <a:ln>
                            <a:noFill/>
                          </a:ln>
                          <a:effectLst/>
                          <a:extLst/>
                        </pic:spPr>
                      </pic:pic>
                    </a:graphicData>
                  </a:graphic>
                </wp:inline>
              </w:drawing>
            </w:r>
          </w:p>
          <w:p w:rsidR="00D02D98" w:rsidRDefault="00D02D98" w:rsidP="00E71416">
            <w:pPr>
              <w:pStyle w:val="NormalWeb"/>
              <w:shd w:val="clear" w:color="auto" w:fill="FFFFFF"/>
              <w:tabs>
                <w:tab w:val="left" w:pos="1530"/>
              </w:tabs>
              <w:spacing w:line="210" w:lineRule="atLeast"/>
              <w:ind w:left="720"/>
              <w:rPr>
                <w:color w:val="365F91" w:themeColor="accent1" w:themeShade="BF"/>
                <w:sz w:val="20"/>
                <w:szCs w:val="20"/>
              </w:rPr>
            </w:pPr>
            <w:r w:rsidRPr="00D02D98">
              <w:rPr>
                <w:color w:val="365F91" w:themeColor="accent1" w:themeShade="BF"/>
                <w:sz w:val="20"/>
                <w:szCs w:val="20"/>
              </w:rPr>
              <w:t xml:space="preserve">Improved circulating microparticle analysis in acid-citrate dextrose (ACD) anticoagulant tube. </w:t>
            </w:r>
            <w:proofErr w:type="spellStart"/>
            <w:r w:rsidRPr="00D02D98">
              <w:rPr>
                <w:color w:val="365F91" w:themeColor="accent1" w:themeShade="BF"/>
                <w:sz w:val="20"/>
                <w:szCs w:val="20"/>
              </w:rPr>
              <w:t>Bence</w:t>
            </w:r>
            <w:proofErr w:type="spellEnd"/>
            <w:r w:rsidRPr="00D02D98">
              <w:rPr>
                <w:color w:val="365F91" w:themeColor="accent1" w:themeShade="BF"/>
                <w:sz w:val="20"/>
                <w:szCs w:val="20"/>
              </w:rPr>
              <w:t xml:space="preserve"> </w:t>
            </w:r>
            <w:proofErr w:type="spellStart"/>
            <w:r w:rsidRPr="00D02D98">
              <w:rPr>
                <w:color w:val="365F91" w:themeColor="accent1" w:themeShade="BF"/>
                <w:sz w:val="20"/>
                <w:szCs w:val="20"/>
              </w:rPr>
              <w:t>György</w:t>
            </w:r>
            <w:proofErr w:type="spellEnd"/>
            <w:r w:rsidRPr="00D02D98">
              <w:rPr>
                <w:color w:val="365F91" w:themeColor="accent1" w:themeShade="BF"/>
                <w:sz w:val="20"/>
                <w:szCs w:val="20"/>
              </w:rPr>
              <w:t xml:space="preserve">; </w:t>
            </w:r>
            <w:proofErr w:type="spellStart"/>
            <w:r w:rsidRPr="00D02D98">
              <w:rPr>
                <w:color w:val="365F91" w:themeColor="accent1" w:themeShade="BF"/>
                <w:sz w:val="20"/>
                <w:szCs w:val="20"/>
              </w:rPr>
              <w:t>Krisztina</w:t>
            </w:r>
            <w:proofErr w:type="spellEnd"/>
            <w:r w:rsidRPr="00D02D98">
              <w:rPr>
                <w:color w:val="365F91" w:themeColor="accent1" w:themeShade="BF"/>
                <w:sz w:val="20"/>
                <w:szCs w:val="20"/>
              </w:rPr>
              <w:t xml:space="preserve"> </w:t>
            </w:r>
            <w:proofErr w:type="spellStart"/>
            <w:r w:rsidRPr="00D02D98">
              <w:rPr>
                <w:color w:val="365F91" w:themeColor="accent1" w:themeShade="BF"/>
                <w:sz w:val="20"/>
                <w:szCs w:val="20"/>
              </w:rPr>
              <w:t>Pálóczi</w:t>
            </w:r>
            <w:proofErr w:type="spellEnd"/>
            <w:r w:rsidRPr="00D02D98">
              <w:rPr>
                <w:color w:val="365F91" w:themeColor="accent1" w:themeShade="BF"/>
                <w:sz w:val="20"/>
                <w:szCs w:val="20"/>
              </w:rPr>
              <w:t xml:space="preserve">; Alexandra </w:t>
            </w:r>
            <w:proofErr w:type="spellStart"/>
            <w:r w:rsidRPr="00D02D98">
              <w:rPr>
                <w:color w:val="365F91" w:themeColor="accent1" w:themeShade="BF"/>
                <w:sz w:val="20"/>
                <w:szCs w:val="20"/>
              </w:rPr>
              <w:t>Kovács</w:t>
            </w:r>
            <w:proofErr w:type="spellEnd"/>
            <w:r w:rsidRPr="00D02D98">
              <w:rPr>
                <w:color w:val="365F91" w:themeColor="accent1" w:themeShade="BF"/>
                <w:sz w:val="20"/>
                <w:szCs w:val="20"/>
              </w:rPr>
              <w:t xml:space="preserve">; </w:t>
            </w:r>
            <w:proofErr w:type="spellStart"/>
            <w:r w:rsidRPr="00D02D98">
              <w:rPr>
                <w:color w:val="365F91" w:themeColor="accent1" w:themeShade="BF"/>
                <w:sz w:val="20"/>
                <w:szCs w:val="20"/>
              </w:rPr>
              <w:t>Eszter</w:t>
            </w:r>
            <w:proofErr w:type="spellEnd"/>
            <w:r w:rsidRPr="00D02D98">
              <w:rPr>
                <w:color w:val="365F91" w:themeColor="accent1" w:themeShade="BF"/>
                <w:sz w:val="20"/>
                <w:szCs w:val="20"/>
              </w:rPr>
              <w:t xml:space="preserve"> </w:t>
            </w:r>
            <w:proofErr w:type="spellStart"/>
            <w:r w:rsidRPr="00D02D98">
              <w:rPr>
                <w:color w:val="365F91" w:themeColor="accent1" w:themeShade="BF"/>
                <w:sz w:val="20"/>
                <w:szCs w:val="20"/>
              </w:rPr>
              <w:t>Barabás</w:t>
            </w:r>
            <w:proofErr w:type="spellEnd"/>
            <w:r w:rsidRPr="00D02D98">
              <w:rPr>
                <w:color w:val="365F91" w:themeColor="accent1" w:themeShade="BF"/>
                <w:sz w:val="20"/>
                <w:szCs w:val="20"/>
              </w:rPr>
              <w:t xml:space="preserve">; Gabriella </w:t>
            </w:r>
            <w:proofErr w:type="spellStart"/>
            <w:r w:rsidRPr="00D02D98">
              <w:rPr>
                <w:color w:val="365F91" w:themeColor="accent1" w:themeShade="BF"/>
                <w:sz w:val="20"/>
                <w:szCs w:val="20"/>
              </w:rPr>
              <w:t>Beko</w:t>
            </w:r>
            <w:proofErr w:type="spellEnd"/>
            <w:r w:rsidRPr="00D02D98">
              <w:rPr>
                <w:color w:val="365F91" w:themeColor="accent1" w:themeShade="BF"/>
                <w:sz w:val="20"/>
                <w:szCs w:val="20"/>
              </w:rPr>
              <w:t xml:space="preserve">; </w:t>
            </w:r>
            <w:proofErr w:type="spellStart"/>
            <w:r w:rsidRPr="00D02D98">
              <w:rPr>
                <w:color w:val="365F91" w:themeColor="accent1" w:themeShade="BF"/>
                <w:sz w:val="20"/>
                <w:szCs w:val="20"/>
              </w:rPr>
              <w:t>Katalin</w:t>
            </w:r>
            <w:proofErr w:type="spellEnd"/>
            <w:r w:rsidRPr="00D02D98">
              <w:rPr>
                <w:color w:val="365F91" w:themeColor="accent1" w:themeShade="BF"/>
                <w:sz w:val="20"/>
                <w:szCs w:val="20"/>
              </w:rPr>
              <w:t xml:space="preserve"> </w:t>
            </w:r>
            <w:proofErr w:type="spellStart"/>
            <w:r w:rsidRPr="00D02D98">
              <w:rPr>
                <w:color w:val="365F91" w:themeColor="accent1" w:themeShade="BF"/>
                <w:sz w:val="20"/>
                <w:szCs w:val="20"/>
              </w:rPr>
              <w:t>Várnai</w:t>
            </w:r>
            <w:proofErr w:type="spellEnd"/>
            <w:r w:rsidRPr="00D02D98">
              <w:rPr>
                <w:color w:val="365F91" w:themeColor="accent1" w:themeShade="BF"/>
                <w:sz w:val="20"/>
                <w:szCs w:val="20"/>
              </w:rPr>
              <w:t xml:space="preserve">; </w:t>
            </w:r>
            <w:proofErr w:type="spellStart"/>
            <w:r w:rsidRPr="00D02D98">
              <w:rPr>
                <w:color w:val="365F91" w:themeColor="accent1" w:themeShade="BF"/>
                <w:sz w:val="20"/>
                <w:szCs w:val="20"/>
              </w:rPr>
              <w:t>Éva</w:t>
            </w:r>
            <w:proofErr w:type="spellEnd"/>
            <w:r w:rsidRPr="00D02D98">
              <w:rPr>
                <w:color w:val="365F91" w:themeColor="accent1" w:themeShade="BF"/>
                <w:sz w:val="20"/>
                <w:szCs w:val="20"/>
              </w:rPr>
              <w:t xml:space="preserve"> </w:t>
            </w:r>
            <w:proofErr w:type="spellStart"/>
            <w:r w:rsidRPr="00D02D98">
              <w:rPr>
                <w:color w:val="365F91" w:themeColor="accent1" w:themeShade="BF"/>
                <w:sz w:val="20"/>
                <w:szCs w:val="20"/>
              </w:rPr>
              <w:t>Pállinger</w:t>
            </w:r>
            <w:proofErr w:type="spellEnd"/>
            <w:r w:rsidRPr="00D02D98">
              <w:rPr>
                <w:color w:val="365F91" w:themeColor="accent1" w:themeShade="BF"/>
                <w:sz w:val="20"/>
                <w:szCs w:val="20"/>
              </w:rPr>
              <w:t xml:space="preserve">; </w:t>
            </w:r>
            <w:proofErr w:type="spellStart"/>
            <w:r w:rsidRPr="00D02D98">
              <w:rPr>
                <w:color w:val="365F91" w:themeColor="accent1" w:themeShade="BF"/>
                <w:sz w:val="20"/>
                <w:szCs w:val="20"/>
              </w:rPr>
              <w:t>Katalin</w:t>
            </w:r>
            <w:proofErr w:type="spellEnd"/>
            <w:r w:rsidRPr="00D02D98">
              <w:rPr>
                <w:color w:val="365F91" w:themeColor="accent1" w:themeShade="BF"/>
                <w:sz w:val="20"/>
                <w:szCs w:val="20"/>
              </w:rPr>
              <w:t xml:space="preserve"> </w:t>
            </w:r>
            <w:proofErr w:type="spellStart"/>
            <w:r w:rsidRPr="00D02D98">
              <w:rPr>
                <w:color w:val="365F91" w:themeColor="accent1" w:themeShade="BF"/>
                <w:sz w:val="20"/>
                <w:szCs w:val="20"/>
              </w:rPr>
              <w:t>Szabó</w:t>
            </w:r>
            <w:proofErr w:type="spellEnd"/>
            <w:r w:rsidRPr="00D02D98">
              <w:rPr>
                <w:color w:val="365F91" w:themeColor="accent1" w:themeShade="BF"/>
                <w:sz w:val="20"/>
                <w:szCs w:val="20"/>
              </w:rPr>
              <w:t xml:space="preserve">-Taylor; </w:t>
            </w:r>
            <w:proofErr w:type="spellStart"/>
            <w:r w:rsidRPr="00D02D98">
              <w:rPr>
                <w:color w:val="365F91" w:themeColor="accent1" w:themeShade="BF"/>
                <w:sz w:val="20"/>
                <w:szCs w:val="20"/>
              </w:rPr>
              <w:t>Tamás</w:t>
            </w:r>
            <w:proofErr w:type="spellEnd"/>
            <w:r w:rsidRPr="00D02D98">
              <w:rPr>
                <w:color w:val="365F91" w:themeColor="accent1" w:themeShade="BF"/>
                <w:sz w:val="20"/>
                <w:szCs w:val="20"/>
              </w:rPr>
              <w:t xml:space="preserve"> G. </w:t>
            </w:r>
            <w:proofErr w:type="spellStart"/>
            <w:r w:rsidRPr="00D02D98">
              <w:rPr>
                <w:color w:val="365F91" w:themeColor="accent1" w:themeShade="BF"/>
                <w:sz w:val="20"/>
                <w:szCs w:val="20"/>
              </w:rPr>
              <w:t>Szabó</w:t>
            </w:r>
            <w:proofErr w:type="spellEnd"/>
            <w:r w:rsidRPr="00D02D98">
              <w:rPr>
                <w:color w:val="365F91" w:themeColor="accent1" w:themeShade="BF"/>
                <w:sz w:val="20"/>
                <w:szCs w:val="20"/>
              </w:rPr>
              <w:t>; Attila A. Kiss; et al. Thrombosis Research.</w:t>
            </w:r>
            <w:r w:rsidRPr="00D02D98">
              <w:rPr>
                <w:rFonts w:ascii="Cambria Math" w:hAnsi="Cambria Math" w:cs="Cambria Math"/>
                <w:color w:val="365F91" w:themeColor="accent1" w:themeShade="BF"/>
                <w:sz w:val="20"/>
                <w:szCs w:val="20"/>
              </w:rPr>
              <w:t> </w:t>
            </w:r>
            <w:r w:rsidRPr="00D02D98">
              <w:rPr>
                <w:color w:val="365F91" w:themeColor="accent1" w:themeShade="BF"/>
                <w:sz w:val="20"/>
                <w:szCs w:val="20"/>
              </w:rPr>
              <w:t>2014</w:t>
            </w:r>
            <w:proofErr w:type="gramStart"/>
            <w:r w:rsidRPr="00D02D98">
              <w:rPr>
                <w:color w:val="365F91" w:themeColor="accent1" w:themeShade="BF"/>
                <w:sz w:val="20"/>
                <w:szCs w:val="20"/>
              </w:rPr>
              <w:t>;133</w:t>
            </w:r>
            <w:proofErr w:type="gramEnd"/>
            <w:r w:rsidRPr="00D02D98">
              <w:rPr>
                <w:color w:val="365F91" w:themeColor="accent1" w:themeShade="BF"/>
                <w:sz w:val="20"/>
                <w:szCs w:val="20"/>
              </w:rPr>
              <w:t xml:space="preserve">(2):285-292. </w:t>
            </w:r>
          </w:p>
          <w:p w:rsidR="00E71416" w:rsidRDefault="00E71416" w:rsidP="00E71416">
            <w:pPr>
              <w:pStyle w:val="NormalWeb"/>
              <w:numPr>
                <w:ilvl w:val="0"/>
                <w:numId w:val="1"/>
              </w:numPr>
              <w:shd w:val="clear" w:color="auto" w:fill="FFFFFF"/>
              <w:tabs>
                <w:tab w:val="left" w:pos="1530"/>
              </w:tabs>
              <w:spacing w:line="210" w:lineRule="atLeast"/>
              <w:rPr>
                <w:color w:val="365F91" w:themeColor="accent1" w:themeShade="BF"/>
              </w:rPr>
            </w:pPr>
            <w:r w:rsidRPr="00E71416">
              <w:rPr>
                <w:bCs/>
                <w:color w:val="365F91" w:themeColor="accent1" w:themeShade="BF"/>
              </w:rPr>
              <w:t xml:space="preserve">International Society on Thrombosis and </w:t>
            </w:r>
            <w:proofErr w:type="spellStart"/>
            <w:r w:rsidRPr="00E71416">
              <w:rPr>
                <w:bCs/>
                <w:color w:val="365F91" w:themeColor="accent1" w:themeShade="BF"/>
              </w:rPr>
              <w:t>Haemostasis</w:t>
            </w:r>
            <w:proofErr w:type="spellEnd"/>
            <w:r w:rsidRPr="00E71416">
              <w:rPr>
                <w:bCs/>
                <w:color w:val="365F91" w:themeColor="accent1" w:themeShade="BF"/>
              </w:rPr>
              <w:t xml:space="preserve"> (</w:t>
            </w:r>
            <w:r w:rsidRPr="00E71416">
              <w:rPr>
                <w:color w:val="365F91" w:themeColor="accent1" w:themeShade="BF"/>
              </w:rPr>
              <w:t xml:space="preserve">ISTH) recommends use of </w:t>
            </w:r>
            <w:r w:rsidRPr="00E71416">
              <w:rPr>
                <w:bCs/>
                <w:color w:val="365F91" w:themeColor="accent1" w:themeShade="BF"/>
              </w:rPr>
              <w:t>citrate</w:t>
            </w:r>
            <w:r w:rsidRPr="00E71416">
              <w:rPr>
                <w:color w:val="365F91" w:themeColor="accent1" w:themeShade="BF"/>
              </w:rPr>
              <w:t xml:space="preserve"> for anticoagulant, seemingly </w:t>
            </w:r>
            <w:r w:rsidR="00CD5F81">
              <w:rPr>
                <w:color w:val="365F91" w:themeColor="accent1" w:themeShade="BF"/>
              </w:rPr>
              <w:t xml:space="preserve">solely </w:t>
            </w:r>
            <w:r w:rsidR="00611C40">
              <w:rPr>
                <w:color w:val="365F91" w:themeColor="accent1" w:themeShade="BF"/>
              </w:rPr>
              <w:t xml:space="preserve">for </w:t>
            </w:r>
            <w:r w:rsidR="00CD5F81">
              <w:rPr>
                <w:color w:val="365F91" w:themeColor="accent1" w:themeShade="BF"/>
              </w:rPr>
              <w:t xml:space="preserve">their pursuit </w:t>
            </w:r>
            <w:r w:rsidR="00611C40">
              <w:rPr>
                <w:color w:val="365F91" w:themeColor="accent1" w:themeShade="BF"/>
              </w:rPr>
              <w:t>of</w:t>
            </w:r>
            <w:r w:rsidR="00CD5F81">
              <w:rPr>
                <w:color w:val="365F91" w:themeColor="accent1" w:themeShade="BF"/>
              </w:rPr>
              <w:t xml:space="preserve"> </w:t>
            </w:r>
            <w:r w:rsidR="00611C40">
              <w:rPr>
                <w:color w:val="365F91" w:themeColor="accent1" w:themeShade="BF"/>
              </w:rPr>
              <w:t xml:space="preserve">EV </w:t>
            </w:r>
            <w:r w:rsidR="00CD5F81">
              <w:rPr>
                <w:color w:val="365F91" w:themeColor="accent1" w:themeShade="BF"/>
              </w:rPr>
              <w:t>standardization (as opposed to research-proven evidence suggesting that ACD is somehow superior to all other anticoagulants</w:t>
            </w:r>
            <w:r w:rsidR="00611C40">
              <w:rPr>
                <w:color w:val="365F91" w:themeColor="accent1" w:themeShade="BF"/>
              </w:rPr>
              <w:t>)</w:t>
            </w:r>
            <w:r w:rsidRPr="00E71416">
              <w:rPr>
                <w:color w:val="365F91" w:themeColor="accent1" w:themeShade="BF"/>
              </w:rPr>
              <w:t>.</w:t>
            </w:r>
          </w:p>
          <w:p w:rsidR="00E71416" w:rsidRPr="00E71416" w:rsidRDefault="00E71416" w:rsidP="00E71416">
            <w:pPr>
              <w:pStyle w:val="NormalWeb"/>
              <w:shd w:val="clear" w:color="auto" w:fill="FFFFFF"/>
              <w:tabs>
                <w:tab w:val="left" w:pos="1530"/>
              </w:tabs>
              <w:spacing w:line="210" w:lineRule="atLeast"/>
              <w:ind w:left="720"/>
              <w:rPr>
                <w:color w:val="365F91" w:themeColor="accent1" w:themeShade="BF"/>
                <w:sz w:val="20"/>
                <w:szCs w:val="20"/>
              </w:rPr>
            </w:pPr>
            <w:r w:rsidRPr="00E71416">
              <w:rPr>
                <w:color w:val="365F91" w:themeColor="accent1" w:themeShade="BF"/>
                <w:sz w:val="20"/>
                <w:szCs w:val="20"/>
              </w:rPr>
              <w:t xml:space="preserve">Standardization of pre-analytical variables in plasma microparticle determination: results of the International Society on Thrombosis and </w:t>
            </w:r>
            <w:proofErr w:type="spellStart"/>
            <w:r w:rsidRPr="00E71416">
              <w:rPr>
                <w:color w:val="365F91" w:themeColor="accent1" w:themeShade="BF"/>
                <w:sz w:val="20"/>
                <w:szCs w:val="20"/>
              </w:rPr>
              <w:t>Haemostasis</w:t>
            </w:r>
            <w:proofErr w:type="spellEnd"/>
            <w:r w:rsidRPr="00E71416">
              <w:rPr>
                <w:color w:val="365F91" w:themeColor="accent1" w:themeShade="BF"/>
                <w:sz w:val="20"/>
                <w:szCs w:val="20"/>
              </w:rPr>
              <w:t xml:space="preserve"> SSC Collaborative workshop. Lacroix R, </w:t>
            </w:r>
            <w:proofErr w:type="spellStart"/>
            <w:r w:rsidRPr="00E71416">
              <w:rPr>
                <w:color w:val="365F91" w:themeColor="accent1" w:themeShade="BF"/>
                <w:sz w:val="20"/>
                <w:szCs w:val="20"/>
              </w:rPr>
              <w:t>Judicone</w:t>
            </w:r>
            <w:proofErr w:type="spellEnd"/>
            <w:r w:rsidRPr="00E71416">
              <w:rPr>
                <w:color w:val="365F91" w:themeColor="accent1" w:themeShade="BF"/>
                <w:sz w:val="20"/>
                <w:szCs w:val="20"/>
              </w:rPr>
              <w:t xml:space="preserve"> C, </w:t>
            </w:r>
            <w:proofErr w:type="spellStart"/>
            <w:r w:rsidRPr="00E71416">
              <w:rPr>
                <w:color w:val="365F91" w:themeColor="accent1" w:themeShade="BF"/>
                <w:sz w:val="20"/>
                <w:szCs w:val="20"/>
              </w:rPr>
              <w:t>Mooberry</w:t>
            </w:r>
            <w:proofErr w:type="spellEnd"/>
            <w:r w:rsidRPr="00E71416">
              <w:rPr>
                <w:color w:val="365F91" w:themeColor="accent1" w:themeShade="BF"/>
                <w:sz w:val="20"/>
                <w:szCs w:val="20"/>
              </w:rPr>
              <w:t xml:space="preserve"> M, </w:t>
            </w:r>
            <w:proofErr w:type="spellStart"/>
            <w:r w:rsidRPr="00E71416">
              <w:rPr>
                <w:color w:val="365F91" w:themeColor="accent1" w:themeShade="BF"/>
                <w:sz w:val="20"/>
                <w:szCs w:val="20"/>
              </w:rPr>
              <w:t>Boucekine</w:t>
            </w:r>
            <w:proofErr w:type="spellEnd"/>
            <w:r w:rsidRPr="00E71416">
              <w:rPr>
                <w:color w:val="365F91" w:themeColor="accent1" w:themeShade="BF"/>
                <w:sz w:val="20"/>
                <w:szCs w:val="20"/>
              </w:rPr>
              <w:t xml:space="preserve"> M, Key NS, </w:t>
            </w:r>
            <w:proofErr w:type="spellStart"/>
            <w:r w:rsidRPr="00E71416">
              <w:rPr>
                <w:color w:val="365F91" w:themeColor="accent1" w:themeShade="BF"/>
                <w:sz w:val="20"/>
                <w:szCs w:val="20"/>
              </w:rPr>
              <w:t>Dignat</w:t>
            </w:r>
            <w:proofErr w:type="spellEnd"/>
            <w:r w:rsidRPr="00E71416">
              <w:rPr>
                <w:color w:val="365F91" w:themeColor="accent1" w:themeShade="BF"/>
                <w:sz w:val="20"/>
                <w:szCs w:val="20"/>
              </w:rPr>
              <w:t xml:space="preserve">-George F; The ISTH SSC </w:t>
            </w:r>
            <w:proofErr w:type="spellStart"/>
            <w:r w:rsidRPr="00E71416">
              <w:rPr>
                <w:color w:val="365F91" w:themeColor="accent1" w:themeShade="BF"/>
                <w:sz w:val="20"/>
                <w:szCs w:val="20"/>
              </w:rPr>
              <w:t>Workshop.J</w:t>
            </w:r>
            <w:proofErr w:type="spellEnd"/>
            <w:r w:rsidRPr="00E71416">
              <w:rPr>
                <w:color w:val="365F91" w:themeColor="accent1" w:themeShade="BF"/>
                <w:sz w:val="20"/>
                <w:szCs w:val="20"/>
              </w:rPr>
              <w:t xml:space="preserve"> </w:t>
            </w:r>
            <w:proofErr w:type="spellStart"/>
            <w:r w:rsidRPr="00E71416">
              <w:rPr>
                <w:color w:val="365F91" w:themeColor="accent1" w:themeShade="BF"/>
                <w:sz w:val="20"/>
                <w:szCs w:val="20"/>
              </w:rPr>
              <w:t>Thromb</w:t>
            </w:r>
            <w:proofErr w:type="spellEnd"/>
            <w:r w:rsidRPr="00E71416">
              <w:rPr>
                <w:color w:val="365F91" w:themeColor="accent1" w:themeShade="BF"/>
                <w:sz w:val="20"/>
                <w:szCs w:val="20"/>
              </w:rPr>
              <w:t xml:space="preserve"> </w:t>
            </w:r>
            <w:proofErr w:type="spellStart"/>
            <w:r w:rsidRPr="00E71416">
              <w:rPr>
                <w:color w:val="365F91" w:themeColor="accent1" w:themeShade="BF"/>
                <w:sz w:val="20"/>
                <w:szCs w:val="20"/>
              </w:rPr>
              <w:t>Haemost</w:t>
            </w:r>
            <w:proofErr w:type="spellEnd"/>
            <w:r w:rsidRPr="00E71416">
              <w:rPr>
                <w:color w:val="365F91" w:themeColor="accent1" w:themeShade="BF"/>
                <w:sz w:val="20"/>
                <w:szCs w:val="20"/>
              </w:rPr>
              <w:t>. 2013 Apr 2.</w:t>
            </w:r>
          </w:p>
          <w:p w:rsidR="002A6E06" w:rsidRDefault="000C2E46" w:rsidP="00D954C2">
            <w:pPr>
              <w:pStyle w:val="NormalWeb"/>
              <w:shd w:val="clear" w:color="auto" w:fill="FFFFFF"/>
              <w:tabs>
                <w:tab w:val="left" w:pos="1530"/>
              </w:tabs>
              <w:spacing w:before="0" w:beforeAutospacing="0" w:after="0" w:afterAutospacing="0" w:line="210" w:lineRule="atLeast"/>
            </w:pPr>
            <w:r w:rsidRPr="00D95301">
              <w:br/>
              <w:t xml:space="preserve">3) The </w:t>
            </w:r>
            <w:r w:rsidRPr="002A6E06">
              <w:t xml:space="preserve">description </w:t>
            </w:r>
            <w:r w:rsidRPr="00D30FCB">
              <w:t>of flow cytometry</w:t>
            </w:r>
            <w:r w:rsidRPr="00D95301">
              <w:t xml:space="preserve"> should follow recommendations performed by ISAC (international society for advancement in </w:t>
            </w:r>
            <w:proofErr w:type="spellStart"/>
            <w:r w:rsidRPr="00D95301">
              <w:t>cytometry</w:t>
            </w:r>
            <w:proofErr w:type="spellEnd"/>
            <w:r w:rsidRPr="00D95301">
              <w:t>)</w:t>
            </w:r>
            <w:r w:rsidR="002A6E06" w:rsidRPr="002A6E06" w:rsidDel="002A6E06">
              <w:t xml:space="preserve"> </w:t>
            </w:r>
          </w:p>
          <w:p w:rsidR="00D954C2" w:rsidRDefault="002A6E06" w:rsidP="00D954C2">
            <w:pPr>
              <w:pStyle w:val="NormalWeb"/>
              <w:shd w:val="clear" w:color="auto" w:fill="FFFFFF"/>
              <w:tabs>
                <w:tab w:val="left" w:pos="1530"/>
              </w:tabs>
              <w:spacing w:before="0" w:beforeAutospacing="0" w:after="0" w:afterAutospacing="0" w:line="210" w:lineRule="atLeast"/>
            </w:pPr>
            <w:r w:rsidRPr="002A6E06">
              <w:rPr>
                <w:color w:val="365F91" w:themeColor="accent1" w:themeShade="BF"/>
              </w:rPr>
              <w:t>ISAC</w:t>
            </w:r>
            <w:r>
              <w:rPr>
                <w:color w:val="365F91" w:themeColor="accent1" w:themeShade="BF"/>
              </w:rPr>
              <w:t xml:space="preserve"> recommendations for minimum information about flow </w:t>
            </w:r>
            <w:proofErr w:type="spellStart"/>
            <w:r>
              <w:rPr>
                <w:color w:val="365F91" w:themeColor="accent1" w:themeShade="BF"/>
              </w:rPr>
              <w:t>cytometry</w:t>
            </w:r>
            <w:proofErr w:type="spellEnd"/>
            <w:r>
              <w:rPr>
                <w:color w:val="365F91" w:themeColor="accent1" w:themeShade="BF"/>
              </w:rPr>
              <w:t xml:space="preserve"> have been followed, however, t</w:t>
            </w:r>
            <w:r w:rsidR="00DF339D">
              <w:rPr>
                <w:color w:val="365F91" w:themeColor="accent1" w:themeShade="BF"/>
              </w:rPr>
              <w:t xml:space="preserve">he </w:t>
            </w:r>
            <w:proofErr w:type="spellStart"/>
            <w:r w:rsidR="00DF339D">
              <w:rPr>
                <w:color w:val="365F91" w:themeColor="accent1" w:themeShade="BF"/>
              </w:rPr>
              <w:t>JoVE</w:t>
            </w:r>
            <w:proofErr w:type="spellEnd"/>
            <w:r w:rsidR="00DF339D">
              <w:rPr>
                <w:color w:val="365F91" w:themeColor="accent1" w:themeShade="BF"/>
              </w:rPr>
              <w:t xml:space="preserve"> manuscript guidelines do not permit the use of commercial language within the article text, so all details specific to the flow cytometer</w:t>
            </w:r>
            <w:r>
              <w:rPr>
                <w:color w:val="365F91" w:themeColor="accent1" w:themeShade="BF"/>
              </w:rPr>
              <w:t xml:space="preserve">, reagents used, etc., </w:t>
            </w:r>
            <w:r w:rsidR="00DF339D">
              <w:rPr>
                <w:color w:val="365F91" w:themeColor="accent1" w:themeShade="BF"/>
              </w:rPr>
              <w:t xml:space="preserve">are listed in the Table of </w:t>
            </w:r>
            <w:r w:rsidR="00DF339D" w:rsidRPr="00D954C2">
              <w:rPr>
                <w:color w:val="365F91" w:themeColor="accent1" w:themeShade="BF"/>
              </w:rPr>
              <w:t>Specific Reagents/Materials</w:t>
            </w:r>
            <w:r w:rsidR="00DF339D">
              <w:rPr>
                <w:color w:val="365F91" w:themeColor="accent1" w:themeShade="BF"/>
              </w:rPr>
              <w:t>.</w:t>
            </w:r>
            <w:r w:rsidR="000C2E46" w:rsidRPr="00D95301">
              <w:br/>
            </w:r>
            <w:r w:rsidR="000C2E46" w:rsidRPr="00D95301">
              <w:br/>
            </w:r>
            <w:r w:rsidR="000C2E46" w:rsidRPr="00D95301">
              <w:rPr>
                <w:i/>
                <w:iCs/>
              </w:rPr>
              <w:t>Minor Concerns:</w:t>
            </w:r>
            <w:r w:rsidR="000C2E46" w:rsidRPr="00D95301">
              <w:br/>
              <w:t>3) Thawing at room temperature is not recommended</w:t>
            </w:r>
          </w:p>
          <w:p w:rsidR="001E07E5" w:rsidRDefault="00D954C2" w:rsidP="00D954C2">
            <w:pPr>
              <w:pStyle w:val="NormalWeb"/>
              <w:shd w:val="clear" w:color="auto" w:fill="FFFFFF"/>
              <w:tabs>
                <w:tab w:val="left" w:pos="1530"/>
              </w:tabs>
              <w:spacing w:before="0" w:beforeAutospacing="0" w:after="0" w:afterAutospacing="0" w:line="210" w:lineRule="atLeast"/>
              <w:rPr>
                <w:color w:val="365F91" w:themeColor="accent1" w:themeShade="BF"/>
              </w:rPr>
            </w:pPr>
            <w:r>
              <w:rPr>
                <w:color w:val="365F91" w:themeColor="accent1" w:themeShade="BF"/>
              </w:rPr>
              <w:t>In our hands, samples thawed at RT are comparable to samples thawed at 37</w:t>
            </w:r>
            <w:r w:rsidRPr="00772EE8">
              <w:rPr>
                <w:color w:val="365F91" w:themeColor="accent1" w:themeShade="BF"/>
              </w:rPr>
              <w:t>°C</w:t>
            </w:r>
            <w:r>
              <w:rPr>
                <w:color w:val="365F91" w:themeColor="accent1" w:themeShade="BF"/>
              </w:rPr>
              <w:t xml:space="preserve">. However, </w:t>
            </w:r>
            <w:r w:rsidR="00A01FDA">
              <w:rPr>
                <w:color w:val="365F91" w:themeColor="accent1" w:themeShade="BF"/>
              </w:rPr>
              <w:t xml:space="preserve">in order </w:t>
            </w:r>
            <w:r>
              <w:rPr>
                <w:color w:val="365F91" w:themeColor="accent1" w:themeShade="BF"/>
              </w:rPr>
              <w:t xml:space="preserve">to be consistent with the current </w:t>
            </w:r>
            <w:r w:rsidR="00A01FDA">
              <w:rPr>
                <w:color w:val="365F91" w:themeColor="accent1" w:themeShade="BF"/>
              </w:rPr>
              <w:t>recommendations</w:t>
            </w:r>
            <w:r>
              <w:rPr>
                <w:color w:val="365F91" w:themeColor="accent1" w:themeShade="BF"/>
              </w:rPr>
              <w:t xml:space="preserve"> by ISAC, we have changed the thawing </w:t>
            </w:r>
            <w:r w:rsidR="00A01FDA">
              <w:rPr>
                <w:color w:val="365F91" w:themeColor="accent1" w:themeShade="BF"/>
              </w:rPr>
              <w:t>method in the manuscript to be performed 37</w:t>
            </w:r>
            <w:r w:rsidR="00A01FDA" w:rsidRPr="00772EE8">
              <w:rPr>
                <w:color w:val="365F91" w:themeColor="accent1" w:themeShade="BF"/>
              </w:rPr>
              <w:t>°C</w:t>
            </w:r>
            <w:r w:rsidR="00A01FDA">
              <w:rPr>
                <w:color w:val="365F91" w:themeColor="accent1" w:themeShade="BF"/>
              </w:rPr>
              <w:t>.</w:t>
            </w:r>
          </w:p>
          <w:p w:rsidR="00D954C2" w:rsidRDefault="000C2E46" w:rsidP="00D954C2">
            <w:pPr>
              <w:pStyle w:val="NormalWeb"/>
              <w:shd w:val="clear" w:color="auto" w:fill="FFFFFF"/>
              <w:tabs>
                <w:tab w:val="left" w:pos="1530"/>
              </w:tabs>
              <w:spacing w:before="0" w:beforeAutospacing="0" w:after="0" w:afterAutospacing="0" w:line="210" w:lineRule="atLeast"/>
            </w:pPr>
            <w:r w:rsidRPr="00D95301">
              <w:br/>
              <w:t xml:space="preserve">4) L143 Is the cocktail antibody stable </w:t>
            </w:r>
            <w:proofErr w:type="gramStart"/>
            <w:r w:rsidRPr="00D95301">
              <w:t>overtime ?</w:t>
            </w:r>
            <w:proofErr w:type="gramEnd"/>
            <w:r w:rsidR="00D95301" w:rsidRPr="00D95301">
              <w:t xml:space="preserve"> </w:t>
            </w:r>
          </w:p>
          <w:p w:rsidR="001E07E5" w:rsidRDefault="00D95301" w:rsidP="00D954C2">
            <w:pPr>
              <w:pStyle w:val="NormalWeb"/>
              <w:shd w:val="clear" w:color="auto" w:fill="FFFFFF"/>
              <w:tabs>
                <w:tab w:val="left" w:pos="1530"/>
              </w:tabs>
              <w:spacing w:before="0" w:beforeAutospacing="0" w:after="0" w:afterAutospacing="0" w:line="210" w:lineRule="atLeast"/>
              <w:rPr>
                <w:color w:val="365F91" w:themeColor="accent1" w:themeShade="BF"/>
              </w:rPr>
            </w:pPr>
            <w:r w:rsidRPr="00D95301">
              <w:rPr>
                <w:color w:val="365F91" w:themeColor="accent1" w:themeShade="BF"/>
              </w:rPr>
              <w:t>We</w:t>
            </w:r>
            <w:r>
              <w:rPr>
                <w:color w:val="365F91" w:themeColor="accent1" w:themeShade="BF"/>
              </w:rPr>
              <w:t xml:space="preserve"> have tested cocktails stored for </w:t>
            </w:r>
            <w:r w:rsidR="00D954C2">
              <w:rPr>
                <w:color w:val="365F91" w:themeColor="accent1" w:themeShade="BF"/>
              </w:rPr>
              <w:t xml:space="preserve">up to </w:t>
            </w:r>
            <w:r>
              <w:rPr>
                <w:color w:val="365F91" w:themeColor="accent1" w:themeShade="BF"/>
              </w:rPr>
              <w:t xml:space="preserve">several weeks and results have been consistent with </w:t>
            </w:r>
            <w:r>
              <w:rPr>
                <w:color w:val="365F91" w:themeColor="accent1" w:themeShade="BF"/>
              </w:rPr>
              <w:lastRenderedPageBreak/>
              <w:t>freshly prepared cocktails.</w:t>
            </w:r>
          </w:p>
          <w:p w:rsidR="00D954C2" w:rsidRDefault="000C2E46" w:rsidP="00D954C2">
            <w:pPr>
              <w:pStyle w:val="NormalWeb"/>
              <w:shd w:val="clear" w:color="auto" w:fill="FFFFFF"/>
              <w:tabs>
                <w:tab w:val="left" w:pos="1530"/>
              </w:tabs>
              <w:spacing w:before="0" w:beforeAutospacing="0" w:after="0" w:afterAutospacing="0" w:line="210" w:lineRule="atLeast"/>
            </w:pPr>
            <w:r w:rsidRPr="00D95301">
              <w:br/>
              <w:t>5) L154 why was 4°C used instead of room temperature (standard protocol)</w:t>
            </w:r>
            <w:r w:rsidR="00D95301">
              <w:t xml:space="preserve"> </w:t>
            </w:r>
          </w:p>
          <w:p w:rsidR="001E07E5" w:rsidRDefault="00D95301" w:rsidP="00D954C2">
            <w:pPr>
              <w:pStyle w:val="NormalWeb"/>
              <w:shd w:val="clear" w:color="auto" w:fill="FFFFFF"/>
              <w:tabs>
                <w:tab w:val="left" w:pos="1530"/>
              </w:tabs>
              <w:spacing w:before="0" w:beforeAutospacing="0" w:after="0" w:afterAutospacing="0" w:line="210" w:lineRule="atLeast"/>
              <w:rPr>
                <w:color w:val="365F91" w:themeColor="accent1" w:themeShade="BF"/>
              </w:rPr>
            </w:pPr>
            <w:r w:rsidRPr="00772EE8">
              <w:rPr>
                <w:color w:val="365F91" w:themeColor="accent1" w:themeShade="BF"/>
              </w:rPr>
              <w:t xml:space="preserve">Incubation at 4°C is standard for cell surface staining. We have tested staining </w:t>
            </w:r>
            <w:r w:rsidR="00772EE8" w:rsidRPr="00772EE8">
              <w:rPr>
                <w:color w:val="365F91" w:themeColor="accent1" w:themeShade="BF"/>
              </w:rPr>
              <w:t xml:space="preserve">EVs </w:t>
            </w:r>
            <w:r w:rsidRPr="00772EE8">
              <w:rPr>
                <w:color w:val="365F91" w:themeColor="accent1" w:themeShade="BF"/>
              </w:rPr>
              <w:t xml:space="preserve">at 4°C vs. RT and found no </w:t>
            </w:r>
            <w:r w:rsidR="00772EE8" w:rsidRPr="00772EE8">
              <w:rPr>
                <w:color w:val="365F91" w:themeColor="accent1" w:themeShade="BF"/>
              </w:rPr>
              <w:t>difference in outcome.</w:t>
            </w:r>
          </w:p>
          <w:p w:rsidR="00D954C2" w:rsidRDefault="000C2E46" w:rsidP="00D954C2">
            <w:pPr>
              <w:pStyle w:val="NormalWeb"/>
              <w:shd w:val="clear" w:color="auto" w:fill="FFFFFF"/>
              <w:tabs>
                <w:tab w:val="left" w:pos="1530"/>
              </w:tabs>
              <w:spacing w:before="0" w:beforeAutospacing="0" w:after="0" w:afterAutospacing="0" w:line="210" w:lineRule="atLeast"/>
            </w:pPr>
            <w:r w:rsidRPr="00D95301">
              <w:br/>
              <w:t xml:space="preserve">6) The authors should </w:t>
            </w:r>
            <w:r w:rsidRPr="003E7FFE">
              <w:t>demonstrate</w:t>
            </w:r>
            <w:r w:rsidRPr="00D95301">
              <w:t xml:space="preserve"> that their washing protocol did not interfere with microparticles results</w:t>
            </w:r>
          </w:p>
          <w:p w:rsidR="008B7BD6" w:rsidRPr="0067672D" w:rsidRDefault="005548F3" w:rsidP="008B7BD6">
            <w:pPr>
              <w:rPr>
                <w:color w:val="365F91" w:themeColor="accent1" w:themeShade="BF"/>
              </w:rPr>
            </w:pPr>
            <w:r>
              <w:rPr>
                <w:color w:val="365F91" w:themeColor="accent1" w:themeShade="BF"/>
              </w:rPr>
              <w:t xml:space="preserve">As this is a protocol and not a methods paper, the amount of </w:t>
            </w:r>
            <w:r w:rsidR="00B27409">
              <w:rPr>
                <w:color w:val="365F91" w:themeColor="accent1" w:themeShade="BF"/>
              </w:rPr>
              <w:t>extracurricular information presented must be li</w:t>
            </w:r>
            <w:r w:rsidR="00061475">
              <w:rPr>
                <w:color w:val="365F91" w:themeColor="accent1" w:themeShade="BF"/>
              </w:rPr>
              <w:t>mited to what is truly relevant to the protocol</w:t>
            </w:r>
            <w:r w:rsidR="00B27409">
              <w:rPr>
                <w:color w:val="365F91" w:themeColor="accent1" w:themeShade="BF"/>
              </w:rPr>
              <w:t xml:space="preserve">. </w:t>
            </w:r>
            <w:r w:rsidR="008B7BD6">
              <w:rPr>
                <w:color w:val="365F91" w:themeColor="accent1" w:themeShade="BF"/>
              </w:rPr>
              <w:t>B</w:t>
            </w:r>
            <w:r w:rsidR="008B7BD6" w:rsidRPr="0067672D">
              <w:rPr>
                <w:color w:val="365F91" w:themeColor="accent1" w:themeShade="BF"/>
              </w:rPr>
              <w:t>ecause a separate manuscript containing these results is currently being prepared for publication</w:t>
            </w:r>
            <w:r w:rsidR="008B7BD6">
              <w:rPr>
                <w:color w:val="365F91" w:themeColor="accent1" w:themeShade="BF"/>
              </w:rPr>
              <w:t xml:space="preserve">, and the current manuscript is meant to present a protocol and not </w:t>
            </w:r>
            <w:r w:rsidR="008B7BD6">
              <w:rPr>
                <w:i/>
                <w:color w:val="365F91" w:themeColor="accent1" w:themeShade="BF"/>
              </w:rPr>
              <w:t>de novo</w:t>
            </w:r>
            <w:r w:rsidR="008B7BD6">
              <w:rPr>
                <w:color w:val="365F91" w:themeColor="accent1" w:themeShade="BF"/>
              </w:rPr>
              <w:t xml:space="preserve"> experimental data</w:t>
            </w:r>
            <w:r w:rsidR="008B7BD6" w:rsidRPr="0067672D">
              <w:rPr>
                <w:color w:val="365F91" w:themeColor="accent1" w:themeShade="BF"/>
              </w:rPr>
              <w:t xml:space="preserve">, we are unable to include these data in our discussion of the current protocol. </w:t>
            </w:r>
            <w:r w:rsidR="00B27409">
              <w:rPr>
                <w:color w:val="365F91" w:themeColor="accent1" w:themeShade="BF"/>
              </w:rPr>
              <w:t xml:space="preserve">We can assure you that all of the necessary optimization steps have been performed in the making of this protocol and articles using these protocols have been published in peer-reviewed journals. </w:t>
            </w:r>
            <w:r w:rsidR="008B7BD6" w:rsidRPr="0067672D">
              <w:rPr>
                <w:color w:val="365F91" w:themeColor="accent1" w:themeShade="BF"/>
              </w:rPr>
              <w:t xml:space="preserve"> </w:t>
            </w:r>
            <w:r w:rsidR="008B7BD6">
              <w:rPr>
                <w:color w:val="365F91" w:themeColor="accent1" w:themeShade="BF"/>
              </w:rPr>
              <w:t xml:space="preserve">We have included additional examples of results using our washing technique below. </w:t>
            </w:r>
          </w:p>
          <w:p w:rsidR="00943784" w:rsidRDefault="00943784" w:rsidP="00D954C2">
            <w:pPr>
              <w:pStyle w:val="NormalWeb"/>
              <w:shd w:val="clear" w:color="auto" w:fill="FFFFFF"/>
              <w:tabs>
                <w:tab w:val="left" w:pos="1530"/>
              </w:tabs>
              <w:spacing w:before="0" w:beforeAutospacing="0" w:after="0" w:afterAutospacing="0" w:line="210" w:lineRule="atLeast"/>
            </w:pPr>
          </w:p>
          <w:p w:rsidR="00943784" w:rsidRDefault="008B7BD6" w:rsidP="00D954C2">
            <w:pPr>
              <w:pStyle w:val="NormalWeb"/>
              <w:shd w:val="clear" w:color="auto" w:fill="FFFFFF"/>
              <w:tabs>
                <w:tab w:val="left" w:pos="1530"/>
              </w:tabs>
              <w:spacing w:before="0" w:beforeAutospacing="0" w:after="0" w:afterAutospacing="0" w:line="210" w:lineRule="atLeast"/>
            </w:pPr>
            <w:r>
              <w:rPr>
                <w:noProof/>
              </w:rPr>
              <w:drawing>
                <wp:inline distT="0" distB="0" distL="0" distR="0" wp14:anchorId="20F046A7" wp14:editId="3CD33A5A">
                  <wp:extent cx="3645725" cy="1784785"/>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6822" cy="1785322"/>
                          </a:xfrm>
                          <a:prstGeom prst="rect">
                            <a:avLst/>
                          </a:prstGeom>
                          <a:noFill/>
                        </pic:spPr>
                      </pic:pic>
                    </a:graphicData>
                  </a:graphic>
                </wp:inline>
              </w:drawing>
            </w:r>
          </w:p>
          <w:p w:rsidR="00012679" w:rsidRDefault="00012679" w:rsidP="00D954C2">
            <w:pPr>
              <w:pStyle w:val="NormalWeb"/>
              <w:shd w:val="clear" w:color="auto" w:fill="FFFFFF"/>
              <w:tabs>
                <w:tab w:val="left" w:pos="1530"/>
              </w:tabs>
              <w:spacing w:before="0" w:beforeAutospacing="0" w:after="0" w:afterAutospacing="0" w:line="210" w:lineRule="atLeast"/>
            </w:pPr>
            <w:bookmarkStart w:id="0" w:name="_GoBack"/>
            <w:bookmarkEnd w:id="0"/>
          </w:p>
          <w:p w:rsidR="00D954C2" w:rsidRDefault="000C2E46" w:rsidP="00D954C2">
            <w:pPr>
              <w:pStyle w:val="NormalWeb"/>
              <w:shd w:val="clear" w:color="auto" w:fill="FFFFFF"/>
              <w:tabs>
                <w:tab w:val="left" w:pos="1530"/>
              </w:tabs>
              <w:spacing w:before="0" w:beforeAutospacing="0" w:after="0" w:afterAutospacing="0" w:line="210" w:lineRule="atLeast"/>
            </w:pPr>
            <w:r w:rsidRPr="00D95301">
              <w:t xml:space="preserve">7) What is the flow cytometer used in this </w:t>
            </w:r>
            <w:proofErr w:type="gramStart"/>
            <w:r w:rsidRPr="00D95301">
              <w:t>study ?</w:t>
            </w:r>
            <w:proofErr w:type="gramEnd"/>
            <w:r w:rsidR="00772EE8">
              <w:t xml:space="preserve"> </w:t>
            </w:r>
          </w:p>
          <w:p w:rsidR="00D954C2" w:rsidRDefault="00772EE8" w:rsidP="00D954C2">
            <w:pPr>
              <w:pStyle w:val="NormalWeb"/>
              <w:shd w:val="clear" w:color="auto" w:fill="FFFFFF"/>
              <w:tabs>
                <w:tab w:val="left" w:pos="1530"/>
              </w:tabs>
              <w:spacing w:before="0" w:beforeAutospacing="0" w:after="0" w:afterAutospacing="0" w:line="210" w:lineRule="atLeast"/>
              <w:rPr>
                <w:color w:val="365F91" w:themeColor="accent1" w:themeShade="BF"/>
              </w:rPr>
            </w:pPr>
            <w:r>
              <w:rPr>
                <w:color w:val="365F91" w:themeColor="accent1" w:themeShade="BF"/>
              </w:rPr>
              <w:t xml:space="preserve">All experiments were analyzed using a BD LSRII flow cytometer. The </w:t>
            </w:r>
            <w:proofErr w:type="spellStart"/>
            <w:r>
              <w:rPr>
                <w:color w:val="365F91" w:themeColor="accent1" w:themeShade="BF"/>
              </w:rPr>
              <w:t>JoVE</w:t>
            </w:r>
            <w:proofErr w:type="spellEnd"/>
            <w:r>
              <w:rPr>
                <w:color w:val="365F91" w:themeColor="accent1" w:themeShade="BF"/>
              </w:rPr>
              <w:t xml:space="preserve"> manuscript guidelines do not permit the use of commercial language within the article text</w:t>
            </w:r>
            <w:r w:rsidR="00D954C2">
              <w:rPr>
                <w:color w:val="365F91" w:themeColor="accent1" w:themeShade="BF"/>
              </w:rPr>
              <w:t>,</w:t>
            </w:r>
            <w:r>
              <w:rPr>
                <w:color w:val="365F91" w:themeColor="accent1" w:themeShade="BF"/>
              </w:rPr>
              <w:t xml:space="preserve"> so all reagents and instrument specifics (including flow cytometer make/model) </w:t>
            </w:r>
            <w:r w:rsidR="00D954C2">
              <w:rPr>
                <w:color w:val="365F91" w:themeColor="accent1" w:themeShade="BF"/>
              </w:rPr>
              <w:t xml:space="preserve">are listed in the Table of </w:t>
            </w:r>
            <w:r w:rsidR="00D954C2" w:rsidRPr="00D954C2">
              <w:rPr>
                <w:color w:val="365F91" w:themeColor="accent1" w:themeShade="BF"/>
              </w:rPr>
              <w:t>Specific Reagents/Materials</w:t>
            </w:r>
            <w:r w:rsidR="00D954C2">
              <w:rPr>
                <w:color w:val="365F91" w:themeColor="accent1" w:themeShade="BF"/>
              </w:rPr>
              <w:t xml:space="preserve">. </w:t>
            </w:r>
          </w:p>
          <w:p w:rsidR="00BD21BD" w:rsidRDefault="00BD21BD" w:rsidP="00D954C2">
            <w:pPr>
              <w:pStyle w:val="NormalWeb"/>
              <w:shd w:val="clear" w:color="auto" w:fill="FFFFFF"/>
              <w:tabs>
                <w:tab w:val="left" w:pos="1530"/>
              </w:tabs>
              <w:spacing w:before="0" w:beforeAutospacing="0" w:after="0" w:afterAutospacing="0" w:line="210" w:lineRule="atLeast"/>
              <w:rPr>
                <w:color w:val="365F91" w:themeColor="accent1" w:themeShade="BF"/>
              </w:rPr>
            </w:pPr>
          </w:p>
          <w:p w:rsidR="00676FA9" w:rsidRDefault="00D954C2" w:rsidP="00D954C2">
            <w:pPr>
              <w:pStyle w:val="NormalWeb"/>
              <w:shd w:val="clear" w:color="auto" w:fill="FFFFFF"/>
              <w:tabs>
                <w:tab w:val="left" w:pos="1530"/>
              </w:tabs>
              <w:spacing w:before="0" w:beforeAutospacing="0" w:after="0" w:afterAutospacing="0" w:line="210" w:lineRule="atLeast"/>
            </w:pPr>
            <w:proofErr w:type="gramStart"/>
            <w:r>
              <w:t>8)The</w:t>
            </w:r>
            <w:proofErr w:type="gramEnd"/>
            <w:r>
              <w:t xml:space="preserve"> method </w:t>
            </w:r>
            <w:r w:rsidR="000C2E46" w:rsidRPr="00D95301">
              <w:t>of threshold setting has an impact on microparticles results</w:t>
            </w:r>
            <w:r w:rsidR="000C2E46" w:rsidRPr="00D95301">
              <w:br/>
            </w:r>
            <w:r w:rsidR="00B27409">
              <w:rPr>
                <w:color w:val="365F91" w:themeColor="accent1" w:themeShade="BF"/>
              </w:rPr>
              <w:t xml:space="preserve">We </w:t>
            </w:r>
            <w:r w:rsidR="00DD59CB">
              <w:rPr>
                <w:color w:val="365F91" w:themeColor="accent1" w:themeShade="BF"/>
              </w:rPr>
              <w:t>agree with this statement</w:t>
            </w:r>
            <w:r w:rsidR="00B27409">
              <w:rPr>
                <w:color w:val="365F91" w:themeColor="accent1" w:themeShade="BF"/>
              </w:rPr>
              <w:t xml:space="preserve">. We have developed this protocol with the </w:t>
            </w:r>
            <w:r w:rsidR="00BD21BD">
              <w:rPr>
                <w:color w:val="365F91" w:themeColor="accent1" w:themeShade="BF"/>
              </w:rPr>
              <w:t>purpose of being able</w:t>
            </w:r>
            <w:r w:rsidR="00B27409">
              <w:rPr>
                <w:color w:val="365F91" w:themeColor="accent1" w:themeShade="BF"/>
              </w:rPr>
              <w:t xml:space="preserve"> to analyze subpopulations of EVs across </w:t>
            </w:r>
            <w:r w:rsidR="00BD21BD">
              <w:rPr>
                <w:color w:val="365F91" w:themeColor="accent1" w:themeShade="BF"/>
              </w:rPr>
              <w:t>the wide range of</w:t>
            </w:r>
            <w:r w:rsidR="00B27409">
              <w:rPr>
                <w:color w:val="365F91" w:themeColor="accent1" w:themeShade="BF"/>
              </w:rPr>
              <w:t xml:space="preserve"> </w:t>
            </w:r>
            <w:r w:rsidR="00BD21BD">
              <w:rPr>
                <w:color w:val="365F91" w:themeColor="accent1" w:themeShade="BF"/>
              </w:rPr>
              <w:t xml:space="preserve">EV concentrations encountered in clinical </w:t>
            </w:r>
            <w:r w:rsidR="00B27409">
              <w:rPr>
                <w:color w:val="365F91" w:themeColor="accent1" w:themeShade="BF"/>
              </w:rPr>
              <w:t>PPP samples</w:t>
            </w:r>
            <w:r w:rsidR="00BD21BD">
              <w:rPr>
                <w:color w:val="365F91" w:themeColor="accent1" w:themeShade="BF"/>
              </w:rPr>
              <w:t>.</w:t>
            </w:r>
            <w:r w:rsidR="00B27409">
              <w:rPr>
                <w:color w:val="365F91" w:themeColor="accent1" w:themeShade="BF"/>
              </w:rPr>
              <w:t xml:space="preserve"> </w:t>
            </w:r>
            <w:r w:rsidR="00BD21BD">
              <w:rPr>
                <w:color w:val="365F91" w:themeColor="accent1" w:themeShade="BF"/>
              </w:rPr>
              <w:t>The thresholds we use here were decided on after years of optimization studies. We found that the combination of both SSC and FSC thresholds provide the highest signal, lowest background</w:t>
            </w:r>
            <w:r w:rsidR="00061475">
              <w:rPr>
                <w:color w:val="365F91" w:themeColor="accent1" w:themeShade="BF"/>
              </w:rPr>
              <w:t xml:space="preserve"> </w:t>
            </w:r>
            <w:r w:rsidR="00BD21BD">
              <w:rPr>
                <w:color w:val="365F91" w:themeColor="accent1" w:themeShade="BF"/>
              </w:rPr>
              <w:t xml:space="preserve">and the highest reproducibility.  </w:t>
            </w:r>
            <w:r w:rsidR="000C2E46" w:rsidRPr="00D95301">
              <w:br/>
            </w:r>
            <w:r w:rsidR="000C2E46" w:rsidRPr="00D95301">
              <w:br/>
            </w:r>
            <w:r w:rsidR="000C2E46" w:rsidRPr="00D95301">
              <w:rPr>
                <w:b/>
                <w:bCs/>
              </w:rPr>
              <w:t>Reviewer #2:</w:t>
            </w:r>
            <w:r w:rsidR="000C2E46" w:rsidRPr="00D95301">
              <w:rPr>
                <w:rStyle w:val="apple-converted-space"/>
              </w:rPr>
              <w:t> </w:t>
            </w:r>
            <w:r w:rsidR="000C2E46" w:rsidRPr="00D95301">
              <w:br/>
            </w:r>
            <w:r w:rsidR="000C2E46" w:rsidRPr="00D95301">
              <w:rPr>
                <w:i/>
                <w:iCs/>
              </w:rPr>
              <w:t>Manuscript Summary:</w:t>
            </w:r>
            <w:r w:rsidR="000C2E46" w:rsidRPr="00D95301">
              <w:rPr>
                <w:rStyle w:val="apple-converted-space"/>
              </w:rPr>
              <w:t> </w:t>
            </w:r>
            <w:r w:rsidR="000C2E46" w:rsidRPr="00D95301">
              <w:br/>
              <w:t xml:space="preserve">This manuscript provides two clearly described flow cytometry methods for the identification of extracellular vesicles (EVs); individual detection of vesicles and a bead-based approach to detect smaller EVs. There is growing interest in the field of extracellular vesicles, yet the methodologies available has not been </w:t>
            </w:r>
            <w:proofErr w:type="spellStart"/>
            <w:r w:rsidR="000C2E46" w:rsidRPr="00D95301">
              <w:t>standardised</w:t>
            </w:r>
            <w:proofErr w:type="spellEnd"/>
            <w:r w:rsidR="000C2E46" w:rsidRPr="00D95301">
              <w:t xml:space="preserve">. Therefore, publications aimed at improving </w:t>
            </w:r>
            <w:r w:rsidR="000C2E46" w:rsidRPr="00D95301">
              <w:lastRenderedPageBreak/>
              <w:t xml:space="preserve">the </w:t>
            </w:r>
            <w:proofErr w:type="spellStart"/>
            <w:r w:rsidR="000C2E46" w:rsidRPr="00D95301">
              <w:t>standardisation</w:t>
            </w:r>
            <w:proofErr w:type="spellEnd"/>
            <w:r w:rsidR="000C2E46" w:rsidRPr="00D95301">
              <w:t xml:space="preserve"> of such techniques and those providing detailed protocols are of great value.</w:t>
            </w:r>
            <w:r w:rsidR="000C2E46" w:rsidRPr="00D95301">
              <w:rPr>
                <w:rStyle w:val="apple-converted-space"/>
              </w:rPr>
              <w:t> </w:t>
            </w:r>
            <w:r w:rsidR="000C2E46" w:rsidRPr="00D95301">
              <w:br/>
            </w:r>
            <w:r w:rsidR="000C2E46" w:rsidRPr="00D95301">
              <w:br/>
            </w:r>
            <w:r w:rsidR="000C2E46" w:rsidRPr="00D95301">
              <w:rPr>
                <w:i/>
                <w:iCs/>
              </w:rPr>
              <w:t>Major Concerns:</w:t>
            </w:r>
            <w:r w:rsidR="000C2E46" w:rsidRPr="00D95301">
              <w:br/>
              <w:t>Introduction:</w:t>
            </w:r>
            <w:r w:rsidR="000C2E46" w:rsidRPr="00D95301">
              <w:br/>
              <w:t>1) The authors refer to the limitations of fluorescence minus one as a flow cytometry control for extracellular vesicles, but do not specify what these limitations are.</w:t>
            </w:r>
          </w:p>
          <w:p w:rsidR="00865702" w:rsidRDefault="00676FA9" w:rsidP="00D954C2">
            <w:pPr>
              <w:pStyle w:val="NormalWeb"/>
              <w:shd w:val="clear" w:color="auto" w:fill="FFFFFF"/>
              <w:tabs>
                <w:tab w:val="left" w:pos="1530"/>
              </w:tabs>
              <w:spacing w:before="0" w:beforeAutospacing="0" w:after="0" w:afterAutospacing="0" w:line="210" w:lineRule="atLeast"/>
            </w:pPr>
            <w:r>
              <w:rPr>
                <w:rFonts w:cstheme="minorHAnsi"/>
                <w:color w:val="365F91" w:themeColor="accent1" w:themeShade="BF"/>
              </w:rPr>
              <w:t>We have clarified this last paragraph. It now reads, “C</w:t>
            </w:r>
            <w:r w:rsidRPr="00676FA9">
              <w:rPr>
                <w:rFonts w:cstheme="minorHAnsi"/>
                <w:color w:val="365F91" w:themeColor="accent1" w:themeShade="BF"/>
              </w:rPr>
              <w:t>ommon challenges among researchers include signals arising from immunoglobulin aggregates</w:t>
            </w:r>
            <w:r w:rsidRPr="00676FA9">
              <w:rPr>
                <w:rFonts w:cstheme="minorHAnsi"/>
                <w:color w:val="365F91" w:themeColor="accent1" w:themeShade="BF"/>
              </w:rPr>
              <w:fldChar w:fldCharType="begin"/>
            </w:r>
            <w:r w:rsidRPr="00676FA9">
              <w:rPr>
                <w:rFonts w:cstheme="minorHAnsi"/>
                <w:color w:val="365F91" w:themeColor="accent1" w:themeShade="BF"/>
              </w:rPr>
              <w:instrText xml:space="preserve"> ADDIN ZOTERO_ITEM CSL_CITATION {"citationID":"14fm048g3k","properties":{"formattedCitation":"{\\rtf \\super 18,19\\nosupersub{}}","plainCitation":"18,19"},"citationItems":[{"id":364,"uris":["http://zotero.org/users/1400844/items/8FTR86VE"],"uri":["http://zotero.org/users/1400844/items/8FTR86VE"],"itemData":{"id":364,"type":"article-journal","title":"Detection and isolation of cell-derived microparticles are compromised by protein complexes resulting from shared biophysical parameters","container-title":"Blood","page":"e39-e48","volume":"117","issue":"4","source":"bloodjournal.hematologylibrary.org","abstract":"Numerous diseases, recently reported to associate with elevated microvesicle/microparticle (MP) counts, have also long been known to be characterized by accelerated immune complex (IC) formation. The goal of this study was to investigate the potential overlap between parameters of protein complexes (eg, ICs or avidin-biotin complexes) and MPs, which might perturb detection and/or isolation of MPs. In this work, after comprehensive characterization of MPs by electron microscopy, atomic force microscopy, dynamic light-scattering analysis, and flow cytometry, for the first time, we drive attention to the fact that protein complexes, especially insoluble ICs, overlap in biophysical properties (size, light scattering, and sedimentation) with MPs. This, in turn, affects MP quantification by flow cytometry and purification by differential centrifugation, especially in diseases in which IC formation is common, including not only autoimmune diseases, but also hematologic disorders, infections, and cancer. These data may necessitate reevaluation of certain published data on patient-derived MPs and contribute to correct the clinical laboratory assessment of the presence and biologic functions of MPs in health and disease.","DOI":"10.1182/blood-2010-09-307595","ISSN":"0006-4971, 1528-0020","note":"PMID: 21041717","journalAbbreviation":"Blood","language":"en","author":[{"family":"György","given":"Bence"},{"family":"Módos","given":"Károly"},{"family":"Pállinger","given":"Éva"},{"family":"Pálóczi","given":"Krisztina"},{"family":"Pásztói","given":"Mária"},{"family":"Misják","given":"Petra"},{"family":"Deli","given":"Mária A."},{"family":"Sipos","given":"Áron"},{"family":"Szalai","given":"Anikó"},{"family":"Voszka","given":"István"},{"family":"Polgár","given":"Anna"},{"family":"Tóth","given":"Kálmán"},{"family":"Csete","given":"Mária"},{"family":"Nagy","given":"György"},{"family":"Gay","given":"Steffen"},{"family":"Falus","given":"András"},{"family":"Kittel","given":"Ágnes"},{"family":"Buzás","given":"Edit I."}],"issued":{"date-parts":[["2011",1,27]]},"accessed":{"date-parts":[["2013",9,4]]},"PMID":"21041717"}},{"id":34,"uris":["http://zotero.org/users/1400844/items/P53XI92F"],"uri":["http://zotero.org/users/1400844/items/P53XI92F"],"itemData":{"id":34,"type":"article-journal","title":"Improved Flow Cytometric Assessment Reveals Distinct Microvesicle (Cell-Derived Microparticle) Signatures in Joint Diseases","container-title":"PLoS ONE","page":"e49726","volume":"7","issue":"11","source":"PLoS ONE","abstract":"IntroductionMicrovesicles (MVs), earlier referred to as microparticles, represent a major type of extracellular vesicles currently considered as novel biomarkers in various clinical settings such as autoimmune disorders. However, the analysis of MVs in body fluids has not been fully standardized yet, and there are numerous pitfalls that hinder the correct assessment of these structures.MethodsIn this study, we analyzed synovial fluid (SF) samples of patients with osteoarthritis (OA), rheumatoid arthritis (RA) and juvenile idiopathic arthritis (JIA). To assess factors that may confound MV detection in joint diseases, we used electron microscopy (EM), Nanoparticle Tracking Analysis (NTA) and mass spectrometry (MS). For flow cytometry, a method commonly used for phenotyping and enumeration of MVs, we combined recent advances in the field, and used a novel approach of differential detergent lysis for the exclusion of MV-mimicking non-vesicular signals.ResultsEM and NTA showed that substantial amounts of particles other than MVs were present in SF samples. Beyond known MV-associated proteins, MS analysis also revealed abundant plasma- and immune complex-related proteins in MV preparations. Applying improved flow cytometric analysis, we demonstrate for the first time that CD3+ and CD8+ T-cell derived SF MVs are highly elevated in patients with RA compared to OA patients (p = 0.027 and p = 0.009, respectively, after Bonferroni corrections). In JIA, we identified reduced numbers of B cell-derived MVs (p = 0.009, after Bonferroni correction).ConclusionsOur results suggest that improved flow cytometric assessment of MVs facilitates the detection of previously unrecognized disease-associated vesicular signatures.","DOI":"10.1371/journal.pone.0049726","journalAbbreviation":"PLoS ONE","author":[{"family":"György","given":"Bence"},{"family":"Szabó","given":"Tamás G."},{"family":"Turiák","given":"Lilla"},{"family":"Wright","given":"Matthew"},{"family":"Herczeg","given":"Petra"},{"family":"Lédeczi","given":"Zsigmond"},{"family":"Kittel","given":"Ágnes"},{"family":"Polgár","given":"Anna"},{"family":"Tóth","given":"Kálmán"},{"family":"Dérfalvi","given":"Beáta"},{"family":"Zelenák","given":"Gergő"},{"family":"Böröcz","given":"István"},{"family":"Carr","given":"Bob"},{"family":"Nagy","given":"György"},{"family":"Vékey","given":"Károly"},{"family":"Gay","given":"Steffen"},{"family":"Falus","given":"András"},{"family":"Buzás","given":"Edit I."}],"issued":{"date-parts":[["2012",11,20]]},"accessed":{"date-parts":[["2013",5,10]]}}}],"schema":"https://github.com/citation-style-language/schema/raw/master/csl-citation.json"} </w:instrText>
            </w:r>
            <w:r w:rsidRPr="00676FA9">
              <w:rPr>
                <w:rFonts w:cstheme="minorHAnsi"/>
                <w:color w:val="365F91" w:themeColor="accent1" w:themeShade="BF"/>
              </w:rPr>
              <w:fldChar w:fldCharType="separate"/>
            </w:r>
            <w:r w:rsidRPr="00676FA9">
              <w:rPr>
                <w:color w:val="365F91" w:themeColor="accent1" w:themeShade="BF"/>
                <w:vertAlign w:val="superscript"/>
              </w:rPr>
              <w:t>18,19</w:t>
            </w:r>
            <w:r w:rsidRPr="00676FA9">
              <w:rPr>
                <w:rFonts w:cstheme="minorHAnsi"/>
                <w:color w:val="365F91" w:themeColor="accent1" w:themeShade="BF"/>
              </w:rPr>
              <w:fldChar w:fldCharType="end"/>
            </w:r>
            <w:r w:rsidRPr="00676FA9">
              <w:rPr>
                <w:rFonts w:cstheme="minorHAnsi"/>
                <w:color w:val="365F91" w:themeColor="accent1" w:themeShade="BF"/>
              </w:rPr>
              <w:t xml:space="preserve"> and self-aggregation of antibodies.</w:t>
            </w:r>
            <w:r w:rsidRPr="00676FA9">
              <w:rPr>
                <w:rFonts w:cstheme="minorHAnsi"/>
                <w:color w:val="365F91" w:themeColor="accent1" w:themeShade="BF"/>
              </w:rPr>
              <w:fldChar w:fldCharType="begin"/>
            </w:r>
            <w:r w:rsidRPr="00676FA9">
              <w:rPr>
                <w:rFonts w:cstheme="minorHAnsi"/>
                <w:color w:val="365F91" w:themeColor="accent1" w:themeShade="BF"/>
              </w:rPr>
              <w:instrText xml:space="preserve"> ADDIN ZOTERO_ITEM CSL_CITATION {"citationID":"is4f5cntl","properties":{"formattedCitation":"{\\rtf \\super 20\\nosupersub{}}","plainCitation":"20"},"citationItems":[{"id":382,"uris":["http://zotero.org/users/1400844/items/RT6QDFNZ"],"uri":["http://zotero.org/users/1400844/items/RT6QDFNZ"],"itemData":{"id":382,"type":"article-journal","title":"Response: systematic use of Triton lysis as a control for microvesicle labeling","container-title":"Blood","page":"2175-2176","volume":"119","issue":"9","source":"bloodjournal.hematologylibrary.org","DOI":"10.1182/blood-2012-01-401091","ISSN":"0006-4971, 1528-0020","shortTitle":"Response","journalAbbreviation":"Blood","language":"en","author":[{"family":"György","given":"Bence"},{"family":"Pasztoi","given":"Maria"},{"family":"Buzas","given":"Edit I."}],"issued":{"date-parts":[["2012",3,1]]},"accessed":{"date-parts":[["2014",3,11]]}}}],"schema":"https://github.com/citation-style-language/schema/raw/master/csl-citation.json"} </w:instrText>
            </w:r>
            <w:r w:rsidRPr="00676FA9">
              <w:rPr>
                <w:rFonts w:cstheme="minorHAnsi"/>
                <w:color w:val="365F91" w:themeColor="accent1" w:themeShade="BF"/>
              </w:rPr>
              <w:fldChar w:fldCharType="separate"/>
            </w:r>
            <w:r w:rsidRPr="00676FA9">
              <w:rPr>
                <w:color w:val="365F91" w:themeColor="accent1" w:themeShade="BF"/>
                <w:vertAlign w:val="superscript"/>
              </w:rPr>
              <w:t>20</w:t>
            </w:r>
            <w:r w:rsidRPr="00676FA9">
              <w:rPr>
                <w:rFonts w:cstheme="minorHAnsi"/>
                <w:color w:val="365F91" w:themeColor="accent1" w:themeShade="BF"/>
              </w:rPr>
              <w:fldChar w:fldCharType="end"/>
            </w:r>
            <w:r w:rsidRPr="00676FA9">
              <w:rPr>
                <w:rFonts w:cstheme="minorHAnsi"/>
                <w:color w:val="365F91" w:themeColor="accent1" w:themeShade="BF"/>
              </w:rPr>
              <w:t xml:space="preserve"> Furthermore, the long processing times and lengthy washing/isolation procedures used by many of the current protocols</w:t>
            </w:r>
            <w:r w:rsidRPr="00676FA9">
              <w:rPr>
                <w:rFonts w:cstheme="minorHAnsi"/>
                <w:color w:val="365F91" w:themeColor="accent1" w:themeShade="BF"/>
              </w:rPr>
              <w:fldChar w:fldCharType="begin"/>
            </w:r>
            <w:r w:rsidRPr="00676FA9">
              <w:rPr>
                <w:rFonts w:cstheme="minorHAnsi"/>
                <w:color w:val="365F91" w:themeColor="accent1" w:themeShade="BF"/>
              </w:rPr>
              <w:instrText xml:space="preserve"> ADDIN ZOTERO_ITEM CSL_CITATION {"citationID":"o963lr7ic","properties":{"formattedCitation":"{\\rtf \\super 24,25\\nosupersub{}}","plainCitation":"24,25"},"citationItems":[{"id":358,"uris":["http://zotero.org/users/1400844/items/NI8PKB4N"],"uri":["http://zotero.org/users/1400844/items/NI8PKB4N"],"itemData":{"id":358,"type":"article-journal","title":"Quantitative and qualitative flow cytometric analysis of nanosized cell-derived membrane vesicles","container-title":"Nanomedicine: nanotechnology, biology, and medicine","page":"712-720","volume":"8","issue":"5","source":"NCBI PubMed","abstract":"Nanosized cell-derived membrane vesicles are increasingly recognized as therapeutic vehicles and high-potential biomarkers for several diseases. Currently available methods allow bulk analysis of vesicles but are not suited for accurate quantification and fail to reveal phenotypic heterogeneity in membrane vesicle populations. For such analyses, single vesicle-based, multiparameter, high-throughput methods are needed. We developed a fluorescence-based, high-resolution flow cytometric method for quantitative and qualitative analysis of nanosized membrane vesicles. Proof of principle was obtained by single-particle analysis of virions and liposomes. Further validation was obtained by quantification of cell-derived nanosized membrane vesicles from cell cultures and body fluids. An important aspect was that the technology was extended to detect specific proteins on individual vesicles. This allowed identification of exosome subsets and phenotyping of individual exosomes produced by dendritic cells (DCs) undergoing different modes of activation. The described technology allows quantitative, multiparameter, and high-throughput analysis of a wide variety of nanosized particles and has broad applications.\nFROM THE CLINICAL EDITOR: The authors developed a fluorescence-based, high-resolution flow cytometric method for quantitative and qualitative analysis of nanosized cell-derived membrane vesicles that are increasingly recognized both as therapeutic vehicles and high-potential biomarkers for several diseases. A high throughput, easily available, and sensitive detection method such as the one discussed here is a critically important prerequisite for further refinements of this technology.","DOI":"10.1016/j.nano.2011.09.006","ISSN":"1549-9642","note":"PMID: 22024193","journalAbbreviation":"Nanomedicine","language":"eng","author":[{"family":"Nolte-'t Hoen","given":"Esther N M"},{"family":"van der Vlist","given":"Els J"},{"family":"Aalberts","given":"Marian"},{"family":"Mertens","given":"Hendrik C H"},{"family":"Bosch","given":"Berend Jan"},{"family":"Bartelink","given":"Willem"},{"family":"Mastrobattista","given":"Enrico"},{"family":"van Gaal","given":"Ethlinn V B"},{"family":"Stoorvogel","given":"Willem"},{"family":"Arkesteijn","given":"Ger J A"},{"family":"Wauben","given":"Marca H M"}],"issued":{"date-parts":[["2012",7]]},"PMID":"22024193"}},{"id":398,"uris":["http://zotero.org/users/1400844/items/9IKFE4H9"],"uri":["http://zotero.org/users/1400844/items/9IKFE4H9"],"itemData":{"id":398,"type":"article-journal","title":"Fluorescent labeling of nano-sized vesicles released by cells and subsequent quantitative and qualitative analysis by high-resolution flow cytometry","container-title":"Nature protocols","page":"1311-1326","volume":"7","issue":"7","source":"NCBI PubMed","abstract":"We provide a protocol for a high-resolution flow cytometry-based method for quantitative and qualitative analysis of individual nano-sized vesicles released by cells, as developed and previously described by our group. The method involves (i) bright fluorescent labeling of cell-derived vesicles and (ii) flow cytometric analysis of these vesicles using an optimized configuration of the commercially available BD Influx flow cytometer. The method allows the detection and analysis of fluorescent cell-derived vesicles of </w:instrText>
            </w:r>
            <w:r w:rsidRPr="00676FA9">
              <w:rPr>
                <w:rFonts w:ascii="Cambria Math" w:hAnsi="Cambria Math" w:cs="Cambria Math"/>
                <w:color w:val="365F91" w:themeColor="accent1" w:themeShade="BF"/>
              </w:rPr>
              <w:instrText>∼</w:instrText>
            </w:r>
            <w:r w:rsidRPr="00676FA9">
              <w:rPr>
                <w:rFonts w:cstheme="minorHAnsi"/>
                <w:color w:val="365F91" w:themeColor="accent1" w:themeShade="BF"/>
              </w:rPr>
              <w:instrText xml:space="preserve">100 nm. Integrated information can be obtained regarding the light scattering, quantity, buoyant density and surface proteins of these nano-sized vesicles. This method can be applied in nanobiology to study basic aspects of cell-derived vesicles. Potential clinical applications include the detailed analysis of vesicle-based biomarkers in body fluids and quality control analysis of (biological) vesicles used as therapeutic agents. Isolation, fluorescent labeling and purification of vesicles can be done within 24 h. Flow cytometer setup, calibration and subsequent data acquisition can be done within 2-4 h by an experienced flow cytometer operator.","DOI":"10.1038/nprot.2012.065","ISSN":"1750-2799","note":"PMID: 22722367","journalAbbreviation":"Nat Protoc","language":"eng","author":[{"family":"van der Vlist","given":"Els J"},{"family":"Nolte-'t Hoen","given":"Esther N M"},{"family":"Stoorvogel","given":"Willem"},{"family":"Arkesteijn","given":"Ger J A"},{"family":"Wauben","given":"Marca H M"}],"issued":{"date-parts":[["2012",7]]},"PMID":"22722367"}}],"schema":"https://github.com/citation-style-language/schema/raw/master/csl-citation.json"} </w:instrText>
            </w:r>
            <w:r w:rsidRPr="00676FA9">
              <w:rPr>
                <w:rFonts w:cstheme="minorHAnsi"/>
                <w:color w:val="365F91" w:themeColor="accent1" w:themeShade="BF"/>
              </w:rPr>
              <w:fldChar w:fldCharType="separate"/>
            </w:r>
            <w:r w:rsidRPr="00676FA9">
              <w:rPr>
                <w:color w:val="365F91" w:themeColor="accent1" w:themeShade="BF"/>
                <w:vertAlign w:val="superscript"/>
              </w:rPr>
              <w:t>24,25</w:t>
            </w:r>
            <w:r w:rsidRPr="00676FA9">
              <w:rPr>
                <w:rFonts w:cstheme="minorHAnsi"/>
                <w:color w:val="365F91" w:themeColor="accent1" w:themeShade="BF"/>
              </w:rPr>
              <w:fldChar w:fldCharType="end"/>
            </w:r>
            <w:r w:rsidRPr="00676FA9">
              <w:rPr>
                <w:rFonts w:cstheme="minorHAnsi"/>
                <w:color w:val="365F91" w:themeColor="accent1" w:themeShade="BF"/>
              </w:rPr>
              <w:t xml:space="preserve"> require multi-day time commitments to analyze a small number of samples, making them less than ideal for high throughput applications. Some researchers </w:t>
            </w:r>
            <w:r w:rsidR="00061475">
              <w:rPr>
                <w:rFonts w:cstheme="minorHAnsi"/>
                <w:color w:val="365F91" w:themeColor="accent1" w:themeShade="BF"/>
              </w:rPr>
              <w:t>forgo a wash step altogether</w:t>
            </w:r>
            <w:r w:rsidRPr="00676FA9">
              <w:rPr>
                <w:rFonts w:cstheme="minorHAnsi"/>
                <w:color w:val="365F91" w:themeColor="accent1" w:themeShade="BF"/>
              </w:rPr>
              <w:t xml:space="preserve">, rendering traditionally used FCM negative controls such as fluorescence minus one (FMO) and antibody </w:t>
            </w:r>
            <w:proofErr w:type="spellStart"/>
            <w:r w:rsidRPr="00676FA9">
              <w:rPr>
                <w:rFonts w:cstheme="minorHAnsi"/>
                <w:color w:val="365F91" w:themeColor="accent1" w:themeShade="BF"/>
              </w:rPr>
              <w:t>isotypes</w:t>
            </w:r>
            <w:proofErr w:type="spellEnd"/>
            <w:r w:rsidRPr="00676FA9">
              <w:rPr>
                <w:rFonts w:cstheme="minorHAnsi"/>
                <w:color w:val="365F91" w:themeColor="accent1" w:themeShade="BF"/>
              </w:rPr>
              <w:t xml:space="preserve"> useless </w:t>
            </w:r>
            <w:r>
              <w:rPr>
                <w:rFonts w:cstheme="minorHAnsi"/>
                <w:color w:val="365F91" w:themeColor="accent1" w:themeShade="BF"/>
              </w:rPr>
              <w:t>in the accurate</w:t>
            </w:r>
            <w:r w:rsidRPr="00676FA9">
              <w:rPr>
                <w:rFonts w:cstheme="minorHAnsi"/>
                <w:color w:val="365F91" w:themeColor="accent1" w:themeShade="BF"/>
              </w:rPr>
              <w:t xml:space="preserve"> </w:t>
            </w:r>
            <w:r w:rsidR="003E7FFE">
              <w:rPr>
                <w:rFonts w:cstheme="minorHAnsi"/>
                <w:color w:val="365F91" w:themeColor="accent1" w:themeShade="BF"/>
              </w:rPr>
              <w:t>assessment</w:t>
            </w:r>
            <w:r>
              <w:rPr>
                <w:rFonts w:cstheme="minorHAnsi"/>
                <w:color w:val="365F91" w:themeColor="accent1" w:themeShade="BF"/>
              </w:rPr>
              <w:t xml:space="preserve"> of </w:t>
            </w:r>
            <w:r w:rsidRPr="00676FA9">
              <w:rPr>
                <w:rFonts w:cstheme="minorHAnsi"/>
                <w:color w:val="365F91" w:themeColor="accent1" w:themeShade="BF"/>
              </w:rPr>
              <w:t>background fluorescence</w:t>
            </w:r>
            <w:r w:rsidRPr="00676FA9">
              <w:rPr>
                <w:rFonts w:cstheme="minorHAnsi"/>
                <w:color w:val="365F91" w:themeColor="accent1" w:themeShade="BF"/>
              </w:rPr>
              <w:fldChar w:fldCharType="begin"/>
            </w:r>
            <w:r w:rsidRPr="00676FA9">
              <w:rPr>
                <w:rFonts w:cstheme="minorHAnsi"/>
                <w:color w:val="365F91" w:themeColor="accent1" w:themeShade="BF"/>
              </w:rPr>
              <w:instrText xml:space="preserve"> ADDIN ZOTERO_ITEM CSL_CITATION {"citationID":"2aokt5vmek","properties":{"formattedCitation":"{\\rtf \\super 21\\nosupersub{}}","plainCitation":"21"},"citationItems":[{"id":345,"uris":["http://zotero.org/users/1400844/items/KNS5V7K4"],"uri":["http://zotero.org/users/1400844/items/KNS5V7K4"],"itemData":{"id":345,"type":"article-journal","title":"Isotype controls in phenotyping and quantification of microparticles: a major source of error and how to evade it","container-title":"Thrombosis research","page":"691-700","volume":"122","issue":"5","source":"NCBI PubMed","abstract":"BACKGROUND: The characterisation and quantification of cell-derived microparticles (MPs) using flow cytometry are often complicated by a low staining intensity and a non-discrete signal pattern of many cell surface antigens. Fluorescence-labelled isotype controls (ICs) are commonly used to set limits for the discrimination of antigen positive vs. negative events.\nOBJECTIVES: The influence of different ICs on the characterisation and quantification of MPs was studied. Antigen negative MPs stained with an antibody of interest were evaluated as an alternative control.\nMETHODS: MPs were prepared from platelets, endothelial cell lines and leucemic cell lines and stained with fluorescein isothiocyanate (FITC) or phycoerythrin (PE) labelled antibodies or isotype controls. Results are given as the mean fluorescence intensity (MFI) or percentage of \"false-positive\" events above a fluorescence intensity &gt; 1.\nRESULTS: Using identical instrument settings, seven different ICs (FITC-conjugates N = 3, PE-conjugates N = 4) resulted in a wide range of MFI and percentage of positive events with a mean coefficient of variation (CV) of 0.77. Instead, NMPs showed less variability with a mean CV of 0.50 and allowed a reliable and reproducible quantification of MPs when set as controls with &lt; 2% false-positive events above an FI &gt; 1. As a result, the expression of certain antigens (e.g. CD62P) was lower compared to previous reports in the literature.\nCONCLUSIONS: Diversity in the staining intensity of isotype controls is a potential source of error in the characterisation and quantification of MPs by flow cytometry. The use of antigen negative MPs to adjust instrument settings is suggested.","DOI":"10.1016/j.thromres.2008.01.005","ISSN":"0049-3848","note":"PMID: 18304614","shortTitle":"Isotype controls in phenotyping and quantification of microparticles","journalAbbreviation":"Thromb. Res.","language":"eng","author":[{"family":"Trummer","given":"Arne"},{"family":"De Rop","given":"Christiane"},{"family":"Tiede","given":"Andreas"},{"family":"Ganser","given":"Arnold"},{"family":"Eisert","given":"Roswith"}],"issued":{"date-parts":[["2008"]]},"PMID":"18304614"}}],"schema":"https://github.com/citation-style-language/schema/raw/master/csl-citation.json"} </w:instrText>
            </w:r>
            <w:r w:rsidRPr="00676FA9">
              <w:rPr>
                <w:rFonts w:cstheme="minorHAnsi"/>
                <w:color w:val="365F91" w:themeColor="accent1" w:themeShade="BF"/>
              </w:rPr>
              <w:fldChar w:fldCharType="separate"/>
            </w:r>
            <w:r w:rsidRPr="00676FA9">
              <w:rPr>
                <w:color w:val="365F91" w:themeColor="accent1" w:themeShade="BF"/>
                <w:vertAlign w:val="superscript"/>
              </w:rPr>
              <w:t>21</w:t>
            </w:r>
            <w:r w:rsidRPr="00676FA9">
              <w:rPr>
                <w:rFonts w:cstheme="minorHAnsi"/>
                <w:color w:val="365F91" w:themeColor="accent1" w:themeShade="BF"/>
              </w:rPr>
              <w:fldChar w:fldCharType="end"/>
            </w:r>
            <w:r>
              <w:rPr>
                <w:rFonts w:cstheme="minorHAnsi"/>
                <w:color w:val="365F91" w:themeColor="accent1" w:themeShade="BF"/>
              </w:rPr>
              <w:t>.”</w:t>
            </w:r>
            <w:r w:rsidR="000C2E46" w:rsidRPr="00D95301">
              <w:br/>
            </w:r>
            <w:r w:rsidR="000C2E46" w:rsidRPr="00D95301">
              <w:br/>
              <w:t>Methods:</w:t>
            </w:r>
            <w:r w:rsidR="000C2E46" w:rsidRPr="00D95301">
              <w:br/>
              <w:t>1) Method A states that blood was drawn into citrate or other suitable anticoagulant tubes and Method B states that blood was drawn into acid citrate dextrose (ACD) or other suitable anticoagulant. The type of anticoagulant used can have large impacts on the levels of EVs detected, as acknowledged by the authors in the discussion. Was it the case that blood taken into different anticoagulants was used for different experiments? If so, this should be made clear in the methods and results sections.</w:t>
            </w:r>
            <w:r w:rsidR="00FA7543">
              <w:t xml:space="preserve"> </w:t>
            </w:r>
          </w:p>
          <w:p w:rsidR="00A70730" w:rsidRDefault="003E7FFE" w:rsidP="00D954C2">
            <w:pPr>
              <w:pStyle w:val="NormalWeb"/>
              <w:shd w:val="clear" w:color="auto" w:fill="FFFFFF"/>
              <w:tabs>
                <w:tab w:val="left" w:pos="1530"/>
              </w:tabs>
              <w:spacing w:before="0" w:beforeAutospacing="0" w:after="0" w:afterAutospacing="0" w:line="210" w:lineRule="atLeast"/>
            </w:pPr>
            <w:r>
              <w:rPr>
                <w:rFonts w:cstheme="minorHAnsi"/>
                <w:color w:val="365F91" w:themeColor="accent1" w:themeShade="BF"/>
              </w:rPr>
              <w:t xml:space="preserve">Thank you for noticing this inconsistency. In both methods the same anticoagulant was used (ACD). We have fixed this discrepancy in the protocol so that the same anticoagulant is used in both methods. </w:t>
            </w:r>
            <w:r w:rsidR="000C2E46" w:rsidRPr="00D95301">
              <w:br/>
            </w:r>
            <w:r w:rsidR="000C2E46" w:rsidRPr="00D95301">
              <w:br/>
              <w:t>2) The second centrifugation step of 13,000g for 10 min to remove platelets and large cell fragments, may also result in the loss of some large EVs. This should be mentioned in the limitations.</w:t>
            </w:r>
            <w:r w:rsidR="000C2E46" w:rsidRPr="00D95301">
              <w:br/>
            </w:r>
            <w:r w:rsidR="003A336A">
              <w:rPr>
                <w:color w:val="365F91" w:themeColor="accent1" w:themeShade="BF"/>
              </w:rPr>
              <w:t xml:space="preserve">We </w:t>
            </w:r>
            <w:r w:rsidR="00943784">
              <w:rPr>
                <w:color w:val="365F91" w:themeColor="accent1" w:themeShade="BF"/>
              </w:rPr>
              <w:t>agree that this should have been mentioned</w:t>
            </w:r>
            <w:r w:rsidR="003A336A">
              <w:rPr>
                <w:color w:val="365F91" w:themeColor="accent1" w:themeShade="BF"/>
              </w:rPr>
              <w:t xml:space="preserve"> </w:t>
            </w:r>
            <w:r w:rsidR="00943784">
              <w:rPr>
                <w:color w:val="365F91" w:themeColor="accent1" w:themeShade="BF"/>
              </w:rPr>
              <w:t xml:space="preserve">and have </w:t>
            </w:r>
            <w:r w:rsidR="003A336A">
              <w:rPr>
                <w:color w:val="365F91" w:themeColor="accent1" w:themeShade="BF"/>
              </w:rPr>
              <w:t>added the following comment to the discussion: “</w:t>
            </w:r>
            <w:r w:rsidR="003A336A" w:rsidRPr="003A336A">
              <w:rPr>
                <w:color w:val="365F91" w:themeColor="accent1" w:themeShade="BF"/>
              </w:rPr>
              <w:t>While there is no standardized method for the isolation of EVs, differential centrifugation is a widely used technique among EV researchers. The differential centrifugation method described here is based on common protocols for isolating PPP, which typically require an initial centrifuga</w:t>
            </w:r>
            <w:r w:rsidR="003A336A">
              <w:rPr>
                <w:color w:val="365F91" w:themeColor="accent1" w:themeShade="BF"/>
              </w:rPr>
              <w:t xml:space="preserve">tion between 1,200 - 1,500 x g </w:t>
            </w:r>
            <w:r w:rsidR="003A336A" w:rsidRPr="003A336A">
              <w:rPr>
                <w:color w:val="365F91" w:themeColor="accent1" w:themeShade="BF"/>
              </w:rPr>
              <w:t xml:space="preserve">for 10-20 minutes to remove cells, followed by a second centrifugation between 10,000 - </w:t>
            </w:r>
            <w:proofErr w:type="gramStart"/>
            <w:r w:rsidR="003A336A" w:rsidRPr="003A336A">
              <w:rPr>
                <w:color w:val="365F91" w:themeColor="accent1" w:themeShade="BF"/>
              </w:rPr>
              <w:t>13,000  x</w:t>
            </w:r>
            <w:proofErr w:type="gramEnd"/>
            <w:r w:rsidR="003A336A" w:rsidRPr="003A336A">
              <w:rPr>
                <w:color w:val="365F91" w:themeColor="accent1" w:themeShade="BF"/>
              </w:rPr>
              <w:t xml:space="preserve"> g  for 10-30 minutes to remove platelets 27. The protocol described herein uses a centrifugation at 1,500 x g for 10 minutes followed by a centrifugation at 13,000 x g for 10 minutes. While higher forces of 25,000 - 100,000 x g are typically required to pellet EVs, some of the larger EVs may be removed with this differential centrifugation protocol</w:t>
            </w:r>
            <w:r w:rsidR="00E2484C">
              <w:rPr>
                <w:color w:val="365F91" w:themeColor="accent1" w:themeShade="BF"/>
              </w:rPr>
              <w:t xml:space="preserve"> we have presented</w:t>
            </w:r>
            <w:r w:rsidR="003A336A" w:rsidRPr="003A336A">
              <w:rPr>
                <w:color w:val="365F91" w:themeColor="accent1" w:themeShade="BF"/>
              </w:rPr>
              <w:t>.</w:t>
            </w:r>
            <w:r w:rsidR="003A336A">
              <w:rPr>
                <w:color w:val="365F91" w:themeColor="accent1" w:themeShade="BF"/>
              </w:rPr>
              <w:t>”</w:t>
            </w:r>
          </w:p>
          <w:p w:rsidR="00943784" w:rsidRDefault="000C2E46" w:rsidP="00D954C2">
            <w:pPr>
              <w:pStyle w:val="NormalWeb"/>
              <w:shd w:val="clear" w:color="auto" w:fill="FFFFFF"/>
              <w:tabs>
                <w:tab w:val="left" w:pos="1530"/>
              </w:tabs>
              <w:spacing w:before="0" w:beforeAutospacing="0" w:after="0" w:afterAutospacing="0" w:line="210" w:lineRule="atLeast"/>
            </w:pPr>
            <w:r w:rsidRPr="00D95301">
              <w:br/>
              <w:t>3) It could be mentioned in the methods that the suggested antibodies can be substituted for other markers to adapt the protocol for individual users.</w:t>
            </w:r>
          </w:p>
          <w:p w:rsidR="00943784" w:rsidRDefault="00943784" w:rsidP="00943784">
            <w:pPr>
              <w:pStyle w:val="NormalWeb"/>
              <w:shd w:val="clear" w:color="auto" w:fill="FFFFFF"/>
              <w:tabs>
                <w:tab w:val="left" w:pos="1530"/>
              </w:tabs>
              <w:spacing w:before="0" w:beforeAutospacing="0" w:after="0" w:afterAutospacing="0" w:line="210" w:lineRule="atLeast"/>
              <w:rPr>
                <w:color w:val="365F91" w:themeColor="accent1" w:themeShade="BF"/>
              </w:rPr>
            </w:pPr>
            <w:r>
              <w:rPr>
                <w:color w:val="365F91" w:themeColor="accent1" w:themeShade="BF"/>
              </w:rPr>
              <w:t>Your suggestion is much appreciated. It now reads, “</w:t>
            </w:r>
            <w:r w:rsidRPr="00943784">
              <w:rPr>
                <w:color w:val="365F91" w:themeColor="accent1" w:themeShade="BF"/>
              </w:rPr>
              <w:t>Note: From this point on, the steps explain a high throughput protocol for analyzing 12 samples for 1</w:t>
            </w:r>
            <w:r w:rsidR="00E75742">
              <w:rPr>
                <w:color w:val="365F91" w:themeColor="accent1" w:themeShade="BF"/>
              </w:rPr>
              <w:t>4</w:t>
            </w:r>
            <w:r w:rsidRPr="00943784">
              <w:rPr>
                <w:color w:val="365F91" w:themeColor="accent1" w:themeShade="BF"/>
              </w:rPr>
              <w:t xml:space="preserve"> markers in 3 panels. However, </w:t>
            </w:r>
            <w:r w:rsidR="006F6D55">
              <w:rPr>
                <w:color w:val="365F91" w:themeColor="accent1" w:themeShade="BF"/>
              </w:rPr>
              <w:t>other</w:t>
            </w:r>
            <w:r w:rsidR="006F6D55" w:rsidRPr="00943784">
              <w:rPr>
                <w:color w:val="365F91" w:themeColor="accent1" w:themeShade="BF"/>
              </w:rPr>
              <w:t xml:space="preserve"> </w:t>
            </w:r>
            <w:r w:rsidRPr="00943784">
              <w:rPr>
                <w:color w:val="365F91" w:themeColor="accent1" w:themeShade="BF"/>
              </w:rPr>
              <w:t>combination</w:t>
            </w:r>
            <w:r w:rsidR="006F6D55">
              <w:rPr>
                <w:color w:val="365F91" w:themeColor="accent1" w:themeShade="BF"/>
              </w:rPr>
              <w:t>s</w:t>
            </w:r>
            <w:r w:rsidRPr="00943784">
              <w:rPr>
                <w:color w:val="365F91" w:themeColor="accent1" w:themeShade="BF"/>
              </w:rPr>
              <w:t xml:space="preserve"> of antibodies can be used here</w:t>
            </w:r>
            <w:r>
              <w:rPr>
                <w:color w:val="365F91" w:themeColor="accent1" w:themeShade="BF"/>
              </w:rPr>
              <w:t>;</w:t>
            </w:r>
            <w:r w:rsidRPr="00943784">
              <w:rPr>
                <w:color w:val="365F91" w:themeColor="accent1" w:themeShade="BF"/>
              </w:rPr>
              <w:t xml:space="preserve"> the protocol can be adapted to study </w:t>
            </w:r>
            <w:r w:rsidR="006F6D55">
              <w:rPr>
                <w:color w:val="365F91" w:themeColor="accent1" w:themeShade="BF"/>
              </w:rPr>
              <w:t>other</w:t>
            </w:r>
            <w:r w:rsidR="006F6D55" w:rsidRPr="00943784">
              <w:rPr>
                <w:color w:val="365F91" w:themeColor="accent1" w:themeShade="BF"/>
              </w:rPr>
              <w:t xml:space="preserve"> </w:t>
            </w:r>
            <w:r w:rsidRPr="00943784">
              <w:rPr>
                <w:color w:val="365F91" w:themeColor="accent1" w:themeShade="BF"/>
              </w:rPr>
              <w:t>EV population</w:t>
            </w:r>
            <w:r w:rsidR="006F6D55">
              <w:rPr>
                <w:color w:val="365F91" w:themeColor="accent1" w:themeShade="BF"/>
              </w:rPr>
              <w:t>s</w:t>
            </w:r>
            <w:r w:rsidRPr="00943784">
              <w:rPr>
                <w:color w:val="365F91" w:themeColor="accent1" w:themeShade="BF"/>
              </w:rPr>
              <w:t xml:space="preserve"> by substituting the suggested markers for </w:t>
            </w:r>
            <w:r w:rsidR="006F6D55">
              <w:rPr>
                <w:color w:val="365F91" w:themeColor="accent1" w:themeShade="BF"/>
              </w:rPr>
              <w:t>those</w:t>
            </w:r>
            <w:r w:rsidR="006F6D55" w:rsidRPr="00943784">
              <w:rPr>
                <w:color w:val="365F91" w:themeColor="accent1" w:themeShade="BF"/>
              </w:rPr>
              <w:t xml:space="preserve"> </w:t>
            </w:r>
            <w:r w:rsidRPr="00943784">
              <w:rPr>
                <w:color w:val="365F91" w:themeColor="accent1" w:themeShade="BF"/>
              </w:rPr>
              <w:t>of interest.</w:t>
            </w:r>
            <w:r>
              <w:rPr>
                <w:color w:val="365F91" w:themeColor="accent1" w:themeShade="BF"/>
              </w:rPr>
              <w:t>”</w:t>
            </w:r>
            <w:r w:rsidR="000C2E46" w:rsidRPr="00D95301">
              <w:br/>
            </w:r>
            <w:r w:rsidR="000C2E46" w:rsidRPr="00D95301">
              <w:lastRenderedPageBreak/>
              <w:br/>
              <w:t>4) Was the PBS used for washing and re-suspension of samples filtered prior to use, to reduce background noise on the flow cytometer? If so please specify the size of filter used.</w:t>
            </w:r>
            <w:r w:rsidR="000C2E46" w:rsidRPr="00D95301">
              <w:br/>
            </w:r>
            <w:r>
              <w:rPr>
                <w:color w:val="365F91" w:themeColor="accent1" w:themeShade="BF"/>
              </w:rPr>
              <w:t>Thank you for bringing this to our attention.</w:t>
            </w:r>
            <w:r w:rsidR="0014205F">
              <w:rPr>
                <w:color w:val="365F91" w:themeColor="accent1" w:themeShade="BF"/>
              </w:rPr>
              <w:t xml:space="preserve"> We have included the filter pore size in the PBS definition. It now reads, “</w:t>
            </w:r>
            <w:r w:rsidR="0014205F" w:rsidRPr="0014205F">
              <w:rPr>
                <w:color w:val="365F91" w:themeColor="accent1" w:themeShade="BF"/>
              </w:rPr>
              <w:t xml:space="preserve">If purified EVs are needed for functional experiments, transfer 6 ml of the PPP to an ultracentrifuge tube and add 28 ml </w:t>
            </w:r>
            <w:r w:rsidR="0014205F">
              <w:rPr>
                <w:color w:val="365F91" w:themeColor="accent1" w:themeShade="BF"/>
              </w:rPr>
              <w:t>o</w:t>
            </w:r>
            <w:r w:rsidR="0014205F" w:rsidRPr="0014205F">
              <w:rPr>
                <w:color w:val="365F91" w:themeColor="accent1" w:themeShade="BF"/>
              </w:rPr>
              <w:t>f 0.2µm-filtered phosphate buffered saline (PBS)</w:t>
            </w:r>
            <w:r w:rsidR="0014205F">
              <w:rPr>
                <w:color w:val="365F91" w:themeColor="accent1" w:themeShade="BF"/>
              </w:rPr>
              <w:t>.”</w:t>
            </w:r>
          </w:p>
          <w:p w:rsidR="005A6421" w:rsidRDefault="000C2E46" w:rsidP="00943784">
            <w:pPr>
              <w:pStyle w:val="NormalWeb"/>
              <w:shd w:val="clear" w:color="auto" w:fill="FFFFFF"/>
              <w:tabs>
                <w:tab w:val="left" w:pos="1530"/>
              </w:tabs>
              <w:spacing w:before="0" w:beforeAutospacing="0" w:after="0" w:afterAutospacing="0" w:line="210" w:lineRule="atLeast"/>
              <w:rPr>
                <w:rStyle w:val="apple-converted-space"/>
              </w:rPr>
            </w:pPr>
            <w:r w:rsidRPr="00D95301">
              <w:br/>
              <w:t>Results</w:t>
            </w:r>
            <w:proofErr w:type="gramStart"/>
            <w:r w:rsidRPr="00D95301">
              <w:t>:</w:t>
            </w:r>
            <w:proofErr w:type="gramEnd"/>
            <w:r w:rsidRPr="00D95301">
              <w:br/>
              <w:t>1)The two gates defining positive events in Figure 6 are different in the unwashed and washed samples. Have these gates been set using lysed samples? If so, it would be useful to include the lysed sample plots to illustrate why these gates are different.</w:t>
            </w:r>
            <w:r w:rsidRPr="00D95301">
              <w:rPr>
                <w:rStyle w:val="apple-converted-space"/>
              </w:rPr>
              <w:t> </w:t>
            </w:r>
          </w:p>
          <w:p w:rsidR="005A6421" w:rsidRPr="005A6421" w:rsidRDefault="005A6421" w:rsidP="005A6421">
            <w:pPr>
              <w:rPr>
                <w:rFonts w:cs="Arial"/>
                <w:color w:val="365F91" w:themeColor="accent1" w:themeShade="BF"/>
              </w:rPr>
            </w:pPr>
            <w:r w:rsidRPr="005A6421">
              <w:rPr>
                <w:rStyle w:val="apple-converted-space"/>
                <w:color w:val="365F91" w:themeColor="accent1" w:themeShade="BF"/>
              </w:rPr>
              <w:t>Thank you for your suggestion. We agree that clarification was needed to explain that the gates were based on each sample’s lysed counterpart and have added this remark to the figure legend. Because the gating technique using lysed vs</w:t>
            </w:r>
            <w:r w:rsidR="008B7BD6">
              <w:rPr>
                <w:rStyle w:val="apple-converted-space"/>
                <w:color w:val="365F91" w:themeColor="accent1" w:themeShade="BF"/>
              </w:rPr>
              <w:t>.</w:t>
            </w:r>
            <w:r w:rsidRPr="005A6421">
              <w:rPr>
                <w:rStyle w:val="apple-converted-space"/>
                <w:color w:val="365F91" w:themeColor="accent1" w:themeShade="BF"/>
              </w:rPr>
              <w:t xml:space="preserve"> </w:t>
            </w:r>
            <w:proofErr w:type="spellStart"/>
            <w:r w:rsidRPr="005A6421">
              <w:rPr>
                <w:rStyle w:val="apple-converted-space"/>
                <w:color w:val="365F91" w:themeColor="accent1" w:themeShade="BF"/>
              </w:rPr>
              <w:t>unlysed</w:t>
            </w:r>
            <w:proofErr w:type="spellEnd"/>
            <w:r w:rsidRPr="005A6421">
              <w:rPr>
                <w:rStyle w:val="apple-converted-space"/>
                <w:color w:val="365F91" w:themeColor="accent1" w:themeShade="BF"/>
              </w:rPr>
              <w:t xml:space="preserve"> samples was demonstrated in the previous figure (Fig 5A), we have instructed the reader to this figure for gating examples. The figure legend now reads, “Effect of post-stain washing in individual detection. </w:t>
            </w:r>
            <w:r w:rsidRPr="005A6421">
              <w:rPr>
                <w:rFonts w:cs="Arial"/>
                <w:color w:val="365F91" w:themeColor="accent1" w:themeShade="BF"/>
              </w:rPr>
              <w:t>Values show percentages and numbers of positive events. Events shown are within the FSC/SSC EV gate.</w:t>
            </w:r>
            <w:r w:rsidRPr="005A6421">
              <w:rPr>
                <w:rFonts w:cs="Arial"/>
                <w:b/>
                <w:color w:val="365F91" w:themeColor="accent1" w:themeShade="BF"/>
              </w:rPr>
              <w:t xml:space="preserve"> </w:t>
            </w:r>
            <w:r w:rsidRPr="005A6421">
              <w:rPr>
                <w:rFonts w:cs="Arial"/>
                <w:color w:val="365F91" w:themeColor="accent1" w:themeShade="BF"/>
              </w:rPr>
              <w:t>Gates for each sample were made using each sample’s lysed counterpart (not shown; refer to previous figure for gate-setting in unwashed vs washed samples). High background fluorescence makes distinguishing positive from negative events difficult (top plot). When washed, however, the positive population is revealed as unbound fluorescent antibodies are removed and background fluorescence is reduced (bottom plot).”</w:t>
            </w:r>
          </w:p>
          <w:p w:rsidR="005A6421" w:rsidRDefault="005A6421" w:rsidP="00943784">
            <w:pPr>
              <w:pStyle w:val="NormalWeb"/>
              <w:shd w:val="clear" w:color="auto" w:fill="FFFFFF"/>
              <w:tabs>
                <w:tab w:val="left" w:pos="1530"/>
              </w:tabs>
              <w:spacing w:before="0" w:beforeAutospacing="0" w:after="0" w:afterAutospacing="0" w:line="210" w:lineRule="atLeast"/>
              <w:rPr>
                <w:rStyle w:val="apple-converted-space"/>
              </w:rPr>
            </w:pPr>
          </w:p>
          <w:p w:rsidR="002729A2" w:rsidRDefault="000C2E46" w:rsidP="00943784">
            <w:pPr>
              <w:pStyle w:val="NormalWeb"/>
              <w:shd w:val="clear" w:color="auto" w:fill="FFFFFF"/>
              <w:tabs>
                <w:tab w:val="left" w:pos="1530"/>
              </w:tabs>
              <w:spacing w:before="0" w:beforeAutospacing="0" w:after="0" w:afterAutospacing="0" w:line="210" w:lineRule="atLeast"/>
            </w:pPr>
            <w:r w:rsidRPr="00D95301">
              <w:t>Discussion</w:t>
            </w:r>
            <w:proofErr w:type="gramStart"/>
            <w:r w:rsidRPr="00D95301">
              <w:t>:</w:t>
            </w:r>
            <w:proofErr w:type="gramEnd"/>
            <w:r w:rsidRPr="00D95301">
              <w:br/>
              <w:t>1) Authors state that there is no single best protocol and that a combination of methods provides more information. At this point in the discussion it would be useful to include a very brief summary on the other techniques available for detection of EVs with pros and cons.</w:t>
            </w:r>
            <w:r w:rsidR="002729A2">
              <w:t xml:space="preserve"> </w:t>
            </w:r>
          </w:p>
          <w:p w:rsidR="003F36C9" w:rsidRPr="002729A2" w:rsidRDefault="002729A2" w:rsidP="002729A2">
            <w:pPr>
              <w:rPr>
                <w:rFonts w:cstheme="minorHAnsi"/>
              </w:rPr>
            </w:pPr>
            <w:r w:rsidRPr="002729A2">
              <w:rPr>
                <w:color w:val="365F91" w:themeColor="accent1" w:themeShade="BF"/>
              </w:rPr>
              <w:t xml:space="preserve">Per your request, we have expanded this paragraph in the discussion to include other detection and isolation methods. It now reads, </w:t>
            </w:r>
            <w:r w:rsidRPr="00E2484C">
              <w:rPr>
                <w:color w:val="365F91" w:themeColor="accent1" w:themeShade="BF"/>
              </w:rPr>
              <w:t>“</w:t>
            </w:r>
            <w:r w:rsidR="00A343E3" w:rsidRPr="00E2484C">
              <w:rPr>
                <w:rFonts w:cstheme="minorHAnsi"/>
                <w:color w:val="365F91" w:themeColor="accent1" w:themeShade="BF"/>
              </w:rPr>
              <w:t xml:space="preserve">Ideally, several different isolation and detection techniques should be evaluated first in order to develop a tailored protocol that takes into consideration individual cytometer performance with respect to the specific EV population being studied. Alternative isolation techniques include ultracentrifugation, sucrose density fractionation, </w:t>
            </w:r>
            <w:proofErr w:type="spellStart"/>
            <w:r w:rsidR="00A343E3" w:rsidRPr="00E2484C">
              <w:rPr>
                <w:rFonts w:cstheme="minorHAnsi"/>
                <w:color w:val="365F91" w:themeColor="accent1" w:themeShade="BF"/>
              </w:rPr>
              <w:t>immunomagnetic</w:t>
            </w:r>
            <w:proofErr w:type="spellEnd"/>
            <w:r w:rsidR="00A343E3" w:rsidRPr="00E2484C">
              <w:rPr>
                <w:rFonts w:cstheme="minorHAnsi"/>
                <w:color w:val="365F91" w:themeColor="accent1" w:themeShade="BF"/>
              </w:rPr>
              <w:t xml:space="preserve"> bead separation, chromatography, and affinity purification</w:t>
            </w:r>
            <w:r w:rsidR="00A343E3" w:rsidRPr="00E2484C">
              <w:rPr>
                <w:rFonts w:cstheme="minorHAnsi"/>
                <w:color w:val="365F91" w:themeColor="accent1" w:themeShade="BF"/>
              </w:rPr>
              <w:fldChar w:fldCharType="begin"/>
            </w:r>
            <w:r w:rsidR="00A343E3" w:rsidRPr="00E2484C">
              <w:rPr>
                <w:rFonts w:cstheme="minorHAnsi"/>
                <w:color w:val="365F91" w:themeColor="accent1" w:themeShade="BF"/>
              </w:rPr>
              <w:instrText xml:space="preserve"> ADDIN ZOTERO_ITEM CSL_CITATION {"citationID":"2mkg904m4v","properties":{"formattedCitation":"{\\rtf \\super 12\\nosupersub{}}","plainCitation":"12"},"citationItems":[{"id":379,"uris":["http://zotero.org/users/1400844/items/MJUFEIIR"],"uri":["http://zotero.org/users/1400844/items/MJUFEIIR"],"itemData":{"id":379,"type":"article-journal","title":"Standardization of sample collection, isolation and analysis methods in extracellular vesicle research","container-title":"Journal of Extracellular Vesicles","volume":"2","source":"PubMed Central","abstract":"The emergence of publications on extracellular RNA (exRNA) and extracellular vesicles (EV) has highlighted the potential of these molecules and vehicles as biomarkers of disease and therapeutic targets. These findings have created a paradigm shift, most prominently in the field of oncology, prompting expanded interest in the field and dedication of funds for EV research. At the same time, understanding of EV subtypes, biogenesis, cargo and mechanisms of shuttling remains incomplete. The techniques that can be harnessed to address the many gaps in our current knowledge were the subject of a special workshop of the International Society for Extracellular Vesicles (ISEV) in New York City in October 2012. As part of the “ISEV Research Seminar: Analysis and Function of RNA in Extracellular Vesicles (evRNA)”, 6 round-table discussions were held to provide an evidence-based framework for isolation and analysis of EV, purification and analysis of associated RNA molecules, and molecular engineering of EV for therapeutic intervention. This article arises from the discussion of EV isolation and analysis at that meeting. The conclusions of the round table are supplemented with a review of published materials and our experience. Controversies and outstanding questions are identified that may inform future research and funding priorities. While we emphasize the need for standardization of specimen handling, appropriate normative controls, and isolation and analysis techniques to facilitate comparison of results, we also recognize that continual development and evaluation of techniques will be necessary as new knowledge is amassed. On many points, consensus has not yet been achieved and must be built through the reporting of well-controlled experiments.","URL":"http://www.ncbi.nlm.nih.gov/pmc/articles/PMC3760646/","DOI":"10.3402/jev.v2i0.20360","ISSN":"2001-3078","note":"PMID: 24009894\nPMCID: PMC3760646","journalAbbreviation":"J Extracell Vesicles","author":[{"family":"Witwer","given":"Kenneth W."},{"family":"Buzas","given":"Edit I."},{"family":"Bemis","given":"Lynne T."},{"family":"Bora","given":"Adriana"},{"family":"Lasser","given":"Cecilia"},{"family":"Lotvall","given":"Jan"},{"family":"Nolte-'t Hoen","given":"Esther N."},{"family":"Piper","given":"Melissa G."},{"family":"Sivaraman","given":"Sarada"},{"family":"Skog","given":"Johan"},{"family":"Thery","given":"Clotilde"},{"family":"Wauben","given":"Marca H."},{"family":"Hochberg","given":"Fred"}],"issued":{"date-parts":[["2013",5,27]]},"accessed":{"date-parts":[["2014",3,11]]},"PMID":"24009894","PMCID":"PMC3760646"}}],"schema":"https://github.com/citation-style-language/schema/raw/master/csl-citation.json"} </w:instrText>
            </w:r>
            <w:r w:rsidR="00A343E3" w:rsidRPr="00E2484C">
              <w:rPr>
                <w:rFonts w:cstheme="minorHAnsi"/>
                <w:color w:val="365F91" w:themeColor="accent1" w:themeShade="BF"/>
              </w:rPr>
              <w:fldChar w:fldCharType="separate"/>
            </w:r>
            <w:r w:rsidR="00A343E3" w:rsidRPr="00E2484C">
              <w:rPr>
                <w:rFonts w:ascii="Calibri" w:hAnsi="Calibri" w:cs="Calibri"/>
                <w:color w:val="365F91" w:themeColor="accent1" w:themeShade="BF"/>
                <w:vertAlign w:val="superscript"/>
              </w:rPr>
              <w:t>12</w:t>
            </w:r>
            <w:r w:rsidR="00A343E3" w:rsidRPr="00E2484C">
              <w:rPr>
                <w:rFonts w:cstheme="minorHAnsi"/>
                <w:color w:val="365F91" w:themeColor="accent1" w:themeShade="BF"/>
              </w:rPr>
              <w:fldChar w:fldCharType="end"/>
            </w:r>
            <w:r w:rsidR="00A343E3" w:rsidRPr="00E2484C">
              <w:rPr>
                <w:rFonts w:cstheme="minorHAnsi"/>
                <w:color w:val="365F91" w:themeColor="accent1" w:themeShade="BF"/>
              </w:rPr>
              <w:t>, while alternative detection methods include scanning electron microscopy, transmission electron microscopy, atomic force microscopy, dynamic light scattering, and western blotting</w:t>
            </w:r>
            <w:r w:rsidR="00A343E3" w:rsidRPr="00E2484C">
              <w:rPr>
                <w:rFonts w:cstheme="minorHAnsi"/>
                <w:color w:val="365F91" w:themeColor="accent1" w:themeShade="BF"/>
              </w:rPr>
              <w:fldChar w:fldCharType="begin"/>
            </w:r>
            <w:r w:rsidR="00A343E3" w:rsidRPr="00E2484C">
              <w:rPr>
                <w:rFonts w:cstheme="minorHAnsi"/>
                <w:color w:val="365F91" w:themeColor="accent1" w:themeShade="BF"/>
              </w:rPr>
              <w:instrText xml:space="preserve"> ADDIN ZOTERO_ITEM CSL_CITATION {"citationID":"1qicn1glrr","properties":{"formattedCitation":"{\\rtf \\super 8\\nosupersub{}}","plainCitation":"8"},"citationItems":[{"id":7,"uris":["http://zotero.org/users/1400844/items/3D56UG9A"],"uri":["http://zotero.org/users/1400844/items/3D56UG9A"],"itemData":{"id":7,"type":"article-journal","title":"Circulating microparticles: square the circle","container-title":"BMC Cell Biology","page":"23","volume":"14","issue":"1","source":"www.biomedcentral.com","abstract":"The present review summarizes current knowledge about microparticles (MPs) and provides a systematic overview of last 20 years of research on circulating MPs, with particular focus on their clinical relevance.","DOI":"10.1186/1471-2121-14-23","ISSN":"1471-2121","note":"PMID: 23607880","shortTitle":"Circulating microparticles","language":"en","author":[{"family":"Barteneva","given":"Natasha S."},{"family":"Fasler-Kan","given":"Elizaveta"},{"family":"Bernimoulin","given":"Michael"},{"family":"Stern","given":"Joel NH"},{"family":"Ponomarev","given":"Eugeny D."},{"family":"Duckett","given":"Larry"},{"family":"Vorobjev","given":"Ivan A."}],"issued":{"date-parts":[["2013",4,22]]},"accessed":{"date-parts":[["2013",5,10]]},"PMID":"23607880"}}],"schema":"https://github.com/citation-style-language/schema/raw/master/csl-citation.json"} </w:instrText>
            </w:r>
            <w:r w:rsidR="00A343E3" w:rsidRPr="00E2484C">
              <w:rPr>
                <w:rFonts w:cstheme="minorHAnsi"/>
                <w:color w:val="365F91" w:themeColor="accent1" w:themeShade="BF"/>
              </w:rPr>
              <w:fldChar w:fldCharType="separate"/>
            </w:r>
            <w:r w:rsidR="00A343E3" w:rsidRPr="00E2484C">
              <w:rPr>
                <w:rFonts w:ascii="Calibri" w:hAnsi="Calibri" w:cs="Calibri"/>
                <w:color w:val="365F91" w:themeColor="accent1" w:themeShade="BF"/>
                <w:vertAlign w:val="superscript"/>
              </w:rPr>
              <w:t>8</w:t>
            </w:r>
            <w:r w:rsidR="00A343E3" w:rsidRPr="00E2484C">
              <w:rPr>
                <w:rFonts w:cstheme="minorHAnsi"/>
                <w:color w:val="365F91" w:themeColor="accent1" w:themeShade="BF"/>
              </w:rPr>
              <w:fldChar w:fldCharType="end"/>
            </w:r>
            <w:r w:rsidR="00A343E3" w:rsidRPr="00E2484C">
              <w:rPr>
                <w:rFonts w:cstheme="minorHAnsi"/>
                <w:color w:val="365F91" w:themeColor="accent1" w:themeShade="BF"/>
              </w:rPr>
              <w:t xml:space="preserve">.  By combining different techniques, the methods presented here can be adapted in order to create protocols best suited for studying various EV populations </w:t>
            </w:r>
            <w:r w:rsidR="00E2484C" w:rsidRPr="00E2484C">
              <w:rPr>
                <w:rFonts w:cstheme="minorHAnsi"/>
                <w:color w:val="365F91" w:themeColor="accent1" w:themeShade="BF"/>
              </w:rPr>
              <w:t>of interest.”</w:t>
            </w:r>
            <w:r w:rsidR="000C2E46" w:rsidRPr="00D95301">
              <w:br/>
            </w:r>
            <w:r w:rsidR="000C2E46" w:rsidRPr="00D95301">
              <w:br/>
              <w:t>2) Lysed samples as negative controls provides a useful technique for controlling flow cytometry experiments and for identifying signals from non-specific aggregates in samples. However, this technique doubles the length of time required to acquire the data. Therefore, can this method be described as suitable for high-throughput of clinical samples?</w:t>
            </w:r>
            <w:r w:rsidR="000C2E46" w:rsidRPr="00D95301">
              <w:br/>
            </w:r>
            <w:r w:rsidR="00537E10">
              <w:rPr>
                <w:color w:val="365F91" w:themeColor="accent1" w:themeShade="BF"/>
              </w:rPr>
              <w:t xml:space="preserve">Due to the nature of the clinical samples having vast differences in composition, any proper negative control would have to be run individually </w:t>
            </w:r>
            <w:r w:rsidR="003F36C9">
              <w:rPr>
                <w:color w:val="365F91" w:themeColor="accent1" w:themeShade="BF"/>
              </w:rPr>
              <w:t>alongside</w:t>
            </w:r>
            <w:r w:rsidR="00537E10">
              <w:rPr>
                <w:color w:val="365F91" w:themeColor="accent1" w:themeShade="BF"/>
              </w:rPr>
              <w:t xml:space="preserve"> each sample tested. The length of time </w:t>
            </w:r>
            <w:r w:rsidR="003F36C9">
              <w:rPr>
                <w:color w:val="365F91" w:themeColor="accent1" w:themeShade="BF"/>
              </w:rPr>
              <w:t>required for the</w:t>
            </w:r>
            <w:r w:rsidR="00537E10">
              <w:rPr>
                <w:color w:val="365F91" w:themeColor="accent1" w:themeShade="BF"/>
              </w:rPr>
              <w:t xml:space="preserve"> negative control </w:t>
            </w:r>
            <w:r w:rsidR="003F36C9">
              <w:rPr>
                <w:color w:val="365F91" w:themeColor="accent1" w:themeShade="BF"/>
              </w:rPr>
              <w:t xml:space="preserve">would be the same if </w:t>
            </w:r>
            <w:proofErr w:type="spellStart"/>
            <w:r w:rsidR="00537E10">
              <w:rPr>
                <w:color w:val="365F91" w:themeColor="accent1" w:themeShade="BF"/>
              </w:rPr>
              <w:t>isotypes</w:t>
            </w:r>
            <w:proofErr w:type="spellEnd"/>
            <w:r w:rsidR="00537E10">
              <w:rPr>
                <w:color w:val="365F91" w:themeColor="accent1" w:themeShade="BF"/>
              </w:rPr>
              <w:t xml:space="preserve"> </w:t>
            </w:r>
            <w:r w:rsidR="003F36C9">
              <w:rPr>
                <w:color w:val="365F91" w:themeColor="accent1" w:themeShade="BF"/>
              </w:rPr>
              <w:t xml:space="preserve">were used and much longer </w:t>
            </w:r>
            <w:r w:rsidR="003F36C9">
              <w:rPr>
                <w:color w:val="365F91" w:themeColor="accent1" w:themeShade="BF"/>
              </w:rPr>
              <w:lastRenderedPageBreak/>
              <w:t>if FMOs were used (because each sample would need 15 FMO tubes (one for each color)).</w:t>
            </w:r>
            <w:r w:rsidR="00537E10">
              <w:rPr>
                <w:color w:val="365F91" w:themeColor="accent1" w:themeShade="BF"/>
              </w:rPr>
              <w:t xml:space="preserve"> </w:t>
            </w:r>
            <w:r w:rsidR="003F36C9">
              <w:rPr>
                <w:color w:val="365F91" w:themeColor="accent1" w:themeShade="BF"/>
              </w:rPr>
              <w:t>The “high-throughput” descriptor applies mostly to the use of filters rather than ultracentrifugation/sucrose gradient fractionation for post-stain washing and to the use of 96-well plates for the processing of multiple samples and multiple panels at once.</w:t>
            </w:r>
          </w:p>
          <w:p w:rsidR="00537E10" w:rsidRDefault="000C2E46" w:rsidP="00943784">
            <w:pPr>
              <w:pStyle w:val="NormalWeb"/>
              <w:shd w:val="clear" w:color="auto" w:fill="FFFFFF"/>
              <w:tabs>
                <w:tab w:val="left" w:pos="1530"/>
              </w:tabs>
              <w:spacing w:before="0" w:beforeAutospacing="0" w:after="0" w:afterAutospacing="0" w:line="210" w:lineRule="atLeast"/>
            </w:pPr>
            <w:r w:rsidRPr="00D95301">
              <w:br/>
            </w:r>
            <w:r w:rsidRPr="00D95301">
              <w:rPr>
                <w:i/>
                <w:iCs/>
              </w:rPr>
              <w:t>Minor Concerns:</w:t>
            </w:r>
            <w:r w:rsidRPr="00D95301">
              <w:br/>
              <w:t>1) Compensation beads described in the protocol are not listed in Materials Table</w:t>
            </w:r>
          </w:p>
          <w:p w:rsidR="003F36C9" w:rsidRDefault="00537E10" w:rsidP="00537E10">
            <w:pPr>
              <w:pStyle w:val="NormalWeb"/>
              <w:shd w:val="clear" w:color="auto" w:fill="FFFFFF"/>
              <w:tabs>
                <w:tab w:val="left" w:pos="1530"/>
              </w:tabs>
              <w:spacing w:before="0" w:beforeAutospacing="0" w:after="0" w:afterAutospacing="0" w:line="210" w:lineRule="atLeast"/>
            </w:pPr>
            <w:r>
              <w:rPr>
                <w:color w:val="365F91" w:themeColor="accent1" w:themeShade="BF"/>
              </w:rPr>
              <w:t xml:space="preserve">The </w:t>
            </w:r>
            <w:proofErr w:type="spellStart"/>
            <w:r>
              <w:rPr>
                <w:color w:val="365F91" w:themeColor="accent1" w:themeShade="BF"/>
              </w:rPr>
              <w:t>JoVE</w:t>
            </w:r>
            <w:proofErr w:type="spellEnd"/>
            <w:r>
              <w:rPr>
                <w:color w:val="365F91" w:themeColor="accent1" w:themeShade="BF"/>
              </w:rPr>
              <w:t xml:space="preserve"> manuscript guidelines do not permit the use of commercial language within the article text, so we were not allowed to refer to the compensation beads as “AbC” beads. The AbC beads are, however, listed in the Table of </w:t>
            </w:r>
            <w:r w:rsidRPr="00D954C2">
              <w:rPr>
                <w:color w:val="365F91" w:themeColor="accent1" w:themeShade="BF"/>
              </w:rPr>
              <w:t>Specific Reagents/Materials</w:t>
            </w:r>
            <w:r>
              <w:rPr>
                <w:color w:val="365F91" w:themeColor="accent1" w:themeShade="BF"/>
              </w:rPr>
              <w:t>, and the Comments/Description cell specifies that they are “</w:t>
            </w:r>
            <w:r w:rsidRPr="00537E10">
              <w:rPr>
                <w:color w:val="365F91" w:themeColor="accent1" w:themeShade="BF"/>
              </w:rPr>
              <w:t>used for compensation controls &amp; negative AbC beads used for beads-based method</w:t>
            </w:r>
            <w:r>
              <w:rPr>
                <w:color w:val="365F91" w:themeColor="accent1" w:themeShade="BF"/>
              </w:rPr>
              <w:t>.”</w:t>
            </w:r>
            <w:r w:rsidR="000C2E46" w:rsidRPr="00D95301">
              <w:br/>
            </w:r>
            <w:r w:rsidR="000C2E46" w:rsidRPr="00D95301">
              <w:br/>
              <w:t>2) For Method A the manuscript states that 15 markers were used in 3 panels, however the Materials Table only lists 14 markers in the panels. Please clarify.</w:t>
            </w:r>
          </w:p>
          <w:p w:rsidR="00E75742" w:rsidRDefault="003F36C9" w:rsidP="00E75742">
            <w:pPr>
              <w:pStyle w:val="NormalWeb"/>
              <w:shd w:val="clear" w:color="auto" w:fill="FFFFFF"/>
              <w:tabs>
                <w:tab w:val="left" w:pos="1530"/>
              </w:tabs>
              <w:spacing w:before="0" w:beforeAutospacing="0" w:after="0" w:afterAutospacing="0" w:line="210" w:lineRule="atLeast"/>
            </w:pPr>
            <w:r>
              <w:rPr>
                <w:rStyle w:val="apple-converted-space"/>
                <w:color w:val="365F91" w:themeColor="accent1" w:themeShade="BF"/>
              </w:rPr>
              <w:t xml:space="preserve">Thank you for spotting this discrepancy. </w:t>
            </w:r>
            <w:r w:rsidR="00E75742">
              <w:rPr>
                <w:rStyle w:val="apple-converted-space"/>
                <w:color w:val="365F91" w:themeColor="accent1" w:themeShade="BF"/>
              </w:rPr>
              <w:t xml:space="preserve"> </w:t>
            </w:r>
            <w:r w:rsidRPr="00DC7F8A">
              <w:rPr>
                <w:rStyle w:val="apple-converted-space"/>
                <w:color w:val="365F91" w:themeColor="accent1" w:themeShade="BF"/>
              </w:rPr>
              <w:t xml:space="preserve"> </w:t>
            </w:r>
            <w:r w:rsidR="00E75742">
              <w:rPr>
                <w:rStyle w:val="apple-converted-space"/>
                <w:color w:val="365F91" w:themeColor="accent1" w:themeShade="BF"/>
              </w:rPr>
              <w:t>We have changed the “15” to “14.”</w:t>
            </w:r>
            <w:r w:rsidR="000C2E46" w:rsidRPr="00D95301">
              <w:br/>
            </w:r>
            <w:r w:rsidR="000C2E46" w:rsidRPr="00D95301">
              <w:br/>
              <w:t>3) For Method B, please state which antibodies are used to make up the antibody cocktail for staining of EV samples</w:t>
            </w:r>
            <w:r w:rsidR="00E75742">
              <w:t>.</w:t>
            </w:r>
          </w:p>
          <w:p w:rsidR="003E7FFE" w:rsidRDefault="00E75742" w:rsidP="003E7FFE">
            <w:pPr>
              <w:pStyle w:val="NormalWeb"/>
              <w:shd w:val="clear" w:color="auto" w:fill="FFFFFF"/>
              <w:tabs>
                <w:tab w:val="left" w:pos="1530"/>
              </w:tabs>
              <w:spacing w:before="0" w:beforeAutospacing="0" w:after="0" w:afterAutospacing="0" w:line="210" w:lineRule="atLeast"/>
            </w:pPr>
            <w:r>
              <w:rPr>
                <w:rStyle w:val="apple-converted-space"/>
                <w:color w:val="365F91" w:themeColor="accent1" w:themeShade="BF"/>
              </w:rPr>
              <w:t>We agree that a better description is necessary here. It now reads, “</w:t>
            </w:r>
            <w:r w:rsidRPr="00E75742">
              <w:rPr>
                <w:rStyle w:val="apple-converted-space"/>
                <w:color w:val="365F91" w:themeColor="accent1" w:themeShade="BF"/>
              </w:rPr>
              <w:t>2.3.1.</w:t>
            </w:r>
            <w:r w:rsidRPr="00E75742">
              <w:rPr>
                <w:rStyle w:val="apple-converted-space"/>
                <w:color w:val="365F91" w:themeColor="accent1" w:themeShade="BF"/>
              </w:rPr>
              <w:tab/>
              <w:t xml:space="preserve">Filter all antibodies. The same antibody panels used in Method A can be used, or if desired, </w:t>
            </w:r>
            <w:r w:rsidR="006F6D55">
              <w:rPr>
                <w:rStyle w:val="apple-converted-space"/>
                <w:color w:val="365F91" w:themeColor="accent1" w:themeShade="BF"/>
              </w:rPr>
              <w:t xml:space="preserve"> a different</w:t>
            </w:r>
            <w:r w:rsidR="006F6D55" w:rsidRPr="00E75742">
              <w:rPr>
                <w:rStyle w:val="apple-converted-space"/>
                <w:color w:val="365F91" w:themeColor="accent1" w:themeShade="BF"/>
              </w:rPr>
              <w:t xml:space="preserve"> </w:t>
            </w:r>
            <w:r w:rsidRPr="00E75742">
              <w:rPr>
                <w:rStyle w:val="apple-converted-space"/>
                <w:color w:val="365F91" w:themeColor="accent1" w:themeShade="BF"/>
              </w:rPr>
              <w:t>combination of antibodies can be created as long as their fluorochromes are compatible with one another</w:t>
            </w:r>
            <w:r>
              <w:rPr>
                <w:rStyle w:val="apple-converted-space"/>
                <w:color w:val="365F91" w:themeColor="accent1" w:themeShade="BF"/>
              </w:rPr>
              <w:t>…”</w:t>
            </w:r>
            <w:r w:rsidR="000C2E46" w:rsidRPr="00E75742">
              <w:rPr>
                <w:rStyle w:val="apple-converted-space"/>
                <w:color w:val="365F91" w:themeColor="accent1" w:themeShade="BF"/>
              </w:rPr>
              <w:br/>
            </w:r>
            <w:r w:rsidR="000C2E46" w:rsidRPr="00D95301">
              <w:br/>
              <w:t>4) In Figure 5B the marker being examined is CD14 and the fluorochrome on the axis is V450. The Materials Table states that CD14 is conjugated to APC-Cy7. Please clarify if a different antibody was used for this analysis and if so please add this to the Materials Table.</w:t>
            </w:r>
            <w:r w:rsidR="000C2E46" w:rsidRPr="00D95301">
              <w:rPr>
                <w:rStyle w:val="apple-converted-space"/>
              </w:rPr>
              <w:t> </w:t>
            </w:r>
            <w:r w:rsidR="000C2E46" w:rsidRPr="00D95301">
              <w:br/>
            </w:r>
            <w:r w:rsidR="005C7F78">
              <w:rPr>
                <w:rStyle w:val="apple-converted-space"/>
                <w:color w:val="365F91" w:themeColor="accent1" w:themeShade="BF"/>
              </w:rPr>
              <w:t xml:space="preserve">Again, thank you for spotting this discrepancy.  </w:t>
            </w:r>
            <w:r w:rsidR="005C7F78" w:rsidRPr="00DC7F8A">
              <w:rPr>
                <w:rStyle w:val="apple-converted-space"/>
                <w:color w:val="365F91" w:themeColor="accent1" w:themeShade="BF"/>
              </w:rPr>
              <w:t xml:space="preserve"> </w:t>
            </w:r>
            <w:r w:rsidR="005C7F78">
              <w:rPr>
                <w:rStyle w:val="apple-converted-space"/>
                <w:color w:val="365F91" w:themeColor="accent1" w:themeShade="BF"/>
              </w:rPr>
              <w:t xml:space="preserve">We have updated the figure to include the correct fluorochrome (APC-Cy7) and have also added the isotype used in this figure to the </w:t>
            </w:r>
            <w:r w:rsidR="005C7F78">
              <w:rPr>
                <w:color w:val="365F91" w:themeColor="accent1" w:themeShade="BF"/>
              </w:rPr>
              <w:t xml:space="preserve">Table of </w:t>
            </w:r>
            <w:r w:rsidR="005C7F78" w:rsidRPr="00D954C2">
              <w:rPr>
                <w:color w:val="365F91" w:themeColor="accent1" w:themeShade="BF"/>
              </w:rPr>
              <w:t>Specific Reagents/Materials</w:t>
            </w:r>
            <w:r w:rsidR="005C7F78">
              <w:rPr>
                <w:color w:val="365F91" w:themeColor="accent1" w:themeShade="BF"/>
              </w:rPr>
              <w:t>.</w:t>
            </w:r>
            <w:r w:rsidR="000C2E46" w:rsidRPr="00D95301">
              <w:br/>
            </w:r>
            <w:r w:rsidR="000C2E46" w:rsidRPr="00D95301">
              <w:br/>
            </w:r>
            <w:r w:rsidR="000C2E46" w:rsidRPr="00D95301">
              <w:rPr>
                <w:b/>
                <w:bCs/>
              </w:rPr>
              <w:t>Reviewer #3:</w:t>
            </w:r>
            <w:r w:rsidR="000C2E46" w:rsidRPr="00D95301">
              <w:rPr>
                <w:rStyle w:val="apple-converted-space"/>
              </w:rPr>
              <w:t> </w:t>
            </w:r>
            <w:r w:rsidR="000C2E46" w:rsidRPr="00D95301">
              <w:br/>
            </w:r>
            <w:r w:rsidR="000C2E46" w:rsidRPr="00D95301">
              <w:rPr>
                <w:i/>
                <w:iCs/>
              </w:rPr>
              <w:t>Manuscript Summary:</w:t>
            </w:r>
            <w:r w:rsidR="000C2E46" w:rsidRPr="00D95301">
              <w:rPr>
                <w:rStyle w:val="apple-converted-space"/>
              </w:rPr>
              <w:t> </w:t>
            </w:r>
            <w:r w:rsidR="000C2E46" w:rsidRPr="00D95301">
              <w:br/>
              <w:t>Two flow cytometry based methods for assessing the phenotype of extracellular vesicles are described. Human platelet poor plasma specimens are prepared by multi-step centrifugation to isolate extracellular vesicles. The first method, individual detection, employs direct antibody labeling of specific proteins on the EV. Centrifugal filters provide a means to prevent antibody aggregates, which can confound EV analysis due to their large size and misidentification as EV's rather than artifacts. Using detergent lysis, the authors present a method for correcting for false positive particle counts that are usually due to immune complexes or protein aggrega</w:t>
            </w:r>
            <w:r w:rsidR="003E7FFE">
              <w:t>tes.</w:t>
            </w:r>
            <w:r w:rsidR="003E7FFE">
              <w:br/>
            </w:r>
            <w:r w:rsidR="000C2E46" w:rsidRPr="00D95301">
              <w:t>A bead-based detection method is also described for measuring multiple EVs and smaller EVs, such as exosomes. The bead based method requires an overnight incubation and multiple washing steps in contrast to the relatively short sample preparation times for individual detection. Appropriate flow cytometer control procedures are also included.</w:t>
            </w:r>
            <w:r w:rsidR="000C2E46" w:rsidRPr="00D95301">
              <w:br/>
            </w:r>
            <w:r w:rsidR="000C2E46" w:rsidRPr="00D95301">
              <w:br/>
            </w:r>
            <w:r w:rsidR="000C2E46" w:rsidRPr="00D95301">
              <w:rPr>
                <w:i/>
                <w:iCs/>
              </w:rPr>
              <w:t>Major Concerns:</w:t>
            </w:r>
            <w:r w:rsidR="000C2E46" w:rsidRPr="00D95301">
              <w:br/>
              <w:t xml:space="preserve">1. The most important addition that is needed in this manuscript is additional information for the </w:t>
            </w:r>
            <w:r w:rsidR="000C2E46" w:rsidRPr="00D95301">
              <w:lastRenderedPageBreak/>
              <w:t xml:space="preserve">specimen collection process/tube types. Lines 101-102 in section 1.1.1 state that blood should be drawn into "citrate or other suitable anticoagulant tubes" and in section 2.1.1 (lines 272-273) blood is collected in acid citrate dextrose (ACD). However, the </w:t>
            </w:r>
            <w:r w:rsidR="000C2E46" w:rsidRPr="007359A9">
              <w:t>blood collection tube is not listed in the table of materials</w:t>
            </w:r>
            <w:r w:rsidR="000C2E46" w:rsidRPr="00D95301">
              <w:t>. "Citrate" blood collection tubes are available in various formulations, such as 3.2% sodium citrate in 1.8mL, 2.7mL or 4.5mL draw volumes, or ACD-A or ACD-B tubes with an 8.5mL draw volume. The authors should state the preferred specimen collection tube for their method, how many tubes (plasma volume) is needed, and storage requirements (temperature and time). How long can the specimen be stored prior to centrifugation? At what temperature should it be stored? Does it need to reach room temperature prior to separation of the platelet poor plasma? Can either glass or plastic vacutainer tubes be used for blood collection? Controlling pre-analytical variables provides better reproducibility.</w:t>
            </w:r>
            <w:r w:rsidR="003E7FFE">
              <w:t xml:space="preserve"> </w:t>
            </w:r>
          </w:p>
          <w:p w:rsidR="003E7FFE" w:rsidRDefault="003E7FFE" w:rsidP="003E7FFE">
            <w:pPr>
              <w:pStyle w:val="NormalWeb"/>
              <w:shd w:val="clear" w:color="auto" w:fill="FFFFFF"/>
              <w:tabs>
                <w:tab w:val="left" w:pos="1530"/>
              </w:tabs>
              <w:spacing w:before="0" w:beforeAutospacing="0" w:after="0" w:afterAutospacing="0" w:line="210" w:lineRule="atLeast"/>
              <w:rPr>
                <w:color w:val="365F91" w:themeColor="accent1" w:themeShade="BF"/>
              </w:rPr>
            </w:pPr>
            <w:r>
              <w:rPr>
                <w:color w:val="365F91" w:themeColor="accent1" w:themeShade="BF"/>
              </w:rPr>
              <w:t>We agree that the blood processing method</w:t>
            </w:r>
            <w:r w:rsidR="00367796">
              <w:rPr>
                <w:color w:val="365F91" w:themeColor="accent1" w:themeShade="BF"/>
              </w:rPr>
              <w:t xml:space="preserve"> should have been more detailed. We </w:t>
            </w:r>
            <w:r>
              <w:rPr>
                <w:color w:val="365F91" w:themeColor="accent1" w:themeShade="BF"/>
              </w:rPr>
              <w:t xml:space="preserve">have </w:t>
            </w:r>
            <w:r w:rsidR="00367796">
              <w:rPr>
                <w:color w:val="365F91" w:themeColor="accent1" w:themeShade="BF"/>
              </w:rPr>
              <w:t>clarified</w:t>
            </w:r>
            <w:r>
              <w:rPr>
                <w:color w:val="365F91" w:themeColor="accent1" w:themeShade="BF"/>
              </w:rPr>
              <w:t xml:space="preserve"> the </w:t>
            </w:r>
            <w:r w:rsidRPr="005548F3">
              <w:rPr>
                <w:color w:val="365F91" w:themeColor="accent1" w:themeShade="BF"/>
              </w:rPr>
              <w:t>anticoagulant</w:t>
            </w:r>
            <w:r w:rsidR="00367796">
              <w:rPr>
                <w:color w:val="365F91" w:themeColor="accent1" w:themeShade="BF"/>
              </w:rPr>
              <w:t xml:space="preserve"> used</w:t>
            </w:r>
            <w:r w:rsidRPr="005548F3">
              <w:rPr>
                <w:color w:val="365F91" w:themeColor="accent1" w:themeShade="BF"/>
              </w:rPr>
              <w:t xml:space="preserve">, </w:t>
            </w:r>
            <w:r w:rsidR="00367796">
              <w:rPr>
                <w:color w:val="365F91" w:themeColor="accent1" w:themeShade="BF"/>
              </w:rPr>
              <w:t xml:space="preserve">volume of anticoagulant used, </w:t>
            </w:r>
            <w:r w:rsidRPr="005548F3">
              <w:rPr>
                <w:color w:val="365F91" w:themeColor="accent1" w:themeShade="BF"/>
              </w:rPr>
              <w:t>volume</w:t>
            </w:r>
            <w:r w:rsidR="007359A9">
              <w:rPr>
                <w:color w:val="365F91" w:themeColor="accent1" w:themeShade="BF"/>
              </w:rPr>
              <w:t xml:space="preserve"> and material</w:t>
            </w:r>
            <w:r w:rsidRPr="005548F3">
              <w:rPr>
                <w:color w:val="365F91" w:themeColor="accent1" w:themeShade="BF"/>
              </w:rPr>
              <w:t xml:space="preserve"> of tube, </w:t>
            </w:r>
            <w:r w:rsidR="008709B3">
              <w:rPr>
                <w:color w:val="365F91" w:themeColor="accent1" w:themeShade="BF"/>
              </w:rPr>
              <w:t xml:space="preserve">max storage duration </w:t>
            </w:r>
            <w:r>
              <w:rPr>
                <w:color w:val="365F91" w:themeColor="accent1" w:themeShade="BF"/>
              </w:rPr>
              <w:t xml:space="preserve">and </w:t>
            </w:r>
            <w:r w:rsidR="008709B3" w:rsidRPr="005548F3">
              <w:rPr>
                <w:color w:val="365F91" w:themeColor="accent1" w:themeShade="BF"/>
              </w:rPr>
              <w:t>centrifugation</w:t>
            </w:r>
            <w:r w:rsidR="008709B3">
              <w:rPr>
                <w:color w:val="365F91" w:themeColor="accent1" w:themeShade="BF"/>
              </w:rPr>
              <w:t xml:space="preserve"> temperature</w:t>
            </w:r>
            <w:r w:rsidRPr="005548F3">
              <w:rPr>
                <w:color w:val="365F91" w:themeColor="accent1" w:themeShade="BF"/>
              </w:rPr>
              <w:t xml:space="preserve"> </w:t>
            </w:r>
            <w:r>
              <w:rPr>
                <w:color w:val="365F91" w:themeColor="accent1" w:themeShade="BF"/>
              </w:rPr>
              <w:t xml:space="preserve">to all applicable steps within the protocol. </w:t>
            </w:r>
            <w:r w:rsidR="008709B3">
              <w:rPr>
                <w:color w:val="365F91" w:themeColor="accent1" w:themeShade="BF"/>
              </w:rPr>
              <w:t>The blood collection tube</w:t>
            </w:r>
            <w:r w:rsidR="007359A9">
              <w:rPr>
                <w:color w:val="365F91" w:themeColor="accent1" w:themeShade="BF"/>
              </w:rPr>
              <w:t>s</w:t>
            </w:r>
            <w:r w:rsidR="008709B3">
              <w:rPr>
                <w:color w:val="365F91" w:themeColor="accent1" w:themeShade="BF"/>
              </w:rPr>
              <w:t xml:space="preserve"> used </w:t>
            </w:r>
            <w:r w:rsidR="007359A9">
              <w:rPr>
                <w:color w:val="365F91" w:themeColor="accent1" w:themeShade="BF"/>
              </w:rPr>
              <w:t>have</w:t>
            </w:r>
            <w:r w:rsidR="008709B3">
              <w:rPr>
                <w:color w:val="365F91" w:themeColor="accent1" w:themeShade="BF"/>
              </w:rPr>
              <w:t xml:space="preserve"> been added to the Materials table. Additionally, we have added the comment, “</w:t>
            </w:r>
            <w:r w:rsidR="008709B3" w:rsidRPr="008709B3">
              <w:rPr>
                <w:color w:val="365F91" w:themeColor="accent1" w:themeShade="BF"/>
              </w:rPr>
              <w:t xml:space="preserve">Note: for highest reproducibility, blood samples should be processed as consistently as possible from donor to donor. Any variation in EV isolation method could </w:t>
            </w:r>
            <w:r w:rsidR="008709B3">
              <w:rPr>
                <w:color w:val="365F91" w:themeColor="accent1" w:themeShade="BF"/>
              </w:rPr>
              <w:t>significant</w:t>
            </w:r>
            <w:r w:rsidR="00F63A1D">
              <w:rPr>
                <w:color w:val="365F91" w:themeColor="accent1" w:themeShade="BF"/>
              </w:rPr>
              <w:t>ly</w:t>
            </w:r>
            <w:r w:rsidR="008709B3">
              <w:rPr>
                <w:color w:val="365F91" w:themeColor="accent1" w:themeShade="BF"/>
              </w:rPr>
              <w:t xml:space="preserve"> impact </w:t>
            </w:r>
            <w:r w:rsidR="007359A9">
              <w:rPr>
                <w:color w:val="365F91" w:themeColor="accent1" w:themeShade="BF"/>
              </w:rPr>
              <w:t xml:space="preserve">the number and type of </w:t>
            </w:r>
            <w:r w:rsidR="008709B3">
              <w:rPr>
                <w:color w:val="365F91" w:themeColor="accent1" w:themeShade="BF"/>
              </w:rPr>
              <w:t>EVs detected” to the first protocol step.</w:t>
            </w:r>
          </w:p>
          <w:p w:rsidR="00DD2409" w:rsidRDefault="000C2E46" w:rsidP="00DD2409">
            <w:pPr>
              <w:rPr>
                <w:color w:val="1F497D"/>
              </w:rPr>
            </w:pPr>
            <w:r w:rsidRPr="00D95301">
              <w:br/>
              <w:t xml:space="preserve">2. Lines 116-117, section 1.1.5: For functional experiments, the authors use 6mL of PPP. How many tubes of blood do you collect to get 6mL of platelet poor plasma? Most patients have a hematocrit of 40-42%. This would require about 15mL of whole blood to yield 6mL of PPP, which would be about 6-7 tubes with a 1.8mL draw volume. Please state in the protocol how many tubes of whole blood you need for the various methods (individual detection, functional assays, </w:t>
            </w:r>
            <w:proofErr w:type="gramStart"/>
            <w:r w:rsidRPr="00D95301">
              <w:t>bead</w:t>
            </w:r>
            <w:proofErr w:type="gramEnd"/>
            <w:r w:rsidRPr="00D95301">
              <w:t>-based detection).</w:t>
            </w:r>
            <w:r w:rsidR="00DD2409">
              <w:rPr>
                <w:color w:val="1F497D"/>
              </w:rPr>
              <w:t xml:space="preserve"> </w:t>
            </w:r>
          </w:p>
          <w:p w:rsidR="00DD2409" w:rsidRDefault="009B06E8" w:rsidP="00DD2409">
            <w:pPr>
              <w:rPr>
                <w:color w:val="1F497D"/>
              </w:rPr>
            </w:pPr>
            <w:r w:rsidRPr="009B06E8">
              <w:rPr>
                <w:color w:val="1F497D"/>
              </w:rPr>
              <w:t>Approximately 17 mL of blood was drawn into two</w:t>
            </w:r>
            <w:r w:rsidR="00DD2409" w:rsidRPr="009B06E8">
              <w:rPr>
                <w:color w:val="1F497D"/>
              </w:rPr>
              <w:t xml:space="preserve"> </w:t>
            </w:r>
            <w:r w:rsidRPr="009B06E8">
              <w:rPr>
                <w:color w:val="1F497D"/>
              </w:rPr>
              <w:t>10</w:t>
            </w:r>
            <w:r w:rsidR="00DC4670">
              <w:rPr>
                <w:color w:val="1F497D"/>
              </w:rPr>
              <w:t xml:space="preserve"> </w:t>
            </w:r>
            <w:r w:rsidRPr="009B06E8">
              <w:rPr>
                <w:color w:val="1F497D"/>
              </w:rPr>
              <w:t xml:space="preserve">mL </w:t>
            </w:r>
            <w:r w:rsidR="00DD2409" w:rsidRPr="009B06E8">
              <w:rPr>
                <w:color w:val="1F497D"/>
              </w:rPr>
              <w:t>ACD tubes (each 10 mL tube contains 1.5 mL ACD) and around 5 mL plasma was harvested from each tube.</w:t>
            </w:r>
            <w:r w:rsidR="00665C5C">
              <w:rPr>
                <w:color w:val="1F497D"/>
              </w:rPr>
              <w:t xml:space="preserve"> We have added this in the protocol, which now reads, “</w:t>
            </w:r>
            <w:r w:rsidR="00665C5C" w:rsidRPr="00665C5C">
              <w:rPr>
                <w:color w:val="1F497D"/>
              </w:rPr>
              <w:t>1.1.1.</w:t>
            </w:r>
            <w:r w:rsidR="00665C5C" w:rsidRPr="00665C5C">
              <w:rPr>
                <w:color w:val="1F497D"/>
              </w:rPr>
              <w:tab/>
              <w:t>Draw blood from donor/patient</w:t>
            </w:r>
            <w:r w:rsidR="00F63A1D">
              <w:rPr>
                <w:color w:val="1F497D"/>
              </w:rPr>
              <w:t xml:space="preserve"> </w:t>
            </w:r>
            <w:r w:rsidR="00F63A1D" w:rsidRPr="00F63A1D">
              <w:rPr>
                <w:color w:val="1F497D"/>
              </w:rPr>
              <w:t>into two 10 mL glass tubes containing 1.5mL ACD-Solution A or other suitable anticoagulant and process immediately (within 30 minutes max) using the following 2-step differential centrifugation protocol. Note: this protocol will yield approximately 10 mL of platelet poor plasma (PPP) from the combined ~17 mL of blood drawn.  If more or less PPP is needed, the number of tubes of blood collected may be adjusted accordingly</w:t>
            </w:r>
            <w:r w:rsidR="00665C5C" w:rsidRPr="00665C5C">
              <w:rPr>
                <w:color w:val="1F497D"/>
              </w:rPr>
              <w:t>.</w:t>
            </w:r>
            <w:r w:rsidR="00665C5C">
              <w:rPr>
                <w:color w:val="1F497D"/>
              </w:rPr>
              <w:t>”</w:t>
            </w:r>
          </w:p>
          <w:p w:rsidR="00DD2409" w:rsidRDefault="00DD2409" w:rsidP="005E11E1">
            <w:pPr>
              <w:pStyle w:val="NormalWeb"/>
              <w:shd w:val="clear" w:color="auto" w:fill="FFFFFF"/>
              <w:tabs>
                <w:tab w:val="left" w:pos="1530"/>
              </w:tabs>
              <w:spacing w:before="0" w:beforeAutospacing="0" w:after="0" w:afterAutospacing="0" w:line="210" w:lineRule="atLeast"/>
            </w:pPr>
            <w:r w:rsidRPr="00D95301">
              <w:t xml:space="preserve"> </w:t>
            </w:r>
            <w:r w:rsidR="000C2E46" w:rsidRPr="00D95301">
              <w:br/>
              <w:t>3. Lines 298-300, section 2.2.2: This section on washing the beads is unclear. Are the beads washed first or after they are combined with the sample prepared in step 2.2.1?</w:t>
            </w:r>
          </w:p>
          <w:p w:rsidR="00A22F5A" w:rsidRDefault="00DD2409" w:rsidP="00DD2409">
            <w:r w:rsidRPr="00DD2409">
              <w:rPr>
                <w:color w:val="365F91" w:themeColor="accent1" w:themeShade="BF"/>
              </w:rPr>
              <w:t xml:space="preserve">We have clarified this step to read, “Wash uncoated 6 µm polystyrene beads (e.g., negative AbC beads) 2x with media, and resuspend in 2 ml. Add 6000 beads to each FACS tube. To the negative control tube, add 400 μl media alone to the beads. To all other tubes, add 200 </w:t>
            </w:r>
            <w:proofErr w:type="spellStart"/>
            <w:r w:rsidRPr="00DD2409">
              <w:rPr>
                <w:color w:val="365F91" w:themeColor="accent1" w:themeShade="BF"/>
              </w:rPr>
              <w:t>μl</w:t>
            </w:r>
            <w:proofErr w:type="spellEnd"/>
            <w:r w:rsidRPr="00DD2409">
              <w:rPr>
                <w:color w:val="365F91" w:themeColor="accent1" w:themeShade="BF"/>
              </w:rPr>
              <w:t xml:space="preserve"> PPP or </w:t>
            </w:r>
            <w:proofErr w:type="spellStart"/>
            <w:r w:rsidRPr="00DD2409">
              <w:rPr>
                <w:color w:val="365F91" w:themeColor="accent1" w:themeShade="BF"/>
              </w:rPr>
              <w:t>ultracentrifuged</w:t>
            </w:r>
            <w:proofErr w:type="spellEnd"/>
            <w:r w:rsidRPr="00DD2409">
              <w:rPr>
                <w:color w:val="365F91" w:themeColor="accent1" w:themeShade="BF"/>
              </w:rPr>
              <w:t xml:space="preserve"> EVs (or their fractions) and 200 μl media.”</w:t>
            </w:r>
            <w:r w:rsidR="000C2E46" w:rsidRPr="00D95301">
              <w:br/>
            </w:r>
            <w:r w:rsidR="000C2E46" w:rsidRPr="00D95301">
              <w:br/>
              <w:t>4. Lines 175-180, section 1.4.6: The note in line 175 states that "no liquid should remain on the filter top and longer centrifugation times may be needed." However this seems to contradict the statements in lines 179 in which the reader is instructed to "resuspend the material remaining on the tops of the filters…</w:t>
            </w:r>
            <w:proofErr w:type="gramStart"/>
            <w:r w:rsidR="000C2E46" w:rsidRPr="00D95301">
              <w:t>".</w:t>
            </w:r>
            <w:proofErr w:type="gramEnd"/>
            <w:r w:rsidR="000C2E46" w:rsidRPr="00D95301">
              <w:t xml:space="preserve"> Why is there fluid left on top of the filters after centrifugation? Should the filters be spun until no fluid remains on top?</w:t>
            </w:r>
          </w:p>
          <w:p w:rsidR="00705742" w:rsidRDefault="00A22F5A" w:rsidP="00DD2409">
            <w:pPr>
              <w:rPr>
                <w:color w:val="365F91" w:themeColor="accent1" w:themeShade="BF"/>
              </w:rPr>
            </w:pPr>
            <w:r>
              <w:rPr>
                <w:color w:val="365F91" w:themeColor="accent1" w:themeShade="BF"/>
              </w:rPr>
              <w:lastRenderedPageBreak/>
              <w:t>When samples are post-stain filtered, the fluid containing unbound antibody</w:t>
            </w:r>
            <w:r w:rsidR="00705742">
              <w:rPr>
                <w:color w:val="365F91" w:themeColor="accent1" w:themeShade="BF"/>
              </w:rPr>
              <w:t xml:space="preserve"> and soluble protein </w:t>
            </w:r>
            <w:r>
              <w:rPr>
                <w:color w:val="365F91" w:themeColor="accent1" w:themeShade="BF"/>
              </w:rPr>
              <w:t xml:space="preserve">flows through the filter, while EVs remain on top of the filter. After centrifugation, the top of the filter should appear to be “dry” </w:t>
            </w:r>
            <w:r w:rsidR="00705742">
              <w:rPr>
                <w:color w:val="365F91" w:themeColor="accent1" w:themeShade="BF"/>
              </w:rPr>
              <w:t>with</w:t>
            </w:r>
            <w:r>
              <w:rPr>
                <w:color w:val="365F91" w:themeColor="accent1" w:themeShade="BF"/>
              </w:rPr>
              <w:t xml:space="preserve"> no visible fluid layer remaining. </w:t>
            </w:r>
            <w:r w:rsidR="00705742">
              <w:rPr>
                <w:color w:val="365F91" w:themeColor="accent1" w:themeShade="BF"/>
              </w:rPr>
              <w:t xml:space="preserve">We have clarified this in the protocol by removing the words “material remaining on the” from the sentence in line 179. It now reads, </w:t>
            </w:r>
            <w:r w:rsidR="00705742" w:rsidRPr="00705742">
              <w:rPr>
                <w:color w:val="365F91" w:themeColor="accent1" w:themeShade="BF"/>
              </w:rPr>
              <w:t>“</w:t>
            </w:r>
            <w:r w:rsidR="00705742" w:rsidRPr="00705742">
              <w:rPr>
                <w:rFonts w:cs="Arial"/>
                <w:bCs/>
                <w:color w:val="365F91" w:themeColor="accent1" w:themeShade="BF"/>
              </w:rPr>
              <w:t>resuspend the tops of the filters in 300 µl</w:t>
            </w:r>
            <w:r w:rsidR="00705742" w:rsidRPr="00705742" w:rsidDel="008430C7">
              <w:rPr>
                <w:rFonts w:cs="Arial"/>
                <w:bCs/>
                <w:color w:val="365F91" w:themeColor="accent1" w:themeShade="BF"/>
              </w:rPr>
              <w:t xml:space="preserve"> </w:t>
            </w:r>
            <w:r w:rsidR="00705742" w:rsidRPr="00705742">
              <w:rPr>
                <w:rFonts w:cs="Arial"/>
                <w:bCs/>
                <w:color w:val="365F91" w:themeColor="accent1" w:themeShade="BF"/>
              </w:rPr>
              <w:t>PB</w:t>
            </w:r>
            <w:r w:rsidR="00705742">
              <w:rPr>
                <w:rFonts w:cs="Arial"/>
                <w:bCs/>
                <w:color w:val="365F91" w:themeColor="accent1" w:themeShade="BF"/>
              </w:rPr>
              <w:t>S…</w:t>
            </w:r>
            <w:r w:rsidR="00705742" w:rsidRPr="00705742">
              <w:rPr>
                <w:rFonts w:cs="Arial"/>
                <w:bCs/>
                <w:color w:val="365F91" w:themeColor="accent1" w:themeShade="BF"/>
              </w:rPr>
              <w:t>”</w:t>
            </w:r>
            <w:r w:rsidR="005308FB">
              <w:rPr>
                <w:rFonts w:cs="Arial"/>
                <w:bCs/>
                <w:color w:val="365F91" w:themeColor="accent1" w:themeShade="BF"/>
              </w:rPr>
              <w:t xml:space="preserve"> Also, we have added the sentence, “</w:t>
            </w:r>
            <w:r w:rsidR="005308FB" w:rsidRPr="005308FB">
              <w:rPr>
                <w:rFonts w:cs="Arial"/>
                <w:bCs/>
                <w:color w:val="365F91" w:themeColor="accent1" w:themeShade="BF"/>
              </w:rPr>
              <w:t>After centrifugation, the filter should appear to be “dry” with no visib</w:t>
            </w:r>
            <w:r w:rsidR="005308FB">
              <w:rPr>
                <w:rFonts w:cs="Arial"/>
                <w:bCs/>
                <w:color w:val="365F91" w:themeColor="accent1" w:themeShade="BF"/>
              </w:rPr>
              <w:t>le fluid layer remaining on top” to line 175 in the protocol.</w:t>
            </w:r>
          </w:p>
          <w:p w:rsidR="00955271" w:rsidRPr="0067672D" w:rsidRDefault="000C2E46" w:rsidP="00DD2409">
            <w:pPr>
              <w:rPr>
                <w:color w:val="365F91" w:themeColor="accent1" w:themeShade="BF"/>
              </w:rPr>
            </w:pPr>
            <w:r w:rsidRPr="00D95301">
              <w:br/>
              <w:t xml:space="preserve">5. Discussion, lines 568-571: The statements regarding the impact of the anticoagulant should be explained in more detail. Provide examples of the effect on EVs in different anticoagulants and examples of when/how it may be advantageous to use an anticoagulant other than citrate as described in the protocol steps. Please justify the reason for using citrate and ACD in this protocol if different anticoagulants could be better depending on the application. What do you mean in this case by "application" - do you mean disease process, EV isolation method, EV staining method, or detection </w:t>
            </w:r>
            <w:r w:rsidRPr="0067672D">
              <w:t>method?</w:t>
            </w:r>
            <w:r w:rsidRPr="00D95301">
              <w:br/>
            </w:r>
            <w:r w:rsidR="0067672D">
              <w:rPr>
                <w:color w:val="365F91" w:themeColor="accent1" w:themeShade="BF"/>
              </w:rPr>
              <w:t xml:space="preserve">We have tested several anticoagulants and ACD has proven to be a good and reliable anticoagulant for use in most EV studies. </w:t>
            </w:r>
            <w:r w:rsidR="00955271" w:rsidRPr="0067672D">
              <w:rPr>
                <w:color w:val="365F91" w:themeColor="accent1" w:themeShade="BF"/>
              </w:rPr>
              <w:t>The plots below show examples of some of the differences we have observed with the us</w:t>
            </w:r>
            <w:r w:rsidR="0067672D" w:rsidRPr="0067672D">
              <w:rPr>
                <w:color w:val="365F91" w:themeColor="accent1" w:themeShade="BF"/>
              </w:rPr>
              <w:t>e of several other anticoagulants. However, b</w:t>
            </w:r>
            <w:r w:rsidR="00955271" w:rsidRPr="0067672D">
              <w:rPr>
                <w:color w:val="365F91" w:themeColor="accent1" w:themeShade="BF"/>
              </w:rPr>
              <w:t>ecause a separate manuscript containing these results is currently being prepared for publication</w:t>
            </w:r>
            <w:r w:rsidR="00DC4670">
              <w:rPr>
                <w:color w:val="365F91" w:themeColor="accent1" w:themeShade="BF"/>
              </w:rPr>
              <w:t xml:space="preserve">, and the current manuscript is meant to present a protocol and not </w:t>
            </w:r>
            <w:r w:rsidR="00DC4670">
              <w:rPr>
                <w:i/>
                <w:color w:val="365F91" w:themeColor="accent1" w:themeShade="BF"/>
              </w:rPr>
              <w:t>de novo</w:t>
            </w:r>
            <w:r w:rsidR="00DC4670">
              <w:rPr>
                <w:color w:val="365F91" w:themeColor="accent1" w:themeShade="BF"/>
              </w:rPr>
              <w:t xml:space="preserve"> experimental data</w:t>
            </w:r>
            <w:r w:rsidR="00955271" w:rsidRPr="0067672D">
              <w:rPr>
                <w:color w:val="365F91" w:themeColor="accent1" w:themeShade="BF"/>
              </w:rPr>
              <w:t>, we are unable</w:t>
            </w:r>
            <w:r w:rsidR="0067672D" w:rsidRPr="0067672D">
              <w:rPr>
                <w:color w:val="365F91" w:themeColor="accent1" w:themeShade="BF"/>
              </w:rPr>
              <w:t xml:space="preserve"> to include these data in our discussion of the current protocol. </w:t>
            </w:r>
          </w:p>
          <w:p w:rsidR="001E07E5" w:rsidRPr="0067672D" w:rsidRDefault="008709B3" w:rsidP="00DD2409">
            <w:pPr>
              <w:rPr>
                <w:color w:val="365F91" w:themeColor="accent1" w:themeShade="BF"/>
              </w:rPr>
            </w:pPr>
            <w:r w:rsidRPr="0067672D">
              <w:rPr>
                <w:noProof/>
                <w:color w:val="365F91" w:themeColor="accent1" w:themeShade="BF"/>
              </w:rPr>
              <w:drawing>
                <wp:inline distT="0" distB="0" distL="0" distR="0" wp14:anchorId="0E7265B1" wp14:editId="55B3E65B">
                  <wp:extent cx="3714932" cy="18697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7486" cy="1871029"/>
                          </a:xfrm>
                          <a:prstGeom prst="rect">
                            <a:avLst/>
                          </a:prstGeom>
                          <a:noFill/>
                        </pic:spPr>
                      </pic:pic>
                    </a:graphicData>
                  </a:graphic>
                </wp:inline>
              </w:drawing>
            </w:r>
          </w:p>
          <w:p w:rsidR="00DF339D" w:rsidRPr="002A6E06" w:rsidRDefault="0067672D" w:rsidP="00DF339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cs="Times New Roman"/>
              </w:rPr>
            </w:pPr>
            <w:r w:rsidRPr="002A6E06">
              <w:rPr>
                <w:rFonts w:ascii="Times New Roman" w:hAnsi="Times New Roman" w:cs="Times New Roman"/>
                <w:color w:val="365F91" w:themeColor="accent1" w:themeShade="BF"/>
              </w:rPr>
              <w:t>We</w:t>
            </w:r>
            <w:r w:rsidR="00955271" w:rsidRPr="002A6E06">
              <w:rPr>
                <w:rFonts w:ascii="Times New Roman" w:hAnsi="Times New Roman" w:cs="Times New Roman"/>
                <w:color w:val="365F91" w:themeColor="accent1" w:themeShade="BF"/>
              </w:rPr>
              <w:t xml:space="preserve"> have clarified our discussion of anticoagulants to include more specific examples. It now reads, “</w:t>
            </w:r>
            <w:r w:rsidR="00DF339D" w:rsidRPr="002A6E06">
              <w:rPr>
                <w:rFonts w:ascii="Times New Roman" w:hAnsi="Times New Roman" w:cs="Times New Roman"/>
                <w:color w:val="365F91" w:themeColor="accent1" w:themeShade="BF"/>
              </w:rPr>
              <w:t xml:space="preserve">Finally, the anticoagulant used (e.g., heparin, ACD, </w:t>
            </w:r>
            <w:proofErr w:type="spellStart"/>
            <w:r w:rsidR="00DF339D" w:rsidRPr="002A6E06">
              <w:rPr>
                <w:rFonts w:ascii="Times New Roman" w:hAnsi="Times New Roman" w:cs="Times New Roman"/>
                <w:color w:val="365F91" w:themeColor="accent1" w:themeShade="BF"/>
              </w:rPr>
              <w:t>ethylenediaminetetraacetic</w:t>
            </w:r>
            <w:proofErr w:type="spellEnd"/>
            <w:r w:rsidR="00DF339D" w:rsidRPr="002A6E06">
              <w:rPr>
                <w:rFonts w:ascii="Times New Roman" w:hAnsi="Times New Roman" w:cs="Times New Roman"/>
                <w:color w:val="365F91" w:themeColor="accent1" w:themeShade="BF"/>
              </w:rPr>
              <w:t xml:space="preserve"> acid (EDTA), etc.) during blood collection may impact the quality and quantity of EV content. While ACD has proven to be a good and reliable anticoagulant for our studies, testing multiple solutions is recommended to ensure that the most suitable anticoagulant for the application is chosen. This is especially important when EVs will be used in downstream assays where the anticoagulant used can affect the outcome. </w:t>
            </w:r>
            <w:r w:rsidR="00F63A1D">
              <w:rPr>
                <w:rFonts w:ascii="Times New Roman" w:hAnsi="Times New Roman" w:cs="Times New Roman"/>
                <w:color w:val="365F91" w:themeColor="accent1" w:themeShade="BF"/>
              </w:rPr>
              <w:t>Some</w:t>
            </w:r>
            <w:r w:rsidR="00DF339D" w:rsidRPr="002A6E06">
              <w:rPr>
                <w:rFonts w:ascii="Times New Roman" w:hAnsi="Times New Roman" w:cs="Times New Roman"/>
                <w:color w:val="365F91" w:themeColor="accent1" w:themeShade="BF"/>
              </w:rPr>
              <w:t xml:space="preserve"> anticoagulants (e.g., EDTA and heparin) are known to interfere with PCR reactions while others (e.g., theophylline, adenosine and </w:t>
            </w:r>
            <w:proofErr w:type="spellStart"/>
            <w:r w:rsidR="00DF339D" w:rsidRPr="002A6E06">
              <w:rPr>
                <w:rFonts w:ascii="Times New Roman" w:hAnsi="Times New Roman" w:cs="Times New Roman"/>
                <w:color w:val="365F91" w:themeColor="accent1" w:themeShade="BF"/>
              </w:rPr>
              <w:t>dipyridamole</w:t>
            </w:r>
            <w:proofErr w:type="spellEnd"/>
            <w:r w:rsidR="00DF339D" w:rsidRPr="002A6E06">
              <w:rPr>
                <w:rFonts w:ascii="Times New Roman" w:hAnsi="Times New Roman" w:cs="Times New Roman"/>
                <w:color w:val="365F91" w:themeColor="accent1" w:themeShade="BF"/>
              </w:rPr>
              <w:t>) have been shown to inhibit EV release from platelets</w:t>
            </w:r>
            <w:r w:rsidR="00DF339D" w:rsidRPr="002A6E06">
              <w:rPr>
                <w:rFonts w:ascii="Times New Roman" w:hAnsi="Times New Roman" w:cs="Times New Roman"/>
                <w:color w:val="365F91" w:themeColor="accent1" w:themeShade="BF"/>
              </w:rPr>
              <w:fldChar w:fldCharType="begin"/>
            </w:r>
            <w:r w:rsidR="00DF339D" w:rsidRPr="002A6E06">
              <w:rPr>
                <w:rFonts w:ascii="Times New Roman" w:hAnsi="Times New Roman" w:cs="Times New Roman"/>
                <w:color w:val="365F91" w:themeColor="accent1" w:themeShade="BF"/>
              </w:rPr>
              <w:instrText xml:space="preserve"> ADDIN ZOTERO_ITEM CSL_CITATION {"citationID":"1eanq8fv4o","properties":{"formattedCitation":"{\\rtf \\super 12\\nosupersub{}}","plainCitation":"12"},"citationItems":[{"id":379,"uris":["http://zotero.org/users/1400844/items/MJUFEIIR"],"uri":["http://zotero.org/users/1400844/items/MJUFEIIR"],"itemData":{"id":379,"type":"article-journal","title":"Standardization of sample collection, isolation and analysis methods in extracellular vesicle research","container-title":"Journal of Extracellular Vesicles","volume":"2","source":"PubMed Central","abstract":"The emergence of publications on extracellular RNA (exRNA) and extracellular vesicles (EV) has highlighted the potential of these molecules and vehicles as biomarkers of disease and therapeutic targets. These findings have created a paradigm shift, most prominently in the field of oncology, prompting expanded interest in the field and dedication of funds for EV research. At the same time, understanding of EV subtypes, biogenesis, cargo and mechanisms of shuttling remains incomplete. The techniques that can be harnessed to address the many gaps in our current knowledge were the subject of a special workshop of the International Society for Extracellular Vesicles (ISEV) in New York City in October 2012. As part of the “ISEV Research Seminar: Analysis and Function of RNA in Extracellular Vesicles (evRNA)”, 6 round-table discussions were held to provide an evidence-based framework for isolation and analysis of EV, purification and analysis of associated RNA molecules, and molecular engineering of EV for therapeutic intervention. This article arises from the discussion of EV isolation and analysis at that meeting. The conclusions of the round table are supplemented with a review of published materials and our experience. Controversies and outstanding questions are identified that may inform future research and funding priorities. While we emphasize the need for standardization of specimen handling, appropriate normative controls, and isolation and analysis techniques to facilitate comparison of results, we also recognize that continual development and evaluation of techniques will be necessary as new knowledge is amassed. On many points, consensus has not yet been achieved and must be built through the reporting of well-controlled experiments.","URL":"http://www.ncbi.nlm.nih.gov/pmc/articles/PMC3760646/","DOI":"10.3402/jev.v2i0.20360","ISSN":"2001-3078","note":"PMID: 24009894\nPMCID: PMC3760646","journalAbbreviation":"J Extracell Vesicles","author":[{"family":"Witwer","given":"Kenneth W."},{"family":"Buzas","given":"Edit I."},{"family":"Bemis","given":"Lynne T."},{"family":"Bora","given":"Adriana"},{"family":"Lasser","given":"Cecilia"},{"family":"Lotvall","given":"Jan"},{"family":"Nolte-'t Hoen","given":"Esther N."},{"family":"Piper","given":"Melissa G."},{"family":"Sivaraman","given":"Sarada"},{"family":"Skog","given":"Johan"},{"family":"Thery","given":"Clotilde"},{"family":"Wauben","given":"Marca H."},{"family":"Hochberg","given":"Fred"}],"issued":{"date-parts":[["2013",5,27]]},"accessed":{"date-parts":[["2014",3,11]]},"PMID":"24009894","PMCID":"PMC3760646"}}],"schema":"https://github.com/citation-style-language/schema/raw/master/csl-citation.json"} </w:instrText>
            </w:r>
            <w:r w:rsidR="00DF339D" w:rsidRPr="002A6E06">
              <w:rPr>
                <w:rFonts w:ascii="Times New Roman" w:hAnsi="Times New Roman" w:cs="Times New Roman"/>
                <w:color w:val="365F91" w:themeColor="accent1" w:themeShade="BF"/>
              </w:rPr>
              <w:fldChar w:fldCharType="separate"/>
            </w:r>
            <w:r w:rsidR="00DF339D" w:rsidRPr="002A6E06">
              <w:rPr>
                <w:rFonts w:ascii="Times New Roman" w:hAnsi="Times New Roman" w:cs="Times New Roman"/>
                <w:color w:val="365F91" w:themeColor="accent1" w:themeShade="BF"/>
                <w:vertAlign w:val="superscript"/>
              </w:rPr>
              <w:t>12</w:t>
            </w:r>
            <w:r w:rsidR="00DF339D" w:rsidRPr="002A6E06">
              <w:rPr>
                <w:rFonts w:ascii="Times New Roman" w:hAnsi="Times New Roman" w:cs="Times New Roman"/>
                <w:color w:val="365F91" w:themeColor="accent1" w:themeShade="BF"/>
              </w:rPr>
              <w:fldChar w:fldCharType="end"/>
            </w:r>
            <w:r w:rsidR="00DF339D" w:rsidRPr="002A6E06">
              <w:rPr>
                <w:rFonts w:ascii="Times New Roman" w:hAnsi="Times New Roman" w:cs="Times New Roman"/>
                <w:color w:val="365F91" w:themeColor="accent1" w:themeShade="BF"/>
              </w:rPr>
              <w:t>.</w:t>
            </w:r>
          </w:p>
          <w:p w:rsidR="002578B8" w:rsidRPr="00DD2409" w:rsidRDefault="000C2E46" w:rsidP="00DD2409">
            <w:pPr>
              <w:rPr>
                <w:color w:val="1F497D"/>
              </w:rPr>
            </w:pPr>
            <w:r w:rsidRPr="00D95301">
              <w:br/>
            </w:r>
            <w:r w:rsidRPr="00D95301">
              <w:rPr>
                <w:i/>
                <w:iCs/>
              </w:rPr>
              <w:t>Minor Concerns</w:t>
            </w:r>
            <w:proofErr w:type="gramStart"/>
            <w:r w:rsidRPr="00D95301">
              <w:rPr>
                <w:i/>
                <w:iCs/>
              </w:rPr>
              <w:t>:</w:t>
            </w:r>
            <w:proofErr w:type="gramEnd"/>
            <w:r w:rsidRPr="00D95301">
              <w:br/>
              <w:t>Lines 146-154, section 1.3.2 and 1.3.3: Please consider adding a 96 well plate diagram with arrows showing which samples/antibodies are added to which rows. For example,</w:t>
            </w:r>
            <w:r w:rsidRPr="00D95301">
              <w:rPr>
                <w:rStyle w:val="apple-converted-space"/>
              </w:rPr>
              <w:t> </w:t>
            </w:r>
            <w:r w:rsidRPr="00D95301">
              <w:br/>
              <w:t>Row 1: samples</w:t>
            </w:r>
            <w:r w:rsidRPr="00D95301">
              <w:br/>
              <w:t>Row 2: antibody 1</w:t>
            </w:r>
            <w:r w:rsidRPr="00D95301">
              <w:br/>
            </w:r>
            <w:r w:rsidRPr="00D95301">
              <w:lastRenderedPageBreak/>
              <w:t>Row 3: antibody 2</w:t>
            </w:r>
            <w:r w:rsidRPr="00D95301">
              <w:br/>
              <w:t>Row 4: antibody 3</w:t>
            </w:r>
            <w:r w:rsidRPr="00D95301">
              <w:br/>
              <w:t>Row 5: empty</w:t>
            </w:r>
            <w:r w:rsidRPr="00D95301">
              <w:br/>
              <w:t>Rows 6-8: PBS</w:t>
            </w:r>
          </w:p>
          <w:p w:rsidR="00B02997" w:rsidRDefault="00B02997" w:rsidP="00B02997">
            <w:pPr>
              <w:pStyle w:val="NormalWeb"/>
              <w:shd w:val="clear" w:color="auto" w:fill="FFFFFF"/>
              <w:tabs>
                <w:tab w:val="left" w:pos="1530"/>
              </w:tabs>
              <w:spacing w:before="0" w:beforeAutospacing="0" w:after="0" w:afterAutospacing="0" w:line="210" w:lineRule="atLeast"/>
              <w:rPr>
                <w:color w:val="365F91" w:themeColor="accent1" w:themeShade="BF"/>
              </w:rPr>
            </w:pPr>
            <w:r>
              <w:rPr>
                <w:color w:val="365F91" w:themeColor="accent1" w:themeShade="BF"/>
              </w:rPr>
              <w:t xml:space="preserve">Thank you for your suggestion. We have </w:t>
            </w:r>
            <w:r w:rsidRPr="00873C05">
              <w:rPr>
                <w:color w:val="365F91" w:themeColor="accent1" w:themeShade="BF"/>
              </w:rPr>
              <w:t>added this plate map to Figure 1.</w:t>
            </w:r>
            <w:r>
              <w:rPr>
                <w:color w:val="365F91" w:themeColor="accent1" w:themeShade="BF"/>
              </w:rPr>
              <w:t xml:space="preserve"> </w:t>
            </w:r>
            <w:r w:rsidR="00705742">
              <w:rPr>
                <w:noProof/>
              </w:rPr>
              <w:drawing>
                <wp:inline distT="0" distB="0" distL="0" distR="0" wp14:anchorId="71990D98" wp14:editId="17AB6693">
                  <wp:extent cx="2447925" cy="1440180"/>
                  <wp:effectExtent l="0" t="0" r="9525" b="7620"/>
                  <wp:docPr id="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1440180"/>
                          </a:xfrm>
                          <a:prstGeom prst="rect">
                            <a:avLst/>
                          </a:prstGeom>
                          <a:noFill/>
                          <a:ln>
                            <a:noFill/>
                          </a:ln>
                        </pic:spPr>
                      </pic:pic>
                    </a:graphicData>
                  </a:graphic>
                </wp:inline>
              </w:drawing>
            </w:r>
            <w:r w:rsidR="000C2E46" w:rsidRPr="00D95301">
              <w:br/>
            </w:r>
            <w:r w:rsidR="000C2E46" w:rsidRPr="00D95301">
              <w:br/>
              <w:t>Line 158, section 1.4.1: Please state the type of "hood" - a chemical fume hood or a biological safety cabinet?</w:t>
            </w:r>
            <w:r w:rsidR="000C2E46" w:rsidRPr="00D95301">
              <w:br/>
            </w:r>
            <w:r>
              <w:rPr>
                <w:color w:val="365F91" w:themeColor="accent1" w:themeShade="BF"/>
              </w:rPr>
              <w:t>We have replaced “hood” with “</w:t>
            </w:r>
            <w:r w:rsidRPr="00B02997">
              <w:rPr>
                <w:color w:val="365F91" w:themeColor="accent1" w:themeShade="BF"/>
              </w:rPr>
              <w:t>biological safety cabinet</w:t>
            </w:r>
            <w:r>
              <w:rPr>
                <w:color w:val="365F91" w:themeColor="accent1" w:themeShade="BF"/>
              </w:rPr>
              <w:t>” throughout the manuscript.</w:t>
            </w:r>
          </w:p>
          <w:p w:rsidR="0037614C" w:rsidRDefault="000C2E46" w:rsidP="0037614C">
            <w:pPr>
              <w:pStyle w:val="NormalWeb"/>
              <w:shd w:val="clear" w:color="auto" w:fill="FFFFFF"/>
              <w:tabs>
                <w:tab w:val="left" w:pos="1530"/>
              </w:tabs>
              <w:spacing w:before="0" w:beforeAutospacing="0" w:after="0" w:afterAutospacing="0" w:line="210" w:lineRule="atLeast"/>
              <w:rPr>
                <w:color w:val="365F91" w:themeColor="accent1" w:themeShade="BF"/>
              </w:rPr>
            </w:pPr>
            <w:r w:rsidRPr="00D95301">
              <w:br/>
              <w:t xml:space="preserve">Line 162, section 1.4.2: Please list how many centrifugal filter tubes are needed. In the example protocol described for 12 samples, with 3 panels of antibodies, you </w:t>
            </w:r>
            <w:proofErr w:type="gramStart"/>
            <w:r w:rsidRPr="00D95301">
              <w:t>would need</w:t>
            </w:r>
            <w:proofErr w:type="gramEnd"/>
            <w:r w:rsidRPr="00D95301">
              <w:t xml:space="preserve"> 12x3=36 filter tubes.</w:t>
            </w:r>
            <w:r w:rsidRPr="00D95301">
              <w:br/>
            </w:r>
            <w:r w:rsidR="0037614C">
              <w:rPr>
                <w:color w:val="365F91" w:themeColor="accent1" w:themeShade="BF"/>
              </w:rPr>
              <w:t xml:space="preserve">That is correct. Per your suggestion, we have added this to the protocol step in the manuscript. </w:t>
            </w:r>
          </w:p>
          <w:p w:rsidR="00705742" w:rsidRDefault="000C2E46" w:rsidP="0037614C">
            <w:pPr>
              <w:pStyle w:val="NormalWeb"/>
              <w:shd w:val="clear" w:color="auto" w:fill="FFFFFF"/>
              <w:tabs>
                <w:tab w:val="left" w:pos="1530"/>
              </w:tabs>
              <w:spacing w:before="0" w:beforeAutospacing="0" w:after="0" w:afterAutospacing="0" w:line="210" w:lineRule="atLeast"/>
              <w:rPr>
                <w:rStyle w:val="apple-converted-space"/>
              </w:rPr>
            </w:pPr>
            <w:r w:rsidRPr="00D95301">
              <w:br/>
              <w:t>Line 322, section 2.3.3: How long can the samples sit prior to analysis? How long is the flow cytometer gating stable? Does this protocol require coordination between two people - one to prepare the samples while the other is calibrating the flow cytometer?</w:t>
            </w:r>
            <w:r w:rsidRPr="00D95301">
              <w:rPr>
                <w:rStyle w:val="apple-converted-space"/>
              </w:rPr>
              <w:t> </w:t>
            </w:r>
          </w:p>
          <w:p w:rsidR="00B5237C" w:rsidRDefault="00705742" w:rsidP="00B5237C">
            <w:pPr>
              <w:pStyle w:val="NormalWeb"/>
              <w:shd w:val="clear" w:color="auto" w:fill="FFFFFF"/>
              <w:tabs>
                <w:tab w:val="left" w:pos="1530"/>
              </w:tabs>
              <w:spacing w:before="0" w:beforeAutospacing="0" w:after="0" w:afterAutospacing="0" w:line="210" w:lineRule="atLeast"/>
              <w:rPr>
                <w:color w:val="365F91" w:themeColor="accent1" w:themeShade="BF"/>
              </w:rPr>
            </w:pPr>
            <w:r>
              <w:rPr>
                <w:color w:val="365F91" w:themeColor="accent1" w:themeShade="BF"/>
              </w:rPr>
              <w:t xml:space="preserve">We have run samples up to several hours after staining without noticing an effect on sample quality. It is unlikely that the protocol would require coordination between two people, even if many samples were tested at once. </w:t>
            </w:r>
            <w:r w:rsidR="008E23AE">
              <w:rPr>
                <w:color w:val="365F91" w:themeColor="accent1" w:themeShade="BF"/>
              </w:rPr>
              <w:t>We have clarified this in the protocol by adding “(or within the same day)” to line 322. It now reads, “</w:t>
            </w:r>
            <w:r w:rsidR="008E23AE" w:rsidRPr="008E23AE">
              <w:rPr>
                <w:color w:val="365F91" w:themeColor="accent1" w:themeShade="BF"/>
              </w:rPr>
              <w:t>Wash beads with 2 ml media, resuspend in 400 μl media and run immediately (</w:t>
            </w:r>
            <w:r w:rsidR="008E23AE">
              <w:rPr>
                <w:color w:val="365F91" w:themeColor="accent1" w:themeShade="BF"/>
              </w:rPr>
              <w:t xml:space="preserve">or </w:t>
            </w:r>
            <w:r w:rsidR="008E23AE" w:rsidRPr="008E23AE">
              <w:rPr>
                <w:color w:val="365F91" w:themeColor="accent1" w:themeShade="BF"/>
              </w:rPr>
              <w:t>within the same day) on flow cytometer.</w:t>
            </w:r>
            <w:r w:rsidR="008E23AE">
              <w:rPr>
                <w:color w:val="365F91" w:themeColor="accent1" w:themeShade="BF"/>
              </w:rPr>
              <w:t>”</w:t>
            </w:r>
            <w:r w:rsidR="000C2E46" w:rsidRPr="00D95301">
              <w:br/>
            </w:r>
            <w:r w:rsidR="000C2E46" w:rsidRPr="00D95301">
              <w:br/>
            </w:r>
            <w:r w:rsidR="000C2E46" w:rsidRPr="00D95301">
              <w:br/>
            </w:r>
            <w:r w:rsidR="000C2E46" w:rsidRPr="00D95301">
              <w:rPr>
                <w:b/>
                <w:bCs/>
              </w:rPr>
              <w:t>Reviewer #4:</w:t>
            </w:r>
            <w:r w:rsidR="000C2E46" w:rsidRPr="00D95301">
              <w:rPr>
                <w:rStyle w:val="apple-converted-space"/>
              </w:rPr>
              <w:t> </w:t>
            </w:r>
            <w:r w:rsidR="000C2E46" w:rsidRPr="00D95301">
              <w:br/>
            </w:r>
            <w:r w:rsidR="000C2E46" w:rsidRPr="00D95301">
              <w:rPr>
                <w:i/>
                <w:iCs/>
              </w:rPr>
              <w:t>Major Concerns</w:t>
            </w:r>
            <w:proofErr w:type="gramStart"/>
            <w:r w:rsidR="000C2E46" w:rsidRPr="00D95301">
              <w:rPr>
                <w:i/>
                <w:iCs/>
              </w:rPr>
              <w:t>:</w:t>
            </w:r>
            <w:proofErr w:type="gramEnd"/>
            <w:r w:rsidR="000C2E46" w:rsidRPr="00D95301">
              <w:br/>
              <w:t>Introduction</w:t>
            </w:r>
            <w:r w:rsidR="000C2E46" w:rsidRPr="00D95301">
              <w:br/>
              <w:t>The author should:</w:t>
            </w:r>
            <w:r w:rsidR="000C2E46" w:rsidRPr="00D95301">
              <w:br/>
              <w:t>1. Explain, specifically, why other methods of EV analysis are not effective.</w:t>
            </w:r>
            <w:r w:rsidR="000C2E46" w:rsidRPr="00D95301">
              <w:br/>
            </w:r>
            <w:r w:rsidR="00B5237C">
              <w:rPr>
                <w:color w:val="365F91" w:themeColor="accent1" w:themeShade="BF"/>
              </w:rPr>
              <w:t xml:space="preserve">Our introduction does not state or imply that other methods of EV analysis are not effective. We believe other methods of EV analysis can be just as useful and have included specific examples in the discussion to expand on this. </w:t>
            </w:r>
          </w:p>
          <w:p w:rsidR="00B22012" w:rsidRDefault="000C2E46" w:rsidP="00B5237C">
            <w:pPr>
              <w:pStyle w:val="NormalWeb"/>
              <w:shd w:val="clear" w:color="auto" w:fill="FFFFFF"/>
              <w:tabs>
                <w:tab w:val="left" w:pos="1530"/>
              </w:tabs>
              <w:spacing w:before="0" w:beforeAutospacing="0" w:after="0" w:afterAutospacing="0" w:line="210" w:lineRule="atLeast"/>
            </w:pPr>
            <w:r w:rsidRPr="00D95301">
              <w:br/>
              <w:t xml:space="preserve">2. Give a more detailed description of EV function, specific examples of biological processes they regulate, and outcomes resulting from </w:t>
            </w:r>
            <w:r w:rsidRPr="00A343E3">
              <w:t>that regulation.</w:t>
            </w:r>
          </w:p>
          <w:p w:rsidR="00A343E3" w:rsidRDefault="00B22012" w:rsidP="00B5237C">
            <w:pPr>
              <w:pStyle w:val="NormalWeb"/>
              <w:shd w:val="clear" w:color="auto" w:fill="FFFFFF"/>
              <w:tabs>
                <w:tab w:val="left" w:pos="1530"/>
              </w:tabs>
              <w:spacing w:before="0" w:beforeAutospacing="0" w:after="0" w:afterAutospacing="0" w:line="210" w:lineRule="atLeast"/>
            </w:pPr>
            <w:r w:rsidRPr="00B22012">
              <w:rPr>
                <w:color w:val="365F91" w:themeColor="accent1" w:themeShade="BF"/>
              </w:rPr>
              <w:t xml:space="preserve">We have enhanced our introduction to provide additional clinical examples. It now reads, </w:t>
            </w:r>
            <w:r w:rsidR="00A343E3">
              <w:rPr>
                <w:color w:val="365F91" w:themeColor="accent1" w:themeShade="BF"/>
              </w:rPr>
              <w:t>“</w:t>
            </w:r>
            <w:r w:rsidR="00A343E3" w:rsidRPr="00A343E3">
              <w:rPr>
                <w:rFonts w:cstheme="minorHAnsi"/>
                <w:color w:val="365F91" w:themeColor="accent1" w:themeShade="BF"/>
              </w:rPr>
              <w:t xml:space="preserve">Through expression of various surface markers and/or direct transfer of biological material, </w:t>
            </w:r>
            <w:r w:rsidR="00A343E3" w:rsidRPr="00A343E3">
              <w:rPr>
                <w:rFonts w:cstheme="minorHAnsi"/>
                <w:color w:val="365F91" w:themeColor="accent1" w:themeShade="BF"/>
              </w:rPr>
              <w:lastRenderedPageBreak/>
              <w:t>EVs are able to alter the function of recipient cells to play either activating or suppressing roles in intercellular communication</w:t>
            </w:r>
            <w:r w:rsidR="00A343E3" w:rsidRPr="00A343E3">
              <w:rPr>
                <w:rFonts w:cstheme="minorHAnsi"/>
                <w:color w:val="365F91" w:themeColor="accent1" w:themeShade="BF"/>
              </w:rPr>
              <w:fldChar w:fldCharType="begin"/>
            </w:r>
            <w:r w:rsidR="00A343E3" w:rsidRPr="00A343E3">
              <w:rPr>
                <w:rFonts w:cstheme="minorHAnsi"/>
                <w:color w:val="365F91" w:themeColor="accent1" w:themeShade="BF"/>
              </w:rPr>
              <w:instrText xml:space="preserve"> ADDIN ZOTERO_ITEM CSL_CITATION {"citationID":"kqbkXLYA","properties":{"formattedCitation":"{\\rtf \\super 2\\uc0\\u8211{}4\\nosupersub{}}","plainCitation":"2–4"},"citationItems":[{"id":251,"uris":["http://zotero.org/users/1400844/items/J2E3MHU4"],"uri":["http://zotero.org/users/1400844/items/J2E3MHU4"],"itemData":{"id":251,"type":"article-journal","title":"Preventing platelet-derived microparticle formation--and possible side effects-with prestorage leukofiltration of whole blood","container-title":"Archives of pathology &amp; laboratory medicine","page":"771-775","volume":"134","issue":"5","source":"NCBI PubMed","abstract":"CONTEXT: Platelet-derived microparticles (PDMPs) probably function in hemostasis, thrombosis, inflammation, and transfusion-related immunomodulation.\nOBJECTIVE: To compare PDMP levels of leukocyte-filtered and unfiltered whole blood during storage.\nDESIGN: Ten whole blood donations were collected and processed. Half of each collection was filtered, half remained unfiltered, and both halves were measured for red cell, white cell, and platelet (PLT) content before storage. Samples were drawn on days 0, 1, 2, 3, 5, 7, 14, 21, 28, and 35 and analyzed by flow cytometry.\nRESULTS: Leukocyte filtration lowered prestorage PDMP and PLT counts by an average of 72% and 99%, respectively. Prestorage PDMP counts were 123 +/- 51/microL in unfiltered whole blood supernatant versus 34 +/- 18/microL after filtration. Prestorage PLT counts were 190 +/- 49/microL in unfiltered whole blood supernatant versus 2 +/- 4/microL after filtration. Moreover, PDMP and PLT counts in filtered whole blood remained low throughout storage, typically below 100/microL. In contrast, unfiltered whole blood PDMP- and PLT-gated events increased approximately 2 log during storage, with the peak number of PLT-gated events tending to coincide with the peak number of PDMP-gated events (4 donors) or to come after the peak number of PDMP-gated events (6 donors).\nCONCLUSIONS: Leukocyte filtration of whole blood lowers prestorage PDMP and PLT counts. Platelet-derived microparticle and PLT counts remain low throughout 35 days of storage. In contrast, PDMP- and PLT-gated events increase significantly in unfiltered whole blood. The nature of PLT-gated events in stored blood warrants further investigation.","DOI":"10.1043/1543-2165-134.5.771","ISSN":"1543-2165","note":"PMID: 20441510","journalAbbreviation":"Arch. Pathol. Lab. Med.","language":"eng","author":[{"family":"Sugawara","given":"Akiko"},{"family":"Nollet","given":"Kenneth E"},{"family":"Yajima","given":"Kentaro"},{"family":"Saito","given":"Shunnichi"},{"family":"Ohto","given":"Hitoshi"}],"issued":{"date-parts":[["2010",5]]},"PMID":"20441510"}},{"id":136,"uris":["http://zotero.org/users/1400844/items/8W3885QS"],"uri":["http://zotero.org/users/1400844/items/8W3885QS"],"itemData":{"id":136,"type":"article-journal","title":"Membrane vesicles as conveyors of immune responses","container-title":"Nature Reviews Immunology","page":"581-593","volume":"9","issue":"8","source":"www.nature.com","abstract":"In multicellular organisms, communication between cells mainly involves the secretion of proteins that then bind to receptors on neighbouring cells. But another mode of intercellular communication — the release of membrane vesicles — has recently become the subject of increasing interest. Membrane vesicles are complex structures composed of a lipid bilayer that contains transmembrane proteins and encloses soluble hydrophilic components derived from the cytosol of the donor cell. These vesicles have been shown to affect the physiology of neighbouring recipient cells in various ways, from inducing intracellular signalling following binding to receptors to conferring new properties after the acquisition of new receptors, enzymes or even genetic material from the vesicles. This Review focuses on the role of membrane vesicles, in particular exosomes, in the communication between immune cells, and between tumour and immune cells.","DOI":"10.1038/nri2567","ISSN":"1474-1733","journalAbbreviation":"Nat Rev Immunol","language":"en","author":[{"family":"Théry","given":"Clotilde"},{"family":"Ostrowski","given":"Matias"},{"family":"Segura","given":"Elodie"}],"issued":{"date-parts":[["2009",8]]},"accessed":{"date-parts":[["2013",6,20]]}}},{"id":100,"uris":["http://zotero.org/users/1400844/items/DJ8Z8K97"],"uri":["http://zotero.org/users/1400844/items/DJ8Z8K97"],"itemData":{"id":100,"type":"article-journal","title":"Microparticles Protagonists of a Novel Communication Network for Intercellular Information Exchange","container-title":"Circulation Research","page":"1047-1057","volume":"107","issue":"9","source":"circres.ahajournals.org","abstract":"Microparticles represent a heterogeneous population of vesicles with a diameter of 100 to 1000 nm that are released by budding of the plasma membrane and express antigens specific of their parental cells. Although microparticle formation represents a physiological phenomenon, a multitude of pathologies are associated with a considerable increase in circulating microparticles, including inflammatory and autoimmune diseases, atherosclerosis, and malignancies. Microparticles display an broad spectrum of bioactive substances and receptors on their surface and harbor a concentrated set of cytokines, signaling proteins, mRNA, and microRNA. Recent studies provided evidence for the concept of microparticles as veritable vectors for the intercellular exchange of biological signals and information. Indeed, microparticles may transfer part of their components and content to selected target cells, thus mediating cell activation, phenotypic modification, and reprogramming of cell function. Because microparticles readily circulate in the vasculature, they may serve as shuttle modules and signaling transducers not only in their local environment but also at remarkable distance from their site of origin. Altogether, this transcellular delivery system may extend the confines of the limited transcriptome and proteome of recipient cells and establishes a communication network in which specific properties and information among cells can be efficiently shared. At least in same cases, the sequential steps of the transfer process underlie complex regulatory mechanisms, including selective sorting (“packaging”) of microparticle components and content, specificity of interactions with target cells determined by surface receptors, and ultimately finely tuned and signal-dependent release and delivery of microparticle content.","DOI":"10.1161/CIRCRESAHA.110.226456","ISSN":"0009-7330, 1524-4571","note":"PMID: 21030722","journalAbbreviation":"Circulation Research","language":"en","author":[{"family":"Mause","given":"Sebastian F."},{"family":"Weber","given":"Christian"}],"issued":{"date-parts":[["2010",10,29]]},"accessed":{"date-parts":[["2013",6,20]]},"PMID":"21030722"}}],"schema":"https://github.com/citation-style-language/schema/raw/master/csl-citation.json"} </w:instrText>
            </w:r>
            <w:r w:rsidR="00A343E3" w:rsidRPr="00A343E3">
              <w:rPr>
                <w:rFonts w:cstheme="minorHAnsi"/>
                <w:color w:val="365F91" w:themeColor="accent1" w:themeShade="BF"/>
              </w:rPr>
              <w:fldChar w:fldCharType="separate"/>
            </w:r>
            <w:r w:rsidR="00A343E3" w:rsidRPr="00A343E3">
              <w:rPr>
                <w:rFonts w:cstheme="minorHAnsi"/>
                <w:color w:val="365F91" w:themeColor="accent1" w:themeShade="BF"/>
                <w:vertAlign w:val="superscript"/>
              </w:rPr>
              <w:t>2–4</w:t>
            </w:r>
            <w:r w:rsidR="00A343E3" w:rsidRPr="00A343E3">
              <w:rPr>
                <w:rFonts w:cstheme="minorHAnsi"/>
                <w:color w:val="365F91" w:themeColor="accent1" w:themeShade="BF"/>
              </w:rPr>
              <w:fldChar w:fldCharType="end"/>
            </w:r>
            <w:r w:rsidR="00A343E3" w:rsidRPr="00A343E3">
              <w:rPr>
                <w:rFonts w:cstheme="minorHAnsi"/>
                <w:color w:val="365F91" w:themeColor="accent1" w:themeShade="BF"/>
              </w:rPr>
              <w:t>. Clinically, platelet-derived EVs are known to have strong anticoagulant activity</w:t>
            </w:r>
            <w:r w:rsidR="00A343E3" w:rsidRPr="00A343E3">
              <w:rPr>
                <w:rFonts w:cstheme="minorHAnsi"/>
                <w:color w:val="365F91" w:themeColor="accent1" w:themeShade="BF"/>
              </w:rPr>
              <w:fldChar w:fldCharType="begin"/>
            </w:r>
            <w:r w:rsidR="00A343E3" w:rsidRPr="00A343E3">
              <w:rPr>
                <w:rFonts w:cstheme="minorHAnsi"/>
                <w:color w:val="365F91" w:themeColor="accent1" w:themeShade="BF"/>
              </w:rPr>
              <w:instrText xml:space="preserve"> ADDIN ZOTERO_ITEM CSL_CITATION {"citationID":"13jdisoi45","properties":{"formattedCitation":"{\\rtf \\super 5\\nosupersub{}}","plainCitation":"5"},"citationItems":[{"id":498,"uris":["http://zotero.org/users/1400844/items/UZCVBACX"],"uri":["http://zotero.org/users/1400844/items/UZCVBACX"],"itemData":{"id":498,"type":"article-journal","title":"Contributing role of extracellular vesicles on vascular endothelium haemostatic balance in cancer","container-title":"Journal of Extracellular Vesicles","volume":"3","source":"PubMed Central","abstract":"Extracellular vesicles (EVs) generated during tumourigenesis are thought to play a major role in the hypercoagulant state observed in cancer patients. They exhibit negatively charged phospholipids and tissue factor (TF) that promote coagulation cascade activation. In addition, they contain surface proteins and cytoplasmic molecules, both originating from the producing cell that can impact target cells’ expression. By targeting endothelial cells of blood vessels, these EVs could disturb the physiological anticoagulant properties of these cells and be partly responsible for the vascular endothelium activation observed in cancer patients. Indeed, vascular endothelium naturally exhibits heparin-like proteoglycan, TF pathway inhibitor and protein C anticoagulant pathway that prevent thrombosis in physiological condition. An overexpression of TF and a decreased expression of coagulation cascade inhibitors have been reported after EVs’ treatment of endothelial cells. The induction of apoptosis and an increased expression of platelet adhesion molecules have also been highlighted. These events may promote thrombus formation in cancer. The aim of this paper is to provide a targeted review on the current evidence and knowledge of roles and impact of EVs on endothelial surface anticoagulant and procoagulant factors and cellular adhesion molecules expression.","URL":"http://www.ncbi.nlm.nih.gov/pmc/articles/PMC4095764/","DOI":"10.3402/jev.v3.24400","ISSN":"2001-3078","note":"PMID: 25045423\nPMCID: PMC4095764","journalAbbreviation":"J Extracell Vesicles","author":[{"family":"Bouvy","given":"Celine"},{"family":"Gheldof","given":"Damien"},{"family":"Chatelain","given":"Christian"},{"family":"Mullier","given":"Francois"},{"family":"Dogne","given":"Jean-Michel"}],"issued":{"date-parts":[["2014",7,11]]},"accessed":{"date-parts":[["2014",9,17]]},"PMID":"25045423","PMCID":"PMC4095764"}}],"schema":"https://github.com/citation-style-language/schema/raw/master/csl-citation.json"} </w:instrText>
            </w:r>
            <w:r w:rsidR="00A343E3" w:rsidRPr="00A343E3">
              <w:rPr>
                <w:rFonts w:cstheme="minorHAnsi"/>
                <w:color w:val="365F91" w:themeColor="accent1" w:themeShade="BF"/>
              </w:rPr>
              <w:fldChar w:fldCharType="separate"/>
            </w:r>
            <w:r w:rsidR="00A343E3" w:rsidRPr="00A343E3">
              <w:rPr>
                <w:rFonts w:ascii="Calibri" w:hAnsi="Calibri" w:cs="Calibri"/>
                <w:color w:val="365F91" w:themeColor="accent1" w:themeShade="BF"/>
                <w:vertAlign w:val="superscript"/>
              </w:rPr>
              <w:t>5</w:t>
            </w:r>
            <w:r w:rsidR="00A343E3" w:rsidRPr="00A343E3">
              <w:rPr>
                <w:rFonts w:cstheme="minorHAnsi"/>
                <w:color w:val="365F91" w:themeColor="accent1" w:themeShade="BF"/>
              </w:rPr>
              <w:fldChar w:fldCharType="end"/>
            </w:r>
            <w:r w:rsidR="00A343E3" w:rsidRPr="00A343E3">
              <w:rPr>
                <w:rFonts w:cstheme="minorHAnsi"/>
                <w:color w:val="365F91" w:themeColor="accent1" w:themeShade="BF"/>
              </w:rPr>
              <w:t>, while others have been shown to contribute to a wide range of conditions, from promoting tumor metastasis</w:t>
            </w:r>
            <w:r w:rsidR="00A343E3" w:rsidRPr="00A343E3">
              <w:rPr>
                <w:rFonts w:cstheme="minorHAnsi"/>
                <w:color w:val="365F91" w:themeColor="accent1" w:themeShade="BF"/>
              </w:rPr>
              <w:fldChar w:fldCharType="begin"/>
            </w:r>
            <w:r w:rsidR="00A343E3" w:rsidRPr="00A343E3">
              <w:rPr>
                <w:rFonts w:cstheme="minorHAnsi"/>
                <w:color w:val="365F91" w:themeColor="accent1" w:themeShade="BF"/>
              </w:rPr>
              <w:instrText xml:space="preserve"> ADDIN ZOTERO_ITEM CSL_CITATION {"citationID":"10k0v46v4d","properties":{"formattedCitation":"{\\rtf \\super 6\\nosupersub{}}","plainCitation":"6"},"citationItems":[{"id":6,"uris":["http://zotero.org/users/1400844/items/VDSRQ4AP"],"uri":["http://zotero.org/users/1400844/items/VDSRQ4AP"],"itemData":{"id":6,"type":"article-journal","title":"Exosomes Released by Melanoma Cells Prepare Sentinel Lymph Nodes for Tumor Metastasis","container-title":"Cancer Research","page":"3792-3801","volume":"71","issue":"11","source":"cancerres.aacrjournals.org","abstract":"Exosomes are naturally occurring biological nanovesicles utilized by tumors to communicate signals to local and remote cells and tissues. Melanoma exosomes can incite a proangiogenic signaling program capable of remodeling tissue matrices. In this study, we show exosome-mediated conditioning of lymph nodes and define microanatomic responses that license metastasis of melanoma cells. Homing of melanoma exosomes to sentinel lymph nodes imposes synchronized molecular signals that effect melanoma cell recruitment, extracellular matrix deposition, and vascular proliferation in the lymph nodes. Our findings highlight the pathophysiologic role and mechanisms of an exosome-mediated process of microanatomic niche preparation that facilitates lymphatic metastasis by cancer cells. Cancer Res; 71(11); 3792–801. ©2011 AACR.","DOI":"10.1158/0008-5472.CAN-10-4455","ISSN":"0008-5472, 1538-7445","note":"PMID: 21478294","journalAbbreviation":"Cancer Res","language":"en","author":[{"family":"Hood","given":"Joshua L."},{"family":"San","given":"Roman Susana"},{"family":"Wickline","given":"Samuel A."}],"issued":{"date-parts":[["2011",6,1]]},"accessed":{"date-parts":[["2013",8,15]]},"PMID":"21478294"}}],"schema":"https://github.com/citation-style-language/schema/raw/master/csl-citation.json"} </w:instrText>
            </w:r>
            <w:r w:rsidR="00A343E3" w:rsidRPr="00A343E3">
              <w:rPr>
                <w:rFonts w:cstheme="minorHAnsi"/>
                <w:color w:val="365F91" w:themeColor="accent1" w:themeShade="BF"/>
              </w:rPr>
              <w:fldChar w:fldCharType="separate"/>
            </w:r>
            <w:r w:rsidR="00A343E3" w:rsidRPr="00A343E3">
              <w:rPr>
                <w:rFonts w:ascii="Calibri" w:hAnsi="Calibri" w:cs="Calibri"/>
                <w:color w:val="365F91" w:themeColor="accent1" w:themeShade="BF"/>
                <w:vertAlign w:val="superscript"/>
              </w:rPr>
              <w:t>6</w:t>
            </w:r>
            <w:r w:rsidR="00A343E3" w:rsidRPr="00A343E3">
              <w:rPr>
                <w:rFonts w:cstheme="minorHAnsi"/>
                <w:color w:val="365F91" w:themeColor="accent1" w:themeShade="BF"/>
              </w:rPr>
              <w:fldChar w:fldCharType="end"/>
            </w:r>
            <w:r w:rsidR="00A343E3" w:rsidRPr="00A343E3">
              <w:rPr>
                <w:rFonts w:cstheme="minorHAnsi"/>
                <w:color w:val="365F91" w:themeColor="accent1" w:themeShade="BF"/>
              </w:rPr>
              <w:t xml:space="preserve"> to protecting against disease</w:t>
            </w:r>
            <w:r w:rsidR="00A343E3" w:rsidRPr="00A343E3">
              <w:rPr>
                <w:rFonts w:cstheme="minorHAnsi"/>
                <w:color w:val="365F91" w:themeColor="accent1" w:themeShade="BF"/>
              </w:rPr>
              <w:fldChar w:fldCharType="begin"/>
            </w:r>
            <w:r w:rsidR="00A343E3" w:rsidRPr="00A343E3">
              <w:rPr>
                <w:rFonts w:cstheme="minorHAnsi"/>
                <w:color w:val="365F91" w:themeColor="accent1" w:themeShade="BF"/>
              </w:rPr>
              <w:instrText xml:space="preserve"> ADDIN ZOTERO_ITEM CSL_CITATION {"citationID":"uq9pk22oq","properties":{"formattedCitation":"{\\rtf \\super 7\\nosupersub{}}","plainCitation":"7"},"citationItems":[{"id":306,"uris":["http://zotero.org/users/1400844/items/3PWXICCK"],"uri":["http://zotero.org/users/1400844/items/3PWXICCK"],"itemData":{"id":306,"type":"article-journal","title":"Microvesicles derived from human adult mesenchymal stem cells protect against ischaemia–reperfusion-induced acute and chronic kidney injury","container-title":"Nephrology Dialysis Transplantation","page":"1474-1483","volume":"26","issue":"5","source":"ndt.oxfordjournals.org","abstract":"Background. Several studies demonstrated that mesenchymal stem cells (MSCs) reverse acute kidney injury (AKI) by a paracrine mechanism rather than by MSC transdifferentiation. We recently demonstrated that microvesicles (MVs) released from MSCs may account for this paracrine mechanism by a horizontal transfer of messenger RNA and microRNA.\nMethods. MVs isolated from MSCs were injected intravenously in rats (30 μg/rat) immediately after monolateral nephrectomy and renal artery and vein occlusion for 45 min. To evaluate the MV effects on AKI induced by ischaemia–reperfusion injury (IRI), the animals were divided into different groups: normal rats (n = 4), sham-operated rats (n = 6), IRI rats (n = 6), IRI + MV rats (n = 6), and IRI + RNase-MV rats (n = 6), and all animals were sacrificed at Day 2 after the operation. To evaluate the chronic kidney damage consequent to IRI, the rats were divided into different groups: sham-operated rats (n = 6) and IRI rats (n = 6), IRI + MV rats (n = 6), and all animal were sacrificed 6 months after the operation.\nResults. We found that a single administration of MVs, immediately after IRI, protects rats from AKI by inhibiting apoptosis and stimulating tubular epithelial cell proliferation. The MVs also significantly reduced the impairment of renal function. Pretreatment of MVs with RNase to inactivate their RNA cargo abrogated these protective effects. Moreover, MVs by reducing the acute injury also protected from later chronic kidney disease.\nConclusion. MVs released from MSCs protect from AKI induced by ischaemia reperfusion injury and from subsequent chronic renal damage. This suggest that MVs could be exploited as a potential new therapeutic approach.","DOI":"10.1093/ndt/gfr015","ISSN":"0931-0509, 1460-2385","note":"PMID: 21324974","journalAbbreviation":"Nephrol. Dial. Transplant.","language":"en","author":[{"family":"Gatti","given":"Stefano"},{"family":"Bruno","given":"Stefania"},{"family":"Deregibus","given":"Maria Chiara"},{"family":"Sordi","given":"Andrea"},{"family":"Cantaluppi","given":"Vincenzo"},{"family":"Tetta","given":"Ciro"},{"family":"Camussi","given":"Giovanni"}],"issued":{"date-parts":[["2011",5,1]]},"accessed":{"date-parts":[["2013",7,9]]},"PMID":"21324974"}}],"schema":"https://github.com/citation-style-language/schema/raw/master/csl-citation.json"} </w:instrText>
            </w:r>
            <w:r w:rsidR="00A343E3" w:rsidRPr="00A343E3">
              <w:rPr>
                <w:rFonts w:cstheme="minorHAnsi"/>
                <w:color w:val="365F91" w:themeColor="accent1" w:themeShade="BF"/>
              </w:rPr>
              <w:fldChar w:fldCharType="separate"/>
            </w:r>
            <w:r w:rsidR="00A343E3" w:rsidRPr="00A343E3">
              <w:rPr>
                <w:rFonts w:ascii="Calibri" w:hAnsi="Calibri" w:cs="Calibri"/>
                <w:color w:val="365F91" w:themeColor="accent1" w:themeShade="BF"/>
                <w:vertAlign w:val="superscript"/>
              </w:rPr>
              <w:t>7</w:t>
            </w:r>
            <w:r w:rsidR="00A343E3" w:rsidRPr="00A343E3">
              <w:rPr>
                <w:rFonts w:cstheme="minorHAnsi"/>
                <w:color w:val="365F91" w:themeColor="accent1" w:themeShade="BF"/>
              </w:rPr>
              <w:fldChar w:fldCharType="end"/>
            </w:r>
            <w:r w:rsidRPr="00A343E3">
              <w:rPr>
                <w:rFonts w:cstheme="minorHAnsi"/>
                <w:color w:val="365F91" w:themeColor="accent1" w:themeShade="BF"/>
              </w:rPr>
              <w:t>.”</w:t>
            </w:r>
            <w:r w:rsidR="000C2E46" w:rsidRPr="00D95301">
              <w:br/>
            </w:r>
            <w:r w:rsidR="000C2E46" w:rsidRPr="00D95301">
              <w:br/>
              <w:t>Methods</w:t>
            </w:r>
            <w:proofErr w:type="gramStart"/>
            <w:r w:rsidR="000C2E46" w:rsidRPr="00D95301">
              <w:t>:</w:t>
            </w:r>
            <w:proofErr w:type="gramEnd"/>
            <w:r w:rsidR="000C2E46" w:rsidRPr="00D95301">
              <w:br/>
              <w:t xml:space="preserve">1.1.2: Centrifuging blood containing an anticoagulant results in </w:t>
            </w:r>
            <w:r w:rsidR="000C2E46" w:rsidRPr="005308FB">
              <w:t>three layers, not two.</w:t>
            </w:r>
            <w:r w:rsidR="000C2E46" w:rsidRPr="00D95301">
              <w:t xml:space="preserve"> Also, it is incorrect to state that the first centrifugation will separate cells from plasma.</w:t>
            </w:r>
          </w:p>
          <w:p w:rsidR="00A343E3" w:rsidRPr="00A343E3" w:rsidRDefault="00A343E3" w:rsidP="00A343E3">
            <w:pPr>
              <w:rPr>
                <w:color w:val="365F91" w:themeColor="accent1" w:themeShade="BF"/>
              </w:rPr>
            </w:pPr>
            <w:r w:rsidRPr="00A343E3">
              <w:rPr>
                <w:color w:val="365F91" w:themeColor="accent1" w:themeShade="BF"/>
              </w:rPr>
              <w:t xml:space="preserve">We have modified the wording of this sentence. It now reads, “1.1.2.     Centrifuge the samples at 1500 x g for 10 min at room temperature (RT) to separate </w:t>
            </w:r>
            <w:r>
              <w:rPr>
                <w:color w:val="365F91" w:themeColor="accent1" w:themeShade="BF"/>
              </w:rPr>
              <w:t xml:space="preserve">the </w:t>
            </w:r>
            <w:r w:rsidRPr="00A343E3">
              <w:rPr>
                <w:color w:val="365F91" w:themeColor="accent1" w:themeShade="BF"/>
              </w:rPr>
              <w:t xml:space="preserve">plasma from the buffy coat and red cells. Transfer 1.2 ml aliquots of the plasma supernatant to 1.5 ml centrifuge tubes, being careful not to disturb the bottom layers containing </w:t>
            </w:r>
            <w:r w:rsidR="00DC4670">
              <w:rPr>
                <w:color w:val="365F91" w:themeColor="accent1" w:themeShade="BF"/>
              </w:rPr>
              <w:t xml:space="preserve">the </w:t>
            </w:r>
            <w:r w:rsidRPr="00A343E3">
              <w:rPr>
                <w:color w:val="365F91" w:themeColor="accent1" w:themeShade="BF"/>
              </w:rPr>
              <w:t>buffy coat and red cells.”</w:t>
            </w:r>
          </w:p>
          <w:p w:rsidR="005308FB" w:rsidRDefault="000C2E46" w:rsidP="00B5237C">
            <w:pPr>
              <w:pStyle w:val="NormalWeb"/>
              <w:shd w:val="clear" w:color="auto" w:fill="FFFFFF"/>
              <w:tabs>
                <w:tab w:val="left" w:pos="1530"/>
              </w:tabs>
              <w:spacing w:before="0" w:beforeAutospacing="0" w:after="0" w:afterAutospacing="0" w:line="210" w:lineRule="atLeast"/>
            </w:pPr>
            <w:r w:rsidRPr="00D95301">
              <w:br/>
            </w:r>
            <w:r w:rsidRPr="00D95301">
              <w:br/>
              <w:t>The materials list does not seem to include the media used for the EVs.</w:t>
            </w:r>
          </w:p>
          <w:p w:rsidR="005308FB" w:rsidRDefault="005308FB" w:rsidP="005308FB">
            <w:pPr>
              <w:pStyle w:val="NormalWeb"/>
              <w:shd w:val="clear" w:color="auto" w:fill="FFFFFF"/>
              <w:tabs>
                <w:tab w:val="left" w:pos="1530"/>
              </w:tabs>
              <w:spacing w:before="0" w:beforeAutospacing="0" w:after="0" w:afterAutospacing="0" w:line="210" w:lineRule="atLeast"/>
            </w:pPr>
            <w:r w:rsidRPr="005308FB">
              <w:rPr>
                <w:color w:val="365F91" w:themeColor="accent1" w:themeShade="BF"/>
              </w:rPr>
              <w:t>The media used is listed as “RPMI 1640 Media” in the materials table. To clarify this, we have added the note, “media used for bead-based detection method” to the comments/description column.</w:t>
            </w:r>
            <w:r w:rsidR="000C2E46" w:rsidRPr="00D95301">
              <w:br/>
            </w:r>
            <w:r w:rsidR="000C2E46" w:rsidRPr="00D95301">
              <w:br/>
              <w:t>The author should expand on the note in lines 175 and 176.</w:t>
            </w:r>
          </w:p>
          <w:p w:rsidR="00124E6A" w:rsidRDefault="005308FB" w:rsidP="005308FB">
            <w:pPr>
              <w:pStyle w:val="NormalWeb"/>
              <w:shd w:val="clear" w:color="auto" w:fill="FFFFFF"/>
              <w:tabs>
                <w:tab w:val="left" w:pos="1530"/>
              </w:tabs>
              <w:spacing w:before="0" w:beforeAutospacing="0" w:after="0" w:afterAutospacing="0" w:line="210" w:lineRule="atLeast"/>
            </w:pPr>
            <w:r>
              <w:rPr>
                <w:rFonts w:cs="Arial"/>
                <w:bCs/>
                <w:color w:val="365F91" w:themeColor="accent1" w:themeShade="BF"/>
              </w:rPr>
              <w:t xml:space="preserve">We agree that this note needed some clarification. It now reads, </w:t>
            </w:r>
            <w:r w:rsidRPr="005308FB">
              <w:rPr>
                <w:rFonts w:cs="Arial"/>
                <w:bCs/>
                <w:color w:val="365F91" w:themeColor="accent1" w:themeShade="BF"/>
              </w:rPr>
              <w:t>Note: Ensure that no liquid remains on the filter tops. After centrifugation, the filter should appear to be “dry” with no visible fluid layer remaining on top. While unlikely, certain samples may require a</w:t>
            </w:r>
            <w:r>
              <w:rPr>
                <w:rFonts w:cs="Arial"/>
                <w:bCs/>
                <w:color w:val="365F91" w:themeColor="accent1" w:themeShade="BF"/>
              </w:rPr>
              <w:t xml:space="preserve"> slightly</w:t>
            </w:r>
            <w:r w:rsidRPr="005308FB">
              <w:rPr>
                <w:rFonts w:cs="Arial"/>
                <w:bCs/>
                <w:color w:val="365F91" w:themeColor="accent1" w:themeShade="BF"/>
              </w:rPr>
              <w:t xml:space="preserve"> longer centrifugation time </w:t>
            </w:r>
            <w:r>
              <w:rPr>
                <w:rFonts w:cs="Arial"/>
                <w:bCs/>
                <w:color w:val="365F91" w:themeColor="accent1" w:themeShade="BF"/>
              </w:rPr>
              <w:t>for the fluid to</w:t>
            </w:r>
            <w:r w:rsidRPr="005308FB">
              <w:rPr>
                <w:rFonts w:cs="Arial"/>
                <w:bCs/>
                <w:color w:val="365F91" w:themeColor="accent1" w:themeShade="BF"/>
              </w:rPr>
              <w:t xml:space="preserve"> effectively move through the filter.</w:t>
            </w:r>
            <w:r>
              <w:rPr>
                <w:rFonts w:cs="Arial"/>
                <w:bCs/>
                <w:color w:val="365F91" w:themeColor="accent1" w:themeShade="BF"/>
              </w:rPr>
              <w:t>”</w:t>
            </w:r>
            <w:r w:rsidR="000C2E46" w:rsidRPr="00D95301">
              <w:br/>
            </w:r>
            <w:r w:rsidR="000C2E46" w:rsidRPr="00D95301">
              <w:br/>
              <w:t xml:space="preserve">Lines 182-183: What is the outcome if force and depression number is not consistent? How </w:t>
            </w:r>
            <w:proofErr w:type="gramStart"/>
            <w:r w:rsidR="000C2E46" w:rsidRPr="00D95301">
              <w:t>is force</w:t>
            </w:r>
            <w:proofErr w:type="gramEnd"/>
            <w:r w:rsidR="000C2E46" w:rsidRPr="00D95301">
              <w:t xml:space="preserve"> kept constant?</w:t>
            </w:r>
          </w:p>
          <w:p w:rsidR="001E07E5" w:rsidRDefault="00124E6A" w:rsidP="001E07E5">
            <w:pPr>
              <w:pStyle w:val="NormalWeb"/>
              <w:shd w:val="clear" w:color="auto" w:fill="FFFFFF"/>
              <w:tabs>
                <w:tab w:val="left" w:pos="1530"/>
              </w:tabs>
              <w:spacing w:before="0" w:beforeAutospacing="0" w:after="0" w:afterAutospacing="0" w:line="210" w:lineRule="atLeast"/>
              <w:rPr>
                <w:color w:val="365F91" w:themeColor="accent1" w:themeShade="BF"/>
              </w:rPr>
            </w:pPr>
            <w:r w:rsidRPr="00124E6A">
              <w:rPr>
                <w:color w:val="365F91" w:themeColor="accent1" w:themeShade="BF"/>
              </w:rPr>
              <w:t>W</w:t>
            </w:r>
            <w:r>
              <w:rPr>
                <w:color w:val="365F91" w:themeColor="accent1" w:themeShade="BF"/>
              </w:rPr>
              <w:t xml:space="preserve">hen force is not kept consistent from sample to sample, the number of EVs recovered from the filter tops will be different depending on the </w:t>
            </w:r>
            <w:r w:rsidR="00F63A1D">
              <w:rPr>
                <w:color w:val="365F91" w:themeColor="accent1" w:themeShade="BF"/>
              </w:rPr>
              <w:t xml:space="preserve">number </w:t>
            </w:r>
            <w:r>
              <w:rPr>
                <w:color w:val="365F91" w:themeColor="accent1" w:themeShade="BF"/>
              </w:rPr>
              <w:t>of washes &amp; force applied. More forceful pipetting may also cause damage to EVs.  W</w:t>
            </w:r>
            <w:r w:rsidRPr="00124E6A">
              <w:rPr>
                <w:color w:val="365F91" w:themeColor="accent1" w:themeShade="BF"/>
              </w:rPr>
              <w:t>e have clarified this in the protocol. It now reads, “Note: It is very important to keep the force and number of pipette plunger depressions consistent among samples</w:t>
            </w:r>
            <w:r>
              <w:rPr>
                <w:color w:val="365F91" w:themeColor="accent1" w:themeShade="BF"/>
              </w:rPr>
              <w:t xml:space="preserve"> </w:t>
            </w:r>
            <w:r w:rsidRPr="00124E6A">
              <w:rPr>
                <w:color w:val="365F91" w:themeColor="accent1" w:themeShade="BF"/>
              </w:rPr>
              <w:t>to avoid sample-to-sample variation. This should ideally be done using an electronic pipet that has been programmed to pipet up and down a specific volume (e.g., 280 µl) an exact number of times (e.g., 8 times) for each sample.”</w:t>
            </w:r>
            <w:r w:rsidR="000C2E46" w:rsidRPr="00D95301">
              <w:br/>
            </w:r>
            <w:r w:rsidR="000C2E46" w:rsidRPr="00D95301">
              <w:br/>
            </w:r>
            <w:r w:rsidR="000C2E46" w:rsidRPr="00D95301">
              <w:rPr>
                <w:i/>
                <w:iCs/>
              </w:rPr>
              <w:t>Minor Concerns</w:t>
            </w:r>
            <w:proofErr w:type="gramStart"/>
            <w:r w:rsidR="000C2E46" w:rsidRPr="00D95301">
              <w:rPr>
                <w:i/>
                <w:iCs/>
              </w:rPr>
              <w:t>:</w:t>
            </w:r>
            <w:proofErr w:type="gramEnd"/>
            <w:r w:rsidR="000C2E46" w:rsidRPr="00D95301">
              <w:br/>
              <w:t>Method A:</w:t>
            </w:r>
            <w:r w:rsidR="000C2E46" w:rsidRPr="00D95301">
              <w:br/>
              <w:t>The temperature should be included for all centrifugation steps.</w:t>
            </w:r>
            <w:r w:rsidR="000C2E46" w:rsidRPr="00D95301">
              <w:br/>
            </w:r>
            <w:r>
              <w:rPr>
                <w:color w:val="365F91" w:themeColor="accent1" w:themeShade="BF"/>
              </w:rPr>
              <w:t xml:space="preserve">We agree that the processing methods should have been more detailed. The </w:t>
            </w:r>
            <w:r w:rsidRPr="005548F3">
              <w:rPr>
                <w:color w:val="365F91" w:themeColor="accent1" w:themeShade="BF"/>
              </w:rPr>
              <w:t>centrifugation</w:t>
            </w:r>
            <w:r>
              <w:rPr>
                <w:color w:val="365F91" w:themeColor="accent1" w:themeShade="BF"/>
              </w:rPr>
              <w:t xml:space="preserve"> temperature has been added</w:t>
            </w:r>
            <w:r w:rsidRPr="005548F3">
              <w:rPr>
                <w:color w:val="365F91" w:themeColor="accent1" w:themeShade="BF"/>
              </w:rPr>
              <w:t xml:space="preserve"> </w:t>
            </w:r>
            <w:r>
              <w:rPr>
                <w:color w:val="365F91" w:themeColor="accent1" w:themeShade="BF"/>
              </w:rPr>
              <w:t>to all applicable steps within the protocol.</w:t>
            </w:r>
          </w:p>
          <w:p w:rsidR="001E07E5" w:rsidRDefault="000C2E46" w:rsidP="001E07E5">
            <w:pPr>
              <w:pStyle w:val="NormalWeb"/>
              <w:shd w:val="clear" w:color="auto" w:fill="FFFFFF"/>
              <w:tabs>
                <w:tab w:val="left" w:pos="1530"/>
              </w:tabs>
              <w:spacing w:before="0" w:beforeAutospacing="0" w:after="0" w:afterAutospacing="0" w:line="210" w:lineRule="atLeast"/>
            </w:pPr>
            <w:r w:rsidRPr="00D95301">
              <w:br/>
              <w:t>1.1.3: Does the author really mean "combine"? If so, what is being combined?</w:t>
            </w:r>
            <w:r w:rsidRPr="00D95301">
              <w:br/>
            </w:r>
            <w:r w:rsidR="0067672D">
              <w:rPr>
                <w:color w:val="365F91" w:themeColor="accent1" w:themeShade="BF"/>
              </w:rPr>
              <w:t xml:space="preserve">We can see how this sentence may have been confusing. The word “combine” was intended to refer to all PPP from a single donor (if, for example, multiple tubes were drawn). We have replaced the word “combine” </w:t>
            </w:r>
            <w:r w:rsidR="00731934">
              <w:rPr>
                <w:color w:val="365F91" w:themeColor="accent1" w:themeShade="BF"/>
              </w:rPr>
              <w:t>with</w:t>
            </w:r>
            <w:r w:rsidR="0067672D">
              <w:rPr>
                <w:color w:val="365F91" w:themeColor="accent1" w:themeShade="BF"/>
              </w:rPr>
              <w:t xml:space="preserve"> “add” for clarity.</w:t>
            </w:r>
          </w:p>
          <w:p w:rsidR="001E07E5" w:rsidRPr="001E07E5" w:rsidRDefault="000C2E46" w:rsidP="001E07E5">
            <w:pPr>
              <w:pStyle w:val="NormalWeb"/>
              <w:shd w:val="clear" w:color="auto" w:fill="FFFFFF"/>
              <w:tabs>
                <w:tab w:val="left" w:pos="1530"/>
              </w:tabs>
              <w:spacing w:before="0" w:beforeAutospacing="0" w:after="0" w:afterAutospacing="0" w:line="210" w:lineRule="atLeast"/>
              <w:rPr>
                <w:color w:val="365F91" w:themeColor="accent1" w:themeShade="BF"/>
              </w:rPr>
            </w:pPr>
            <w:r w:rsidRPr="00D95301">
              <w:br/>
            </w:r>
            <w:r w:rsidRPr="00D95301">
              <w:lastRenderedPageBreak/>
              <w:t>1.3.1: Omit "To do this" and give the filtering steps an appropriate heading.</w:t>
            </w:r>
            <w:r w:rsidRPr="00D95301">
              <w:br/>
            </w:r>
            <w:r w:rsidR="001E07E5">
              <w:rPr>
                <w:color w:val="365F91" w:themeColor="accent1" w:themeShade="BF"/>
              </w:rPr>
              <w:t>Per your request, we</w:t>
            </w:r>
            <w:r w:rsidR="001E07E5" w:rsidRPr="001E07E5">
              <w:rPr>
                <w:color w:val="365F91" w:themeColor="accent1" w:themeShade="BF"/>
              </w:rPr>
              <w:t xml:space="preserve"> have omitted the words “To do this” and added a heading</w:t>
            </w:r>
            <w:r w:rsidR="001E07E5">
              <w:rPr>
                <w:color w:val="365F91" w:themeColor="accent1" w:themeShade="BF"/>
              </w:rPr>
              <w:t>. I</w:t>
            </w:r>
            <w:r w:rsidR="001E07E5" w:rsidRPr="001E07E5">
              <w:rPr>
                <w:color w:val="365F91" w:themeColor="accent1" w:themeShade="BF"/>
              </w:rPr>
              <w:t>t now looks like this:</w:t>
            </w:r>
          </w:p>
          <w:p w:rsidR="001E07E5" w:rsidRPr="001E07E5" w:rsidRDefault="001E07E5" w:rsidP="001E07E5">
            <w:pPr>
              <w:pStyle w:val="NormalWeb"/>
              <w:shd w:val="clear" w:color="auto" w:fill="FFFFFF"/>
              <w:tabs>
                <w:tab w:val="left" w:pos="1530"/>
              </w:tabs>
              <w:spacing w:line="210" w:lineRule="atLeast"/>
              <w:ind w:left="720"/>
              <w:rPr>
                <w:color w:val="365F91" w:themeColor="accent1" w:themeShade="BF"/>
              </w:rPr>
            </w:pPr>
            <w:r w:rsidRPr="001E07E5">
              <w:rPr>
                <w:color w:val="365F91" w:themeColor="accent1" w:themeShade="BF"/>
              </w:rPr>
              <w:t>1.3.1.</w:t>
            </w:r>
            <w:r w:rsidRPr="001E07E5">
              <w:rPr>
                <w:color w:val="365F91" w:themeColor="accent1" w:themeShade="BF"/>
              </w:rPr>
              <w:tab/>
              <w:t>Prior to staining, all antibodies (Abs) need to be filtered to remove aggregates, which can cause positive signals.</w:t>
            </w:r>
          </w:p>
          <w:p w:rsidR="001E07E5" w:rsidRPr="001E07E5" w:rsidRDefault="001E07E5" w:rsidP="001E07E5">
            <w:pPr>
              <w:pStyle w:val="NormalWeb"/>
              <w:shd w:val="clear" w:color="auto" w:fill="FFFFFF"/>
              <w:tabs>
                <w:tab w:val="left" w:pos="1530"/>
              </w:tabs>
              <w:spacing w:before="0" w:beforeAutospacing="0" w:after="0" w:afterAutospacing="0" w:line="210" w:lineRule="atLeast"/>
              <w:ind w:left="720"/>
              <w:rPr>
                <w:color w:val="365F91" w:themeColor="accent1" w:themeShade="BF"/>
              </w:rPr>
            </w:pPr>
            <w:r w:rsidRPr="001E07E5">
              <w:rPr>
                <w:color w:val="365F91" w:themeColor="accent1" w:themeShade="BF"/>
              </w:rPr>
              <w:t>1.3.1.1.</w:t>
            </w:r>
            <w:r w:rsidRPr="001E07E5">
              <w:rPr>
                <w:color w:val="365F91" w:themeColor="accent1" w:themeShade="BF"/>
              </w:rPr>
              <w:tab/>
              <w:t>Combine antibodies to be used in each of the 3 panels into separate 0.22 µm centrifugal filter tubes and centrifuge using a fixed angle single speed centrifuge (~750 x g) at RT for 2 min, or until all of the Ab mixture has passed through the filter and no antibody liquid remains on the surface of the filter. Store Ab cocktails in the fridge for up to two weeks but re-filter each time before use.</w:t>
            </w:r>
          </w:p>
          <w:p w:rsidR="004217F5" w:rsidRDefault="000C2E46" w:rsidP="00124E6A">
            <w:pPr>
              <w:pStyle w:val="NormalWeb"/>
              <w:shd w:val="clear" w:color="auto" w:fill="FFFFFF"/>
              <w:tabs>
                <w:tab w:val="left" w:pos="1530"/>
              </w:tabs>
              <w:spacing w:before="0" w:beforeAutospacing="0" w:after="0" w:afterAutospacing="0" w:line="210" w:lineRule="atLeast"/>
              <w:rPr>
                <w:color w:val="365F91" w:themeColor="accent1" w:themeShade="BF"/>
              </w:rPr>
            </w:pPr>
            <w:r w:rsidRPr="00D95301">
              <w:br/>
              <w:t>The tables should be reformatted so that they are more easily viewed.</w:t>
            </w:r>
            <w:r w:rsidRPr="00D95301">
              <w:br/>
            </w:r>
            <w:r w:rsidR="00EF0857">
              <w:rPr>
                <w:color w:val="365F91" w:themeColor="accent1" w:themeShade="BF"/>
              </w:rPr>
              <w:t xml:space="preserve">Thank you for your suggestion. We have </w:t>
            </w:r>
            <w:r w:rsidR="004217F5">
              <w:rPr>
                <w:color w:val="365F91" w:themeColor="accent1" w:themeShade="BF"/>
              </w:rPr>
              <w:t>changed the formatting of the text to “wrap” so that the entire contents within a cell are</w:t>
            </w:r>
            <w:r w:rsidR="004217F5">
              <w:rPr>
                <w:color w:val="365F91" w:themeColor="accent1" w:themeShade="BF"/>
              </w:rPr>
              <w:t xml:space="preserve"> </w:t>
            </w:r>
            <w:r w:rsidR="004217F5">
              <w:rPr>
                <w:color w:val="365F91" w:themeColor="accent1" w:themeShade="BF"/>
              </w:rPr>
              <w:t xml:space="preserve">now visible. </w:t>
            </w:r>
          </w:p>
          <w:p w:rsidR="00352078" w:rsidRDefault="000C2E46" w:rsidP="00124E6A">
            <w:pPr>
              <w:pStyle w:val="NormalWeb"/>
              <w:shd w:val="clear" w:color="auto" w:fill="FFFFFF"/>
              <w:tabs>
                <w:tab w:val="left" w:pos="1530"/>
              </w:tabs>
              <w:spacing w:before="0" w:beforeAutospacing="0" w:after="0" w:afterAutospacing="0" w:line="210" w:lineRule="atLeast"/>
            </w:pPr>
            <w:r w:rsidRPr="00D95301">
              <w:br/>
              <w:t>1.5.2.3: What is the name of the software?</w:t>
            </w:r>
          </w:p>
          <w:p w:rsidR="00352078" w:rsidRDefault="00352078" w:rsidP="00352078">
            <w:pPr>
              <w:pStyle w:val="NormalWeb"/>
              <w:shd w:val="clear" w:color="auto" w:fill="FFFFFF"/>
              <w:tabs>
                <w:tab w:val="left" w:pos="1530"/>
              </w:tabs>
              <w:spacing w:before="0" w:beforeAutospacing="0" w:after="0" w:afterAutospacing="0" w:line="210" w:lineRule="atLeast"/>
              <w:rPr>
                <w:color w:val="365F91" w:themeColor="accent1" w:themeShade="BF"/>
              </w:rPr>
            </w:pPr>
            <w:r>
              <w:rPr>
                <w:color w:val="365F91" w:themeColor="accent1" w:themeShade="BF"/>
              </w:rPr>
              <w:t xml:space="preserve">We used FACS Diva software, which was the software included with our cytometer. The </w:t>
            </w:r>
            <w:proofErr w:type="spellStart"/>
            <w:r>
              <w:rPr>
                <w:color w:val="365F91" w:themeColor="accent1" w:themeShade="BF"/>
              </w:rPr>
              <w:t>JoVE</w:t>
            </w:r>
            <w:proofErr w:type="spellEnd"/>
            <w:r>
              <w:rPr>
                <w:color w:val="365F91" w:themeColor="accent1" w:themeShade="BF"/>
              </w:rPr>
              <w:t xml:space="preserve"> manuscript guidelines do not permit the use of commercial language within the article text, so all reagents and instrument specifics (including flow cytometer software used) are listed in the Table of </w:t>
            </w:r>
            <w:r w:rsidRPr="00D954C2">
              <w:rPr>
                <w:color w:val="365F91" w:themeColor="accent1" w:themeShade="BF"/>
              </w:rPr>
              <w:t>Specific Reagents/Materials</w:t>
            </w:r>
            <w:r>
              <w:rPr>
                <w:color w:val="365F91" w:themeColor="accent1" w:themeShade="BF"/>
              </w:rPr>
              <w:t>. We have attempted to clarify this in the protocol by adding the text “</w:t>
            </w:r>
            <w:r w:rsidRPr="00352078">
              <w:rPr>
                <w:color w:val="365F91" w:themeColor="accent1" w:themeShade="BF"/>
              </w:rPr>
              <w:t>Using the flow cytometer software</w:t>
            </w:r>
            <w:r>
              <w:rPr>
                <w:color w:val="365F91" w:themeColor="accent1" w:themeShade="BF"/>
              </w:rPr>
              <w:t xml:space="preserve"> included with your instrument, […]” to section 1.5.2.3.</w:t>
            </w:r>
          </w:p>
          <w:p w:rsidR="00352078" w:rsidRDefault="000C2E46" w:rsidP="00124E6A">
            <w:pPr>
              <w:pStyle w:val="NormalWeb"/>
              <w:shd w:val="clear" w:color="auto" w:fill="FFFFFF"/>
              <w:tabs>
                <w:tab w:val="left" w:pos="1530"/>
              </w:tabs>
              <w:spacing w:before="0" w:beforeAutospacing="0" w:after="0" w:afterAutospacing="0" w:line="210" w:lineRule="atLeast"/>
            </w:pPr>
            <w:r w:rsidRPr="00D95301">
              <w:br/>
            </w:r>
            <w:r w:rsidRPr="00D95301">
              <w:rPr>
                <w:i/>
                <w:iCs/>
              </w:rPr>
              <w:t>Additional Comments to Authors</w:t>
            </w:r>
            <w:proofErr w:type="gramStart"/>
            <w:r w:rsidRPr="00D95301">
              <w:rPr>
                <w:i/>
                <w:iCs/>
              </w:rPr>
              <w:t>:</w:t>
            </w:r>
            <w:proofErr w:type="gramEnd"/>
            <w:r w:rsidRPr="00D95301">
              <w:br/>
              <w:t>The techniques for isolating EVs look the same in both methods.</w:t>
            </w:r>
          </w:p>
          <w:p w:rsidR="000C2E46" w:rsidRPr="00352078" w:rsidRDefault="00352078" w:rsidP="00D30FCB">
            <w:pPr>
              <w:pStyle w:val="NormalWeb"/>
              <w:shd w:val="clear" w:color="auto" w:fill="FFFFFF"/>
              <w:tabs>
                <w:tab w:val="left" w:pos="1530"/>
              </w:tabs>
              <w:spacing w:before="0" w:beforeAutospacing="0" w:after="0" w:afterAutospacing="0" w:line="210" w:lineRule="atLeast"/>
            </w:pPr>
            <w:r>
              <w:rPr>
                <w:color w:val="365F91" w:themeColor="accent1" w:themeShade="BF"/>
              </w:rPr>
              <w:t xml:space="preserve">Thank you for this observation.  Since the isolation techniques are the same, we have removed the isolation method described in Protocol B and replaced it with instructions to the reader to refer to </w:t>
            </w:r>
            <w:r w:rsidR="00D30FCB">
              <w:rPr>
                <w:color w:val="365F91" w:themeColor="accent1" w:themeShade="BF"/>
              </w:rPr>
              <w:t xml:space="preserve">Protocol A’s isolation method </w:t>
            </w:r>
            <w:r>
              <w:rPr>
                <w:color w:val="365F91" w:themeColor="accent1" w:themeShade="BF"/>
              </w:rPr>
              <w:t>in order to cut down on repetitive text.</w:t>
            </w:r>
            <w:r w:rsidR="000C2E46" w:rsidRPr="00D95301">
              <w:br/>
            </w:r>
            <w:r w:rsidR="000C2E46" w:rsidRPr="00D95301">
              <w:br/>
              <w:t>The authors would benefit from reviewing and revising the manuscript more thoroughly.</w:t>
            </w:r>
          </w:p>
        </w:tc>
      </w:tr>
    </w:tbl>
    <w:p w:rsidR="00D30D37" w:rsidRPr="00D95301" w:rsidRDefault="00D30FCB" w:rsidP="00D95301">
      <w:pPr>
        <w:tabs>
          <w:tab w:val="left" w:pos="1530"/>
        </w:tabs>
      </w:pPr>
      <w:r>
        <w:rPr>
          <w:color w:val="365F91" w:themeColor="accent1" w:themeShade="BF"/>
        </w:rPr>
        <w:lastRenderedPageBreak/>
        <w:t xml:space="preserve">We have made every effort to proofread the manuscript as thoroughly as possible and </w:t>
      </w:r>
      <w:r w:rsidR="00731934">
        <w:rPr>
          <w:color w:val="365F91" w:themeColor="accent1" w:themeShade="BF"/>
        </w:rPr>
        <w:t>believe</w:t>
      </w:r>
      <w:r>
        <w:rPr>
          <w:color w:val="365F91" w:themeColor="accent1" w:themeShade="BF"/>
        </w:rPr>
        <w:t xml:space="preserve"> this revised draft </w:t>
      </w:r>
      <w:r w:rsidR="00731934">
        <w:rPr>
          <w:color w:val="365F91" w:themeColor="accent1" w:themeShade="BF"/>
        </w:rPr>
        <w:t>to be a noticeable improvement.</w:t>
      </w:r>
    </w:p>
    <w:sectPr w:rsidR="00D30D37" w:rsidRPr="00D95301" w:rsidSect="00DF3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B3301"/>
    <w:multiLevelType w:val="hybridMultilevel"/>
    <w:tmpl w:val="BA106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280D20"/>
    <w:multiLevelType w:val="hybridMultilevel"/>
    <w:tmpl w:val="8F74FA50"/>
    <w:lvl w:ilvl="0" w:tplc="5A4216BC">
      <w:start w:val="1"/>
      <w:numFmt w:val="bullet"/>
      <w:lvlText w:val="•"/>
      <w:lvlJc w:val="left"/>
      <w:pPr>
        <w:tabs>
          <w:tab w:val="num" w:pos="720"/>
        </w:tabs>
        <w:ind w:left="720" w:hanging="360"/>
      </w:pPr>
      <w:rPr>
        <w:rFonts w:ascii="Arial" w:hAnsi="Arial" w:hint="default"/>
      </w:rPr>
    </w:lvl>
    <w:lvl w:ilvl="1" w:tplc="9B441020" w:tentative="1">
      <w:start w:val="1"/>
      <w:numFmt w:val="bullet"/>
      <w:lvlText w:val="•"/>
      <w:lvlJc w:val="left"/>
      <w:pPr>
        <w:tabs>
          <w:tab w:val="num" w:pos="1440"/>
        </w:tabs>
        <w:ind w:left="1440" w:hanging="360"/>
      </w:pPr>
      <w:rPr>
        <w:rFonts w:ascii="Arial" w:hAnsi="Arial" w:hint="default"/>
      </w:rPr>
    </w:lvl>
    <w:lvl w:ilvl="2" w:tplc="EB244B70" w:tentative="1">
      <w:start w:val="1"/>
      <w:numFmt w:val="bullet"/>
      <w:lvlText w:val="•"/>
      <w:lvlJc w:val="left"/>
      <w:pPr>
        <w:tabs>
          <w:tab w:val="num" w:pos="2160"/>
        </w:tabs>
        <w:ind w:left="2160" w:hanging="360"/>
      </w:pPr>
      <w:rPr>
        <w:rFonts w:ascii="Arial" w:hAnsi="Arial" w:hint="default"/>
      </w:rPr>
    </w:lvl>
    <w:lvl w:ilvl="3" w:tplc="8A4860CA" w:tentative="1">
      <w:start w:val="1"/>
      <w:numFmt w:val="bullet"/>
      <w:lvlText w:val="•"/>
      <w:lvlJc w:val="left"/>
      <w:pPr>
        <w:tabs>
          <w:tab w:val="num" w:pos="2880"/>
        </w:tabs>
        <w:ind w:left="2880" w:hanging="360"/>
      </w:pPr>
      <w:rPr>
        <w:rFonts w:ascii="Arial" w:hAnsi="Arial" w:hint="default"/>
      </w:rPr>
    </w:lvl>
    <w:lvl w:ilvl="4" w:tplc="80C46486" w:tentative="1">
      <w:start w:val="1"/>
      <w:numFmt w:val="bullet"/>
      <w:lvlText w:val="•"/>
      <w:lvlJc w:val="left"/>
      <w:pPr>
        <w:tabs>
          <w:tab w:val="num" w:pos="3600"/>
        </w:tabs>
        <w:ind w:left="3600" w:hanging="360"/>
      </w:pPr>
      <w:rPr>
        <w:rFonts w:ascii="Arial" w:hAnsi="Arial" w:hint="default"/>
      </w:rPr>
    </w:lvl>
    <w:lvl w:ilvl="5" w:tplc="CF30251E" w:tentative="1">
      <w:start w:val="1"/>
      <w:numFmt w:val="bullet"/>
      <w:lvlText w:val="•"/>
      <w:lvlJc w:val="left"/>
      <w:pPr>
        <w:tabs>
          <w:tab w:val="num" w:pos="4320"/>
        </w:tabs>
        <w:ind w:left="4320" w:hanging="360"/>
      </w:pPr>
      <w:rPr>
        <w:rFonts w:ascii="Arial" w:hAnsi="Arial" w:hint="default"/>
      </w:rPr>
    </w:lvl>
    <w:lvl w:ilvl="6" w:tplc="37869D22" w:tentative="1">
      <w:start w:val="1"/>
      <w:numFmt w:val="bullet"/>
      <w:lvlText w:val="•"/>
      <w:lvlJc w:val="left"/>
      <w:pPr>
        <w:tabs>
          <w:tab w:val="num" w:pos="5040"/>
        </w:tabs>
        <w:ind w:left="5040" w:hanging="360"/>
      </w:pPr>
      <w:rPr>
        <w:rFonts w:ascii="Arial" w:hAnsi="Arial" w:hint="default"/>
      </w:rPr>
    </w:lvl>
    <w:lvl w:ilvl="7" w:tplc="A36CE350" w:tentative="1">
      <w:start w:val="1"/>
      <w:numFmt w:val="bullet"/>
      <w:lvlText w:val="•"/>
      <w:lvlJc w:val="left"/>
      <w:pPr>
        <w:tabs>
          <w:tab w:val="num" w:pos="5760"/>
        </w:tabs>
        <w:ind w:left="5760" w:hanging="360"/>
      </w:pPr>
      <w:rPr>
        <w:rFonts w:ascii="Arial" w:hAnsi="Arial" w:hint="default"/>
      </w:rPr>
    </w:lvl>
    <w:lvl w:ilvl="8" w:tplc="F218283A" w:tentative="1">
      <w:start w:val="1"/>
      <w:numFmt w:val="bullet"/>
      <w:lvlText w:val="•"/>
      <w:lvlJc w:val="left"/>
      <w:pPr>
        <w:tabs>
          <w:tab w:val="num" w:pos="6480"/>
        </w:tabs>
        <w:ind w:left="6480" w:hanging="360"/>
      </w:pPr>
      <w:rPr>
        <w:rFonts w:ascii="Arial" w:hAnsi="Arial" w:hint="default"/>
      </w:rPr>
    </w:lvl>
  </w:abstractNum>
  <w:abstractNum w:abstractNumId="2">
    <w:nsid w:val="66046579"/>
    <w:multiLevelType w:val="hybridMultilevel"/>
    <w:tmpl w:val="11400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E46"/>
    <w:rsid w:val="00012679"/>
    <w:rsid w:val="00014EB5"/>
    <w:rsid w:val="00061475"/>
    <w:rsid w:val="00082847"/>
    <w:rsid w:val="000C2E46"/>
    <w:rsid w:val="00124E6A"/>
    <w:rsid w:val="0014205F"/>
    <w:rsid w:val="001E07E5"/>
    <w:rsid w:val="002578B8"/>
    <w:rsid w:val="002729A2"/>
    <w:rsid w:val="002A6E06"/>
    <w:rsid w:val="00352078"/>
    <w:rsid w:val="00367796"/>
    <w:rsid w:val="0037614C"/>
    <w:rsid w:val="003A336A"/>
    <w:rsid w:val="003E7FFE"/>
    <w:rsid w:val="003F36C9"/>
    <w:rsid w:val="004217F5"/>
    <w:rsid w:val="004D6869"/>
    <w:rsid w:val="005308FB"/>
    <w:rsid w:val="00537E10"/>
    <w:rsid w:val="005548F3"/>
    <w:rsid w:val="005A6421"/>
    <w:rsid w:val="005C7F78"/>
    <w:rsid w:val="005D021B"/>
    <w:rsid w:val="005E11E1"/>
    <w:rsid w:val="00611C40"/>
    <w:rsid w:val="00665C5C"/>
    <w:rsid w:val="0067672D"/>
    <w:rsid w:val="00676FA9"/>
    <w:rsid w:val="006F6D55"/>
    <w:rsid w:val="00705742"/>
    <w:rsid w:val="00731934"/>
    <w:rsid w:val="007359A9"/>
    <w:rsid w:val="007419C5"/>
    <w:rsid w:val="00771307"/>
    <w:rsid w:val="00772EE8"/>
    <w:rsid w:val="007E3FE4"/>
    <w:rsid w:val="00865702"/>
    <w:rsid w:val="008709B3"/>
    <w:rsid w:val="00873C05"/>
    <w:rsid w:val="008B7BD6"/>
    <w:rsid w:val="008E23AE"/>
    <w:rsid w:val="008F1112"/>
    <w:rsid w:val="00943784"/>
    <w:rsid w:val="00955271"/>
    <w:rsid w:val="009B06E8"/>
    <w:rsid w:val="00A01FDA"/>
    <w:rsid w:val="00A153CE"/>
    <w:rsid w:val="00A22F5A"/>
    <w:rsid w:val="00A343E3"/>
    <w:rsid w:val="00A70730"/>
    <w:rsid w:val="00B02997"/>
    <w:rsid w:val="00B22012"/>
    <w:rsid w:val="00B27409"/>
    <w:rsid w:val="00B5237C"/>
    <w:rsid w:val="00B61A53"/>
    <w:rsid w:val="00BD21BD"/>
    <w:rsid w:val="00BE475D"/>
    <w:rsid w:val="00C73975"/>
    <w:rsid w:val="00CA24B4"/>
    <w:rsid w:val="00CD5F81"/>
    <w:rsid w:val="00D02D98"/>
    <w:rsid w:val="00D30D37"/>
    <w:rsid w:val="00D30FCB"/>
    <w:rsid w:val="00D95301"/>
    <w:rsid w:val="00D954C2"/>
    <w:rsid w:val="00DC4670"/>
    <w:rsid w:val="00DD2409"/>
    <w:rsid w:val="00DD59CB"/>
    <w:rsid w:val="00DF339D"/>
    <w:rsid w:val="00E2484C"/>
    <w:rsid w:val="00E71416"/>
    <w:rsid w:val="00E75742"/>
    <w:rsid w:val="00EF0857"/>
    <w:rsid w:val="00F63A1D"/>
    <w:rsid w:val="00FA405D"/>
    <w:rsid w:val="00FA7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2E46"/>
    <w:pPr>
      <w:spacing w:before="100" w:beforeAutospacing="1" w:after="100" w:afterAutospacing="1"/>
    </w:pPr>
  </w:style>
  <w:style w:type="character" w:customStyle="1" w:styleId="apple-converted-space">
    <w:name w:val="apple-converted-space"/>
    <w:basedOn w:val="DefaultParagraphFont"/>
    <w:rsid w:val="000C2E46"/>
  </w:style>
  <w:style w:type="character" w:styleId="Emphasis">
    <w:name w:val="Emphasis"/>
    <w:basedOn w:val="DefaultParagraphFont"/>
    <w:uiPriority w:val="20"/>
    <w:qFormat/>
    <w:rsid w:val="000C2E46"/>
    <w:rPr>
      <w:i/>
      <w:iCs/>
    </w:rPr>
  </w:style>
  <w:style w:type="character" w:styleId="Hyperlink">
    <w:name w:val="Hyperlink"/>
    <w:basedOn w:val="DefaultParagraphFont"/>
    <w:uiPriority w:val="99"/>
    <w:unhideWhenUsed/>
    <w:rsid w:val="000C2E46"/>
    <w:rPr>
      <w:color w:val="0000FF"/>
      <w:u w:val="single"/>
    </w:rPr>
  </w:style>
  <w:style w:type="paragraph" w:styleId="BalloonText">
    <w:name w:val="Balloon Text"/>
    <w:basedOn w:val="Normal"/>
    <w:link w:val="BalloonTextChar"/>
    <w:rsid w:val="000C2E46"/>
    <w:rPr>
      <w:rFonts w:ascii="Tahoma" w:hAnsi="Tahoma" w:cs="Tahoma"/>
      <w:sz w:val="16"/>
      <w:szCs w:val="16"/>
    </w:rPr>
  </w:style>
  <w:style w:type="character" w:customStyle="1" w:styleId="BalloonTextChar">
    <w:name w:val="Balloon Text Char"/>
    <w:basedOn w:val="DefaultParagraphFont"/>
    <w:link w:val="BalloonText"/>
    <w:rsid w:val="000C2E46"/>
    <w:rPr>
      <w:rFonts w:ascii="Tahoma" w:hAnsi="Tahoma" w:cs="Tahoma"/>
      <w:sz w:val="16"/>
      <w:szCs w:val="16"/>
    </w:rPr>
  </w:style>
  <w:style w:type="paragraph" w:styleId="ListParagraph">
    <w:name w:val="List Paragraph"/>
    <w:basedOn w:val="Normal"/>
    <w:uiPriority w:val="34"/>
    <w:qFormat/>
    <w:rsid w:val="00DF339D"/>
    <w:pPr>
      <w:widowControl w:val="0"/>
      <w:autoSpaceDE w:val="0"/>
      <w:autoSpaceDN w:val="0"/>
      <w:adjustRightInd w:val="0"/>
      <w:ind w:left="720"/>
      <w:contextualSpacing/>
      <w:jc w:val="both"/>
    </w:pPr>
    <w:rPr>
      <w:rFonts w:ascii="Calibri" w:hAnsi="Calibri" w:cs="Calibri"/>
      <w:color w:val="000000"/>
    </w:rPr>
  </w:style>
  <w:style w:type="character" w:styleId="CommentReference">
    <w:name w:val="annotation reference"/>
    <w:basedOn w:val="DefaultParagraphFont"/>
    <w:rsid w:val="00DD59CB"/>
    <w:rPr>
      <w:sz w:val="16"/>
      <w:szCs w:val="16"/>
    </w:rPr>
  </w:style>
  <w:style w:type="paragraph" w:styleId="CommentText">
    <w:name w:val="annotation text"/>
    <w:basedOn w:val="Normal"/>
    <w:link w:val="CommentTextChar"/>
    <w:rsid w:val="00DD59CB"/>
    <w:rPr>
      <w:sz w:val="20"/>
      <w:szCs w:val="20"/>
    </w:rPr>
  </w:style>
  <w:style w:type="character" w:customStyle="1" w:styleId="CommentTextChar">
    <w:name w:val="Comment Text Char"/>
    <w:basedOn w:val="DefaultParagraphFont"/>
    <w:link w:val="CommentText"/>
    <w:rsid w:val="00DD59CB"/>
  </w:style>
  <w:style w:type="paragraph" w:styleId="CommentSubject">
    <w:name w:val="annotation subject"/>
    <w:basedOn w:val="CommentText"/>
    <w:next w:val="CommentText"/>
    <w:link w:val="CommentSubjectChar"/>
    <w:rsid w:val="00DD59CB"/>
    <w:rPr>
      <w:b/>
      <w:bCs/>
    </w:rPr>
  </w:style>
  <w:style w:type="character" w:customStyle="1" w:styleId="CommentSubjectChar">
    <w:name w:val="Comment Subject Char"/>
    <w:basedOn w:val="CommentTextChar"/>
    <w:link w:val="CommentSubject"/>
    <w:rsid w:val="00DD59CB"/>
    <w:rPr>
      <w:b/>
      <w:bCs/>
    </w:rPr>
  </w:style>
  <w:style w:type="paragraph" w:customStyle="1" w:styleId="pagecontents">
    <w:name w:val="pagecontents"/>
    <w:basedOn w:val="Normal"/>
    <w:rsid w:val="00014EB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2E46"/>
    <w:pPr>
      <w:spacing w:before="100" w:beforeAutospacing="1" w:after="100" w:afterAutospacing="1"/>
    </w:pPr>
  </w:style>
  <w:style w:type="character" w:customStyle="1" w:styleId="apple-converted-space">
    <w:name w:val="apple-converted-space"/>
    <w:basedOn w:val="DefaultParagraphFont"/>
    <w:rsid w:val="000C2E46"/>
  </w:style>
  <w:style w:type="character" w:styleId="Emphasis">
    <w:name w:val="Emphasis"/>
    <w:basedOn w:val="DefaultParagraphFont"/>
    <w:uiPriority w:val="20"/>
    <w:qFormat/>
    <w:rsid w:val="000C2E46"/>
    <w:rPr>
      <w:i/>
      <w:iCs/>
    </w:rPr>
  </w:style>
  <w:style w:type="character" w:styleId="Hyperlink">
    <w:name w:val="Hyperlink"/>
    <w:basedOn w:val="DefaultParagraphFont"/>
    <w:uiPriority w:val="99"/>
    <w:unhideWhenUsed/>
    <w:rsid w:val="000C2E46"/>
    <w:rPr>
      <w:color w:val="0000FF"/>
      <w:u w:val="single"/>
    </w:rPr>
  </w:style>
  <w:style w:type="paragraph" w:styleId="BalloonText">
    <w:name w:val="Balloon Text"/>
    <w:basedOn w:val="Normal"/>
    <w:link w:val="BalloonTextChar"/>
    <w:rsid w:val="000C2E46"/>
    <w:rPr>
      <w:rFonts w:ascii="Tahoma" w:hAnsi="Tahoma" w:cs="Tahoma"/>
      <w:sz w:val="16"/>
      <w:szCs w:val="16"/>
    </w:rPr>
  </w:style>
  <w:style w:type="character" w:customStyle="1" w:styleId="BalloonTextChar">
    <w:name w:val="Balloon Text Char"/>
    <w:basedOn w:val="DefaultParagraphFont"/>
    <w:link w:val="BalloonText"/>
    <w:rsid w:val="000C2E46"/>
    <w:rPr>
      <w:rFonts w:ascii="Tahoma" w:hAnsi="Tahoma" w:cs="Tahoma"/>
      <w:sz w:val="16"/>
      <w:szCs w:val="16"/>
    </w:rPr>
  </w:style>
  <w:style w:type="paragraph" w:styleId="ListParagraph">
    <w:name w:val="List Paragraph"/>
    <w:basedOn w:val="Normal"/>
    <w:uiPriority w:val="34"/>
    <w:qFormat/>
    <w:rsid w:val="00DF339D"/>
    <w:pPr>
      <w:widowControl w:val="0"/>
      <w:autoSpaceDE w:val="0"/>
      <w:autoSpaceDN w:val="0"/>
      <w:adjustRightInd w:val="0"/>
      <w:ind w:left="720"/>
      <w:contextualSpacing/>
      <w:jc w:val="both"/>
    </w:pPr>
    <w:rPr>
      <w:rFonts w:ascii="Calibri" w:hAnsi="Calibri" w:cs="Calibri"/>
      <w:color w:val="000000"/>
    </w:rPr>
  </w:style>
  <w:style w:type="character" w:styleId="CommentReference">
    <w:name w:val="annotation reference"/>
    <w:basedOn w:val="DefaultParagraphFont"/>
    <w:rsid w:val="00DD59CB"/>
    <w:rPr>
      <w:sz w:val="16"/>
      <w:szCs w:val="16"/>
    </w:rPr>
  </w:style>
  <w:style w:type="paragraph" w:styleId="CommentText">
    <w:name w:val="annotation text"/>
    <w:basedOn w:val="Normal"/>
    <w:link w:val="CommentTextChar"/>
    <w:rsid w:val="00DD59CB"/>
    <w:rPr>
      <w:sz w:val="20"/>
      <w:szCs w:val="20"/>
    </w:rPr>
  </w:style>
  <w:style w:type="character" w:customStyle="1" w:styleId="CommentTextChar">
    <w:name w:val="Comment Text Char"/>
    <w:basedOn w:val="DefaultParagraphFont"/>
    <w:link w:val="CommentText"/>
    <w:rsid w:val="00DD59CB"/>
  </w:style>
  <w:style w:type="paragraph" w:styleId="CommentSubject">
    <w:name w:val="annotation subject"/>
    <w:basedOn w:val="CommentText"/>
    <w:next w:val="CommentText"/>
    <w:link w:val="CommentSubjectChar"/>
    <w:rsid w:val="00DD59CB"/>
    <w:rPr>
      <w:b/>
      <w:bCs/>
    </w:rPr>
  </w:style>
  <w:style w:type="character" w:customStyle="1" w:styleId="CommentSubjectChar">
    <w:name w:val="Comment Subject Char"/>
    <w:basedOn w:val="CommentTextChar"/>
    <w:link w:val="CommentSubject"/>
    <w:rsid w:val="00DD59CB"/>
    <w:rPr>
      <w:b/>
      <w:bCs/>
    </w:rPr>
  </w:style>
  <w:style w:type="paragraph" w:customStyle="1" w:styleId="pagecontents">
    <w:name w:val="pagecontents"/>
    <w:basedOn w:val="Normal"/>
    <w:rsid w:val="00014E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9532">
      <w:bodyDiv w:val="1"/>
      <w:marLeft w:val="0"/>
      <w:marRight w:val="0"/>
      <w:marTop w:val="0"/>
      <w:marBottom w:val="0"/>
      <w:divBdr>
        <w:top w:val="none" w:sz="0" w:space="0" w:color="auto"/>
        <w:left w:val="none" w:sz="0" w:space="0" w:color="auto"/>
        <w:bottom w:val="none" w:sz="0" w:space="0" w:color="auto"/>
        <w:right w:val="none" w:sz="0" w:space="0" w:color="auto"/>
      </w:divBdr>
    </w:div>
    <w:div w:id="24402888">
      <w:bodyDiv w:val="1"/>
      <w:marLeft w:val="0"/>
      <w:marRight w:val="0"/>
      <w:marTop w:val="0"/>
      <w:marBottom w:val="0"/>
      <w:divBdr>
        <w:top w:val="none" w:sz="0" w:space="0" w:color="auto"/>
        <w:left w:val="none" w:sz="0" w:space="0" w:color="auto"/>
        <w:bottom w:val="none" w:sz="0" w:space="0" w:color="auto"/>
        <w:right w:val="none" w:sz="0" w:space="0" w:color="auto"/>
      </w:divBdr>
    </w:div>
    <w:div w:id="824324807">
      <w:bodyDiv w:val="1"/>
      <w:marLeft w:val="0"/>
      <w:marRight w:val="0"/>
      <w:marTop w:val="0"/>
      <w:marBottom w:val="0"/>
      <w:divBdr>
        <w:top w:val="none" w:sz="0" w:space="0" w:color="auto"/>
        <w:left w:val="none" w:sz="0" w:space="0" w:color="auto"/>
        <w:bottom w:val="none" w:sz="0" w:space="0" w:color="auto"/>
        <w:right w:val="none" w:sz="0" w:space="0" w:color="auto"/>
      </w:divBdr>
    </w:div>
    <w:div w:id="1022827986">
      <w:bodyDiv w:val="1"/>
      <w:marLeft w:val="0"/>
      <w:marRight w:val="0"/>
      <w:marTop w:val="0"/>
      <w:marBottom w:val="0"/>
      <w:divBdr>
        <w:top w:val="none" w:sz="0" w:space="0" w:color="auto"/>
        <w:left w:val="none" w:sz="0" w:space="0" w:color="auto"/>
        <w:bottom w:val="none" w:sz="0" w:space="0" w:color="auto"/>
        <w:right w:val="none" w:sz="0" w:space="0" w:color="auto"/>
      </w:divBdr>
      <w:divsChild>
        <w:div w:id="254555965">
          <w:marLeft w:val="446"/>
          <w:marRight w:val="0"/>
          <w:marTop w:val="0"/>
          <w:marBottom w:val="0"/>
          <w:divBdr>
            <w:top w:val="none" w:sz="0" w:space="0" w:color="auto"/>
            <w:left w:val="none" w:sz="0" w:space="0" w:color="auto"/>
            <w:bottom w:val="none" w:sz="0" w:space="0" w:color="auto"/>
            <w:right w:val="none" w:sz="0" w:space="0" w:color="auto"/>
          </w:divBdr>
        </w:div>
      </w:divsChild>
    </w:div>
    <w:div w:id="1047950918">
      <w:bodyDiv w:val="1"/>
      <w:marLeft w:val="0"/>
      <w:marRight w:val="0"/>
      <w:marTop w:val="0"/>
      <w:marBottom w:val="0"/>
      <w:divBdr>
        <w:top w:val="none" w:sz="0" w:space="0" w:color="auto"/>
        <w:left w:val="none" w:sz="0" w:space="0" w:color="auto"/>
        <w:bottom w:val="none" w:sz="0" w:space="0" w:color="auto"/>
        <w:right w:val="none" w:sz="0" w:space="0" w:color="auto"/>
      </w:divBdr>
      <w:divsChild>
        <w:div w:id="1659772268">
          <w:marLeft w:val="446"/>
          <w:marRight w:val="0"/>
          <w:marTop w:val="0"/>
          <w:marBottom w:val="0"/>
          <w:divBdr>
            <w:top w:val="none" w:sz="0" w:space="0" w:color="auto"/>
            <w:left w:val="none" w:sz="0" w:space="0" w:color="auto"/>
            <w:bottom w:val="none" w:sz="0" w:space="0" w:color="auto"/>
            <w:right w:val="none" w:sz="0" w:space="0" w:color="auto"/>
          </w:divBdr>
        </w:div>
      </w:divsChild>
    </w:div>
    <w:div w:id="1274483892">
      <w:bodyDiv w:val="1"/>
      <w:marLeft w:val="0"/>
      <w:marRight w:val="0"/>
      <w:marTop w:val="0"/>
      <w:marBottom w:val="0"/>
      <w:divBdr>
        <w:top w:val="none" w:sz="0" w:space="0" w:color="auto"/>
        <w:left w:val="none" w:sz="0" w:space="0" w:color="auto"/>
        <w:bottom w:val="none" w:sz="0" w:space="0" w:color="auto"/>
        <w:right w:val="none" w:sz="0" w:space="0" w:color="auto"/>
      </w:divBdr>
      <w:divsChild>
        <w:div w:id="1391803790">
          <w:marLeft w:val="0"/>
          <w:marRight w:val="0"/>
          <w:marTop w:val="75"/>
          <w:marBottom w:val="0"/>
          <w:divBdr>
            <w:top w:val="single" w:sz="6" w:space="4" w:color="000033"/>
            <w:left w:val="none" w:sz="0" w:space="0" w:color="auto"/>
            <w:bottom w:val="single" w:sz="6" w:space="4" w:color="000033"/>
            <w:right w:val="none" w:sz="0" w:space="0" w:color="auto"/>
          </w:divBdr>
        </w:div>
      </w:divsChild>
    </w:div>
    <w:div w:id="1844978551">
      <w:bodyDiv w:val="1"/>
      <w:marLeft w:val="0"/>
      <w:marRight w:val="0"/>
      <w:marTop w:val="0"/>
      <w:marBottom w:val="0"/>
      <w:divBdr>
        <w:top w:val="none" w:sz="0" w:space="0" w:color="auto"/>
        <w:left w:val="none" w:sz="0" w:space="0" w:color="auto"/>
        <w:bottom w:val="none" w:sz="0" w:space="0" w:color="auto"/>
        <w:right w:val="none" w:sz="0" w:space="0" w:color="auto"/>
      </w:divBdr>
    </w:div>
    <w:div w:id="192276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52408-8E94-42AB-9A18-A33ADC64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4943</Words>
  <Characters>63786</Characters>
  <Application>Microsoft Office Word</Application>
  <DocSecurity>0</DocSecurity>
  <Lines>531</Lines>
  <Paragraphs>137</Paragraphs>
  <ScaleCrop>false</ScaleCrop>
  <HeadingPairs>
    <vt:vector size="2" baseType="variant">
      <vt:variant>
        <vt:lpstr>Title</vt:lpstr>
      </vt:variant>
      <vt:variant>
        <vt:i4>1</vt:i4>
      </vt:variant>
    </vt:vector>
  </HeadingPairs>
  <TitlesOfParts>
    <vt:vector size="1" baseType="lpstr">
      <vt:lpstr/>
    </vt:vector>
  </TitlesOfParts>
  <Company>BSI</Company>
  <LinksUpToDate>false</LinksUpToDate>
  <CharactersWithSpaces>68592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Inglis, Heather</dc:creator>
  <cp:lastModifiedBy>Inglis, Heather</cp:lastModifiedBy>
  <cp:revision>4</cp:revision>
  <cp:lastPrinted>2014-09-08T20:01:00Z</cp:lastPrinted>
  <dcterms:created xsi:type="dcterms:W3CDTF">2014-09-22T20:02:00Z</dcterms:created>
  <dcterms:modified xsi:type="dcterms:W3CDTF">2014-09-22T20:14:00Z</dcterms:modified>
</cp:coreProperties>
</file>