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48F" w:rsidRDefault="00D1648F" w:rsidP="001D16F2">
      <w:pPr>
        <w:widowControl w:val="0"/>
        <w:autoSpaceDE w:val="0"/>
        <w:autoSpaceDN w:val="0"/>
        <w:adjustRightInd w:val="0"/>
        <w:spacing w:after="0" w:line="240" w:lineRule="auto"/>
        <w:jc w:val="both"/>
        <w:rPr>
          <w:rFonts w:ascii="Calibri" w:eastAsia="Times New Roman" w:hAnsi="Calibri" w:cs="Arial"/>
          <w:color w:val="000000"/>
          <w:sz w:val="24"/>
          <w:szCs w:val="24"/>
          <w:lang w:val="en-US"/>
        </w:rPr>
      </w:pPr>
      <w:r w:rsidRPr="001D16F2">
        <w:rPr>
          <w:rFonts w:ascii="Calibri" w:eastAsia="Times New Roman" w:hAnsi="Calibri" w:cs="Arial"/>
          <w:b/>
          <w:bCs/>
          <w:color w:val="000000"/>
          <w:sz w:val="24"/>
          <w:szCs w:val="24"/>
          <w:lang w:val="en-US"/>
        </w:rPr>
        <w:t>TITLE:</w:t>
      </w:r>
      <w:r w:rsidRPr="001D16F2">
        <w:rPr>
          <w:rFonts w:ascii="Calibri" w:eastAsia="Times New Roman" w:hAnsi="Calibri" w:cs="Arial"/>
          <w:color w:val="000000"/>
          <w:sz w:val="24"/>
          <w:szCs w:val="24"/>
          <w:lang w:val="en-US"/>
        </w:rPr>
        <w:t xml:space="preserve"> </w:t>
      </w:r>
    </w:p>
    <w:p w:rsidR="00D1648F" w:rsidRDefault="00D1648F" w:rsidP="001D16F2">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r w:rsidRPr="003209B7">
        <w:rPr>
          <w:rFonts w:ascii="Calibri" w:eastAsia="Times New Roman" w:hAnsi="Calibri" w:cs="Arial"/>
          <w:color w:val="000000" w:themeColor="text1"/>
          <w:sz w:val="24"/>
          <w:szCs w:val="24"/>
          <w:lang w:val="en-US"/>
        </w:rPr>
        <w:t xml:space="preserve">Differentiation </w:t>
      </w:r>
      <w:r>
        <w:rPr>
          <w:rFonts w:ascii="Calibri" w:eastAsia="Times New Roman" w:hAnsi="Calibri" w:cs="Arial"/>
          <w:color w:val="000000" w:themeColor="text1"/>
          <w:sz w:val="24"/>
          <w:szCs w:val="24"/>
          <w:lang w:val="en-US"/>
        </w:rPr>
        <w:t>o</w:t>
      </w:r>
      <w:r w:rsidRPr="003209B7">
        <w:rPr>
          <w:rFonts w:ascii="Calibri" w:eastAsia="Times New Roman" w:hAnsi="Calibri" w:cs="Arial"/>
          <w:color w:val="000000" w:themeColor="text1"/>
          <w:sz w:val="24"/>
          <w:szCs w:val="24"/>
          <w:lang w:val="en-US"/>
        </w:rPr>
        <w:t xml:space="preserve">f </w:t>
      </w:r>
      <w:r>
        <w:rPr>
          <w:rFonts w:ascii="Calibri" w:eastAsia="Times New Roman" w:hAnsi="Calibri" w:cs="Arial"/>
          <w:color w:val="000000" w:themeColor="text1"/>
          <w:sz w:val="24"/>
          <w:szCs w:val="24"/>
          <w:lang w:val="en-US"/>
        </w:rPr>
        <w:t>a</w:t>
      </w:r>
      <w:r w:rsidRPr="003209B7">
        <w:rPr>
          <w:rFonts w:ascii="Calibri" w:eastAsia="Times New Roman" w:hAnsi="Calibri" w:cs="Arial"/>
          <w:color w:val="000000" w:themeColor="text1"/>
          <w:sz w:val="24"/>
          <w:szCs w:val="24"/>
          <w:lang w:val="en-US"/>
        </w:rPr>
        <w:t xml:space="preserve"> Human Neural Stem Cell Line </w:t>
      </w:r>
      <w:r>
        <w:rPr>
          <w:rFonts w:ascii="Calibri" w:eastAsia="Times New Roman" w:hAnsi="Calibri" w:cs="Arial"/>
          <w:color w:val="000000" w:themeColor="text1"/>
          <w:sz w:val="24"/>
          <w:szCs w:val="24"/>
          <w:lang w:val="en-US"/>
        </w:rPr>
        <w:t>o</w:t>
      </w:r>
      <w:r w:rsidRPr="003209B7">
        <w:rPr>
          <w:rFonts w:ascii="Calibri" w:eastAsia="Times New Roman" w:hAnsi="Calibri" w:cs="Arial"/>
          <w:color w:val="000000" w:themeColor="text1"/>
          <w:sz w:val="24"/>
          <w:szCs w:val="24"/>
          <w:lang w:val="en-US"/>
        </w:rPr>
        <w:t xml:space="preserve">n Three Dimensional Cultures, Analysis </w:t>
      </w:r>
      <w:r>
        <w:rPr>
          <w:rFonts w:ascii="Calibri" w:eastAsia="Times New Roman" w:hAnsi="Calibri" w:cs="Arial"/>
          <w:color w:val="000000" w:themeColor="text1"/>
          <w:sz w:val="24"/>
          <w:szCs w:val="24"/>
          <w:lang w:val="en-US"/>
        </w:rPr>
        <w:t>of Microrna a</w:t>
      </w:r>
      <w:r w:rsidRPr="003209B7">
        <w:rPr>
          <w:rFonts w:ascii="Calibri" w:eastAsia="Times New Roman" w:hAnsi="Calibri" w:cs="Arial"/>
          <w:color w:val="000000" w:themeColor="text1"/>
          <w:sz w:val="24"/>
          <w:szCs w:val="24"/>
          <w:lang w:val="en-US"/>
        </w:rPr>
        <w:t>nd Putative Target Genes</w:t>
      </w:r>
    </w:p>
    <w:p w:rsidR="00D1648F" w:rsidRPr="00716A27" w:rsidRDefault="00D1648F" w:rsidP="001D16F2">
      <w:pPr>
        <w:widowControl w:val="0"/>
        <w:autoSpaceDE w:val="0"/>
        <w:autoSpaceDN w:val="0"/>
        <w:adjustRightInd w:val="0"/>
        <w:spacing w:after="0" w:line="240" w:lineRule="auto"/>
        <w:jc w:val="both"/>
        <w:rPr>
          <w:rFonts w:ascii="Calibri" w:eastAsia="Times New Roman" w:hAnsi="Calibri" w:cs="Arial"/>
          <w:bCs/>
          <w:color w:val="000000"/>
          <w:sz w:val="24"/>
          <w:szCs w:val="24"/>
          <w:lang w:val="en-US"/>
        </w:rPr>
      </w:pPr>
    </w:p>
    <w:p w:rsidR="00D1648F" w:rsidRPr="00716A27" w:rsidRDefault="00D1648F" w:rsidP="001D16F2">
      <w:pPr>
        <w:widowControl w:val="0"/>
        <w:autoSpaceDE w:val="0"/>
        <w:autoSpaceDN w:val="0"/>
        <w:adjustRightInd w:val="0"/>
        <w:spacing w:after="0" w:line="240" w:lineRule="auto"/>
        <w:jc w:val="both"/>
        <w:rPr>
          <w:rFonts w:ascii="Calibri" w:eastAsia="Times New Roman" w:hAnsi="Calibri" w:cs="Arial"/>
          <w:bCs/>
          <w:sz w:val="24"/>
          <w:szCs w:val="24"/>
          <w:lang w:val="en-US"/>
        </w:rPr>
      </w:pPr>
      <w:r>
        <w:rPr>
          <w:rFonts w:ascii="Calibri" w:eastAsia="Times New Roman" w:hAnsi="Calibri" w:cs="Arial"/>
          <w:b/>
          <w:bCs/>
          <w:color w:val="000000"/>
          <w:sz w:val="24"/>
          <w:szCs w:val="24"/>
          <w:lang w:val="en-US"/>
        </w:rPr>
        <w:t>AUTHORS:</w:t>
      </w: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1D16F2">
        <w:rPr>
          <w:rFonts w:ascii="Calibri" w:eastAsia="Times New Roman" w:hAnsi="Calibri" w:cs="Arial"/>
          <w:bCs/>
          <w:color w:val="000000" w:themeColor="text1"/>
          <w:sz w:val="24"/>
          <w:szCs w:val="24"/>
          <w:lang w:val="en-US"/>
        </w:rPr>
        <w:t xml:space="preserve">Lara Stevanato </w:t>
      </w:r>
    </w:p>
    <w:p w:rsidR="00D1648F"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1D16F2">
        <w:rPr>
          <w:rFonts w:ascii="Calibri" w:eastAsia="Times New Roman" w:hAnsi="Calibri" w:cs="Arial"/>
          <w:bCs/>
          <w:color w:val="000000" w:themeColor="text1"/>
          <w:sz w:val="24"/>
          <w:szCs w:val="24"/>
          <w:lang w:val="en-US"/>
        </w:rPr>
        <w:t>ReNeuron</w:t>
      </w: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Guildford, UK</w:t>
      </w: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716A27">
        <w:rPr>
          <w:rFonts w:ascii="Calibri" w:eastAsia="Times New Roman" w:hAnsi="Calibri" w:cs="Arial"/>
          <w:bCs/>
          <w:sz w:val="24"/>
          <w:szCs w:val="24"/>
          <w:lang w:val="en-US"/>
        </w:rPr>
        <w:t>Lara-stevanato@reneuron.com</w:t>
      </w:r>
      <w:r>
        <w:rPr>
          <w:rFonts w:ascii="Calibri" w:eastAsia="Times New Roman" w:hAnsi="Calibri" w:cs="Arial"/>
          <w:bCs/>
          <w:color w:val="000000" w:themeColor="text1"/>
          <w:sz w:val="24"/>
          <w:szCs w:val="24"/>
          <w:lang w:val="en-US"/>
        </w:rPr>
        <w:t xml:space="preserve"> </w:t>
      </w:r>
      <w:r w:rsidRPr="001D16F2">
        <w:rPr>
          <w:rFonts w:ascii="Calibri" w:eastAsia="Times New Roman" w:hAnsi="Calibri" w:cs="Arial"/>
          <w:bCs/>
          <w:color w:val="000000" w:themeColor="text1"/>
          <w:sz w:val="24"/>
          <w:szCs w:val="24"/>
          <w:lang w:val="en-US"/>
        </w:rPr>
        <w:t xml:space="preserve"> </w:t>
      </w:r>
      <w:r>
        <w:rPr>
          <w:rFonts w:ascii="Calibri" w:eastAsia="Times New Roman" w:hAnsi="Calibri" w:cs="Arial"/>
          <w:bCs/>
          <w:color w:val="000000" w:themeColor="text1"/>
          <w:sz w:val="24"/>
          <w:szCs w:val="24"/>
          <w:lang w:val="en-US"/>
        </w:rPr>
        <w:t xml:space="preserve"> </w:t>
      </w: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1D16F2">
        <w:rPr>
          <w:rFonts w:ascii="Calibri" w:eastAsia="Times New Roman" w:hAnsi="Calibri" w:cs="Arial"/>
          <w:bCs/>
          <w:color w:val="000000" w:themeColor="text1"/>
          <w:sz w:val="24"/>
          <w:szCs w:val="24"/>
          <w:lang w:val="en-US"/>
        </w:rPr>
        <w:t xml:space="preserve">Caroline Hicks </w:t>
      </w:r>
    </w:p>
    <w:p w:rsidR="00D1648F"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1D16F2">
        <w:rPr>
          <w:rFonts w:ascii="Calibri" w:eastAsia="Times New Roman" w:hAnsi="Calibri" w:cs="Arial"/>
          <w:bCs/>
          <w:color w:val="000000" w:themeColor="text1"/>
          <w:sz w:val="24"/>
          <w:szCs w:val="24"/>
          <w:lang w:val="en-US"/>
        </w:rPr>
        <w:t xml:space="preserve">ReNeuron </w:t>
      </w: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Guildford, UK</w:t>
      </w: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716A27">
        <w:rPr>
          <w:rFonts w:ascii="Calibri" w:eastAsia="Times New Roman" w:hAnsi="Calibri" w:cs="Arial"/>
          <w:bCs/>
          <w:sz w:val="24"/>
          <w:szCs w:val="24"/>
          <w:lang w:val="en-US"/>
        </w:rPr>
        <w:t>caroline-hicks@reneuron.com</w:t>
      </w:r>
      <w:r>
        <w:rPr>
          <w:rFonts w:ascii="Calibri" w:eastAsia="Times New Roman" w:hAnsi="Calibri" w:cs="Arial"/>
          <w:bCs/>
          <w:color w:val="000000" w:themeColor="text1"/>
          <w:sz w:val="24"/>
          <w:szCs w:val="24"/>
          <w:lang w:val="en-US"/>
        </w:rPr>
        <w:t xml:space="preserve"> </w:t>
      </w: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1D16F2">
        <w:rPr>
          <w:rFonts w:ascii="Calibri" w:eastAsia="Times New Roman" w:hAnsi="Calibri" w:cs="Arial"/>
          <w:bCs/>
          <w:color w:val="000000" w:themeColor="text1"/>
          <w:sz w:val="24"/>
          <w:szCs w:val="24"/>
          <w:lang w:val="en-US"/>
        </w:rPr>
        <w:t>John D Sinden</w:t>
      </w:r>
    </w:p>
    <w:p w:rsidR="00D1648F"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1D16F2">
        <w:rPr>
          <w:rFonts w:ascii="Calibri" w:eastAsia="Times New Roman" w:hAnsi="Calibri" w:cs="Arial"/>
          <w:bCs/>
          <w:color w:val="000000" w:themeColor="text1"/>
          <w:sz w:val="24"/>
          <w:szCs w:val="24"/>
          <w:lang w:val="en-US"/>
        </w:rPr>
        <w:t>ReNeuron</w:t>
      </w: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Guildford, UK</w:t>
      </w:r>
    </w:p>
    <w:p w:rsidR="00D1648F"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716A27">
        <w:rPr>
          <w:rFonts w:ascii="Calibri" w:eastAsia="Times New Roman" w:hAnsi="Calibri" w:cs="Arial"/>
          <w:bCs/>
          <w:sz w:val="24"/>
          <w:szCs w:val="24"/>
          <w:lang w:val="en-US"/>
        </w:rPr>
        <w:t>john-sinden@reneuron.com</w:t>
      </w:r>
    </w:p>
    <w:p w:rsidR="00D1648F" w:rsidRPr="00716A27" w:rsidRDefault="00D1648F" w:rsidP="001D16F2">
      <w:pPr>
        <w:widowControl w:val="0"/>
        <w:autoSpaceDE w:val="0"/>
        <w:autoSpaceDN w:val="0"/>
        <w:adjustRightInd w:val="0"/>
        <w:spacing w:after="0" w:line="240" w:lineRule="auto"/>
        <w:jc w:val="both"/>
        <w:rPr>
          <w:rFonts w:ascii="Calibri" w:eastAsia="Times New Roman" w:hAnsi="Calibri" w:cs="Arial"/>
          <w:bCs/>
          <w:color w:val="000000"/>
          <w:sz w:val="24"/>
          <w:szCs w:val="24"/>
          <w:lang w:val="en-US"/>
        </w:rPr>
      </w:pPr>
    </w:p>
    <w:p w:rsidR="00D1648F" w:rsidRDefault="00D1648F" w:rsidP="001D16F2">
      <w:pPr>
        <w:widowControl w:val="0"/>
        <w:autoSpaceDE w:val="0"/>
        <w:autoSpaceDN w:val="0"/>
        <w:adjustRightInd w:val="0"/>
        <w:spacing w:after="0" w:line="240" w:lineRule="auto"/>
        <w:jc w:val="both"/>
        <w:rPr>
          <w:rFonts w:ascii="Calibri" w:eastAsia="Times New Roman" w:hAnsi="Calibri" w:cs="Arial"/>
          <w:color w:val="000000"/>
          <w:sz w:val="24"/>
          <w:szCs w:val="24"/>
          <w:lang w:val="en-US"/>
        </w:rPr>
      </w:pPr>
      <w:r w:rsidRPr="001D16F2">
        <w:rPr>
          <w:rFonts w:ascii="Calibri" w:eastAsia="Times New Roman" w:hAnsi="Calibri" w:cs="Arial"/>
          <w:b/>
          <w:bCs/>
          <w:color w:val="000000"/>
          <w:sz w:val="24"/>
          <w:szCs w:val="24"/>
          <w:lang w:val="en-US"/>
        </w:rPr>
        <w:t>CORRESPONDING AUTHOR:</w:t>
      </w:r>
      <w:r w:rsidRPr="001D16F2">
        <w:rPr>
          <w:rFonts w:ascii="Calibri" w:eastAsia="Times New Roman" w:hAnsi="Calibri" w:cs="Arial"/>
          <w:color w:val="000000"/>
          <w:sz w:val="24"/>
          <w:szCs w:val="24"/>
          <w:lang w:val="en-US"/>
        </w:rPr>
        <w:t xml:space="preserve"> </w:t>
      </w:r>
    </w:p>
    <w:p w:rsidR="00D1648F" w:rsidRPr="003209B7" w:rsidRDefault="00D1648F" w:rsidP="001D16F2">
      <w:pPr>
        <w:widowControl w:val="0"/>
        <w:autoSpaceDE w:val="0"/>
        <w:autoSpaceDN w:val="0"/>
        <w:adjustRightInd w:val="0"/>
        <w:spacing w:after="0" w:line="240" w:lineRule="auto"/>
        <w:jc w:val="both"/>
        <w:rPr>
          <w:rFonts w:ascii="Calibri" w:eastAsia="Times New Roman" w:hAnsi="Calibri" w:cs="Arial"/>
          <w:color w:val="000000"/>
          <w:sz w:val="24"/>
          <w:szCs w:val="24"/>
          <w:lang w:val="en-US"/>
        </w:rPr>
      </w:pPr>
      <w:r>
        <w:rPr>
          <w:rFonts w:ascii="Calibri" w:eastAsia="Times New Roman" w:hAnsi="Calibri" w:cs="Arial"/>
          <w:color w:val="000000" w:themeColor="text1"/>
          <w:sz w:val="24"/>
          <w:szCs w:val="24"/>
          <w:lang w:val="en-US"/>
        </w:rPr>
        <w:t>Lara Stevanato</w:t>
      </w:r>
    </w:p>
    <w:p w:rsidR="00D1648F" w:rsidRDefault="00D1648F" w:rsidP="003209B7">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1D16F2">
        <w:rPr>
          <w:rFonts w:ascii="Calibri" w:eastAsia="Times New Roman" w:hAnsi="Calibri" w:cs="Arial"/>
          <w:bCs/>
          <w:color w:val="000000" w:themeColor="text1"/>
          <w:sz w:val="24"/>
          <w:szCs w:val="24"/>
          <w:lang w:val="en-US"/>
        </w:rPr>
        <w:t>ReNeuron</w:t>
      </w:r>
    </w:p>
    <w:p w:rsidR="00D1648F" w:rsidRPr="001D16F2" w:rsidRDefault="00D1648F" w:rsidP="003209B7">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Guildford, UK</w:t>
      </w:r>
    </w:p>
    <w:p w:rsidR="00D1648F" w:rsidRPr="001D16F2" w:rsidRDefault="00D1648F" w:rsidP="003209B7">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716A27">
        <w:rPr>
          <w:rFonts w:ascii="Calibri" w:eastAsia="Times New Roman" w:hAnsi="Calibri" w:cs="Arial"/>
          <w:bCs/>
          <w:sz w:val="24"/>
          <w:szCs w:val="24"/>
          <w:lang w:val="en-US"/>
        </w:rPr>
        <w:t>Lara-stevanato@reneuron.com</w:t>
      </w:r>
      <w:r>
        <w:rPr>
          <w:rFonts w:ascii="Calibri" w:eastAsia="Times New Roman" w:hAnsi="Calibri" w:cs="Arial"/>
          <w:bCs/>
          <w:color w:val="000000" w:themeColor="text1"/>
          <w:sz w:val="24"/>
          <w:szCs w:val="24"/>
          <w:lang w:val="en-US"/>
        </w:rPr>
        <w:t xml:space="preserve"> </w:t>
      </w:r>
      <w:r w:rsidRPr="001D16F2">
        <w:rPr>
          <w:rFonts w:ascii="Calibri" w:eastAsia="Times New Roman" w:hAnsi="Calibri" w:cs="Arial"/>
          <w:bCs/>
          <w:color w:val="000000" w:themeColor="text1"/>
          <w:sz w:val="24"/>
          <w:szCs w:val="24"/>
          <w:lang w:val="en-US"/>
        </w:rPr>
        <w:t xml:space="preserve"> </w:t>
      </w:r>
      <w:r>
        <w:rPr>
          <w:rFonts w:ascii="Calibri" w:eastAsia="Times New Roman" w:hAnsi="Calibri" w:cs="Arial"/>
          <w:bCs/>
          <w:color w:val="000000" w:themeColor="text1"/>
          <w:sz w:val="24"/>
          <w:szCs w:val="24"/>
          <w:lang w:val="en-US"/>
        </w:rPr>
        <w:t xml:space="preserve"> </w:t>
      </w:r>
    </w:p>
    <w:p w:rsidR="00D1648F" w:rsidRPr="00716A27" w:rsidRDefault="00D1648F" w:rsidP="001D16F2">
      <w:pPr>
        <w:widowControl w:val="0"/>
        <w:autoSpaceDE w:val="0"/>
        <w:autoSpaceDN w:val="0"/>
        <w:adjustRightInd w:val="0"/>
        <w:spacing w:after="0" w:line="240" w:lineRule="auto"/>
        <w:jc w:val="both"/>
        <w:rPr>
          <w:rFonts w:ascii="Calibri" w:eastAsia="Times New Roman" w:hAnsi="Calibri" w:cs="Arial"/>
          <w:bCs/>
          <w:color w:val="000000"/>
          <w:sz w:val="24"/>
          <w:szCs w:val="24"/>
          <w:lang w:val="en-US"/>
        </w:rPr>
      </w:pPr>
    </w:p>
    <w:p w:rsidR="00D1648F" w:rsidRDefault="00D1648F" w:rsidP="001D16F2">
      <w:pPr>
        <w:widowControl w:val="0"/>
        <w:autoSpaceDE w:val="0"/>
        <w:autoSpaceDN w:val="0"/>
        <w:adjustRightInd w:val="0"/>
        <w:spacing w:after="0" w:line="240" w:lineRule="auto"/>
        <w:jc w:val="both"/>
        <w:rPr>
          <w:rFonts w:ascii="Calibri" w:eastAsia="Times New Roman" w:hAnsi="Calibri" w:cs="Arial"/>
          <w:color w:val="000000"/>
          <w:sz w:val="24"/>
          <w:szCs w:val="24"/>
          <w:lang w:val="en-US"/>
        </w:rPr>
      </w:pPr>
      <w:r w:rsidRPr="003209B7">
        <w:rPr>
          <w:rFonts w:ascii="Calibri" w:eastAsia="Times New Roman" w:hAnsi="Calibri" w:cs="Arial"/>
          <w:b/>
          <w:bCs/>
          <w:color w:val="000000"/>
          <w:sz w:val="24"/>
          <w:szCs w:val="24"/>
          <w:lang w:val="en-US"/>
        </w:rPr>
        <w:t>KEYWORDS:</w:t>
      </w:r>
      <w:r w:rsidRPr="003209B7">
        <w:rPr>
          <w:rFonts w:ascii="Calibri" w:eastAsia="Times New Roman" w:hAnsi="Calibri" w:cs="Arial"/>
          <w:color w:val="000000"/>
          <w:sz w:val="24"/>
          <w:szCs w:val="24"/>
          <w:lang w:val="en-US"/>
        </w:rPr>
        <w:t xml:space="preserve"> </w:t>
      </w:r>
    </w:p>
    <w:p w:rsidR="00D1648F" w:rsidRPr="003209B7" w:rsidRDefault="00D1648F" w:rsidP="001D16F2">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r w:rsidRPr="003209B7">
        <w:rPr>
          <w:rFonts w:ascii="Calibri" w:eastAsia="Times New Roman" w:hAnsi="Calibri" w:cs="Arial"/>
          <w:color w:val="000000" w:themeColor="text1"/>
          <w:sz w:val="24"/>
          <w:szCs w:val="24"/>
          <w:lang w:val="en-US"/>
        </w:rPr>
        <w:t>Clinical grade neural stem cells</w:t>
      </w:r>
      <w:r>
        <w:rPr>
          <w:rFonts w:ascii="Calibri" w:eastAsia="Times New Roman" w:hAnsi="Calibri" w:cs="Arial"/>
          <w:color w:val="000000" w:themeColor="text1"/>
          <w:sz w:val="24"/>
          <w:szCs w:val="24"/>
          <w:lang w:val="en-US"/>
        </w:rPr>
        <w:t>, miRNA profiling and effects,</w:t>
      </w:r>
      <w:r w:rsidRPr="003209B7">
        <w:rPr>
          <w:rFonts w:ascii="Calibri" w:eastAsia="Times New Roman" w:hAnsi="Calibri" w:cs="Arial"/>
          <w:color w:val="000000" w:themeColor="text1"/>
          <w:sz w:val="24"/>
          <w:szCs w:val="24"/>
          <w:lang w:val="en-US"/>
        </w:rPr>
        <w:t xml:space="preserve"> in vitro differentiation</w:t>
      </w:r>
      <w:r>
        <w:rPr>
          <w:rFonts w:ascii="Calibri" w:eastAsia="Times New Roman" w:hAnsi="Calibri" w:cs="Arial"/>
          <w:color w:val="000000" w:themeColor="text1"/>
          <w:sz w:val="24"/>
          <w:szCs w:val="24"/>
          <w:lang w:val="en-US"/>
        </w:rPr>
        <w:t>,</w:t>
      </w:r>
      <w:r w:rsidRPr="003209B7">
        <w:rPr>
          <w:rFonts w:ascii="Calibri" w:eastAsia="Times New Roman" w:hAnsi="Calibri" w:cs="Arial"/>
          <w:color w:val="000000" w:themeColor="text1"/>
          <w:sz w:val="24"/>
          <w:szCs w:val="24"/>
          <w:lang w:val="en-US"/>
        </w:rPr>
        <w:t xml:space="preserve"> three dimensional culture</w:t>
      </w: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color w:val="000000"/>
          <w:sz w:val="24"/>
          <w:szCs w:val="24"/>
          <w:lang w:val="en-US"/>
        </w:rPr>
      </w:pPr>
    </w:p>
    <w:p w:rsidR="00D1648F" w:rsidRPr="00716A27" w:rsidRDefault="00D1648F" w:rsidP="001D16F2">
      <w:pPr>
        <w:widowControl w:val="0"/>
        <w:autoSpaceDE w:val="0"/>
        <w:autoSpaceDN w:val="0"/>
        <w:adjustRightInd w:val="0"/>
        <w:spacing w:after="0" w:line="240" w:lineRule="auto"/>
        <w:jc w:val="both"/>
        <w:rPr>
          <w:rFonts w:ascii="Calibri" w:eastAsia="Times New Roman" w:hAnsi="Calibri" w:cs="Arial"/>
          <w:sz w:val="24"/>
          <w:szCs w:val="24"/>
          <w:lang w:val="en-US"/>
        </w:rPr>
      </w:pPr>
      <w:r w:rsidRPr="001D16F2">
        <w:rPr>
          <w:rFonts w:ascii="Calibri" w:eastAsia="Times New Roman" w:hAnsi="Calibri" w:cs="Arial"/>
          <w:b/>
          <w:bCs/>
          <w:color w:val="000000"/>
          <w:sz w:val="24"/>
          <w:szCs w:val="24"/>
          <w:lang w:val="en-US"/>
        </w:rPr>
        <w:t>SHORT ABSTRACT:</w:t>
      </w:r>
      <w:r w:rsidRPr="001D16F2">
        <w:rPr>
          <w:rFonts w:ascii="Calibri" w:eastAsia="Times New Roman" w:hAnsi="Calibri" w:cs="Arial"/>
          <w:color w:val="000000"/>
          <w:sz w:val="24"/>
          <w:szCs w:val="24"/>
          <w:lang w:val="en-US"/>
        </w:rPr>
        <w:t xml:space="preserve"> </w:t>
      </w: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r>
        <w:rPr>
          <w:rFonts w:ascii="Calibri" w:eastAsia="Times New Roman" w:hAnsi="Calibri" w:cs="Arial"/>
          <w:color w:val="000000" w:themeColor="text1"/>
          <w:sz w:val="24"/>
          <w:szCs w:val="24"/>
          <w:lang w:val="en-US"/>
        </w:rPr>
        <w:t xml:space="preserve">With the intent of characterizing changes in miRNAs on differentiated </w:t>
      </w:r>
      <w:r w:rsidRPr="001D16F2">
        <w:rPr>
          <w:rFonts w:ascii="Calibri" w:eastAsia="Times New Roman" w:hAnsi="Calibri" w:cs="Arial"/>
          <w:color w:val="000000" w:themeColor="text1"/>
          <w:sz w:val="24"/>
          <w:szCs w:val="24"/>
          <w:lang w:val="en-US"/>
        </w:rPr>
        <w:t>h</w:t>
      </w:r>
      <w:r>
        <w:rPr>
          <w:rFonts w:ascii="Calibri" w:eastAsia="Times New Roman" w:hAnsi="Calibri" w:cs="Arial"/>
          <w:color w:val="000000" w:themeColor="text1"/>
          <w:sz w:val="24"/>
          <w:szCs w:val="24"/>
          <w:lang w:val="en-US"/>
        </w:rPr>
        <w:t>uman neural stem cells (hNSCs) we</w:t>
      </w:r>
      <w:r w:rsidRPr="001D16F2">
        <w:rPr>
          <w:rFonts w:ascii="Calibri" w:eastAsia="Times New Roman" w:hAnsi="Calibri" w:cs="Arial"/>
          <w:color w:val="000000" w:themeColor="text1"/>
          <w:sz w:val="24"/>
          <w:szCs w:val="24"/>
          <w:lang w:val="en-US"/>
        </w:rPr>
        <w:t xml:space="preserve"> describe </w:t>
      </w:r>
      <w:r>
        <w:rPr>
          <w:rFonts w:ascii="Calibri" w:eastAsia="Times New Roman" w:hAnsi="Calibri" w:cs="Arial"/>
          <w:color w:val="000000" w:themeColor="text1"/>
          <w:sz w:val="24"/>
          <w:szCs w:val="24"/>
          <w:lang w:val="en-US"/>
        </w:rPr>
        <w:t xml:space="preserve">hNSC </w:t>
      </w:r>
      <w:r w:rsidRPr="001D16F2">
        <w:rPr>
          <w:rFonts w:ascii="Calibri" w:eastAsia="Times New Roman" w:hAnsi="Calibri" w:cs="Arial"/>
          <w:color w:val="000000" w:themeColor="text1"/>
          <w:sz w:val="24"/>
          <w:szCs w:val="24"/>
          <w:lang w:val="en-US"/>
        </w:rPr>
        <w:t>differentiation on a three dimensional system</w:t>
      </w:r>
      <w:r>
        <w:rPr>
          <w:rFonts w:ascii="Calibri" w:eastAsia="Times New Roman" w:hAnsi="Calibri" w:cs="Arial"/>
          <w:color w:val="000000" w:themeColor="text1"/>
          <w:sz w:val="24"/>
          <w:szCs w:val="24"/>
          <w:lang w:val="en-US"/>
        </w:rPr>
        <w:t>,</w:t>
      </w:r>
      <w:r w:rsidRPr="001D16F2">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 xml:space="preserve">the evaluation of </w:t>
      </w:r>
      <w:r w:rsidRPr="00B02C4C">
        <w:rPr>
          <w:rFonts w:ascii="Calibri" w:eastAsia="Times New Roman" w:hAnsi="Calibri" w:cs="Arial"/>
          <w:color w:val="000000" w:themeColor="text1"/>
          <w:sz w:val="24"/>
          <w:szCs w:val="24"/>
          <w:lang w:val="en-US"/>
        </w:rPr>
        <w:t xml:space="preserve">changes in microRNA expression </w:t>
      </w:r>
      <w:r>
        <w:rPr>
          <w:rFonts w:ascii="Calibri" w:eastAsia="Times New Roman" w:hAnsi="Calibri" w:cs="Arial"/>
          <w:color w:val="000000" w:themeColor="text1"/>
          <w:sz w:val="24"/>
          <w:szCs w:val="24"/>
          <w:lang w:val="en-US"/>
        </w:rPr>
        <w:t>by</w:t>
      </w:r>
      <w:r w:rsidRPr="001D16F2">
        <w:rPr>
          <w:rFonts w:ascii="Calibri" w:eastAsia="Times New Roman" w:hAnsi="Calibri" w:cs="Arial"/>
          <w:color w:val="000000" w:themeColor="text1"/>
          <w:sz w:val="24"/>
          <w:szCs w:val="24"/>
          <w:lang w:val="en-US"/>
        </w:rPr>
        <w:t xml:space="preserve"> miRNA PCR array</w:t>
      </w:r>
      <w:r>
        <w:rPr>
          <w:rFonts w:ascii="Calibri" w:eastAsia="Times New Roman" w:hAnsi="Calibri" w:cs="Arial"/>
          <w:color w:val="000000" w:themeColor="text1"/>
          <w:sz w:val="24"/>
          <w:szCs w:val="24"/>
          <w:lang w:val="en-US"/>
        </w:rPr>
        <w:t xml:space="preserve">, and </w:t>
      </w:r>
      <w:r w:rsidRPr="001D16F2">
        <w:rPr>
          <w:rFonts w:ascii="Calibri" w:eastAsia="Times New Roman" w:hAnsi="Calibri" w:cs="Arial"/>
          <w:color w:val="000000" w:themeColor="text1"/>
          <w:sz w:val="24"/>
          <w:szCs w:val="24"/>
          <w:lang w:val="en-US"/>
        </w:rPr>
        <w:t xml:space="preserve">computational analysis for miRNA target prediction and </w:t>
      </w:r>
      <w:r>
        <w:rPr>
          <w:rFonts w:ascii="Calibri" w:eastAsia="Times New Roman" w:hAnsi="Calibri" w:cs="Arial"/>
          <w:color w:val="000000" w:themeColor="text1"/>
          <w:sz w:val="24"/>
          <w:szCs w:val="24"/>
          <w:lang w:val="en-US"/>
        </w:rPr>
        <w:t xml:space="preserve">its </w:t>
      </w:r>
      <w:r w:rsidRPr="001D16F2">
        <w:rPr>
          <w:rFonts w:ascii="Calibri" w:eastAsia="Times New Roman" w:hAnsi="Calibri" w:cs="Arial"/>
          <w:color w:val="000000" w:themeColor="text1"/>
          <w:sz w:val="24"/>
          <w:szCs w:val="24"/>
          <w:lang w:val="en-US"/>
        </w:rPr>
        <w:t>validation by dual luciferase assay.</w:t>
      </w: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color w:val="000000"/>
          <w:sz w:val="24"/>
          <w:szCs w:val="24"/>
          <w:lang w:val="en-US"/>
        </w:rPr>
      </w:pPr>
    </w:p>
    <w:p w:rsidR="00D1648F" w:rsidRPr="00716A27" w:rsidRDefault="00D1648F" w:rsidP="001D16F2">
      <w:pPr>
        <w:widowControl w:val="0"/>
        <w:autoSpaceDE w:val="0"/>
        <w:autoSpaceDN w:val="0"/>
        <w:adjustRightInd w:val="0"/>
        <w:spacing w:after="0" w:line="240" w:lineRule="auto"/>
        <w:jc w:val="both"/>
        <w:rPr>
          <w:rFonts w:ascii="Calibri" w:eastAsia="Times New Roman" w:hAnsi="Calibri" w:cs="Arial"/>
          <w:sz w:val="24"/>
          <w:szCs w:val="24"/>
          <w:lang w:val="en-US"/>
        </w:rPr>
      </w:pPr>
      <w:r w:rsidRPr="001D16F2">
        <w:rPr>
          <w:rFonts w:ascii="Calibri" w:eastAsia="Times New Roman" w:hAnsi="Calibri" w:cs="Arial"/>
          <w:b/>
          <w:bCs/>
          <w:color w:val="000000"/>
          <w:sz w:val="24"/>
          <w:szCs w:val="24"/>
          <w:lang w:val="en-US"/>
        </w:rPr>
        <w:t>LONG ABSTRACT</w:t>
      </w:r>
      <w:r w:rsidRPr="00716A27">
        <w:rPr>
          <w:rFonts w:ascii="Calibri" w:eastAsia="Times New Roman" w:hAnsi="Calibri" w:cs="Arial"/>
          <w:b/>
          <w:bCs/>
          <w:sz w:val="24"/>
          <w:szCs w:val="24"/>
          <w:lang w:val="en-US"/>
        </w:rPr>
        <w:t>:</w:t>
      </w:r>
      <w:r w:rsidRPr="00716A27">
        <w:rPr>
          <w:rFonts w:ascii="Calibri" w:eastAsia="Times New Roman" w:hAnsi="Calibri" w:cs="Arial"/>
          <w:sz w:val="24"/>
          <w:szCs w:val="24"/>
          <w:lang w:val="en-US"/>
        </w:rPr>
        <w:t xml:space="preserve"> </w:t>
      </w:r>
    </w:p>
    <w:p w:rsidR="00D1648F" w:rsidRDefault="00D1648F" w:rsidP="001D16F2">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r w:rsidRPr="001D16F2">
        <w:rPr>
          <w:rFonts w:ascii="Calibri" w:eastAsia="Times New Roman" w:hAnsi="Calibri" w:cs="Arial"/>
          <w:color w:val="000000" w:themeColor="text1"/>
          <w:sz w:val="24"/>
          <w:szCs w:val="24"/>
          <w:lang w:val="en-US"/>
        </w:rPr>
        <w:t xml:space="preserve">Neural stem cells (NSCs) are capable of self-renewal and differentiation into </w:t>
      </w:r>
      <w:r>
        <w:rPr>
          <w:rFonts w:ascii="Calibri" w:eastAsia="Times New Roman" w:hAnsi="Calibri" w:cs="Arial"/>
          <w:color w:val="000000" w:themeColor="text1"/>
          <w:sz w:val="24"/>
          <w:szCs w:val="24"/>
          <w:lang w:val="en-US"/>
        </w:rPr>
        <w:t>neurons, astrocytes and oligodendrocytes</w:t>
      </w:r>
      <w:r w:rsidRPr="001D16F2">
        <w:rPr>
          <w:rFonts w:ascii="Calibri" w:eastAsia="Times New Roman" w:hAnsi="Calibri" w:cs="Arial"/>
          <w:color w:val="000000" w:themeColor="text1"/>
          <w:sz w:val="24"/>
          <w:szCs w:val="24"/>
          <w:lang w:val="en-US"/>
        </w:rPr>
        <w:t xml:space="preserve"> under specific local</w:t>
      </w:r>
      <w:r>
        <w:rPr>
          <w:rFonts w:ascii="Calibri" w:eastAsia="Times New Roman" w:hAnsi="Calibri" w:cs="Arial"/>
          <w:color w:val="000000" w:themeColor="text1"/>
          <w:sz w:val="24"/>
          <w:szCs w:val="24"/>
          <w:lang w:val="en-US"/>
        </w:rPr>
        <w:t xml:space="preserve"> microenvironments. In here, we present </w:t>
      </w:r>
      <w:r w:rsidRPr="001D16F2">
        <w:rPr>
          <w:rFonts w:ascii="Calibri" w:eastAsia="Times New Roman" w:hAnsi="Calibri" w:cs="Arial"/>
          <w:color w:val="000000" w:themeColor="text1"/>
          <w:sz w:val="24"/>
          <w:szCs w:val="24"/>
          <w:lang w:val="en-US"/>
        </w:rPr>
        <w:t>a set of methods used for three dimensional</w:t>
      </w:r>
      <w:r>
        <w:rPr>
          <w:rFonts w:ascii="Calibri" w:eastAsia="Times New Roman" w:hAnsi="Calibri" w:cs="Arial"/>
          <w:color w:val="000000" w:themeColor="text1"/>
          <w:sz w:val="24"/>
          <w:szCs w:val="24"/>
          <w:lang w:val="en-US"/>
        </w:rPr>
        <w:t xml:space="preserve"> (3D)</w:t>
      </w:r>
      <w:r w:rsidRPr="001D16F2">
        <w:rPr>
          <w:rFonts w:ascii="Calibri" w:eastAsia="Times New Roman" w:hAnsi="Calibri" w:cs="Arial"/>
          <w:color w:val="000000" w:themeColor="text1"/>
          <w:sz w:val="24"/>
          <w:szCs w:val="24"/>
          <w:lang w:val="en-US"/>
        </w:rPr>
        <w:t xml:space="preserve"> differentiation and miRNA analysis of </w:t>
      </w:r>
      <w:r>
        <w:rPr>
          <w:rFonts w:ascii="Calibri" w:eastAsia="Times New Roman" w:hAnsi="Calibri" w:cs="Arial"/>
          <w:color w:val="000000" w:themeColor="text1"/>
          <w:sz w:val="24"/>
          <w:szCs w:val="24"/>
          <w:lang w:val="en-US"/>
        </w:rPr>
        <w:t xml:space="preserve">a </w:t>
      </w:r>
      <w:r w:rsidRPr="001D16F2">
        <w:rPr>
          <w:rFonts w:ascii="Calibri" w:eastAsia="Times New Roman" w:hAnsi="Calibri" w:cs="Arial"/>
          <w:color w:val="000000" w:themeColor="text1"/>
          <w:sz w:val="24"/>
          <w:szCs w:val="24"/>
          <w:lang w:val="en-US"/>
        </w:rPr>
        <w:t>clonal human neural stem cell (hNSC)</w:t>
      </w:r>
      <w:r>
        <w:rPr>
          <w:rFonts w:ascii="Calibri" w:eastAsia="Times New Roman" w:hAnsi="Calibri" w:cs="Arial"/>
          <w:color w:val="000000" w:themeColor="text1"/>
          <w:sz w:val="24"/>
          <w:szCs w:val="24"/>
          <w:lang w:val="en-US"/>
        </w:rPr>
        <w:t xml:space="preserve"> line,</w:t>
      </w:r>
      <w:r w:rsidRPr="001D16F2">
        <w:rPr>
          <w:rFonts w:ascii="Calibri" w:eastAsia="Times New Roman" w:hAnsi="Calibri" w:cs="Arial"/>
          <w:color w:val="000000" w:themeColor="text1"/>
          <w:sz w:val="24"/>
          <w:szCs w:val="24"/>
          <w:lang w:val="en-US"/>
        </w:rPr>
        <w:t xml:space="preserve"> currently in clinical trial</w:t>
      </w:r>
      <w:r>
        <w:rPr>
          <w:rFonts w:ascii="Calibri" w:eastAsia="Times New Roman" w:hAnsi="Calibri" w:cs="Arial"/>
          <w:color w:val="000000" w:themeColor="text1"/>
          <w:sz w:val="24"/>
          <w:szCs w:val="24"/>
          <w:lang w:val="en-US"/>
        </w:rPr>
        <w:t>s</w:t>
      </w:r>
      <w:r w:rsidRPr="001D16F2">
        <w:rPr>
          <w:rFonts w:ascii="Calibri" w:eastAsia="Times New Roman" w:hAnsi="Calibri" w:cs="Arial"/>
          <w:color w:val="000000" w:themeColor="text1"/>
          <w:sz w:val="24"/>
          <w:szCs w:val="24"/>
          <w:lang w:val="en-US"/>
        </w:rPr>
        <w:t xml:space="preserve"> for stroke disability (NCT01151124</w:t>
      </w:r>
      <w:r>
        <w:rPr>
          <w:rFonts w:ascii="Calibri" w:eastAsia="Times New Roman" w:hAnsi="Calibri" w:cs="Arial"/>
          <w:color w:val="000000" w:themeColor="text1"/>
          <w:sz w:val="24"/>
          <w:szCs w:val="24"/>
          <w:lang w:val="en-US"/>
        </w:rPr>
        <w:t xml:space="preserve"> and </w:t>
      </w:r>
      <w:r w:rsidRPr="00A9696C">
        <w:rPr>
          <w:rFonts w:ascii="Calibri" w:eastAsia="Times New Roman" w:hAnsi="Calibri" w:cs="Arial"/>
          <w:color w:val="000000" w:themeColor="text1"/>
          <w:sz w:val="24"/>
          <w:szCs w:val="24"/>
        </w:rPr>
        <w:t>NCT02117635</w:t>
      </w:r>
      <w:r>
        <w:rPr>
          <w:rFonts w:ascii="Calibri" w:eastAsia="Times New Roman" w:hAnsi="Calibri" w:cs="Arial"/>
          <w:color w:val="000000" w:themeColor="text1"/>
          <w:sz w:val="24"/>
          <w:szCs w:val="24"/>
        </w:rPr>
        <w:t>,</w:t>
      </w:r>
      <w:r w:rsidRPr="00A9696C">
        <w:rPr>
          <w:rFonts w:ascii="Calibri" w:eastAsia="Times New Roman" w:hAnsi="Calibri" w:cs="Arial"/>
          <w:color w:val="000000" w:themeColor="text1"/>
          <w:sz w:val="24"/>
          <w:szCs w:val="24"/>
          <w:lang w:val="en-US"/>
        </w:rPr>
        <w:t xml:space="preserve"> </w:t>
      </w:r>
      <w:r w:rsidRPr="001D16F2">
        <w:rPr>
          <w:rFonts w:ascii="Calibri" w:eastAsia="Times New Roman" w:hAnsi="Calibri" w:cs="Arial"/>
          <w:color w:val="000000" w:themeColor="text1"/>
          <w:sz w:val="24"/>
          <w:szCs w:val="24"/>
          <w:lang w:val="en-US"/>
        </w:rPr>
        <w:t>Clinicaltrials.gov). HNSCs</w:t>
      </w:r>
      <w:r>
        <w:rPr>
          <w:rFonts w:ascii="Calibri" w:eastAsia="Times New Roman" w:hAnsi="Calibri" w:cs="Arial"/>
          <w:color w:val="000000" w:themeColor="text1"/>
          <w:sz w:val="24"/>
          <w:szCs w:val="24"/>
          <w:lang w:val="en-US"/>
        </w:rPr>
        <w:t xml:space="preserve"> </w:t>
      </w:r>
      <w:r w:rsidRPr="001D16F2">
        <w:rPr>
          <w:rFonts w:ascii="Calibri" w:eastAsia="Times New Roman" w:hAnsi="Calibri" w:cs="Arial"/>
          <w:color w:val="000000" w:themeColor="text1"/>
          <w:sz w:val="24"/>
          <w:szCs w:val="24"/>
          <w:lang w:val="en-US"/>
        </w:rPr>
        <w:t xml:space="preserve">were derived from </w:t>
      </w:r>
      <w:r>
        <w:rPr>
          <w:rFonts w:ascii="Calibri" w:eastAsia="Times New Roman" w:hAnsi="Calibri" w:cs="Arial"/>
          <w:color w:val="000000" w:themeColor="text1"/>
          <w:sz w:val="24"/>
          <w:szCs w:val="24"/>
          <w:lang w:val="en-US"/>
        </w:rPr>
        <w:t xml:space="preserve">an ethical approved first trimester human fetal </w:t>
      </w:r>
      <w:r w:rsidRPr="001D16F2">
        <w:rPr>
          <w:rFonts w:ascii="Calibri" w:eastAsia="Times New Roman" w:hAnsi="Calibri" w:cs="Arial"/>
          <w:color w:val="000000" w:themeColor="text1"/>
          <w:sz w:val="24"/>
          <w:szCs w:val="24"/>
          <w:lang w:val="en-US"/>
        </w:rPr>
        <w:t xml:space="preserve">cortex and conditionally immortalized using </w:t>
      </w:r>
      <w:r>
        <w:rPr>
          <w:rFonts w:ascii="Calibri" w:eastAsia="Times New Roman" w:hAnsi="Calibri" w:cs="Arial"/>
          <w:color w:val="000000" w:themeColor="text1"/>
          <w:sz w:val="24"/>
          <w:szCs w:val="24"/>
          <w:lang w:val="en-US"/>
        </w:rPr>
        <w:t xml:space="preserve">retroviral integration of a single copy of the </w:t>
      </w:r>
      <w:r w:rsidRPr="001D16F2">
        <w:rPr>
          <w:rFonts w:ascii="Calibri" w:eastAsia="Times New Roman" w:hAnsi="Calibri" w:cs="Arial"/>
          <w:color w:val="000000" w:themeColor="text1"/>
          <w:sz w:val="24"/>
          <w:szCs w:val="24"/>
          <w:lang w:val="en-US"/>
        </w:rPr>
        <w:t>c-mycER</w:t>
      </w:r>
      <w:r w:rsidRPr="001D1C5E">
        <w:rPr>
          <w:rFonts w:ascii="Calibri" w:eastAsia="Times New Roman" w:hAnsi="Calibri" w:cs="Arial"/>
          <w:color w:val="000000" w:themeColor="text1"/>
          <w:sz w:val="24"/>
          <w:szCs w:val="24"/>
          <w:vertAlign w:val="superscript"/>
          <w:lang w:val="en-US"/>
        </w:rPr>
        <w:t>TAM</w:t>
      </w:r>
      <w:r w:rsidRPr="001D16F2">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construct</w:t>
      </w:r>
      <w:r w:rsidRPr="001D16F2">
        <w:rPr>
          <w:rFonts w:ascii="Calibri" w:eastAsia="Times New Roman" w:hAnsi="Calibri" w:cs="Arial"/>
          <w:color w:val="000000" w:themeColor="text1"/>
          <w:sz w:val="24"/>
          <w:szCs w:val="24"/>
          <w:lang w:val="en-US"/>
        </w:rPr>
        <w:t xml:space="preserve">. We describe how to </w:t>
      </w:r>
      <w:r>
        <w:rPr>
          <w:rFonts w:ascii="Calibri" w:eastAsia="Times New Roman" w:hAnsi="Calibri" w:cs="Arial"/>
          <w:color w:val="000000" w:themeColor="text1"/>
          <w:sz w:val="24"/>
          <w:szCs w:val="24"/>
          <w:lang w:val="en-US"/>
        </w:rPr>
        <w:t xml:space="preserve">measure </w:t>
      </w:r>
      <w:r w:rsidRPr="001D1C5E">
        <w:rPr>
          <w:rFonts w:ascii="Calibri" w:eastAsia="Times New Roman" w:hAnsi="Calibri" w:cs="Arial"/>
          <w:color w:val="000000" w:themeColor="text1"/>
          <w:sz w:val="24"/>
          <w:szCs w:val="24"/>
          <w:lang w:val="en-US"/>
        </w:rPr>
        <w:t>axon process outgrowth</w:t>
      </w:r>
      <w:r>
        <w:rPr>
          <w:rFonts w:ascii="Calibri" w:eastAsia="Times New Roman" w:hAnsi="Calibri" w:cs="Arial"/>
          <w:color w:val="000000" w:themeColor="text1"/>
          <w:sz w:val="24"/>
          <w:szCs w:val="24"/>
          <w:lang w:val="en-US"/>
        </w:rPr>
        <w:t xml:space="preserve"> of </w:t>
      </w:r>
      <w:r w:rsidRPr="001D16F2">
        <w:rPr>
          <w:rFonts w:ascii="Calibri" w:eastAsia="Times New Roman" w:hAnsi="Calibri" w:cs="Arial"/>
          <w:color w:val="000000" w:themeColor="text1"/>
          <w:sz w:val="24"/>
          <w:szCs w:val="24"/>
          <w:lang w:val="en-US"/>
        </w:rPr>
        <w:t xml:space="preserve">hNSCs </w:t>
      </w:r>
      <w:r w:rsidRPr="001D16F2">
        <w:rPr>
          <w:rFonts w:ascii="Calibri" w:eastAsia="Times New Roman" w:hAnsi="Calibri" w:cs="Arial"/>
          <w:color w:val="000000" w:themeColor="text1"/>
          <w:sz w:val="24"/>
          <w:szCs w:val="24"/>
          <w:lang w:val="en-US"/>
        </w:rPr>
        <w:lastRenderedPageBreak/>
        <w:t>differentiate</w:t>
      </w:r>
      <w:r>
        <w:rPr>
          <w:rFonts w:ascii="Calibri" w:eastAsia="Times New Roman" w:hAnsi="Calibri" w:cs="Arial"/>
          <w:color w:val="000000" w:themeColor="text1"/>
          <w:sz w:val="24"/>
          <w:szCs w:val="24"/>
          <w:lang w:val="en-US"/>
        </w:rPr>
        <w:t>d</w:t>
      </w:r>
      <w:r w:rsidRPr="001D16F2">
        <w:rPr>
          <w:rFonts w:ascii="Calibri" w:eastAsia="Times New Roman" w:hAnsi="Calibri" w:cs="Arial"/>
          <w:color w:val="000000" w:themeColor="text1"/>
          <w:sz w:val="24"/>
          <w:szCs w:val="24"/>
          <w:lang w:val="en-US"/>
        </w:rPr>
        <w:t xml:space="preserve"> on </w:t>
      </w:r>
      <w:r>
        <w:rPr>
          <w:rFonts w:ascii="Calibri" w:eastAsia="Times New Roman" w:hAnsi="Calibri" w:cs="Arial"/>
          <w:color w:val="000000" w:themeColor="text1"/>
          <w:sz w:val="24"/>
          <w:szCs w:val="24"/>
          <w:lang w:val="en-US"/>
        </w:rPr>
        <w:t>3D</w:t>
      </w:r>
      <w:r w:rsidRPr="001D16F2">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 xml:space="preserve">scaffolds and how </w:t>
      </w:r>
      <w:r w:rsidRPr="001D16F2">
        <w:rPr>
          <w:rFonts w:ascii="Calibri" w:eastAsia="Times New Roman" w:hAnsi="Calibri" w:cs="Arial"/>
          <w:color w:val="000000" w:themeColor="text1"/>
          <w:sz w:val="24"/>
          <w:szCs w:val="24"/>
          <w:lang w:val="en-US"/>
        </w:rPr>
        <w:t xml:space="preserve">to </w:t>
      </w:r>
      <w:r>
        <w:rPr>
          <w:rFonts w:ascii="Calibri" w:eastAsia="Times New Roman" w:hAnsi="Calibri" w:cs="Arial"/>
          <w:color w:val="000000" w:themeColor="text1"/>
          <w:sz w:val="24"/>
          <w:szCs w:val="24"/>
          <w:lang w:val="en-US"/>
        </w:rPr>
        <w:t>quantify</w:t>
      </w:r>
      <w:r w:rsidRPr="001D16F2">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 xml:space="preserve">associated </w:t>
      </w:r>
      <w:r w:rsidRPr="001D16F2">
        <w:rPr>
          <w:rFonts w:ascii="Calibri" w:eastAsia="Times New Roman" w:hAnsi="Calibri" w:cs="Arial"/>
          <w:color w:val="000000" w:themeColor="text1"/>
          <w:sz w:val="24"/>
          <w:szCs w:val="24"/>
          <w:lang w:val="en-US"/>
        </w:rPr>
        <w:t>changes in miRNA expression using PCR array. Furthermore we exemplify computational analysis with the aim of selecting miRNA putative targets</w:t>
      </w:r>
      <w:r>
        <w:rPr>
          <w:rFonts w:ascii="Calibri" w:eastAsia="Times New Roman" w:hAnsi="Calibri" w:cs="Arial"/>
          <w:color w:val="000000" w:themeColor="text1"/>
          <w:sz w:val="24"/>
          <w:szCs w:val="24"/>
          <w:lang w:val="en-US"/>
        </w:rPr>
        <w:t xml:space="preserve">. SOX5 and </w:t>
      </w:r>
      <w:r w:rsidRPr="00915E09">
        <w:rPr>
          <w:rFonts w:ascii="Calibri" w:eastAsia="Times New Roman" w:hAnsi="Calibri" w:cs="Arial"/>
          <w:color w:val="000000" w:themeColor="text1"/>
          <w:sz w:val="24"/>
          <w:szCs w:val="24"/>
          <w:lang w:val="en-US"/>
        </w:rPr>
        <w:t>NR4A3</w:t>
      </w:r>
      <w:r>
        <w:rPr>
          <w:rFonts w:ascii="Calibri" w:eastAsia="Times New Roman" w:hAnsi="Calibri" w:cs="Arial"/>
          <w:color w:val="000000" w:themeColor="text1"/>
          <w:sz w:val="24"/>
          <w:szCs w:val="24"/>
          <w:lang w:val="en-US"/>
        </w:rPr>
        <w:t xml:space="preserve"> were identified as suitable miRNA putative target of selected significantly down-regulated miRNAs in differentiated hNSC. MiRNA target validation was performed on SOX5 and </w:t>
      </w:r>
      <w:r w:rsidRPr="00915E09">
        <w:rPr>
          <w:rFonts w:ascii="Calibri" w:eastAsia="Times New Roman" w:hAnsi="Calibri" w:cs="Arial"/>
          <w:color w:val="000000" w:themeColor="text1"/>
          <w:sz w:val="24"/>
          <w:szCs w:val="24"/>
          <w:lang w:val="en-US"/>
        </w:rPr>
        <w:t>NR4A3</w:t>
      </w:r>
      <w:r>
        <w:rPr>
          <w:rFonts w:ascii="Calibri" w:eastAsia="Times New Roman" w:hAnsi="Calibri" w:cs="Arial"/>
          <w:color w:val="000000" w:themeColor="text1"/>
          <w:sz w:val="24"/>
          <w:szCs w:val="24"/>
          <w:lang w:val="en-US"/>
        </w:rPr>
        <w:t xml:space="preserve"> 3’UTRs</w:t>
      </w:r>
      <w:r w:rsidRPr="001D16F2">
        <w:rPr>
          <w:rFonts w:ascii="Calibri" w:eastAsia="Times New Roman" w:hAnsi="Calibri" w:cs="Arial"/>
          <w:color w:val="000000" w:themeColor="text1"/>
          <w:sz w:val="24"/>
          <w:szCs w:val="24"/>
          <w:lang w:val="en-US"/>
        </w:rPr>
        <w:t xml:space="preserve"> by </w:t>
      </w:r>
      <w:r>
        <w:rPr>
          <w:rFonts w:ascii="Calibri" w:eastAsia="Times New Roman" w:hAnsi="Calibri" w:cs="Arial"/>
          <w:color w:val="000000" w:themeColor="text1"/>
          <w:sz w:val="24"/>
          <w:szCs w:val="24"/>
          <w:lang w:val="en-US"/>
        </w:rPr>
        <w:t xml:space="preserve">dual </w:t>
      </w:r>
      <w:r w:rsidRPr="001D16F2">
        <w:rPr>
          <w:rFonts w:ascii="Calibri" w:eastAsia="Times New Roman" w:hAnsi="Calibri" w:cs="Arial"/>
          <w:color w:val="000000" w:themeColor="text1"/>
          <w:sz w:val="24"/>
          <w:szCs w:val="24"/>
          <w:lang w:val="en-US"/>
        </w:rPr>
        <w:t>reporter plasmid transfection and dual luciferase assay.</w:t>
      </w: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p>
    <w:p w:rsidR="00D1648F" w:rsidRPr="00716A27" w:rsidRDefault="00D1648F" w:rsidP="001D16F2">
      <w:pPr>
        <w:widowControl w:val="0"/>
        <w:autoSpaceDE w:val="0"/>
        <w:autoSpaceDN w:val="0"/>
        <w:adjustRightInd w:val="0"/>
        <w:spacing w:after="0" w:line="240" w:lineRule="auto"/>
        <w:jc w:val="both"/>
        <w:rPr>
          <w:rFonts w:ascii="Calibri" w:eastAsia="Times New Roman" w:hAnsi="Calibri" w:cs="Arial"/>
          <w:sz w:val="24"/>
          <w:szCs w:val="24"/>
          <w:lang w:val="en-US"/>
        </w:rPr>
      </w:pPr>
      <w:r w:rsidRPr="001D16F2">
        <w:rPr>
          <w:rFonts w:ascii="Calibri" w:eastAsia="Times New Roman" w:hAnsi="Calibri" w:cs="Arial"/>
          <w:b/>
          <w:color w:val="000000"/>
          <w:sz w:val="24"/>
          <w:szCs w:val="24"/>
          <w:lang w:val="en-US"/>
        </w:rPr>
        <w:t>INTRODUCTION</w:t>
      </w:r>
      <w:r w:rsidRPr="001D16F2">
        <w:rPr>
          <w:rFonts w:ascii="Calibri" w:eastAsia="Times New Roman" w:hAnsi="Calibri" w:cs="Arial"/>
          <w:b/>
          <w:bCs/>
          <w:color w:val="000000"/>
          <w:sz w:val="24"/>
          <w:szCs w:val="24"/>
          <w:lang w:val="en-US"/>
        </w:rPr>
        <w:t>:</w:t>
      </w:r>
      <w:r w:rsidRPr="001D16F2">
        <w:rPr>
          <w:rFonts w:ascii="Calibri" w:eastAsia="Times New Roman" w:hAnsi="Calibri" w:cs="Arial"/>
          <w:color w:val="000000"/>
          <w:sz w:val="24"/>
          <w:szCs w:val="24"/>
          <w:lang w:val="en-US"/>
        </w:rPr>
        <w:t xml:space="preserve"> </w:t>
      </w:r>
    </w:p>
    <w:p w:rsidR="00D1648F" w:rsidRDefault="00D1648F" w:rsidP="00CC3173">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r>
        <w:rPr>
          <w:rFonts w:ascii="Calibri" w:eastAsia="Times New Roman" w:hAnsi="Calibri" w:cs="Arial"/>
          <w:color w:val="000000" w:themeColor="text1"/>
          <w:sz w:val="24"/>
          <w:szCs w:val="24"/>
          <w:lang w:val="en-US"/>
        </w:rPr>
        <w:t>S</w:t>
      </w:r>
      <w:r w:rsidRPr="00CC3173">
        <w:rPr>
          <w:rFonts w:ascii="Calibri" w:eastAsia="Times New Roman" w:hAnsi="Calibri" w:cs="Arial"/>
          <w:color w:val="000000" w:themeColor="text1"/>
          <w:sz w:val="24"/>
          <w:szCs w:val="24"/>
          <w:lang w:val="en-US"/>
        </w:rPr>
        <w:t>tem cell research plays a central role in regenerative medicine, which also spans the disciplines of tissue engineering, developmental cell biolo</w:t>
      </w:r>
      <w:r>
        <w:rPr>
          <w:rFonts w:ascii="Calibri" w:eastAsia="Times New Roman" w:hAnsi="Calibri" w:cs="Arial"/>
          <w:color w:val="000000" w:themeColor="text1"/>
          <w:sz w:val="24"/>
          <w:szCs w:val="24"/>
          <w:lang w:val="en-US"/>
        </w:rPr>
        <w:t xml:space="preserve">gy, cellular therapeutics, gene </w:t>
      </w:r>
      <w:r w:rsidRPr="00CC3173">
        <w:rPr>
          <w:rFonts w:ascii="Calibri" w:eastAsia="Times New Roman" w:hAnsi="Calibri" w:cs="Arial"/>
          <w:color w:val="000000" w:themeColor="text1"/>
          <w:sz w:val="24"/>
          <w:szCs w:val="24"/>
          <w:lang w:val="en-US"/>
        </w:rPr>
        <w:t xml:space="preserve">therapy, </w:t>
      </w:r>
      <w:r>
        <w:rPr>
          <w:rFonts w:ascii="Calibri" w:eastAsia="Times New Roman" w:hAnsi="Calibri" w:cs="Arial"/>
          <w:color w:val="000000" w:themeColor="text1"/>
          <w:sz w:val="24"/>
          <w:szCs w:val="24"/>
          <w:lang w:val="en-US"/>
        </w:rPr>
        <w:t xml:space="preserve">and </w:t>
      </w:r>
      <w:r w:rsidRPr="00CC3173">
        <w:rPr>
          <w:rFonts w:ascii="Calibri" w:eastAsia="Times New Roman" w:hAnsi="Calibri" w:cs="Arial"/>
          <w:color w:val="000000" w:themeColor="text1"/>
          <w:sz w:val="24"/>
          <w:szCs w:val="24"/>
          <w:lang w:val="en-US"/>
        </w:rPr>
        <w:t>biomaterials (scaffolds and matrices)</w:t>
      </w:r>
      <w:r>
        <w:rPr>
          <w:rFonts w:ascii="Calibri" w:eastAsia="Times New Roman" w:hAnsi="Calibri" w:cs="Arial"/>
          <w:color w:val="000000" w:themeColor="text1"/>
          <w:sz w:val="24"/>
          <w:szCs w:val="24"/>
          <w:lang w:val="en-US"/>
        </w:rPr>
        <w:t>.</w:t>
      </w:r>
      <w:r w:rsidRPr="00CC3173">
        <w:rPr>
          <w:rFonts w:ascii="Calibri" w:eastAsia="Times New Roman" w:hAnsi="Calibri" w:cs="Arial"/>
          <w:color w:val="000000" w:themeColor="text1"/>
          <w:sz w:val="24"/>
          <w:szCs w:val="24"/>
          <w:lang w:val="en-US"/>
        </w:rPr>
        <w:t xml:space="preserve"> Stem </w:t>
      </w:r>
      <w:r w:rsidRPr="007143AC">
        <w:rPr>
          <w:rFonts w:eastAsia="Times New Roman" w:cs="Arial"/>
          <w:color w:val="000000" w:themeColor="text1"/>
          <w:sz w:val="24"/>
          <w:szCs w:val="24"/>
          <w:lang w:val="en-US"/>
        </w:rPr>
        <w:t xml:space="preserve">cells are important in </w:t>
      </w:r>
      <w:r w:rsidRPr="007143AC">
        <w:rPr>
          <w:color w:val="000000"/>
          <w:sz w:val="24"/>
          <w:szCs w:val="24"/>
        </w:rPr>
        <w:t>both organ development</w:t>
      </w:r>
      <w:r>
        <w:rPr>
          <w:rFonts w:ascii="Verdana" w:hAnsi="Verdana"/>
          <w:color w:val="000000"/>
          <w:sz w:val="18"/>
          <w:szCs w:val="18"/>
        </w:rPr>
        <w:t xml:space="preserve"> </w:t>
      </w:r>
      <w:r>
        <w:rPr>
          <w:rFonts w:ascii="Calibri" w:eastAsia="Times New Roman" w:hAnsi="Calibri" w:cs="Arial"/>
          <w:color w:val="000000" w:themeColor="text1"/>
          <w:sz w:val="24"/>
          <w:szCs w:val="24"/>
          <w:lang w:val="en-US"/>
        </w:rPr>
        <w:t>and tissue repair;</w:t>
      </w:r>
      <w:r w:rsidRPr="000F1B0E">
        <w:t xml:space="preserve"> </w:t>
      </w:r>
      <w:r w:rsidRPr="000F1B0E">
        <w:rPr>
          <w:rFonts w:ascii="Calibri" w:eastAsia="Times New Roman" w:hAnsi="Calibri" w:cs="Arial"/>
          <w:color w:val="000000" w:themeColor="text1"/>
          <w:sz w:val="24"/>
          <w:szCs w:val="24"/>
          <w:lang w:val="en-US"/>
        </w:rPr>
        <w:t>understanding how stem cells work</w:t>
      </w:r>
      <w:r>
        <w:rPr>
          <w:rFonts w:ascii="Calibri" w:eastAsia="Times New Roman" w:hAnsi="Calibri" w:cs="Arial"/>
          <w:color w:val="000000" w:themeColor="text1"/>
          <w:sz w:val="24"/>
          <w:szCs w:val="24"/>
          <w:lang w:val="en-US"/>
        </w:rPr>
        <w:t xml:space="preserve"> is pivotal for </w:t>
      </w:r>
      <w:r w:rsidRPr="000F1B0E">
        <w:rPr>
          <w:rFonts w:ascii="Calibri" w:eastAsia="Times New Roman" w:hAnsi="Calibri" w:cs="Arial"/>
          <w:color w:val="000000" w:themeColor="text1"/>
          <w:sz w:val="24"/>
          <w:szCs w:val="24"/>
          <w:lang w:val="en-US"/>
        </w:rPr>
        <w:t>developing new stem cell based treatments</w:t>
      </w:r>
      <w:r>
        <w:rPr>
          <w:rFonts w:ascii="Calibri" w:eastAsia="Times New Roman" w:hAnsi="Calibri" w:cs="Arial"/>
          <w:color w:val="000000" w:themeColor="text1"/>
          <w:sz w:val="24"/>
          <w:szCs w:val="24"/>
          <w:lang w:val="en-US"/>
        </w:rPr>
        <w:t xml:space="preserve"> </w:t>
      </w:r>
      <w:r w:rsidRPr="00CA4443">
        <w:rPr>
          <w:rFonts w:ascii="Calibri" w:eastAsia="Times New Roman" w:hAnsi="Calibri" w:cs="Arial"/>
          <w:noProof/>
          <w:color w:val="000000" w:themeColor="text1"/>
          <w:sz w:val="24"/>
          <w:szCs w:val="24"/>
          <w:vertAlign w:val="superscript"/>
          <w:lang w:val="en-US"/>
        </w:rPr>
        <w:t>1</w:t>
      </w:r>
      <w:r>
        <w:rPr>
          <w:rFonts w:ascii="Calibri" w:eastAsia="Times New Roman" w:hAnsi="Calibri" w:cs="Arial"/>
          <w:color w:val="000000" w:themeColor="text1"/>
          <w:sz w:val="24"/>
          <w:szCs w:val="24"/>
          <w:lang w:val="en-US"/>
        </w:rPr>
        <w:t xml:space="preserve">. </w:t>
      </w:r>
      <w:r w:rsidRPr="00CC3173">
        <w:rPr>
          <w:rFonts w:ascii="Calibri" w:eastAsia="Times New Roman" w:hAnsi="Calibri" w:cs="Arial"/>
          <w:color w:val="000000" w:themeColor="text1"/>
          <w:sz w:val="24"/>
          <w:szCs w:val="24"/>
          <w:lang w:val="en-US"/>
        </w:rPr>
        <w:t>CTX0E03, is a clonal</w:t>
      </w:r>
      <w:r>
        <w:rPr>
          <w:rFonts w:ascii="Calibri" w:eastAsia="Times New Roman" w:hAnsi="Calibri" w:cs="Arial"/>
          <w:color w:val="000000" w:themeColor="text1"/>
          <w:sz w:val="24"/>
          <w:szCs w:val="24"/>
          <w:lang w:val="en-US"/>
        </w:rPr>
        <w:t>,</w:t>
      </w:r>
      <w:r w:rsidRPr="00CC3173">
        <w:rPr>
          <w:rFonts w:ascii="Calibri" w:eastAsia="Times New Roman" w:hAnsi="Calibri" w:cs="Arial"/>
          <w:color w:val="000000" w:themeColor="text1"/>
          <w:sz w:val="24"/>
          <w:szCs w:val="24"/>
          <w:lang w:val="en-US"/>
        </w:rPr>
        <w:t xml:space="preserve"> conditionally immortalized human </w:t>
      </w:r>
      <w:r>
        <w:rPr>
          <w:rFonts w:ascii="Calibri" w:eastAsia="Times New Roman" w:hAnsi="Calibri" w:cs="Arial"/>
          <w:color w:val="000000" w:themeColor="text1"/>
          <w:sz w:val="24"/>
          <w:szCs w:val="24"/>
          <w:lang w:val="en-US"/>
        </w:rPr>
        <w:t xml:space="preserve">neural stem cell (hNSC) line </w:t>
      </w:r>
      <w:r w:rsidRPr="00CA4443">
        <w:rPr>
          <w:rFonts w:ascii="Calibri" w:eastAsia="Times New Roman" w:hAnsi="Calibri" w:cs="Arial"/>
          <w:noProof/>
          <w:color w:val="000000" w:themeColor="text1"/>
          <w:sz w:val="24"/>
          <w:szCs w:val="24"/>
          <w:vertAlign w:val="superscript"/>
          <w:lang w:val="en-US"/>
        </w:rPr>
        <w:t>2</w:t>
      </w:r>
      <w:r w:rsidRPr="00007C25">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 xml:space="preserve">isolated from </w:t>
      </w:r>
      <w:r w:rsidRPr="00007C25">
        <w:rPr>
          <w:rFonts w:ascii="Calibri" w:eastAsia="Times New Roman" w:hAnsi="Calibri" w:cs="Arial"/>
          <w:color w:val="000000" w:themeColor="text1"/>
          <w:sz w:val="24"/>
          <w:szCs w:val="24"/>
          <w:lang w:val="en-US"/>
        </w:rPr>
        <w:t xml:space="preserve">first trimester </w:t>
      </w:r>
      <w:r>
        <w:rPr>
          <w:rFonts w:ascii="Calibri" w:eastAsia="Times New Roman" w:hAnsi="Calibri" w:cs="Arial"/>
          <w:color w:val="000000" w:themeColor="text1"/>
          <w:sz w:val="24"/>
          <w:szCs w:val="24"/>
          <w:lang w:val="en-US"/>
        </w:rPr>
        <w:t xml:space="preserve">human </w:t>
      </w:r>
      <w:r w:rsidRPr="00007C25">
        <w:rPr>
          <w:rFonts w:ascii="Calibri" w:eastAsia="Times New Roman" w:hAnsi="Calibri" w:cs="Arial"/>
          <w:color w:val="000000" w:themeColor="text1"/>
          <w:sz w:val="24"/>
          <w:szCs w:val="24"/>
          <w:lang w:val="en-US"/>
        </w:rPr>
        <w:t>fetal cortex</w:t>
      </w:r>
      <w:r w:rsidRPr="00CC3173">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CTX0E03</w:t>
      </w:r>
      <w:r w:rsidRPr="00CC3173">
        <w:rPr>
          <w:rFonts w:ascii="Calibri" w:eastAsia="Times New Roman" w:hAnsi="Calibri" w:cs="Arial"/>
          <w:color w:val="000000" w:themeColor="text1"/>
          <w:sz w:val="24"/>
          <w:szCs w:val="24"/>
          <w:lang w:val="en-US"/>
        </w:rPr>
        <w:t xml:space="preserve"> has defined quality characteristics that are </w:t>
      </w:r>
      <w:r>
        <w:rPr>
          <w:rFonts w:ascii="Calibri" w:eastAsia="Times New Roman" w:hAnsi="Calibri" w:cs="Arial"/>
          <w:color w:val="000000" w:themeColor="text1"/>
          <w:sz w:val="24"/>
          <w:szCs w:val="24"/>
          <w:lang w:val="en-US"/>
        </w:rPr>
        <w:t>essential</w:t>
      </w:r>
      <w:r w:rsidRPr="00CC3173">
        <w:rPr>
          <w:rFonts w:ascii="Calibri" w:eastAsia="Times New Roman" w:hAnsi="Calibri" w:cs="Arial"/>
          <w:color w:val="000000" w:themeColor="text1"/>
          <w:sz w:val="24"/>
          <w:szCs w:val="24"/>
          <w:lang w:val="en-US"/>
        </w:rPr>
        <w:t xml:space="preserve"> for </w:t>
      </w:r>
      <w:r>
        <w:rPr>
          <w:rFonts w:ascii="Calibri" w:eastAsia="Times New Roman" w:hAnsi="Calibri" w:cs="Arial"/>
          <w:color w:val="000000" w:themeColor="text1"/>
          <w:sz w:val="24"/>
          <w:szCs w:val="24"/>
          <w:lang w:val="en-US"/>
        </w:rPr>
        <w:t xml:space="preserve">clinical </w:t>
      </w:r>
      <w:r w:rsidRPr="00CC3173">
        <w:rPr>
          <w:rFonts w:ascii="Calibri" w:eastAsia="Times New Roman" w:hAnsi="Calibri" w:cs="Arial"/>
          <w:color w:val="000000" w:themeColor="text1"/>
          <w:sz w:val="24"/>
          <w:szCs w:val="24"/>
          <w:lang w:val="en-US"/>
        </w:rPr>
        <w:t>cell banking under good manufacturing practice (GMP)</w:t>
      </w:r>
      <w:r>
        <w:rPr>
          <w:rFonts w:ascii="Calibri" w:eastAsia="Times New Roman" w:hAnsi="Calibri" w:cs="Arial"/>
          <w:color w:val="000000" w:themeColor="text1"/>
          <w:sz w:val="24"/>
          <w:szCs w:val="24"/>
          <w:lang w:val="en-US"/>
        </w:rPr>
        <w:t xml:space="preserve"> </w:t>
      </w:r>
      <w:r w:rsidRPr="002A7653">
        <w:rPr>
          <w:rFonts w:ascii="Calibri" w:eastAsia="Times New Roman" w:hAnsi="Calibri" w:cs="Arial"/>
          <w:noProof/>
          <w:color w:val="000000" w:themeColor="text1"/>
          <w:sz w:val="24"/>
          <w:szCs w:val="24"/>
          <w:vertAlign w:val="superscript"/>
          <w:lang w:val="en-US"/>
        </w:rPr>
        <w:t>3</w:t>
      </w:r>
      <w:r>
        <w:rPr>
          <w:rFonts w:ascii="Calibri" w:eastAsia="Times New Roman" w:hAnsi="Calibri" w:cs="Arial"/>
          <w:color w:val="000000" w:themeColor="text1"/>
          <w:sz w:val="24"/>
          <w:szCs w:val="24"/>
          <w:lang w:val="en-US"/>
        </w:rPr>
        <w:t xml:space="preserve"> </w:t>
      </w:r>
      <w:r w:rsidRPr="00CC3173">
        <w:rPr>
          <w:rFonts w:ascii="Calibri" w:eastAsia="Times New Roman" w:hAnsi="Calibri" w:cs="Arial"/>
          <w:color w:val="000000" w:themeColor="text1"/>
          <w:sz w:val="24"/>
          <w:szCs w:val="24"/>
          <w:lang w:val="en-US"/>
        </w:rPr>
        <w:t xml:space="preserve">. HNSCs can </w:t>
      </w:r>
      <w:r>
        <w:rPr>
          <w:rFonts w:ascii="Calibri" w:eastAsia="Times New Roman" w:hAnsi="Calibri" w:cs="Arial"/>
          <w:color w:val="000000" w:themeColor="text1"/>
          <w:sz w:val="24"/>
          <w:szCs w:val="24"/>
          <w:lang w:val="en-US"/>
        </w:rPr>
        <w:t xml:space="preserve">spontaneously </w:t>
      </w:r>
      <w:r w:rsidRPr="00CC3173">
        <w:rPr>
          <w:rFonts w:ascii="Calibri" w:eastAsia="Times New Roman" w:hAnsi="Calibri" w:cs="Arial"/>
          <w:color w:val="000000" w:themeColor="text1"/>
          <w:sz w:val="24"/>
          <w:szCs w:val="24"/>
          <w:lang w:val="en-US"/>
        </w:rPr>
        <w:t xml:space="preserve">differentiate into neurons, glia, and oligodendrocytes and have been </w:t>
      </w:r>
      <w:r>
        <w:rPr>
          <w:rFonts w:ascii="Calibri" w:eastAsia="Times New Roman" w:hAnsi="Calibri" w:cs="Arial"/>
          <w:color w:val="000000" w:themeColor="text1"/>
          <w:sz w:val="24"/>
          <w:szCs w:val="24"/>
          <w:lang w:val="en-US"/>
        </w:rPr>
        <w:t>proven</w:t>
      </w:r>
      <w:r w:rsidRPr="00CC3173">
        <w:rPr>
          <w:rFonts w:ascii="Calibri" w:eastAsia="Times New Roman" w:hAnsi="Calibri" w:cs="Arial"/>
          <w:color w:val="000000" w:themeColor="text1"/>
          <w:sz w:val="24"/>
          <w:szCs w:val="24"/>
          <w:lang w:val="en-US"/>
        </w:rPr>
        <w:t xml:space="preserve"> to ameliorate neurological deficits </w:t>
      </w:r>
      <w:r>
        <w:rPr>
          <w:rFonts w:ascii="Calibri" w:eastAsia="Times New Roman" w:hAnsi="Calibri" w:cs="Arial"/>
          <w:color w:val="000000" w:themeColor="text1"/>
          <w:sz w:val="24"/>
          <w:szCs w:val="24"/>
          <w:lang w:val="en-US"/>
        </w:rPr>
        <w:t xml:space="preserve">when transplanted </w:t>
      </w:r>
      <w:r w:rsidRPr="00CC3173">
        <w:rPr>
          <w:rFonts w:ascii="Calibri" w:eastAsia="Times New Roman" w:hAnsi="Calibri" w:cs="Arial"/>
          <w:color w:val="000000" w:themeColor="text1"/>
          <w:sz w:val="24"/>
          <w:szCs w:val="24"/>
          <w:lang w:val="en-US"/>
        </w:rPr>
        <w:t xml:space="preserve">in a rodent model of focal ischemia </w:t>
      </w:r>
      <w:r w:rsidRPr="002A7653">
        <w:rPr>
          <w:rFonts w:ascii="Calibri" w:eastAsia="Times New Roman" w:hAnsi="Calibri" w:cs="Arial"/>
          <w:noProof/>
          <w:color w:val="000000" w:themeColor="text1"/>
          <w:sz w:val="24"/>
          <w:szCs w:val="24"/>
          <w:vertAlign w:val="superscript"/>
          <w:lang w:val="en-US"/>
        </w:rPr>
        <w:t>2,4,5</w:t>
      </w:r>
      <w:r w:rsidRPr="00CC3173">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 xml:space="preserve">The CTX0E03 hNSCs are </w:t>
      </w:r>
      <w:r w:rsidRPr="00007C25">
        <w:rPr>
          <w:rFonts w:ascii="Calibri" w:eastAsia="Times New Roman" w:hAnsi="Calibri" w:cs="Arial"/>
          <w:color w:val="000000" w:themeColor="text1"/>
          <w:sz w:val="24"/>
          <w:szCs w:val="24"/>
          <w:lang w:val="en-US"/>
        </w:rPr>
        <w:t xml:space="preserve">currently in clinical trials </w:t>
      </w:r>
      <w:r>
        <w:rPr>
          <w:rFonts w:ascii="Calibri" w:eastAsia="Times New Roman" w:hAnsi="Calibri" w:cs="Arial"/>
          <w:color w:val="000000" w:themeColor="text1"/>
          <w:sz w:val="24"/>
          <w:szCs w:val="24"/>
          <w:lang w:val="en-US"/>
        </w:rPr>
        <w:t>for stroke disability (</w:t>
      </w:r>
      <w:r w:rsidRPr="00007C25">
        <w:rPr>
          <w:rFonts w:ascii="Calibri" w:eastAsia="Times New Roman" w:hAnsi="Calibri" w:cs="Arial"/>
          <w:color w:val="000000" w:themeColor="text1"/>
          <w:sz w:val="24"/>
          <w:szCs w:val="24"/>
          <w:lang w:val="en-US"/>
        </w:rPr>
        <w:t>NCT01151124</w:t>
      </w:r>
      <w:r>
        <w:rPr>
          <w:rFonts w:ascii="Calibri" w:eastAsia="Times New Roman" w:hAnsi="Calibri" w:cs="Arial"/>
          <w:color w:val="000000" w:themeColor="text1"/>
          <w:sz w:val="24"/>
          <w:szCs w:val="24"/>
          <w:lang w:val="en-US"/>
        </w:rPr>
        <w:t xml:space="preserve"> </w:t>
      </w:r>
      <w:r w:rsidRPr="002A7653">
        <w:rPr>
          <w:rFonts w:ascii="Calibri" w:eastAsia="Times New Roman" w:hAnsi="Calibri" w:cs="Arial"/>
          <w:noProof/>
          <w:color w:val="000000" w:themeColor="text1"/>
          <w:sz w:val="24"/>
          <w:szCs w:val="24"/>
          <w:vertAlign w:val="superscript"/>
          <w:lang w:val="en-US"/>
        </w:rPr>
        <w:t>6</w:t>
      </w:r>
      <w:r>
        <w:rPr>
          <w:rFonts w:ascii="Calibri" w:eastAsia="Times New Roman" w:hAnsi="Calibri" w:cs="Arial"/>
          <w:color w:val="000000" w:themeColor="text1"/>
          <w:sz w:val="24"/>
          <w:szCs w:val="24"/>
          <w:lang w:val="en-US"/>
        </w:rPr>
        <w:t xml:space="preserve"> and  </w:t>
      </w:r>
      <w:r w:rsidRPr="00007C25">
        <w:rPr>
          <w:rFonts w:ascii="Calibri" w:eastAsia="Times New Roman" w:hAnsi="Calibri" w:cs="Arial"/>
          <w:color w:val="000000" w:themeColor="text1"/>
          <w:sz w:val="24"/>
          <w:szCs w:val="24"/>
        </w:rPr>
        <w:t>NCT02117635</w:t>
      </w:r>
      <w:r>
        <w:rPr>
          <w:rFonts w:ascii="Calibri" w:eastAsia="Times New Roman" w:hAnsi="Calibri" w:cs="Arial"/>
          <w:color w:val="000000" w:themeColor="text1"/>
          <w:sz w:val="24"/>
          <w:szCs w:val="24"/>
        </w:rPr>
        <w:t>,</w:t>
      </w:r>
      <w:r w:rsidRPr="00007C25">
        <w:rPr>
          <w:rFonts w:ascii="Calibri" w:eastAsia="Times New Roman" w:hAnsi="Calibri" w:cs="Arial"/>
          <w:color w:val="000000" w:themeColor="text1"/>
          <w:sz w:val="24"/>
          <w:szCs w:val="24"/>
          <w:lang w:val="en-US"/>
        </w:rPr>
        <w:t xml:space="preserve"> Clinicaltrials.gov)</w:t>
      </w:r>
      <w:r w:rsidRPr="00CC3173">
        <w:rPr>
          <w:rFonts w:ascii="Calibri" w:eastAsia="Times New Roman" w:hAnsi="Calibri" w:cs="Arial"/>
          <w:color w:val="000000" w:themeColor="text1"/>
          <w:sz w:val="24"/>
          <w:szCs w:val="24"/>
          <w:lang w:val="en-US"/>
        </w:rPr>
        <w:t xml:space="preserve">. </w:t>
      </w:r>
    </w:p>
    <w:p w:rsidR="00D1648F" w:rsidRDefault="00D1648F" w:rsidP="00CC3173">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p>
    <w:p w:rsidR="00D1648F" w:rsidRDefault="00D1648F" w:rsidP="00CC3173">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r w:rsidRPr="00CC3173">
        <w:rPr>
          <w:rFonts w:ascii="Calibri" w:eastAsia="Times New Roman" w:hAnsi="Calibri" w:cs="Arial"/>
          <w:color w:val="000000" w:themeColor="text1"/>
          <w:sz w:val="24"/>
          <w:szCs w:val="24"/>
          <w:lang w:val="en-US"/>
        </w:rPr>
        <w:t>MiRNAs</w:t>
      </w:r>
      <w:r>
        <w:rPr>
          <w:rFonts w:ascii="Calibri" w:eastAsia="Times New Roman" w:hAnsi="Calibri" w:cs="Arial"/>
          <w:color w:val="000000" w:themeColor="text1"/>
          <w:sz w:val="24"/>
          <w:szCs w:val="24"/>
          <w:lang w:val="en-US"/>
        </w:rPr>
        <w:t xml:space="preserve"> have an </w:t>
      </w:r>
      <w:r w:rsidRPr="00CC3173">
        <w:rPr>
          <w:rFonts w:ascii="Calibri" w:eastAsia="Times New Roman" w:hAnsi="Calibri" w:cs="Arial"/>
          <w:color w:val="000000" w:themeColor="text1"/>
          <w:sz w:val="24"/>
          <w:szCs w:val="24"/>
          <w:lang w:val="en-US"/>
        </w:rPr>
        <w:t>average 22 nucleotides</w:t>
      </w:r>
      <w:r>
        <w:rPr>
          <w:rFonts w:ascii="Calibri" w:eastAsia="Times New Roman" w:hAnsi="Calibri" w:cs="Arial"/>
          <w:color w:val="000000" w:themeColor="text1"/>
          <w:sz w:val="24"/>
          <w:szCs w:val="24"/>
          <w:lang w:val="en-US"/>
        </w:rPr>
        <w:t xml:space="preserve"> </w:t>
      </w:r>
      <w:r w:rsidRPr="00CC3173">
        <w:rPr>
          <w:rFonts w:ascii="Calibri" w:eastAsia="Times New Roman" w:hAnsi="Calibri" w:cs="Arial"/>
          <w:color w:val="000000" w:themeColor="text1"/>
          <w:sz w:val="24"/>
          <w:szCs w:val="24"/>
          <w:lang w:val="en-US"/>
        </w:rPr>
        <w:t>in length</w:t>
      </w:r>
      <w:r>
        <w:rPr>
          <w:rFonts w:ascii="Calibri" w:eastAsia="Times New Roman" w:hAnsi="Calibri" w:cs="Arial"/>
          <w:color w:val="000000" w:themeColor="text1"/>
          <w:sz w:val="24"/>
          <w:szCs w:val="24"/>
          <w:lang w:val="en-US"/>
        </w:rPr>
        <w:t xml:space="preserve"> and are proven regulatory molecules </w:t>
      </w:r>
      <w:r w:rsidRPr="002A7653">
        <w:rPr>
          <w:rFonts w:ascii="Calibri" w:eastAsia="Times New Roman" w:hAnsi="Calibri" w:cs="Arial"/>
          <w:noProof/>
          <w:color w:val="000000" w:themeColor="text1"/>
          <w:sz w:val="24"/>
          <w:szCs w:val="24"/>
          <w:vertAlign w:val="superscript"/>
          <w:lang w:val="en-US"/>
        </w:rPr>
        <w:t>7</w:t>
      </w:r>
      <w:r>
        <w:rPr>
          <w:rFonts w:ascii="Calibri" w:eastAsia="Times New Roman" w:hAnsi="Calibri" w:cs="Arial"/>
          <w:color w:val="000000" w:themeColor="text1"/>
          <w:sz w:val="24"/>
          <w:szCs w:val="24"/>
          <w:lang w:val="en-US"/>
        </w:rPr>
        <w:t xml:space="preserve">, they do not encode proteins, but </w:t>
      </w:r>
      <w:r w:rsidRPr="00CC3173">
        <w:rPr>
          <w:rFonts w:ascii="Calibri" w:eastAsia="Times New Roman" w:hAnsi="Calibri" w:cs="Arial"/>
          <w:color w:val="000000" w:themeColor="text1"/>
          <w:sz w:val="24"/>
          <w:szCs w:val="24"/>
          <w:lang w:val="en-US"/>
        </w:rPr>
        <w:t xml:space="preserve">rather bind 3 prime untranslated region (3’UTR) </w:t>
      </w:r>
      <w:r>
        <w:rPr>
          <w:rFonts w:ascii="Calibri" w:eastAsia="Times New Roman" w:hAnsi="Calibri" w:cs="Arial"/>
          <w:color w:val="000000" w:themeColor="text1"/>
          <w:sz w:val="24"/>
          <w:szCs w:val="24"/>
          <w:lang w:val="en-US"/>
        </w:rPr>
        <w:t xml:space="preserve">of </w:t>
      </w:r>
      <w:r w:rsidRPr="00CC3173">
        <w:rPr>
          <w:rFonts w:ascii="Calibri" w:eastAsia="Times New Roman" w:hAnsi="Calibri" w:cs="Arial"/>
          <w:color w:val="000000" w:themeColor="text1"/>
          <w:sz w:val="24"/>
          <w:szCs w:val="24"/>
          <w:lang w:val="en-US"/>
        </w:rPr>
        <w:t>mRNAs, regulating their stability a</w:t>
      </w:r>
      <w:r>
        <w:rPr>
          <w:rFonts w:ascii="Calibri" w:eastAsia="Times New Roman" w:hAnsi="Calibri" w:cs="Arial"/>
          <w:color w:val="000000" w:themeColor="text1"/>
          <w:sz w:val="24"/>
          <w:szCs w:val="24"/>
          <w:lang w:val="en-US"/>
        </w:rPr>
        <w:t>nd translation into proteins. M</w:t>
      </w:r>
      <w:r w:rsidRPr="00CC3173">
        <w:rPr>
          <w:rFonts w:ascii="Calibri" w:eastAsia="Times New Roman" w:hAnsi="Calibri" w:cs="Arial"/>
          <w:color w:val="000000" w:themeColor="text1"/>
          <w:sz w:val="24"/>
          <w:szCs w:val="24"/>
          <w:lang w:val="en-US"/>
        </w:rPr>
        <w:t xml:space="preserve">iRNAs </w:t>
      </w:r>
      <w:r>
        <w:rPr>
          <w:rFonts w:ascii="Calibri" w:eastAsia="Times New Roman" w:hAnsi="Calibri" w:cs="Arial"/>
          <w:color w:val="000000" w:themeColor="text1"/>
          <w:sz w:val="24"/>
          <w:szCs w:val="24"/>
          <w:lang w:val="en-US"/>
        </w:rPr>
        <w:t xml:space="preserve">are reported to </w:t>
      </w:r>
      <w:r w:rsidRPr="00CC3173">
        <w:rPr>
          <w:rFonts w:ascii="Calibri" w:eastAsia="Times New Roman" w:hAnsi="Calibri" w:cs="Arial"/>
          <w:color w:val="000000" w:themeColor="text1"/>
          <w:sz w:val="24"/>
          <w:szCs w:val="24"/>
          <w:lang w:val="en-US"/>
        </w:rPr>
        <w:t>participate in the regulation of a number of cellular processes, including development, prolif</w:t>
      </w:r>
      <w:r>
        <w:rPr>
          <w:rFonts w:ascii="Calibri" w:eastAsia="Times New Roman" w:hAnsi="Calibri" w:cs="Arial"/>
          <w:color w:val="000000" w:themeColor="text1"/>
          <w:sz w:val="24"/>
          <w:szCs w:val="24"/>
          <w:lang w:val="en-US"/>
        </w:rPr>
        <w:t xml:space="preserve">eration, and differentiation </w:t>
      </w:r>
      <w:r w:rsidRPr="002A7653">
        <w:rPr>
          <w:rFonts w:ascii="Calibri" w:eastAsia="Times New Roman" w:hAnsi="Calibri" w:cs="Arial"/>
          <w:noProof/>
          <w:color w:val="000000" w:themeColor="text1"/>
          <w:sz w:val="24"/>
          <w:szCs w:val="24"/>
          <w:vertAlign w:val="superscript"/>
          <w:lang w:val="en-US"/>
        </w:rPr>
        <w:t>8</w:t>
      </w:r>
      <w:r w:rsidRPr="00CC3173">
        <w:rPr>
          <w:rFonts w:ascii="Calibri" w:eastAsia="Times New Roman" w:hAnsi="Calibri" w:cs="Arial"/>
          <w:color w:val="000000" w:themeColor="text1"/>
          <w:sz w:val="24"/>
          <w:szCs w:val="24"/>
          <w:lang w:val="en-US"/>
        </w:rPr>
        <w:t xml:space="preserve">. Several miRNAs have been implicated in regulating </w:t>
      </w:r>
      <w:r>
        <w:rPr>
          <w:rFonts w:ascii="Calibri" w:eastAsia="Times New Roman" w:hAnsi="Calibri" w:cs="Arial"/>
          <w:color w:val="000000" w:themeColor="text1"/>
          <w:sz w:val="24"/>
          <w:szCs w:val="24"/>
          <w:lang w:val="en-US"/>
        </w:rPr>
        <w:t xml:space="preserve">the fate and specification  of </w:t>
      </w:r>
      <w:r w:rsidRPr="00CC3173">
        <w:rPr>
          <w:rFonts w:ascii="Calibri" w:eastAsia="Times New Roman" w:hAnsi="Calibri" w:cs="Arial"/>
          <w:color w:val="000000" w:themeColor="text1"/>
          <w:sz w:val="24"/>
          <w:szCs w:val="24"/>
          <w:lang w:val="en-US"/>
        </w:rPr>
        <w:t xml:space="preserve">neural stem cells </w:t>
      </w:r>
      <w:r w:rsidRPr="002A7653">
        <w:rPr>
          <w:rFonts w:ascii="Calibri" w:eastAsia="Times New Roman" w:hAnsi="Calibri" w:cs="Arial"/>
          <w:noProof/>
          <w:color w:val="000000" w:themeColor="text1"/>
          <w:sz w:val="24"/>
          <w:szCs w:val="24"/>
          <w:vertAlign w:val="superscript"/>
          <w:lang w:val="en-US"/>
        </w:rPr>
        <w:t>9</w:t>
      </w:r>
      <w:r w:rsidRPr="00CC3173">
        <w:rPr>
          <w:rFonts w:ascii="Calibri" w:eastAsia="Times New Roman" w:hAnsi="Calibri" w:cs="Arial"/>
          <w:color w:val="000000" w:themeColor="text1"/>
          <w:sz w:val="24"/>
          <w:szCs w:val="24"/>
          <w:lang w:val="en-US"/>
        </w:rPr>
        <w:t xml:space="preserve">. </w:t>
      </w:r>
    </w:p>
    <w:p w:rsidR="00D1648F" w:rsidRDefault="00D1648F" w:rsidP="00CC3173">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p>
    <w:p w:rsidR="00D1648F" w:rsidRDefault="00D1648F" w:rsidP="00CC3173">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r w:rsidRPr="00CC3173">
        <w:rPr>
          <w:rFonts w:ascii="Calibri" w:eastAsia="Times New Roman" w:hAnsi="Calibri" w:cs="Arial"/>
          <w:color w:val="000000" w:themeColor="text1"/>
          <w:sz w:val="24"/>
          <w:szCs w:val="24"/>
          <w:lang w:val="en-US"/>
        </w:rPr>
        <w:t xml:space="preserve">In two dimensional (2D) standard </w:t>
      </w:r>
      <w:r>
        <w:rPr>
          <w:rFonts w:ascii="Calibri" w:eastAsia="Times New Roman" w:hAnsi="Calibri" w:cs="Arial"/>
          <w:color w:val="000000" w:themeColor="text1"/>
          <w:sz w:val="24"/>
          <w:szCs w:val="24"/>
          <w:lang w:val="en-US"/>
        </w:rPr>
        <w:t>culture environment</w:t>
      </w:r>
      <w:r w:rsidRPr="00CC3173">
        <w:rPr>
          <w:rFonts w:ascii="Calibri" w:eastAsia="Times New Roman" w:hAnsi="Calibri" w:cs="Arial"/>
          <w:color w:val="000000" w:themeColor="text1"/>
          <w:sz w:val="24"/>
          <w:szCs w:val="24"/>
          <w:lang w:val="en-US"/>
        </w:rPr>
        <w:t xml:space="preserve"> the complexity of the </w:t>
      </w:r>
      <w:r w:rsidRPr="00A02DF0">
        <w:rPr>
          <w:rFonts w:ascii="Calibri" w:eastAsia="Times New Roman" w:hAnsi="Calibri" w:cs="Arial"/>
          <w:i/>
          <w:color w:val="000000" w:themeColor="text1"/>
          <w:sz w:val="24"/>
          <w:szCs w:val="24"/>
          <w:lang w:val="en-US"/>
        </w:rPr>
        <w:t>in vivo</w:t>
      </w:r>
      <w:r w:rsidRPr="00CC3173">
        <w:rPr>
          <w:rFonts w:ascii="Calibri" w:eastAsia="Times New Roman" w:hAnsi="Calibri" w:cs="Arial"/>
          <w:color w:val="000000" w:themeColor="text1"/>
          <w:sz w:val="24"/>
          <w:szCs w:val="24"/>
          <w:lang w:val="en-US"/>
        </w:rPr>
        <w:t xml:space="preserve"> environment is not </w:t>
      </w:r>
      <w:r>
        <w:rPr>
          <w:rFonts w:ascii="Calibri" w:eastAsia="Times New Roman" w:hAnsi="Calibri" w:cs="Arial"/>
          <w:color w:val="000000" w:themeColor="text1"/>
          <w:sz w:val="24"/>
          <w:szCs w:val="24"/>
          <w:lang w:val="en-US"/>
        </w:rPr>
        <w:t>matched</w:t>
      </w:r>
      <w:r w:rsidRPr="00CC3173">
        <w:rPr>
          <w:rFonts w:ascii="Calibri" w:eastAsia="Times New Roman" w:hAnsi="Calibri" w:cs="Arial"/>
          <w:color w:val="000000" w:themeColor="text1"/>
          <w:sz w:val="24"/>
          <w:szCs w:val="24"/>
          <w:lang w:val="en-US"/>
        </w:rPr>
        <w:t xml:space="preserve">, and consequently the induction and regulation of hNSC differentiation is not optimal.  </w:t>
      </w:r>
      <w:r w:rsidRPr="00A02DF0">
        <w:rPr>
          <w:rFonts w:ascii="Calibri" w:eastAsia="Times New Roman" w:hAnsi="Calibri" w:cs="Arial"/>
          <w:i/>
          <w:color w:val="000000" w:themeColor="text1"/>
          <w:sz w:val="24"/>
          <w:szCs w:val="24"/>
          <w:lang w:val="en-US"/>
        </w:rPr>
        <w:t>In vivo</w:t>
      </w:r>
      <w:r w:rsidRPr="00CC3173">
        <w:rPr>
          <w:rFonts w:ascii="Calibri" w:eastAsia="Times New Roman" w:hAnsi="Calibri" w:cs="Arial"/>
          <w:color w:val="000000" w:themeColor="text1"/>
          <w:sz w:val="24"/>
          <w:szCs w:val="24"/>
          <w:lang w:val="en-US"/>
        </w:rPr>
        <w:t xml:space="preserve">, cells are surrounded by </w:t>
      </w:r>
      <w:r w:rsidRPr="00616244">
        <w:rPr>
          <w:rFonts w:ascii="Calibri" w:eastAsia="Times New Roman" w:hAnsi="Calibri" w:cs="Arial"/>
          <w:color w:val="000000" w:themeColor="text1"/>
          <w:sz w:val="24"/>
          <w:szCs w:val="24"/>
          <w:lang w:val="en-US"/>
        </w:rPr>
        <w:t xml:space="preserve">a three dimensional (3D) microenvironment </w:t>
      </w:r>
      <w:r>
        <w:rPr>
          <w:rFonts w:ascii="Calibri" w:eastAsia="Times New Roman" w:hAnsi="Calibri" w:cs="Arial"/>
          <w:color w:val="000000" w:themeColor="text1"/>
          <w:sz w:val="24"/>
          <w:szCs w:val="24"/>
          <w:lang w:val="en-US"/>
        </w:rPr>
        <w:t xml:space="preserve">composed by </w:t>
      </w:r>
      <w:r w:rsidRPr="00CC3173">
        <w:rPr>
          <w:rFonts w:ascii="Calibri" w:eastAsia="Times New Roman" w:hAnsi="Calibri" w:cs="Arial"/>
          <w:color w:val="000000" w:themeColor="text1"/>
          <w:sz w:val="24"/>
          <w:szCs w:val="24"/>
          <w:lang w:val="en-US"/>
        </w:rPr>
        <w:t xml:space="preserve">other cells </w:t>
      </w:r>
      <w:r>
        <w:rPr>
          <w:rFonts w:ascii="Calibri" w:eastAsia="Times New Roman" w:hAnsi="Calibri" w:cs="Arial"/>
          <w:color w:val="000000" w:themeColor="text1"/>
          <w:sz w:val="24"/>
          <w:szCs w:val="24"/>
          <w:lang w:val="en-US"/>
        </w:rPr>
        <w:t xml:space="preserve">and </w:t>
      </w:r>
      <w:r w:rsidRPr="00CC3173">
        <w:rPr>
          <w:rFonts w:ascii="Calibri" w:eastAsia="Times New Roman" w:hAnsi="Calibri" w:cs="Arial"/>
          <w:color w:val="000000" w:themeColor="text1"/>
          <w:sz w:val="24"/>
          <w:szCs w:val="24"/>
          <w:lang w:val="en-US"/>
        </w:rPr>
        <w:t xml:space="preserve">extracellular ligands, including many types of collagens, laminin, and other matrix proteins (extracellular matrix, ECM). Previous studies have </w:t>
      </w:r>
      <w:r>
        <w:rPr>
          <w:rFonts w:ascii="Calibri" w:eastAsia="Times New Roman" w:hAnsi="Calibri" w:cs="Arial"/>
          <w:color w:val="000000" w:themeColor="text1"/>
          <w:sz w:val="24"/>
          <w:szCs w:val="24"/>
          <w:lang w:val="en-US"/>
        </w:rPr>
        <w:t>reported</w:t>
      </w:r>
      <w:r w:rsidRPr="00CC3173">
        <w:rPr>
          <w:rFonts w:ascii="Calibri" w:eastAsia="Times New Roman" w:hAnsi="Calibri" w:cs="Arial"/>
          <w:color w:val="000000" w:themeColor="text1"/>
          <w:sz w:val="24"/>
          <w:szCs w:val="24"/>
          <w:lang w:val="en-US"/>
        </w:rPr>
        <w:t xml:space="preserve"> that </w:t>
      </w:r>
      <w:r>
        <w:rPr>
          <w:rFonts w:ascii="Calibri" w:eastAsia="Times New Roman" w:hAnsi="Calibri" w:cs="Arial"/>
          <w:color w:val="000000" w:themeColor="text1"/>
          <w:sz w:val="24"/>
          <w:szCs w:val="24"/>
          <w:lang w:val="en-US"/>
        </w:rPr>
        <w:t>the</w:t>
      </w:r>
      <w:r w:rsidRPr="00CC3173">
        <w:rPr>
          <w:rFonts w:ascii="Calibri" w:eastAsia="Times New Roman" w:hAnsi="Calibri" w:cs="Arial"/>
          <w:color w:val="000000" w:themeColor="text1"/>
          <w:sz w:val="24"/>
          <w:szCs w:val="24"/>
          <w:lang w:val="en-US"/>
        </w:rPr>
        <w:t xml:space="preserve"> architectur</w:t>
      </w:r>
      <w:r>
        <w:rPr>
          <w:rFonts w:ascii="Calibri" w:eastAsia="Times New Roman" w:hAnsi="Calibri" w:cs="Arial"/>
          <w:color w:val="000000" w:themeColor="text1"/>
          <w:sz w:val="24"/>
          <w:szCs w:val="24"/>
          <w:lang w:val="en-US"/>
        </w:rPr>
        <w:t>al topography</w:t>
      </w:r>
      <w:r w:rsidRPr="00CC3173">
        <w:rPr>
          <w:rFonts w:ascii="Calibri" w:eastAsia="Times New Roman" w:hAnsi="Calibri" w:cs="Arial"/>
          <w:color w:val="000000" w:themeColor="text1"/>
          <w:sz w:val="24"/>
          <w:szCs w:val="24"/>
          <w:lang w:val="en-US"/>
        </w:rPr>
        <w:t xml:space="preserve"> of the materials mimicking ECMs and their geometry influence</w:t>
      </w:r>
      <w:r>
        <w:rPr>
          <w:rFonts w:ascii="Calibri" w:eastAsia="Times New Roman" w:hAnsi="Calibri" w:cs="Arial"/>
          <w:color w:val="000000" w:themeColor="text1"/>
          <w:sz w:val="24"/>
          <w:szCs w:val="24"/>
          <w:lang w:val="en-US"/>
        </w:rPr>
        <w:t xml:space="preserve"> cell phenotype and fate </w:t>
      </w:r>
      <w:r w:rsidRPr="002A7653">
        <w:rPr>
          <w:rFonts w:ascii="Calibri" w:eastAsia="Times New Roman" w:hAnsi="Calibri" w:cs="Arial"/>
          <w:noProof/>
          <w:color w:val="000000" w:themeColor="text1"/>
          <w:sz w:val="24"/>
          <w:szCs w:val="24"/>
          <w:vertAlign w:val="superscript"/>
          <w:lang w:val="en-US"/>
        </w:rPr>
        <w:t>10-15</w:t>
      </w:r>
      <w:r w:rsidRPr="00CC3173">
        <w:rPr>
          <w:rFonts w:ascii="Calibri" w:eastAsia="Times New Roman" w:hAnsi="Calibri" w:cs="Arial"/>
          <w:color w:val="000000" w:themeColor="text1"/>
          <w:sz w:val="24"/>
          <w:szCs w:val="24"/>
          <w:lang w:val="en-US"/>
        </w:rPr>
        <w:t xml:space="preserve">. A number of commercially available 3D </w:t>
      </w:r>
      <w:r>
        <w:rPr>
          <w:rFonts w:ascii="Calibri" w:eastAsia="Times New Roman" w:hAnsi="Calibri" w:cs="Arial"/>
          <w:color w:val="000000" w:themeColor="text1"/>
          <w:sz w:val="24"/>
          <w:szCs w:val="24"/>
          <w:lang w:val="en-US"/>
        </w:rPr>
        <w:t>scaffolds</w:t>
      </w:r>
      <w:r w:rsidRPr="00CC3173">
        <w:rPr>
          <w:rFonts w:ascii="Calibri" w:eastAsia="Times New Roman" w:hAnsi="Calibri" w:cs="Arial"/>
          <w:color w:val="000000" w:themeColor="text1"/>
          <w:sz w:val="24"/>
          <w:szCs w:val="24"/>
          <w:lang w:val="en-US"/>
        </w:rPr>
        <w:t xml:space="preserve"> are available</w:t>
      </w:r>
      <w:r>
        <w:rPr>
          <w:rFonts w:ascii="Calibri" w:eastAsia="Times New Roman" w:hAnsi="Calibri" w:cs="Arial"/>
          <w:color w:val="000000" w:themeColor="text1"/>
          <w:sz w:val="24"/>
          <w:szCs w:val="24"/>
          <w:lang w:val="en-US"/>
        </w:rPr>
        <w:t xml:space="preserve">; we used </w:t>
      </w:r>
      <w:r w:rsidRPr="00CC3173">
        <w:rPr>
          <w:rFonts w:ascii="Calibri" w:eastAsia="Times New Roman" w:hAnsi="Calibri" w:cs="Arial"/>
          <w:color w:val="000000" w:themeColor="text1"/>
          <w:sz w:val="24"/>
          <w:szCs w:val="24"/>
          <w:lang w:val="en-US"/>
        </w:rPr>
        <w:t xml:space="preserve">a highly porous polystyrene scaffold engineered with a well-defined and uniform architecture into a 200 </w:t>
      </w:r>
      <w:r w:rsidR="002C1016">
        <w:rPr>
          <w:rFonts w:ascii="Calibri" w:eastAsia="Times New Roman" w:hAnsi="Calibri" w:cs="Arial"/>
          <w:color w:val="000000" w:themeColor="text1"/>
          <w:sz w:val="24"/>
          <w:szCs w:val="24"/>
          <w:lang w:val="en-US"/>
        </w:rPr>
        <w:t>&amp;#181;</w:t>
      </w:r>
      <w:r w:rsidRPr="00CC3173">
        <w:rPr>
          <w:rFonts w:ascii="Calibri" w:eastAsia="Times New Roman" w:hAnsi="Calibri" w:cs="Arial"/>
          <w:color w:val="000000" w:themeColor="text1"/>
          <w:sz w:val="24"/>
          <w:szCs w:val="24"/>
          <w:lang w:val="en-US"/>
        </w:rPr>
        <w:t>m thick membrane which provides a 3D space into which cells c</w:t>
      </w:r>
      <w:r>
        <w:rPr>
          <w:rFonts w:ascii="Calibri" w:eastAsia="Times New Roman" w:hAnsi="Calibri" w:cs="Arial"/>
          <w:color w:val="000000" w:themeColor="text1"/>
          <w:sz w:val="24"/>
          <w:szCs w:val="24"/>
          <w:lang w:val="en-US"/>
        </w:rPr>
        <w:t xml:space="preserve">an invade and differentiate </w:t>
      </w:r>
      <w:r w:rsidRPr="002A7653">
        <w:rPr>
          <w:rFonts w:ascii="Calibri" w:eastAsia="Times New Roman" w:hAnsi="Calibri" w:cs="Arial"/>
          <w:noProof/>
          <w:color w:val="000000" w:themeColor="text1"/>
          <w:sz w:val="24"/>
          <w:szCs w:val="24"/>
          <w:vertAlign w:val="superscript"/>
          <w:lang w:val="en-US"/>
        </w:rPr>
        <w:t>16-18</w:t>
      </w:r>
      <w:r w:rsidRPr="00CC3173">
        <w:rPr>
          <w:rFonts w:ascii="Calibri" w:eastAsia="Times New Roman" w:hAnsi="Calibri" w:cs="Arial"/>
          <w:color w:val="000000" w:themeColor="text1"/>
          <w:sz w:val="24"/>
          <w:szCs w:val="24"/>
          <w:lang w:val="en-US"/>
        </w:rPr>
        <w:t xml:space="preserve">. </w:t>
      </w:r>
    </w:p>
    <w:p w:rsidR="00D1648F" w:rsidRDefault="00D1648F" w:rsidP="00CC3173">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p>
    <w:p w:rsidR="00D1648F" w:rsidRPr="002F4BD7" w:rsidRDefault="00D1648F" w:rsidP="00CC3173">
      <w:pPr>
        <w:widowControl w:val="0"/>
        <w:autoSpaceDE w:val="0"/>
        <w:autoSpaceDN w:val="0"/>
        <w:adjustRightInd w:val="0"/>
        <w:spacing w:after="0" w:line="240" w:lineRule="auto"/>
        <w:jc w:val="both"/>
        <w:rPr>
          <w:rFonts w:ascii="Calibri" w:eastAsia="Times New Roman" w:hAnsi="Calibri" w:cs="Arial"/>
          <w:color w:val="000000"/>
          <w:sz w:val="24"/>
          <w:szCs w:val="24"/>
          <w:lang w:val="en-US"/>
        </w:rPr>
      </w:pPr>
      <w:r>
        <w:rPr>
          <w:rFonts w:ascii="Calibri" w:eastAsia="Times New Roman" w:hAnsi="Calibri" w:cs="Arial"/>
          <w:color w:val="000000" w:themeColor="text1"/>
          <w:sz w:val="24"/>
          <w:szCs w:val="24"/>
          <w:lang w:val="en-US"/>
        </w:rPr>
        <w:t xml:space="preserve">Herein </w:t>
      </w:r>
      <w:r w:rsidRPr="006A3009">
        <w:rPr>
          <w:rFonts w:ascii="Calibri" w:eastAsia="Times New Roman" w:hAnsi="Calibri" w:cs="Arial"/>
          <w:color w:val="000000" w:themeColor="text1"/>
          <w:sz w:val="24"/>
          <w:szCs w:val="24"/>
          <w:lang w:val="en-US"/>
        </w:rPr>
        <w:t>2D and 3D differentiation assays</w:t>
      </w:r>
      <w:r>
        <w:rPr>
          <w:rFonts w:ascii="Calibri" w:eastAsia="Times New Roman" w:hAnsi="Calibri" w:cs="Arial"/>
          <w:color w:val="000000" w:themeColor="text1"/>
          <w:sz w:val="24"/>
          <w:szCs w:val="24"/>
          <w:lang w:val="en-US"/>
        </w:rPr>
        <w:t xml:space="preserve"> are </w:t>
      </w:r>
      <w:r w:rsidRPr="006A3009">
        <w:rPr>
          <w:rFonts w:ascii="Calibri" w:eastAsia="Times New Roman" w:hAnsi="Calibri" w:cs="Arial"/>
          <w:color w:val="000000" w:themeColor="text1"/>
          <w:sz w:val="24"/>
          <w:szCs w:val="24"/>
          <w:lang w:val="en-US"/>
        </w:rPr>
        <w:t xml:space="preserve">used to </w:t>
      </w:r>
      <w:r>
        <w:rPr>
          <w:rFonts w:ascii="Calibri" w:eastAsia="Times New Roman" w:hAnsi="Calibri" w:cs="Arial"/>
          <w:color w:val="000000" w:themeColor="text1"/>
          <w:sz w:val="24"/>
          <w:szCs w:val="24"/>
          <w:lang w:val="en-US"/>
        </w:rPr>
        <w:t>assess axon</w:t>
      </w:r>
      <w:r w:rsidRPr="006A3009">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 xml:space="preserve">process </w:t>
      </w:r>
      <w:r w:rsidRPr="006A3009">
        <w:rPr>
          <w:rFonts w:ascii="Calibri" w:eastAsia="Times New Roman" w:hAnsi="Calibri" w:cs="Arial"/>
          <w:color w:val="000000" w:themeColor="text1"/>
          <w:sz w:val="24"/>
          <w:szCs w:val="24"/>
          <w:lang w:val="en-US"/>
        </w:rPr>
        <w:t>outgrowth</w:t>
      </w:r>
      <w:r>
        <w:rPr>
          <w:rFonts w:ascii="Calibri" w:eastAsia="Times New Roman" w:hAnsi="Calibri" w:cs="Arial"/>
          <w:color w:val="000000" w:themeColor="text1"/>
          <w:sz w:val="24"/>
          <w:szCs w:val="24"/>
          <w:lang w:val="en-US"/>
        </w:rPr>
        <w:t>. Furthermore</w:t>
      </w:r>
      <w:r w:rsidRPr="006A3009">
        <w:rPr>
          <w:rFonts w:ascii="Calibri" w:eastAsia="Times New Roman" w:hAnsi="Calibri" w:cs="Arial"/>
          <w:color w:val="000000" w:themeColor="text1"/>
          <w:sz w:val="24"/>
          <w:szCs w:val="24"/>
          <w:lang w:val="en-US"/>
        </w:rPr>
        <w:t xml:space="preserve"> </w:t>
      </w:r>
      <w:r w:rsidRPr="00E8581D">
        <w:rPr>
          <w:rFonts w:ascii="Calibri" w:eastAsia="Times New Roman" w:hAnsi="Calibri" w:cs="Arial"/>
          <w:color w:val="000000" w:themeColor="text1"/>
          <w:sz w:val="24"/>
          <w:szCs w:val="24"/>
          <w:lang w:val="en-US"/>
        </w:rPr>
        <w:t xml:space="preserve">we describe a method to profile the miRNA expression of a clinical grade hNSC line to further investigate miRNA </w:t>
      </w:r>
      <w:r>
        <w:rPr>
          <w:rFonts w:ascii="Calibri" w:eastAsia="Times New Roman" w:hAnsi="Calibri" w:cs="Arial"/>
          <w:color w:val="000000" w:themeColor="text1"/>
          <w:sz w:val="24"/>
          <w:szCs w:val="24"/>
          <w:lang w:val="en-US"/>
        </w:rPr>
        <w:t xml:space="preserve">effects on its differentiation. </w:t>
      </w:r>
      <w:r>
        <w:rPr>
          <w:rFonts w:ascii="Calibri" w:eastAsia="Times New Roman" w:hAnsi="Calibri" w:cs="Arial"/>
          <w:color w:val="000000"/>
          <w:sz w:val="24"/>
          <w:szCs w:val="24"/>
          <w:lang w:val="en-US"/>
        </w:rPr>
        <w:t>The methods in here illustrated are</w:t>
      </w:r>
      <w:r w:rsidRPr="002F4BD7">
        <w:rPr>
          <w:rFonts w:ascii="Calibri" w:eastAsia="Times New Roman" w:hAnsi="Calibri" w:cs="Arial"/>
          <w:color w:val="000000"/>
          <w:sz w:val="24"/>
          <w:szCs w:val="24"/>
          <w:lang w:val="en-US"/>
        </w:rPr>
        <w:t xml:space="preserve"> based on the one</w:t>
      </w:r>
      <w:r>
        <w:rPr>
          <w:rFonts w:ascii="Calibri" w:eastAsia="Times New Roman" w:hAnsi="Calibri" w:cs="Arial"/>
          <w:color w:val="000000"/>
          <w:sz w:val="24"/>
          <w:szCs w:val="24"/>
          <w:lang w:val="en-US"/>
        </w:rPr>
        <w:t>s</w:t>
      </w:r>
      <w:r w:rsidRPr="002F4BD7">
        <w:rPr>
          <w:rFonts w:ascii="Calibri" w:eastAsia="Times New Roman" w:hAnsi="Calibri" w:cs="Arial"/>
          <w:color w:val="000000"/>
          <w:sz w:val="24"/>
          <w:szCs w:val="24"/>
          <w:lang w:val="en-US"/>
        </w:rPr>
        <w:t xml:space="preserve"> originally </w:t>
      </w:r>
      <w:r>
        <w:rPr>
          <w:rFonts w:ascii="Calibri" w:eastAsia="Times New Roman" w:hAnsi="Calibri" w:cs="Arial"/>
          <w:color w:val="000000"/>
          <w:sz w:val="24"/>
          <w:szCs w:val="24"/>
          <w:lang w:val="en-US"/>
        </w:rPr>
        <w:t xml:space="preserve">described in </w:t>
      </w:r>
      <w:r w:rsidRPr="002A7653">
        <w:rPr>
          <w:rFonts w:ascii="Calibri" w:eastAsia="Times New Roman" w:hAnsi="Calibri" w:cs="Arial"/>
          <w:noProof/>
          <w:color w:val="000000"/>
          <w:sz w:val="24"/>
          <w:szCs w:val="24"/>
          <w:vertAlign w:val="superscript"/>
          <w:lang w:val="en-US"/>
        </w:rPr>
        <w:t>19</w:t>
      </w:r>
      <w:r>
        <w:rPr>
          <w:rFonts w:ascii="Calibri" w:eastAsia="Times New Roman" w:hAnsi="Calibri" w:cs="Arial"/>
          <w:color w:val="000000"/>
          <w:sz w:val="24"/>
          <w:szCs w:val="24"/>
          <w:lang w:val="en-US"/>
        </w:rPr>
        <w:t>.</w:t>
      </w:r>
    </w:p>
    <w:p w:rsidR="00D1648F" w:rsidRPr="00716A27" w:rsidRDefault="00D1648F" w:rsidP="00CC3173">
      <w:pPr>
        <w:widowControl w:val="0"/>
        <w:autoSpaceDE w:val="0"/>
        <w:autoSpaceDN w:val="0"/>
        <w:adjustRightInd w:val="0"/>
        <w:spacing w:after="0" w:line="240" w:lineRule="auto"/>
        <w:jc w:val="both"/>
        <w:rPr>
          <w:rFonts w:ascii="Calibri" w:eastAsia="Times New Roman" w:hAnsi="Calibri" w:cs="Arial"/>
          <w:color w:val="000000"/>
          <w:sz w:val="24"/>
          <w:szCs w:val="24"/>
          <w:lang w:val="en-US"/>
        </w:rPr>
      </w:pPr>
    </w:p>
    <w:p w:rsidR="00D1648F" w:rsidRDefault="00D1648F" w:rsidP="00CC3173">
      <w:pPr>
        <w:widowControl w:val="0"/>
        <w:autoSpaceDE w:val="0"/>
        <w:autoSpaceDN w:val="0"/>
        <w:adjustRightInd w:val="0"/>
        <w:spacing w:after="0" w:line="240" w:lineRule="auto"/>
        <w:jc w:val="both"/>
        <w:rPr>
          <w:rFonts w:ascii="Calibri" w:eastAsia="Times New Roman" w:hAnsi="Calibri" w:cs="Arial"/>
          <w:color w:val="000000"/>
          <w:sz w:val="24"/>
          <w:szCs w:val="24"/>
          <w:lang w:val="en-US"/>
        </w:rPr>
      </w:pPr>
      <w:r w:rsidRPr="001D16F2">
        <w:rPr>
          <w:rFonts w:ascii="Calibri" w:eastAsia="Times New Roman" w:hAnsi="Calibri" w:cs="Arial"/>
          <w:b/>
          <w:color w:val="000000"/>
          <w:sz w:val="24"/>
          <w:szCs w:val="24"/>
          <w:lang w:val="en-US"/>
        </w:rPr>
        <w:t>PROTOCOL:</w:t>
      </w:r>
      <w:r w:rsidRPr="001D16F2">
        <w:rPr>
          <w:rFonts w:ascii="Calibri" w:eastAsia="Times New Roman" w:hAnsi="Calibri" w:cs="Arial"/>
          <w:color w:val="000000"/>
          <w:sz w:val="24"/>
          <w:szCs w:val="24"/>
          <w:lang w:val="en-US"/>
        </w:rPr>
        <w:t xml:space="preserve"> </w:t>
      </w:r>
    </w:p>
    <w:p w:rsidR="00D1648F" w:rsidRPr="00716A27" w:rsidRDefault="00D1648F" w:rsidP="001D16F2">
      <w:pPr>
        <w:widowControl w:val="0"/>
        <w:autoSpaceDE w:val="0"/>
        <w:autoSpaceDN w:val="0"/>
        <w:adjustRightInd w:val="0"/>
        <w:spacing w:after="0" w:line="240" w:lineRule="auto"/>
        <w:jc w:val="both"/>
        <w:rPr>
          <w:rFonts w:ascii="Calibri" w:eastAsia="Times New Roman" w:hAnsi="Calibri" w:cs="Arial"/>
          <w:sz w:val="24"/>
          <w:szCs w:val="24"/>
          <w:lang w:val="en-US"/>
        </w:rPr>
      </w:pPr>
    </w:p>
    <w:p w:rsidR="00D1648F" w:rsidRPr="0027638C" w:rsidRDefault="0027638C" w:rsidP="0027638C">
      <w:pPr>
        <w:widowControl w:val="0"/>
        <w:autoSpaceDE w:val="0"/>
        <w:autoSpaceDN w:val="0"/>
        <w:adjustRightInd w:val="0"/>
        <w:spacing w:after="0" w:line="240" w:lineRule="auto"/>
        <w:jc w:val="both"/>
        <w:rPr>
          <w:rFonts w:ascii="Calibri" w:eastAsia="Times New Roman" w:hAnsi="Calibri" w:cs="Arial"/>
          <w:b/>
          <w:bCs/>
          <w:color w:val="000000" w:themeColor="text1"/>
          <w:sz w:val="24"/>
          <w:szCs w:val="24"/>
          <w:lang w:val="en-US"/>
        </w:rPr>
      </w:pPr>
      <w:r>
        <w:rPr>
          <w:rFonts w:ascii="Calibri" w:eastAsia="Times New Roman" w:hAnsi="Calibri" w:cs="Arial"/>
          <w:b/>
          <w:bCs/>
          <w:color w:val="000000" w:themeColor="text1"/>
          <w:sz w:val="24"/>
          <w:szCs w:val="24"/>
          <w:lang w:val="en-US"/>
        </w:rPr>
        <w:t xml:space="preserve">1. </w:t>
      </w:r>
      <w:r w:rsidR="00D1648F" w:rsidRPr="0027638C">
        <w:rPr>
          <w:rFonts w:ascii="Calibri" w:eastAsia="Times New Roman" w:hAnsi="Calibri" w:cs="Arial"/>
          <w:b/>
          <w:bCs/>
          <w:color w:val="000000" w:themeColor="text1"/>
          <w:sz w:val="24"/>
          <w:szCs w:val="24"/>
          <w:lang w:val="en-US"/>
        </w:rPr>
        <w:t>HNSC differentiation on three dimensional  (3D) culture</w:t>
      </w:r>
    </w:p>
    <w:p w:rsidR="002C1016" w:rsidRDefault="002C1016" w:rsidP="001A71C7">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p>
    <w:p w:rsidR="00D1648F" w:rsidRDefault="00D1648F" w:rsidP="001A71C7">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27638C">
        <w:rPr>
          <w:rFonts w:ascii="Calibri" w:eastAsia="Times New Roman" w:hAnsi="Calibri" w:cs="Arial"/>
          <w:bCs/>
          <w:color w:val="000000" w:themeColor="text1"/>
          <w:sz w:val="24"/>
          <w:szCs w:val="24"/>
          <w:lang w:val="en-US"/>
        </w:rPr>
        <w:t>NOTE:</w:t>
      </w:r>
      <w:r w:rsidRPr="00AA34E1">
        <w:rPr>
          <w:rFonts w:ascii="Calibri" w:eastAsia="Times New Roman" w:hAnsi="Calibri" w:cs="Arial"/>
          <w:bCs/>
          <w:color w:val="000000" w:themeColor="text1"/>
          <w:sz w:val="24"/>
          <w:szCs w:val="24"/>
          <w:lang w:val="en-US"/>
        </w:rPr>
        <w:t xml:space="preserve"> </w:t>
      </w:r>
      <w:r>
        <w:rPr>
          <w:rFonts w:ascii="Calibri" w:eastAsia="Times New Roman" w:hAnsi="Calibri" w:cs="Arial"/>
          <w:bCs/>
          <w:color w:val="000000" w:themeColor="text1"/>
          <w:sz w:val="24"/>
          <w:szCs w:val="24"/>
          <w:lang w:val="en-US"/>
        </w:rPr>
        <w:t xml:space="preserve">Isolate and derive </w:t>
      </w:r>
      <w:r w:rsidRPr="000D1DD6">
        <w:rPr>
          <w:rFonts w:ascii="Calibri" w:eastAsia="Times New Roman" w:hAnsi="Calibri" w:cs="Arial"/>
          <w:bCs/>
          <w:color w:val="000000" w:themeColor="text1"/>
          <w:sz w:val="24"/>
          <w:szCs w:val="24"/>
          <w:lang w:val="en-US"/>
        </w:rPr>
        <w:t>hNSCs</w:t>
      </w:r>
      <w:r>
        <w:rPr>
          <w:rFonts w:ascii="Calibri" w:eastAsia="Times New Roman" w:hAnsi="Calibri" w:cs="Arial"/>
          <w:bCs/>
          <w:color w:val="000000" w:themeColor="text1"/>
          <w:sz w:val="24"/>
          <w:szCs w:val="24"/>
          <w:lang w:val="en-US"/>
        </w:rPr>
        <w:t>,</w:t>
      </w:r>
      <w:r w:rsidRPr="000D1DD6">
        <w:rPr>
          <w:rFonts w:ascii="Calibri" w:eastAsia="Times New Roman" w:hAnsi="Calibri" w:cs="Arial"/>
          <w:bCs/>
          <w:color w:val="000000" w:themeColor="text1"/>
          <w:sz w:val="24"/>
          <w:szCs w:val="24"/>
          <w:lang w:val="en-US"/>
        </w:rPr>
        <w:t xml:space="preserve"> </w:t>
      </w:r>
      <w:r>
        <w:rPr>
          <w:rFonts w:ascii="Calibri" w:eastAsia="Times New Roman" w:hAnsi="Calibri" w:cs="Arial"/>
          <w:bCs/>
          <w:color w:val="000000" w:themeColor="text1"/>
          <w:sz w:val="24"/>
          <w:szCs w:val="24"/>
          <w:lang w:val="en-US"/>
        </w:rPr>
        <w:t xml:space="preserve">from an ethical approved tissue, </w:t>
      </w:r>
      <w:r w:rsidRPr="000D1DD6">
        <w:rPr>
          <w:rFonts w:ascii="Calibri" w:eastAsia="Times New Roman" w:hAnsi="Calibri" w:cs="Arial"/>
          <w:bCs/>
          <w:color w:val="000000" w:themeColor="text1"/>
          <w:sz w:val="24"/>
          <w:szCs w:val="24"/>
          <w:lang w:val="en-US"/>
        </w:rPr>
        <w:t>described in a previous publication</w:t>
      </w:r>
      <w:r w:rsidRPr="000D1DD6">
        <w:rPr>
          <w:rFonts w:ascii="Calibri" w:eastAsia="Times New Roman" w:hAnsi="Calibri" w:cs="Arial"/>
          <w:bCs/>
          <w:noProof/>
          <w:color w:val="000000" w:themeColor="text1"/>
          <w:sz w:val="24"/>
          <w:szCs w:val="24"/>
          <w:vertAlign w:val="superscript"/>
          <w:lang w:val="en-US"/>
        </w:rPr>
        <w:t>2</w:t>
      </w:r>
      <w:r w:rsidRPr="000D1DD6">
        <w:rPr>
          <w:rFonts w:ascii="Calibri" w:eastAsia="Times New Roman" w:hAnsi="Calibri" w:cs="Arial"/>
          <w:bCs/>
          <w:color w:val="000000" w:themeColor="text1"/>
          <w:sz w:val="24"/>
          <w:szCs w:val="24"/>
          <w:lang w:val="en-US"/>
        </w:rPr>
        <w:t xml:space="preserve"> </w:t>
      </w:r>
      <w:r>
        <w:rPr>
          <w:rFonts w:ascii="Calibri" w:eastAsia="Times New Roman" w:hAnsi="Calibri" w:cs="Arial"/>
          <w:bCs/>
          <w:color w:val="000000" w:themeColor="text1"/>
          <w:sz w:val="24"/>
          <w:szCs w:val="24"/>
          <w:lang w:val="en-US"/>
        </w:rPr>
        <w:t>.</w:t>
      </w:r>
      <w:r w:rsidRPr="003209B7">
        <w:rPr>
          <w:rFonts w:ascii="Calibri" w:eastAsia="Times New Roman" w:hAnsi="Calibri" w:cs="Arial"/>
          <w:bCs/>
          <w:color w:val="000000" w:themeColor="text1"/>
          <w:sz w:val="24"/>
          <w:szCs w:val="24"/>
          <w:lang w:val="en-US"/>
        </w:rPr>
        <w:t xml:space="preserve"> </w:t>
      </w:r>
      <w:r w:rsidRPr="00AA34E1">
        <w:rPr>
          <w:rFonts w:ascii="Calibri" w:eastAsia="Times New Roman" w:hAnsi="Calibri" w:cs="Arial"/>
          <w:bCs/>
          <w:color w:val="000000" w:themeColor="text1"/>
          <w:sz w:val="24"/>
          <w:szCs w:val="24"/>
          <w:lang w:val="en-US"/>
        </w:rPr>
        <w:t>Please follow the ethical and institutional guidelines while following this procedure.</w:t>
      </w:r>
    </w:p>
    <w:p w:rsidR="00D1648F" w:rsidRDefault="00D1648F" w:rsidP="001A71C7">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p>
    <w:p w:rsidR="00D1648F" w:rsidRPr="00902456" w:rsidRDefault="00D1648F" w:rsidP="001A71C7">
      <w:pPr>
        <w:widowControl w:val="0"/>
        <w:autoSpaceDE w:val="0"/>
        <w:autoSpaceDN w:val="0"/>
        <w:adjustRightInd w:val="0"/>
        <w:spacing w:after="0" w:line="240" w:lineRule="auto"/>
        <w:jc w:val="both"/>
        <w:rPr>
          <w:rFonts w:ascii="Calibri" w:eastAsia="Times New Roman" w:hAnsi="Calibri" w:cs="Arial"/>
          <w:b/>
          <w:bCs/>
          <w:color w:val="000000" w:themeColor="text1"/>
          <w:sz w:val="24"/>
          <w:szCs w:val="24"/>
          <w:highlight w:val="yellow"/>
          <w:lang w:val="en-US"/>
        </w:rPr>
      </w:pPr>
      <w:r>
        <w:rPr>
          <w:rFonts w:ascii="Calibri" w:eastAsia="Times New Roman" w:hAnsi="Calibri" w:cs="Arial"/>
          <w:b/>
          <w:bCs/>
          <w:color w:val="000000" w:themeColor="text1"/>
          <w:sz w:val="24"/>
          <w:szCs w:val="24"/>
          <w:lang w:val="en-US"/>
        </w:rPr>
        <w:t>1</w:t>
      </w:r>
      <w:r w:rsidRPr="00902456">
        <w:rPr>
          <w:rFonts w:ascii="Calibri" w:eastAsia="Times New Roman" w:hAnsi="Calibri" w:cs="Arial"/>
          <w:b/>
          <w:bCs/>
          <w:color w:val="000000" w:themeColor="text1"/>
          <w:sz w:val="24"/>
          <w:szCs w:val="24"/>
          <w:highlight w:val="yellow"/>
          <w:lang w:val="en-US"/>
        </w:rPr>
        <w:t>.1) 3D culture using Alvetex</w:t>
      </w:r>
      <w:r w:rsidRPr="00902456">
        <w:rPr>
          <w:rFonts w:ascii="Calibri" w:eastAsia="Times New Roman" w:hAnsi="Calibri" w:cs="Arial"/>
          <w:bCs/>
          <w:color w:val="000000" w:themeColor="text1"/>
          <w:sz w:val="24"/>
          <w:szCs w:val="24"/>
          <w:highlight w:val="yellow"/>
          <w:lang w:val="en-US"/>
        </w:rPr>
        <w:t>®</w:t>
      </w:r>
      <w:r w:rsidRPr="00902456">
        <w:rPr>
          <w:rFonts w:ascii="Calibri" w:eastAsia="Times New Roman" w:hAnsi="Calibri" w:cs="Arial"/>
          <w:b/>
          <w:bCs/>
          <w:color w:val="000000" w:themeColor="text1"/>
          <w:sz w:val="24"/>
          <w:szCs w:val="24"/>
          <w:highlight w:val="yellow"/>
          <w:lang w:val="en-US"/>
        </w:rPr>
        <w:t xml:space="preserve"> 12 well plate</w:t>
      </w:r>
    </w:p>
    <w:p w:rsidR="00D1648F" w:rsidRPr="002C1016" w:rsidRDefault="00D1648F" w:rsidP="004D764B">
      <w:pPr>
        <w:widowControl w:val="0"/>
        <w:autoSpaceDE w:val="0"/>
        <w:autoSpaceDN w:val="0"/>
        <w:adjustRightInd w:val="0"/>
        <w:spacing w:after="0" w:line="240" w:lineRule="auto"/>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1.1.1) </w:t>
      </w:r>
      <w:r w:rsidR="00D1648F" w:rsidRPr="000A604E">
        <w:rPr>
          <w:rFonts w:ascii="Calibri" w:eastAsia="Times New Roman" w:hAnsi="Calibri" w:cs="Arial"/>
          <w:bCs/>
          <w:color w:val="000000" w:themeColor="text1"/>
          <w:sz w:val="24"/>
          <w:szCs w:val="24"/>
          <w:highlight w:val="yellow"/>
          <w:lang w:val="en-US"/>
        </w:rPr>
        <w:t>Use aseptic technique throughout the procedure. In a biological safety cabinet, re-hydrate scaffolds by adding 2 ml/well of 70% ethanol prepared using water for irrigation (WFIr). Avoid touching the scaffolds by dispensing the 70% ethanol down the wall of each well.</w:t>
      </w:r>
    </w:p>
    <w:p w:rsidR="00D1648F" w:rsidRPr="000A604E" w:rsidRDefault="00D1648F" w:rsidP="004D764B">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1.1.2) </w:t>
      </w:r>
      <w:r w:rsidR="00D1648F" w:rsidRPr="000A604E">
        <w:rPr>
          <w:rFonts w:ascii="Calibri" w:eastAsia="Times New Roman" w:hAnsi="Calibri" w:cs="Arial"/>
          <w:bCs/>
          <w:color w:val="000000" w:themeColor="text1"/>
          <w:sz w:val="24"/>
          <w:szCs w:val="24"/>
          <w:highlight w:val="yellow"/>
          <w:lang w:val="en-US"/>
        </w:rPr>
        <w:t xml:space="preserve">Carefully aspirate the 70% ethanol and immediately wash the </w:t>
      </w:r>
      <w:r w:rsidR="00D1648F" w:rsidRPr="00902456">
        <w:rPr>
          <w:rFonts w:ascii="Calibri" w:eastAsia="Times New Roman" w:hAnsi="Calibri" w:cs="Arial"/>
          <w:bCs/>
          <w:color w:val="000000" w:themeColor="text1"/>
          <w:sz w:val="24"/>
          <w:szCs w:val="24"/>
          <w:highlight w:val="yellow"/>
          <w:lang w:val="en-US"/>
        </w:rPr>
        <w:t>scaffolds</w:t>
      </w:r>
      <w:r w:rsidR="00D1648F" w:rsidRPr="000A604E">
        <w:rPr>
          <w:rFonts w:ascii="Calibri" w:eastAsia="Times New Roman" w:hAnsi="Calibri" w:cs="Arial"/>
          <w:bCs/>
          <w:color w:val="000000" w:themeColor="text1"/>
          <w:sz w:val="24"/>
          <w:szCs w:val="24"/>
          <w:highlight w:val="yellow"/>
          <w:lang w:val="en-US"/>
        </w:rPr>
        <w:t xml:space="preserve"> with 2 ml/well DMEM: F12 for one minute. Repeat the wash procedure twice. Carefully aspirate the DMEM: F12 after the final wash.</w:t>
      </w:r>
    </w:p>
    <w:p w:rsidR="00D1648F" w:rsidRPr="000A604E" w:rsidRDefault="00D1648F" w:rsidP="004D764B">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1.1.3) </w:t>
      </w:r>
      <w:r w:rsidR="00D1648F" w:rsidRPr="000A604E">
        <w:rPr>
          <w:rFonts w:ascii="Calibri" w:eastAsia="Times New Roman" w:hAnsi="Calibri" w:cs="Arial"/>
          <w:bCs/>
          <w:color w:val="000000" w:themeColor="text1"/>
          <w:sz w:val="24"/>
          <w:szCs w:val="24"/>
          <w:highlight w:val="yellow"/>
          <w:lang w:val="en-US"/>
        </w:rPr>
        <w:t xml:space="preserve">Coat scaffolds by adding 2 ml/well of laminin (10 </w:t>
      </w:r>
      <w:r w:rsidR="002C1016">
        <w:rPr>
          <w:rFonts w:ascii="Calibri" w:eastAsia="Times New Roman" w:hAnsi="Calibri" w:cs="Arial"/>
          <w:bCs/>
          <w:color w:val="000000" w:themeColor="text1"/>
          <w:sz w:val="24"/>
          <w:szCs w:val="24"/>
          <w:highlight w:val="yellow"/>
          <w:lang w:val="en-US"/>
        </w:rPr>
        <w:t>&amp;#181;</w:t>
      </w:r>
      <w:r w:rsidR="00D1648F" w:rsidRPr="000A604E">
        <w:rPr>
          <w:rFonts w:ascii="Calibri" w:eastAsia="Times New Roman" w:hAnsi="Calibri" w:cs="Arial"/>
          <w:bCs/>
          <w:color w:val="000000" w:themeColor="text1"/>
          <w:sz w:val="24"/>
          <w:szCs w:val="24"/>
          <w:highlight w:val="yellow"/>
          <w:lang w:val="en-US"/>
        </w:rPr>
        <w:t>g/ml) in DMEM: F12. Incubate plate at 37 °C in a 5% CO</w:t>
      </w:r>
      <w:r w:rsidR="00D1648F" w:rsidRPr="000A604E">
        <w:rPr>
          <w:rFonts w:ascii="Calibri" w:eastAsia="Times New Roman" w:hAnsi="Calibri" w:cs="Arial"/>
          <w:bCs/>
          <w:color w:val="000000" w:themeColor="text1"/>
          <w:sz w:val="24"/>
          <w:szCs w:val="24"/>
          <w:highlight w:val="yellow"/>
          <w:vertAlign w:val="subscript"/>
          <w:lang w:val="en-US"/>
        </w:rPr>
        <w:t xml:space="preserve">2 </w:t>
      </w:r>
      <w:r w:rsidR="00D1648F" w:rsidRPr="000A604E">
        <w:rPr>
          <w:rFonts w:ascii="Calibri" w:eastAsia="Times New Roman" w:hAnsi="Calibri" w:cs="Arial"/>
          <w:bCs/>
          <w:color w:val="000000" w:themeColor="text1"/>
          <w:sz w:val="24"/>
          <w:szCs w:val="24"/>
          <w:highlight w:val="yellow"/>
          <w:lang w:val="en-US"/>
        </w:rPr>
        <w:t>humidified incubator for a minimum of 2 hours. Wash plate with warm DMEM: F12.</w:t>
      </w:r>
    </w:p>
    <w:p w:rsidR="00D1648F" w:rsidRPr="000A604E" w:rsidRDefault="00D1648F" w:rsidP="004D764B">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1.1.4) </w:t>
      </w:r>
      <w:r w:rsidR="00D1648F" w:rsidRPr="000A604E">
        <w:rPr>
          <w:rFonts w:ascii="Calibri" w:eastAsia="Times New Roman" w:hAnsi="Calibri" w:cs="Arial"/>
          <w:bCs/>
          <w:color w:val="000000" w:themeColor="text1"/>
          <w:sz w:val="24"/>
          <w:szCs w:val="24"/>
          <w:highlight w:val="yellow"/>
          <w:lang w:val="en-US"/>
        </w:rPr>
        <w:t xml:space="preserve">Seed each scaffold with approximately 500,000 hNSCs in a volume of 150 </w:t>
      </w:r>
      <w:r w:rsidR="002C1016">
        <w:rPr>
          <w:rFonts w:ascii="Calibri" w:eastAsia="Times New Roman" w:hAnsi="Calibri" w:cs="Arial"/>
          <w:bCs/>
          <w:color w:val="000000" w:themeColor="text1"/>
          <w:sz w:val="24"/>
          <w:szCs w:val="24"/>
          <w:highlight w:val="yellow"/>
          <w:lang w:val="en-US"/>
        </w:rPr>
        <w:t>&amp;#181;</w:t>
      </w:r>
      <w:r w:rsidR="00D1648F" w:rsidRPr="000A604E">
        <w:rPr>
          <w:rFonts w:ascii="Calibri" w:eastAsia="Times New Roman" w:hAnsi="Calibri" w:cs="Arial"/>
          <w:bCs/>
          <w:color w:val="000000" w:themeColor="text1"/>
          <w:sz w:val="24"/>
          <w:szCs w:val="24"/>
          <w:highlight w:val="yellow"/>
          <w:lang w:val="en-US"/>
        </w:rPr>
        <w:t xml:space="preserve">l of RMM+GFs. </w:t>
      </w:r>
    </w:p>
    <w:p w:rsidR="00D1648F" w:rsidRPr="000A604E" w:rsidRDefault="00D1648F" w:rsidP="004D764B">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1.1.5) </w:t>
      </w:r>
      <w:r w:rsidR="00D1648F" w:rsidRPr="000A604E">
        <w:rPr>
          <w:rFonts w:ascii="Calibri" w:eastAsia="Times New Roman" w:hAnsi="Calibri" w:cs="Arial"/>
          <w:bCs/>
          <w:color w:val="000000" w:themeColor="text1"/>
          <w:sz w:val="24"/>
          <w:szCs w:val="24"/>
          <w:highlight w:val="yellow"/>
          <w:lang w:val="en-US"/>
        </w:rPr>
        <w:t>Incubate the plate for 3 hrs at 37 °C in a 5% CO</w:t>
      </w:r>
      <w:r w:rsidR="00D1648F" w:rsidRPr="000A604E">
        <w:rPr>
          <w:rFonts w:ascii="Calibri" w:eastAsia="Times New Roman" w:hAnsi="Calibri" w:cs="Arial"/>
          <w:bCs/>
          <w:color w:val="000000" w:themeColor="text1"/>
          <w:sz w:val="24"/>
          <w:szCs w:val="24"/>
          <w:highlight w:val="yellow"/>
          <w:vertAlign w:val="subscript"/>
          <w:lang w:val="en-US"/>
        </w:rPr>
        <w:t>2</w:t>
      </w:r>
      <w:r w:rsidR="00D1648F" w:rsidRPr="000A604E">
        <w:rPr>
          <w:rFonts w:ascii="Calibri" w:eastAsia="Times New Roman" w:hAnsi="Calibri" w:cs="Arial"/>
          <w:bCs/>
          <w:color w:val="000000" w:themeColor="text1"/>
          <w:sz w:val="24"/>
          <w:szCs w:val="24"/>
          <w:highlight w:val="yellow"/>
          <w:lang w:val="en-US"/>
        </w:rPr>
        <w:t xml:space="preserve"> humidified incubator to allow cells to settle into the scaffolds.</w:t>
      </w:r>
    </w:p>
    <w:p w:rsidR="00D1648F" w:rsidRPr="000A604E" w:rsidRDefault="00D1648F" w:rsidP="004D764B">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1.1.6) </w:t>
      </w:r>
      <w:r w:rsidR="00D1648F" w:rsidRPr="000A604E">
        <w:rPr>
          <w:rFonts w:ascii="Calibri" w:eastAsia="Times New Roman" w:hAnsi="Calibri" w:cs="Arial"/>
          <w:bCs/>
          <w:color w:val="000000" w:themeColor="text1"/>
          <w:sz w:val="24"/>
          <w:szCs w:val="24"/>
          <w:highlight w:val="yellow"/>
          <w:lang w:val="en-US"/>
        </w:rPr>
        <w:t>Add 3.5 ml of RMM to each well taking care not to dislodge cells from scaffolds.</w:t>
      </w:r>
    </w:p>
    <w:p w:rsidR="00D1648F" w:rsidRPr="000A604E" w:rsidRDefault="00D1648F" w:rsidP="004D764B">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1.1.7) </w:t>
      </w:r>
      <w:r w:rsidR="00D1648F" w:rsidRPr="000A604E">
        <w:rPr>
          <w:rFonts w:ascii="Calibri" w:eastAsia="Times New Roman" w:hAnsi="Calibri" w:cs="Arial"/>
          <w:bCs/>
          <w:color w:val="000000" w:themeColor="text1"/>
          <w:sz w:val="24"/>
          <w:szCs w:val="24"/>
          <w:highlight w:val="yellow"/>
          <w:lang w:val="en-US"/>
        </w:rPr>
        <w:t>Incubate the plate for 7 days; replace RMM medium (3.5 ml/well) after 1 day (first feeding) and again after 2 -3 days from the first feeding.</w:t>
      </w:r>
    </w:p>
    <w:p w:rsidR="00D1648F" w:rsidRPr="000A604E" w:rsidRDefault="00D1648F" w:rsidP="004D764B">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0A604E"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1.1.8) </w:t>
      </w:r>
      <w:r w:rsidR="00D1648F" w:rsidRPr="000A604E">
        <w:rPr>
          <w:rFonts w:ascii="Calibri" w:eastAsia="Times New Roman" w:hAnsi="Calibri" w:cs="Arial"/>
          <w:bCs/>
          <w:color w:val="000000" w:themeColor="text1"/>
          <w:sz w:val="24"/>
          <w:szCs w:val="24"/>
          <w:highlight w:val="yellow"/>
          <w:lang w:val="en-US"/>
        </w:rPr>
        <w:t xml:space="preserve">After 7 days, remove medium and fix cells with 4% paraformaldehyde (PFA) for immunocytochemistry (ICC) or add 500 </w:t>
      </w:r>
      <w:r w:rsidR="002C1016">
        <w:rPr>
          <w:rFonts w:ascii="Calibri" w:eastAsia="Times New Roman" w:hAnsi="Calibri" w:cs="Arial"/>
          <w:bCs/>
          <w:color w:val="000000" w:themeColor="text1"/>
          <w:sz w:val="24"/>
          <w:szCs w:val="24"/>
          <w:highlight w:val="yellow"/>
          <w:lang w:val="en-US"/>
        </w:rPr>
        <w:t>&amp;#181;</w:t>
      </w:r>
      <w:r w:rsidR="00D1648F" w:rsidRPr="000A604E">
        <w:rPr>
          <w:rFonts w:ascii="Calibri" w:eastAsia="Times New Roman" w:hAnsi="Calibri" w:cs="Arial"/>
          <w:bCs/>
          <w:color w:val="000000" w:themeColor="text1"/>
          <w:sz w:val="24"/>
          <w:szCs w:val="24"/>
          <w:highlight w:val="yellow"/>
          <w:lang w:val="en-US"/>
        </w:rPr>
        <w:t>l/</w:t>
      </w:r>
      <w:r w:rsidR="00D1648F" w:rsidRPr="00FD5967">
        <w:rPr>
          <w:rFonts w:ascii="Calibri" w:eastAsia="Times New Roman" w:hAnsi="Calibri" w:cs="Arial"/>
          <w:bCs/>
          <w:color w:val="000000" w:themeColor="text1"/>
          <w:sz w:val="24"/>
          <w:szCs w:val="24"/>
          <w:highlight w:val="yellow"/>
          <w:lang w:val="en-US"/>
        </w:rPr>
        <w:t xml:space="preserve">well of lysis reagent for </w:t>
      </w:r>
      <w:r w:rsidR="00D1648F" w:rsidRPr="000A604E">
        <w:rPr>
          <w:rFonts w:ascii="Calibri" w:eastAsia="Times New Roman" w:hAnsi="Calibri" w:cs="Arial"/>
          <w:bCs/>
          <w:color w:val="000000" w:themeColor="text1"/>
          <w:sz w:val="24"/>
          <w:szCs w:val="24"/>
          <w:highlight w:val="yellow"/>
          <w:lang w:val="en-US"/>
        </w:rPr>
        <w:t xml:space="preserve">total RNA extraction (store plate at ≤-80 °C or proceed to total RNA extraction). </w:t>
      </w:r>
    </w:p>
    <w:p w:rsidR="00D1648F" w:rsidRPr="00902456" w:rsidRDefault="00D1648F" w:rsidP="004611ED">
      <w:pPr>
        <w:widowControl w:val="0"/>
        <w:autoSpaceDE w:val="0"/>
        <w:autoSpaceDN w:val="0"/>
        <w:adjustRightInd w:val="0"/>
        <w:spacing w:after="0" w:line="240" w:lineRule="auto"/>
        <w:jc w:val="both"/>
        <w:rPr>
          <w:rFonts w:ascii="Calibri" w:eastAsia="Times New Roman" w:hAnsi="Calibri" w:cs="Arial"/>
          <w:bCs/>
          <w:color w:val="000000" w:themeColor="text1"/>
          <w:sz w:val="24"/>
          <w:szCs w:val="24"/>
          <w:highlight w:val="yellow"/>
          <w:lang w:val="en-US"/>
        </w:rPr>
      </w:pPr>
    </w:p>
    <w:p w:rsidR="00D1648F" w:rsidRPr="00902456" w:rsidRDefault="00D1648F" w:rsidP="004611ED">
      <w:pPr>
        <w:widowControl w:val="0"/>
        <w:autoSpaceDE w:val="0"/>
        <w:autoSpaceDN w:val="0"/>
        <w:adjustRightInd w:val="0"/>
        <w:spacing w:after="0" w:line="240" w:lineRule="auto"/>
        <w:jc w:val="both"/>
        <w:rPr>
          <w:rFonts w:ascii="Calibri" w:eastAsia="Times New Roman" w:hAnsi="Calibri" w:cs="Arial"/>
          <w:b/>
          <w:bCs/>
          <w:color w:val="000000" w:themeColor="text1"/>
          <w:sz w:val="24"/>
          <w:szCs w:val="24"/>
          <w:highlight w:val="yellow"/>
          <w:lang w:val="en-US"/>
        </w:rPr>
      </w:pPr>
      <w:r w:rsidRPr="00902456">
        <w:rPr>
          <w:rFonts w:ascii="Calibri" w:eastAsia="Times New Roman" w:hAnsi="Calibri" w:cs="Arial"/>
          <w:b/>
          <w:bCs/>
          <w:color w:val="000000" w:themeColor="text1"/>
          <w:sz w:val="24"/>
          <w:szCs w:val="24"/>
          <w:highlight w:val="yellow"/>
          <w:lang w:val="en-US"/>
        </w:rPr>
        <w:t>1.2) Measurement of axon process outgrowth</w:t>
      </w:r>
    </w:p>
    <w:p w:rsidR="0027638C"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4D764B"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1.2.1) </w:t>
      </w:r>
      <w:r w:rsidR="00D1648F" w:rsidRPr="004D764B">
        <w:rPr>
          <w:rFonts w:ascii="Calibri" w:eastAsia="Times New Roman" w:hAnsi="Calibri" w:cs="Arial"/>
          <w:bCs/>
          <w:color w:val="000000" w:themeColor="text1"/>
          <w:sz w:val="24"/>
          <w:szCs w:val="24"/>
          <w:highlight w:val="yellow"/>
          <w:lang w:val="en-US"/>
        </w:rPr>
        <w:t xml:space="preserve">Stain 4% PFA fixed differentiated hNSCs according to a standard ICC  protocol </w:t>
      </w:r>
      <w:r w:rsidR="00D1648F" w:rsidRPr="00902456">
        <w:rPr>
          <w:rFonts w:ascii="Calibri" w:eastAsia="Times New Roman" w:hAnsi="Calibri" w:cs="Arial"/>
          <w:bCs/>
          <w:noProof/>
          <w:color w:val="000000" w:themeColor="text1"/>
          <w:sz w:val="24"/>
          <w:szCs w:val="24"/>
          <w:highlight w:val="yellow"/>
          <w:vertAlign w:val="superscript"/>
          <w:lang w:val="en-US"/>
        </w:rPr>
        <w:t>20</w:t>
      </w:r>
      <w:r w:rsidR="00D1648F" w:rsidRPr="004D764B">
        <w:rPr>
          <w:rFonts w:ascii="Calibri" w:eastAsia="Times New Roman" w:hAnsi="Calibri" w:cs="Arial"/>
          <w:bCs/>
          <w:color w:val="000000" w:themeColor="text1"/>
          <w:sz w:val="24"/>
          <w:szCs w:val="24"/>
          <w:highlight w:val="yellow"/>
          <w:lang w:val="en-US"/>
        </w:rPr>
        <w:t xml:space="preserve"> using β3-tubulin (TUBB3) primary antibody detected with a fluorochrome conjugated secondary antibody. Counterstain cell nuclei with Hoechst (1 </w:t>
      </w:r>
      <w:r w:rsidR="002C1016">
        <w:rPr>
          <w:rFonts w:ascii="Calibri" w:eastAsia="Times New Roman" w:hAnsi="Calibri" w:cs="Arial"/>
          <w:bCs/>
          <w:color w:val="000000" w:themeColor="text1"/>
          <w:sz w:val="24"/>
          <w:szCs w:val="24"/>
          <w:highlight w:val="yellow"/>
          <w:lang w:val="en-US"/>
        </w:rPr>
        <w:t>&amp;#181;</w:t>
      </w:r>
      <w:r w:rsidR="00D1648F" w:rsidRPr="004D764B">
        <w:rPr>
          <w:rFonts w:ascii="Calibri" w:eastAsia="Times New Roman" w:hAnsi="Calibri" w:cs="Arial"/>
          <w:bCs/>
          <w:color w:val="000000" w:themeColor="text1"/>
          <w:sz w:val="24"/>
          <w:szCs w:val="24"/>
          <w:highlight w:val="yellow"/>
          <w:lang w:val="en-US"/>
        </w:rPr>
        <w:t xml:space="preserve">M). </w:t>
      </w:r>
    </w:p>
    <w:p w:rsidR="00D1648F" w:rsidRDefault="00D1648F" w:rsidP="004611ED">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4611ED"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1.2.2) </w:t>
      </w:r>
      <w:r w:rsidR="00D1648F" w:rsidRPr="004611ED">
        <w:rPr>
          <w:rFonts w:ascii="Calibri" w:eastAsia="Times New Roman" w:hAnsi="Calibri" w:cs="Arial"/>
          <w:bCs/>
          <w:color w:val="000000" w:themeColor="text1"/>
          <w:sz w:val="24"/>
          <w:szCs w:val="24"/>
          <w:highlight w:val="yellow"/>
          <w:lang w:val="en-US"/>
        </w:rPr>
        <w:t>Capture representative images of β3-tubulin stained cells using a fluorescent microscope; save images as tiff or jpeg.</w:t>
      </w:r>
      <w:r w:rsidR="00D1648F">
        <w:rPr>
          <w:rFonts w:ascii="Calibri" w:eastAsia="Times New Roman" w:hAnsi="Calibri" w:cs="Arial"/>
          <w:bCs/>
          <w:color w:val="000000" w:themeColor="text1"/>
          <w:sz w:val="24"/>
          <w:szCs w:val="24"/>
          <w:highlight w:val="yellow"/>
          <w:lang w:val="en-US"/>
        </w:rPr>
        <w:t xml:space="preserve"> </w:t>
      </w:r>
      <w:r w:rsidR="00D1648F" w:rsidRPr="004611ED">
        <w:rPr>
          <w:rFonts w:ascii="Calibri" w:eastAsia="Times New Roman" w:hAnsi="Calibri" w:cs="Arial"/>
          <w:bCs/>
          <w:color w:val="000000" w:themeColor="text1"/>
          <w:sz w:val="24"/>
          <w:szCs w:val="24"/>
          <w:highlight w:val="yellow"/>
          <w:lang w:val="en-US"/>
        </w:rPr>
        <w:t xml:space="preserve">Measure of axon process outgrowth using </w:t>
      </w:r>
      <w:r w:rsidR="00D1648F" w:rsidRPr="004611ED">
        <w:rPr>
          <w:highlight w:val="yellow"/>
          <w:lang w:val="en-US"/>
        </w:rPr>
        <w:t>image-Pro Plus 7 softwa</w:t>
      </w:r>
      <w:r w:rsidR="00D1648F" w:rsidRPr="004611ED">
        <w:rPr>
          <w:rFonts w:ascii="Calibri" w:eastAsia="Times New Roman" w:hAnsi="Calibri" w:cs="Arial"/>
          <w:bCs/>
          <w:color w:val="000000" w:themeColor="text1"/>
          <w:sz w:val="24"/>
          <w:szCs w:val="24"/>
          <w:highlight w:val="yellow"/>
          <w:lang w:val="en-US"/>
        </w:rPr>
        <w:t xml:space="preserve">re (Media Cybernetics) measurement tool. </w:t>
      </w:r>
    </w:p>
    <w:p w:rsidR="00D1648F" w:rsidRDefault="00D1648F" w:rsidP="004611ED">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4D764B"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1.2.3) </w:t>
      </w:r>
      <w:r w:rsidR="00D1648F" w:rsidRPr="004D764B">
        <w:rPr>
          <w:rFonts w:ascii="Calibri" w:eastAsia="Times New Roman" w:hAnsi="Calibri" w:cs="Arial"/>
          <w:bCs/>
          <w:color w:val="000000" w:themeColor="text1"/>
          <w:sz w:val="24"/>
          <w:szCs w:val="24"/>
          <w:highlight w:val="yellow"/>
          <w:lang w:val="en-US"/>
        </w:rPr>
        <w:t xml:space="preserve">Open the image, select measurements option in the tool bar, and select trace feature. </w:t>
      </w:r>
    </w:p>
    <w:p w:rsidR="00D1648F" w:rsidRDefault="00D1648F" w:rsidP="004611ED">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4D764B"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1.2.4) </w:t>
      </w:r>
      <w:r w:rsidR="00D1648F" w:rsidRPr="004D764B">
        <w:rPr>
          <w:rFonts w:ascii="Calibri" w:eastAsia="Times New Roman" w:hAnsi="Calibri" w:cs="Arial"/>
          <w:bCs/>
          <w:color w:val="000000" w:themeColor="text1"/>
          <w:sz w:val="24"/>
          <w:szCs w:val="24"/>
          <w:highlight w:val="yellow"/>
          <w:lang w:val="en-US"/>
        </w:rPr>
        <w:t xml:space="preserve">To start the trace, select the start point on the </w:t>
      </w:r>
      <w:r w:rsidR="00D1648F">
        <w:rPr>
          <w:rFonts w:ascii="Calibri" w:eastAsia="Times New Roman" w:hAnsi="Calibri" w:cs="Arial"/>
          <w:bCs/>
          <w:color w:val="000000" w:themeColor="text1"/>
          <w:sz w:val="24"/>
          <w:szCs w:val="24"/>
          <w:highlight w:val="yellow"/>
          <w:lang w:val="en-US"/>
        </w:rPr>
        <w:t xml:space="preserve">axon outgrowth </w:t>
      </w:r>
      <w:r w:rsidR="00D1648F" w:rsidRPr="004D764B">
        <w:rPr>
          <w:rFonts w:ascii="Calibri" w:eastAsia="Times New Roman" w:hAnsi="Calibri" w:cs="Arial"/>
          <w:bCs/>
          <w:color w:val="000000" w:themeColor="text1"/>
          <w:sz w:val="24"/>
          <w:szCs w:val="24"/>
          <w:highlight w:val="yellow"/>
          <w:lang w:val="en-US"/>
        </w:rPr>
        <w:t xml:space="preserve">by clicking the mouse button. Trace along the </w:t>
      </w:r>
      <w:r w:rsidR="00D1648F">
        <w:rPr>
          <w:rFonts w:ascii="Calibri" w:eastAsia="Times New Roman" w:hAnsi="Calibri" w:cs="Arial"/>
          <w:bCs/>
          <w:color w:val="000000" w:themeColor="text1"/>
          <w:sz w:val="24"/>
          <w:szCs w:val="24"/>
          <w:highlight w:val="yellow"/>
          <w:lang w:val="en-US"/>
        </w:rPr>
        <w:t xml:space="preserve">entire length of the </w:t>
      </w:r>
      <w:r w:rsidR="00D1648F" w:rsidRPr="004D764B">
        <w:rPr>
          <w:rFonts w:ascii="Calibri" w:eastAsia="Times New Roman" w:hAnsi="Calibri" w:cs="Arial"/>
          <w:bCs/>
          <w:color w:val="000000" w:themeColor="text1"/>
          <w:sz w:val="24"/>
          <w:szCs w:val="24"/>
          <w:highlight w:val="yellow"/>
          <w:lang w:val="en-US"/>
        </w:rPr>
        <w:t>axon outgrowth; right click to finish each trace.</w:t>
      </w:r>
      <w:r w:rsidR="00D1648F">
        <w:rPr>
          <w:rFonts w:ascii="Calibri" w:eastAsia="Times New Roman" w:hAnsi="Calibri" w:cs="Arial"/>
          <w:bCs/>
          <w:color w:val="000000" w:themeColor="text1"/>
          <w:sz w:val="24"/>
          <w:szCs w:val="24"/>
          <w:highlight w:val="yellow"/>
          <w:lang w:val="en-US"/>
        </w:rPr>
        <w:t xml:space="preserve"> Repeat to measure all </w:t>
      </w:r>
      <w:r w:rsidR="00D1648F" w:rsidRPr="00D0056C">
        <w:rPr>
          <w:rFonts w:ascii="Calibri" w:eastAsia="Times New Roman" w:hAnsi="Calibri" w:cs="Arial"/>
          <w:bCs/>
          <w:color w:val="000000" w:themeColor="text1"/>
          <w:sz w:val="24"/>
          <w:szCs w:val="24"/>
          <w:highlight w:val="yellow"/>
          <w:lang w:val="en-US"/>
        </w:rPr>
        <w:t>axon outgrowth</w:t>
      </w:r>
      <w:r w:rsidR="00D1648F">
        <w:rPr>
          <w:rFonts w:ascii="Calibri" w:eastAsia="Times New Roman" w:hAnsi="Calibri" w:cs="Arial"/>
          <w:bCs/>
          <w:color w:val="000000" w:themeColor="text1"/>
          <w:sz w:val="24"/>
          <w:szCs w:val="24"/>
          <w:highlight w:val="yellow"/>
          <w:lang w:val="en-US"/>
        </w:rPr>
        <w:t>s</w:t>
      </w:r>
      <w:r w:rsidR="00D1648F" w:rsidRPr="00D0056C">
        <w:rPr>
          <w:rFonts w:ascii="Calibri" w:eastAsia="Times New Roman" w:hAnsi="Calibri" w:cs="Arial"/>
          <w:bCs/>
          <w:color w:val="000000" w:themeColor="text1"/>
          <w:sz w:val="24"/>
          <w:szCs w:val="24"/>
          <w:highlight w:val="yellow"/>
          <w:lang w:val="en-US"/>
        </w:rPr>
        <w:t xml:space="preserve"> </w:t>
      </w:r>
      <w:r w:rsidR="00D1648F">
        <w:rPr>
          <w:rFonts w:ascii="Calibri" w:eastAsia="Times New Roman" w:hAnsi="Calibri" w:cs="Arial"/>
          <w:bCs/>
          <w:color w:val="000000" w:themeColor="text1"/>
          <w:sz w:val="24"/>
          <w:szCs w:val="24"/>
          <w:highlight w:val="yellow"/>
          <w:lang w:val="en-US"/>
        </w:rPr>
        <w:t>with in the field of view</w:t>
      </w:r>
      <w:r w:rsidR="00D1648F" w:rsidRPr="00D0056C">
        <w:rPr>
          <w:rFonts w:ascii="Calibri" w:eastAsia="Times New Roman" w:hAnsi="Calibri" w:cs="Arial"/>
          <w:bCs/>
          <w:color w:val="000000" w:themeColor="text1"/>
          <w:sz w:val="24"/>
          <w:szCs w:val="24"/>
          <w:highlight w:val="yellow"/>
          <w:lang w:val="en-US"/>
        </w:rPr>
        <w:t>.</w:t>
      </w:r>
    </w:p>
    <w:p w:rsidR="00D1648F" w:rsidRDefault="00D1648F" w:rsidP="004611ED">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4611ED"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1.2.5) </w:t>
      </w:r>
      <w:r w:rsidR="00D1648F" w:rsidRPr="004611ED">
        <w:rPr>
          <w:rFonts w:ascii="Calibri" w:eastAsia="Times New Roman" w:hAnsi="Calibri" w:cs="Arial"/>
          <w:bCs/>
          <w:color w:val="000000" w:themeColor="text1"/>
          <w:sz w:val="24"/>
          <w:szCs w:val="24"/>
          <w:highlight w:val="yellow"/>
          <w:lang w:val="en-US"/>
        </w:rPr>
        <w:t xml:space="preserve">Express measurements as pixels or </w:t>
      </w:r>
      <w:r w:rsidR="002C1016">
        <w:rPr>
          <w:rFonts w:ascii="Calibri" w:eastAsia="Times New Roman" w:hAnsi="Calibri" w:cs="Arial"/>
          <w:bCs/>
          <w:color w:val="000000" w:themeColor="text1"/>
          <w:sz w:val="24"/>
          <w:szCs w:val="24"/>
          <w:highlight w:val="yellow"/>
          <w:lang w:val="en-US"/>
        </w:rPr>
        <w:t>&amp;#181;</w:t>
      </w:r>
      <w:r w:rsidR="00D1648F" w:rsidRPr="004611ED">
        <w:rPr>
          <w:rFonts w:ascii="Calibri" w:eastAsia="Times New Roman" w:hAnsi="Calibri" w:cs="Arial"/>
          <w:bCs/>
          <w:color w:val="000000" w:themeColor="text1"/>
          <w:sz w:val="24"/>
          <w:szCs w:val="24"/>
          <w:highlight w:val="yellow"/>
          <w:lang w:val="en-US"/>
        </w:rPr>
        <w:t xml:space="preserve">m (pending calibration set up). Export length measurements to </w:t>
      </w:r>
      <w:r w:rsidR="00D1648F">
        <w:rPr>
          <w:rFonts w:ascii="Calibri" w:eastAsia="Times New Roman" w:hAnsi="Calibri" w:cs="Arial"/>
          <w:bCs/>
          <w:color w:val="000000" w:themeColor="text1"/>
          <w:sz w:val="24"/>
          <w:szCs w:val="24"/>
          <w:highlight w:val="yellow"/>
          <w:lang w:val="en-US"/>
        </w:rPr>
        <w:t>a spreadsheet program</w:t>
      </w:r>
      <w:r w:rsidR="00D1648F" w:rsidRPr="004611ED">
        <w:rPr>
          <w:rFonts w:ascii="Calibri" w:eastAsia="Times New Roman" w:hAnsi="Calibri" w:cs="Arial"/>
          <w:bCs/>
          <w:color w:val="000000" w:themeColor="text1"/>
          <w:sz w:val="24"/>
          <w:szCs w:val="24"/>
          <w:highlight w:val="yellow"/>
          <w:lang w:val="en-US"/>
        </w:rPr>
        <w:t xml:space="preserve"> for sample comparative and statistical analysis. </w:t>
      </w:r>
    </w:p>
    <w:p w:rsidR="00D1648F" w:rsidRDefault="00D1648F" w:rsidP="000E0988">
      <w:pPr>
        <w:widowControl w:val="0"/>
        <w:tabs>
          <w:tab w:val="left" w:pos="3424"/>
        </w:tabs>
        <w:autoSpaceDE w:val="0"/>
        <w:autoSpaceDN w:val="0"/>
        <w:adjustRightInd w:val="0"/>
        <w:spacing w:after="0" w:line="240" w:lineRule="auto"/>
        <w:jc w:val="both"/>
        <w:rPr>
          <w:rFonts w:ascii="Calibri" w:eastAsia="Times New Roman" w:hAnsi="Calibri" w:cs="Arial"/>
          <w:bCs/>
          <w:color w:val="000000" w:themeColor="text1"/>
          <w:sz w:val="24"/>
          <w:szCs w:val="24"/>
          <w:lang w:val="en-US"/>
        </w:rPr>
      </w:pPr>
    </w:p>
    <w:p w:rsidR="00D1648F" w:rsidRDefault="0027638C" w:rsidP="0027638C">
      <w:pPr>
        <w:pStyle w:val="ListParagraph"/>
        <w:ind w:left="0"/>
        <w:rPr>
          <w:rFonts w:ascii="Calibri" w:eastAsia="Times New Roman" w:hAnsi="Calibri" w:cs="Arial"/>
          <w:b/>
          <w:bCs/>
          <w:color w:val="000000" w:themeColor="text1"/>
          <w:sz w:val="24"/>
          <w:szCs w:val="24"/>
          <w:lang w:val="en-US"/>
        </w:rPr>
      </w:pPr>
      <w:r>
        <w:rPr>
          <w:rFonts w:ascii="Calibri" w:eastAsia="Times New Roman" w:hAnsi="Calibri" w:cs="Arial"/>
          <w:b/>
          <w:bCs/>
          <w:color w:val="000000" w:themeColor="text1"/>
          <w:sz w:val="24"/>
          <w:szCs w:val="24"/>
          <w:lang w:val="en-US"/>
        </w:rPr>
        <w:t xml:space="preserve">2. </w:t>
      </w:r>
      <w:r w:rsidR="00D1648F" w:rsidRPr="00A73EB0">
        <w:rPr>
          <w:rFonts w:ascii="Calibri" w:eastAsia="Times New Roman" w:hAnsi="Calibri" w:cs="Arial"/>
          <w:b/>
          <w:bCs/>
          <w:color w:val="000000" w:themeColor="text1"/>
          <w:sz w:val="24"/>
          <w:szCs w:val="24"/>
          <w:lang w:val="en-US"/>
        </w:rPr>
        <w:t xml:space="preserve">MiRNA expression using a stem cells and developmental pathways focused miRNA PCR array </w:t>
      </w:r>
    </w:p>
    <w:p w:rsidR="0027638C" w:rsidRPr="0027638C" w:rsidRDefault="0027638C" w:rsidP="0027638C">
      <w:pPr>
        <w:pStyle w:val="ListParagraph"/>
        <w:ind w:left="0"/>
        <w:rPr>
          <w:rFonts w:ascii="Calibri" w:eastAsia="Times New Roman" w:hAnsi="Calibri" w:cs="Arial"/>
          <w:bCs/>
          <w:color w:val="000000" w:themeColor="text1"/>
          <w:sz w:val="24"/>
          <w:szCs w:val="24"/>
          <w:lang w:val="en-US"/>
        </w:rPr>
      </w:pPr>
    </w:p>
    <w:p w:rsidR="00D1648F" w:rsidRDefault="0027638C" w:rsidP="0027638C">
      <w:pPr>
        <w:pStyle w:val="ListParagraph"/>
        <w:ind w:left="0"/>
        <w:rPr>
          <w:rFonts w:ascii="Calibri" w:eastAsia="Times New Roman" w:hAnsi="Calibri" w:cs="Arial"/>
          <w:b/>
          <w:bCs/>
          <w:color w:val="000000" w:themeColor="text1"/>
          <w:sz w:val="24"/>
          <w:szCs w:val="24"/>
          <w:lang w:val="en-US"/>
        </w:rPr>
      </w:pPr>
      <w:r>
        <w:rPr>
          <w:rFonts w:ascii="Calibri" w:eastAsia="Times New Roman" w:hAnsi="Calibri" w:cs="Arial"/>
          <w:b/>
          <w:bCs/>
          <w:color w:val="000000" w:themeColor="text1"/>
          <w:sz w:val="24"/>
          <w:szCs w:val="24"/>
          <w:lang w:val="en-US"/>
        </w:rPr>
        <w:t>2.1</w:t>
      </w:r>
      <w:r w:rsidR="00D1648F">
        <w:rPr>
          <w:rFonts w:ascii="Calibri" w:eastAsia="Times New Roman" w:hAnsi="Calibri" w:cs="Arial"/>
          <w:b/>
          <w:bCs/>
          <w:color w:val="000000" w:themeColor="text1"/>
          <w:sz w:val="24"/>
          <w:szCs w:val="24"/>
          <w:lang w:val="en-US"/>
        </w:rPr>
        <w:t xml:space="preserve">) </w:t>
      </w:r>
      <w:r w:rsidR="00D1648F" w:rsidRPr="000F03A1">
        <w:rPr>
          <w:rFonts w:ascii="Calibri" w:eastAsia="Times New Roman" w:hAnsi="Calibri" w:cs="Arial"/>
          <w:b/>
          <w:bCs/>
          <w:color w:val="000000" w:themeColor="text1"/>
          <w:sz w:val="24"/>
          <w:szCs w:val="24"/>
          <w:lang w:val="en-US"/>
        </w:rPr>
        <w:t>miRNA total RNA extraction</w:t>
      </w:r>
    </w:p>
    <w:p w:rsidR="0027638C" w:rsidRDefault="0027638C" w:rsidP="0027638C">
      <w:pPr>
        <w:pStyle w:val="ListParagraph"/>
        <w:ind w:left="0"/>
        <w:rPr>
          <w:rFonts w:ascii="Calibri" w:eastAsia="Times New Roman" w:hAnsi="Calibri" w:cs="Arial"/>
          <w:bCs/>
          <w:color w:val="000000" w:themeColor="text1"/>
          <w:sz w:val="24"/>
          <w:szCs w:val="24"/>
          <w:lang w:val="en-US"/>
        </w:rPr>
      </w:pPr>
    </w:p>
    <w:p w:rsidR="00D1648F" w:rsidRPr="004611ED" w:rsidRDefault="0027638C" w:rsidP="0027638C">
      <w:pPr>
        <w:pStyle w:val="ListParagraph"/>
        <w:ind w:left="0"/>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2.1.1) </w:t>
      </w:r>
      <w:r w:rsidR="00D1648F" w:rsidRPr="000D1DD6">
        <w:rPr>
          <w:rFonts w:ascii="Calibri" w:eastAsia="Times New Roman" w:hAnsi="Calibri" w:cs="Arial"/>
          <w:bCs/>
          <w:color w:val="000000" w:themeColor="text1"/>
          <w:sz w:val="24"/>
          <w:szCs w:val="24"/>
          <w:lang w:val="en-US"/>
        </w:rPr>
        <w:t xml:space="preserve">Perform miRNA extraction on </w:t>
      </w:r>
      <w:r w:rsidR="00D1648F" w:rsidRPr="005044E7">
        <w:rPr>
          <w:rFonts w:ascii="Calibri" w:eastAsia="Times New Roman" w:hAnsi="Calibri" w:cs="Arial"/>
          <w:bCs/>
          <w:color w:val="000000" w:themeColor="text1"/>
          <w:sz w:val="24"/>
          <w:szCs w:val="24"/>
          <w:lang w:val="en-US"/>
        </w:rPr>
        <w:t>scaffolds  and 2D grown samples (differentiated and undifferentiated</w:t>
      </w:r>
      <w:r w:rsidR="00D1648F">
        <w:rPr>
          <w:rFonts w:ascii="Calibri" w:eastAsia="Times New Roman" w:hAnsi="Calibri" w:cs="Arial"/>
          <w:bCs/>
          <w:color w:val="000000" w:themeColor="text1"/>
          <w:sz w:val="24"/>
          <w:szCs w:val="24"/>
          <w:lang w:val="en-US"/>
        </w:rPr>
        <w:t>,</w:t>
      </w:r>
      <w:r w:rsidR="00D1648F" w:rsidRPr="005044E7">
        <w:rPr>
          <w:rFonts w:ascii="Calibri" w:eastAsia="Times New Roman" w:hAnsi="Calibri" w:cs="Arial"/>
          <w:bCs/>
          <w:color w:val="000000" w:themeColor="text1"/>
          <w:sz w:val="24"/>
          <w:szCs w:val="24"/>
          <w:lang w:val="en-US"/>
        </w:rPr>
        <w:t xml:space="preserve"> </w:t>
      </w:r>
      <w:r w:rsidR="00D1648F">
        <w:rPr>
          <w:rFonts w:ascii="Calibri" w:eastAsia="Times New Roman" w:hAnsi="Calibri" w:cs="Arial"/>
          <w:bCs/>
          <w:color w:val="000000" w:themeColor="text1"/>
          <w:sz w:val="24"/>
          <w:szCs w:val="24"/>
          <w:lang w:val="en-US"/>
        </w:rPr>
        <w:t>h</w:t>
      </w:r>
      <w:r w:rsidR="00D1648F" w:rsidRPr="00843317">
        <w:rPr>
          <w:rFonts w:ascii="Calibri" w:eastAsia="Times New Roman" w:hAnsi="Calibri" w:cs="Arial"/>
          <w:bCs/>
          <w:color w:val="000000" w:themeColor="text1"/>
          <w:sz w:val="24"/>
          <w:szCs w:val="24"/>
          <w:lang w:val="en-US"/>
        </w:rPr>
        <w:t>NSC control</w:t>
      </w:r>
      <w:r w:rsidR="00D1648F" w:rsidRPr="00975B91">
        <w:rPr>
          <w:rFonts w:ascii="Calibri" w:eastAsia="Times New Roman" w:hAnsi="Calibri" w:cs="Arial"/>
          <w:bCs/>
          <w:color w:val="000000" w:themeColor="text1"/>
          <w:sz w:val="24"/>
          <w:szCs w:val="24"/>
          <w:lang w:val="en-US"/>
        </w:rPr>
        <w:t>).</w:t>
      </w:r>
    </w:p>
    <w:p w:rsidR="00D1648F" w:rsidRDefault="00D1648F" w:rsidP="000E0988">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Pr="004611ED"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2.1.2) </w:t>
      </w:r>
      <w:r w:rsidR="00D1648F" w:rsidRPr="004611ED">
        <w:rPr>
          <w:rFonts w:ascii="Calibri" w:eastAsia="Times New Roman" w:hAnsi="Calibri" w:cs="Arial"/>
          <w:bCs/>
          <w:color w:val="000000" w:themeColor="text1"/>
          <w:sz w:val="24"/>
          <w:szCs w:val="24"/>
          <w:lang w:val="en-US"/>
        </w:rPr>
        <w:t xml:space="preserve">Thaw </w:t>
      </w:r>
      <w:r w:rsidR="00D1648F">
        <w:rPr>
          <w:rFonts w:ascii="Calibri" w:eastAsia="Times New Roman" w:hAnsi="Calibri" w:cs="Arial"/>
          <w:bCs/>
          <w:color w:val="000000" w:themeColor="text1"/>
          <w:sz w:val="24"/>
          <w:szCs w:val="24"/>
          <w:lang w:val="en-US"/>
        </w:rPr>
        <w:t>scaffolds, inserted in a 12 well plate</w:t>
      </w:r>
      <w:r w:rsidR="00D1648F" w:rsidRPr="004611ED">
        <w:rPr>
          <w:rFonts w:ascii="Calibri" w:eastAsia="Times New Roman" w:hAnsi="Calibri" w:cs="Arial"/>
          <w:bCs/>
          <w:color w:val="000000" w:themeColor="text1"/>
          <w:sz w:val="24"/>
          <w:szCs w:val="24"/>
          <w:lang w:val="en-US"/>
        </w:rPr>
        <w:t xml:space="preserve">, if required. Combine </w:t>
      </w:r>
      <w:r w:rsidR="00D1648F">
        <w:rPr>
          <w:rFonts w:ascii="Calibri" w:eastAsia="Times New Roman" w:hAnsi="Calibri" w:cs="Arial"/>
          <w:bCs/>
          <w:color w:val="000000" w:themeColor="text1"/>
          <w:sz w:val="24"/>
          <w:szCs w:val="24"/>
          <w:lang w:val="en-US"/>
        </w:rPr>
        <w:t>lysis reagent</w:t>
      </w:r>
      <w:r w:rsidR="00D1648F" w:rsidRPr="004611ED">
        <w:rPr>
          <w:rFonts w:ascii="Calibri" w:eastAsia="Times New Roman" w:hAnsi="Calibri" w:cs="Arial"/>
          <w:bCs/>
          <w:color w:val="000000" w:themeColor="text1"/>
          <w:sz w:val="24"/>
          <w:szCs w:val="24"/>
          <w:lang w:val="en-US"/>
        </w:rPr>
        <w:t xml:space="preserve"> contents (500 </w:t>
      </w:r>
      <w:r w:rsidR="002C1016">
        <w:rPr>
          <w:rFonts w:ascii="Calibri" w:eastAsia="Times New Roman" w:hAnsi="Calibri" w:cs="Arial"/>
          <w:bCs/>
          <w:color w:val="000000" w:themeColor="text1"/>
          <w:sz w:val="24"/>
          <w:szCs w:val="24"/>
          <w:lang w:val="en-US"/>
        </w:rPr>
        <w:t>&amp;#181;</w:t>
      </w:r>
      <w:r w:rsidR="00D1648F" w:rsidRPr="004611ED">
        <w:rPr>
          <w:rFonts w:ascii="Calibri" w:eastAsia="Times New Roman" w:hAnsi="Calibri" w:cs="Arial"/>
          <w:bCs/>
          <w:color w:val="000000" w:themeColor="text1"/>
          <w:sz w:val="24"/>
          <w:szCs w:val="24"/>
          <w:lang w:val="en-US"/>
        </w:rPr>
        <w:t xml:space="preserve">l) of 2 wells in the same 1.5 ml Eppendorf tube, final volume 1 ml of </w:t>
      </w:r>
      <w:r w:rsidR="00D1648F">
        <w:rPr>
          <w:rFonts w:ascii="Calibri" w:eastAsia="Times New Roman" w:hAnsi="Calibri" w:cs="Arial"/>
          <w:bCs/>
          <w:color w:val="000000" w:themeColor="text1"/>
          <w:sz w:val="24"/>
          <w:szCs w:val="24"/>
          <w:lang w:val="en-US"/>
        </w:rPr>
        <w:t>Lysis reagent</w:t>
      </w:r>
      <w:r w:rsidR="00D1648F" w:rsidRPr="004611ED">
        <w:rPr>
          <w:rFonts w:ascii="Calibri" w:eastAsia="Times New Roman" w:hAnsi="Calibri" w:cs="Arial"/>
          <w:bCs/>
          <w:color w:val="000000" w:themeColor="text1"/>
          <w:sz w:val="24"/>
          <w:szCs w:val="24"/>
          <w:lang w:val="en-US"/>
        </w:rPr>
        <w:t xml:space="preserve">. Take care to leave the scaffold in the well. </w:t>
      </w:r>
    </w:p>
    <w:p w:rsidR="00D1648F" w:rsidRDefault="00D1648F" w:rsidP="000E0988">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2.1.3) </w:t>
      </w:r>
      <w:r w:rsidR="00D1648F" w:rsidRPr="004611ED">
        <w:rPr>
          <w:rFonts w:ascii="Calibri" w:eastAsia="Times New Roman" w:hAnsi="Calibri" w:cs="Arial"/>
          <w:bCs/>
          <w:color w:val="000000" w:themeColor="text1"/>
          <w:sz w:val="24"/>
          <w:szCs w:val="24"/>
          <w:lang w:val="en-US"/>
        </w:rPr>
        <w:t xml:space="preserve">For previously collected as dry cell pelleted 2D grown samples (differentiated hNSC 2D cultures and undifferentiated control) add 1ml of </w:t>
      </w:r>
      <w:r w:rsidR="00D1648F">
        <w:rPr>
          <w:rFonts w:ascii="Calibri" w:eastAsia="Times New Roman" w:hAnsi="Calibri" w:cs="Arial"/>
          <w:bCs/>
          <w:color w:val="000000" w:themeColor="text1"/>
          <w:sz w:val="24"/>
          <w:szCs w:val="24"/>
          <w:lang w:val="en-US"/>
        </w:rPr>
        <w:t>lysis reagent</w:t>
      </w:r>
      <w:r w:rsidR="00D1648F" w:rsidRPr="004611ED">
        <w:rPr>
          <w:rFonts w:ascii="Calibri" w:eastAsia="Times New Roman" w:hAnsi="Calibri" w:cs="Arial"/>
          <w:bCs/>
          <w:color w:val="000000" w:themeColor="text1"/>
          <w:sz w:val="24"/>
          <w:szCs w:val="24"/>
          <w:lang w:val="en-US"/>
        </w:rPr>
        <w:t xml:space="preserve"> and transfer contents into 1.5 ml </w:t>
      </w:r>
      <w:r w:rsidR="00D1648F" w:rsidRPr="00AA34E1">
        <w:rPr>
          <w:rFonts w:ascii="Calibri" w:eastAsia="Times New Roman" w:hAnsi="Calibri" w:cs="Arial"/>
          <w:bCs/>
          <w:color w:val="000000" w:themeColor="text1"/>
          <w:sz w:val="24"/>
          <w:szCs w:val="24"/>
          <w:lang w:val="en-US"/>
        </w:rPr>
        <w:t xml:space="preserve">microcentrifuge </w:t>
      </w:r>
      <w:r w:rsidR="00D1648F" w:rsidRPr="004611ED">
        <w:rPr>
          <w:rFonts w:ascii="Calibri" w:eastAsia="Times New Roman" w:hAnsi="Calibri" w:cs="Arial"/>
          <w:bCs/>
          <w:color w:val="000000" w:themeColor="text1"/>
          <w:sz w:val="24"/>
          <w:szCs w:val="24"/>
          <w:lang w:val="en-US"/>
        </w:rPr>
        <w:t>tube.</w:t>
      </w:r>
    </w:p>
    <w:p w:rsidR="00D1648F" w:rsidRPr="004611ED" w:rsidRDefault="00D1648F" w:rsidP="000E0988">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Pr="004611ED"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2.1.4) </w:t>
      </w:r>
      <w:r w:rsidR="00D1648F" w:rsidRPr="004611ED">
        <w:rPr>
          <w:rFonts w:ascii="Calibri" w:eastAsia="Times New Roman" w:hAnsi="Calibri" w:cs="Arial"/>
          <w:bCs/>
          <w:color w:val="000000" w:themeColor="text1"/>
          <w:sz w:val="24"/>
          <w:szCs w:val="24"/>
          <w:lang w:val="en-US"/>
        </w:rPr>
        <w:t xml:space="preserve">Homogenize each test sample using a 1 ml syringe and a short 20 to 25 gauge needle. Pass the lysate through the needle using a 1ml syringe up to 5 times until a homogeneous lysate is achieved. </w:t>
      </w:r>
    </w:p>
    <w:p w:rsidR="00D1648F" w:rsidRDefault="00D1648F" w:rsidP="000E0988">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Pr="004611ED"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2.1.5) </w:t>
      </w:r>
      <w:r w:rsidR="00D1648F" w:rsidRPr="004611ED">
        <w:rPr>
          <w:rFonts w:ascii="Calibri" w:eastAsia="Times New Roman" w:hAnsi="Calibri" w:cs="Arial"/>
          <w:bCs/>
          <w:color w:val="000000" w:themeColor="text1"/>
          <w:sz w:val="24"/>
          <w:szCs w:val="24"/>
          <w:lang w:val="en-US"/>
        </w:rPr>
        <w:t>Add 200</w:t>
      </w:r>
      <w:r w:rsidR="002C1016">
        <w:rPr>
          <w:rFonts w:ascii="Calibri" w:eastAsia="Times New Roman" w:hAnsi="Calibri" w:cs="Arial"/>
          <w:bCs/>
          <w:color w:val="000000" w:themeColor="text1"/>
          <w:sz w:val="24"/>
          <w:szCs w:val="24"/>
          <w:lang w:val="en-US"/>
        </w:rPr>
        <w:t>&amp;#181;</w:t>
      </w:r>
      <w:r w:rsidR="00D1648F" w:rsidRPr="004611ED">
        <w:rPr>
          <w:rFonts w:ascii="Calibri" w:eastAsia="Times New Roman" w:hAnsi="Calibri" w:cs="Arial"/>
          <w:bCs/>
          <w:color w:val="000000" w:themeColor="text1"/>
          <w:sz w:val="24"/>
          <w:szCs w:val="24"/>
          <w:lang w:val="en-US"/>
        </w:rPr>
        <w:t>l of chloroform to each Eppendorf tube and cap securely. Invert and vortex tubes to mix contents.</w:t>
      </w:r>
    </w:p>
    <w:p w:rsidR="00D1648F" w:rsidRDefault="00D1648F" w:rsidP="000E0988">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Pr="004611ED"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2.1.6) </w:t>
      </w:r>
      <w:r w:rsidR="00D1648F" w:rsidRPr="004611ED">
        <w:rPr>
          <w:rFonts w:ascii="Calibri" w:eastAsia="Times New Roman" w:hAnsi="Calibri" w:cs="Arial"/>
          <w:bCs/>
          <w:color w:val="000000" w:themeColor="text1"/>
          <w:sz w:val="24"/>
          <w:szCs w:val="24"/>
          <w:lang w:val="en-US"/>
        </w:rPr>
        <w:t xml:space="preserve">Centrifuge each 1.5 ml </w:t>
      </w:r>
      <w:r w:rsidR="00D1648F">
        <w:rPr>
          <w:rFonts w:ascii="Calibri" w:eastAsia="Times New Roman" w:hAnsi="Calibri" w:cs="Arial"/>
          <w:bCs/>
          <w:color w:val="000000" w:themeColor="text1"/>
          <w:sz w:val="24"/>
          <w:szCs w:val="24"/>
          <w:lang w:val="en-US"/>
        </w:rPr>
        <w:t xml:space="preserve">microcentrifuge </w:t>
      </w:r>
      <w:r w:rsidR="00D1648F" w:rsidRPr="004611ED">
        <w:rPr>
          <w:rFonts w:ascii="Calibri" w:eastAsia="Times New Roman" w:hAnsi="Calibri" w:cs="Arial"/>
          <w:bCs/>
          <w:color w:val="000000" w:themeColor="text1"/>
          <w:sz w:val="24"/>
          <w:szCs w:val="24"/>
          <w:lang w:val="en-US"/>
        </w:rPr>
        <w:t>tube containing homogenate for 15 min at ≥12,000 x g.</w:t>
      </w:r>
    </w:p>
    <w:p w:rsidR="00D1648F" w:rsidRDefault="00D1648F" w:rsidP="000E0988">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Pr="004611ED"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2.1.7) </w:t>
      </w:r>
      <w:r w:rsidR="00D1648F" w:rsidRPr="004611ED">
        <w:rPr>
          <w:rFonts w:ascii="Calibri" w:eastAsia="Times New Roman" w:hAnsi="Calibri" w:cs="Arial"/>
          <w:bCs/>
          <w:color w:val="000000" w:themeColor="text1"/>
          <w:sz w:val="24"/>
          <w:szCs w:val="24"/>
          <w:lang w:val="en-US"/>
        </w:rPr>
        <w:t xml:space="preserve">Transfer the upper aqueous phase of each sample (avoid transferring any interphase, pink coloured liquid) to a fresh 1.5 ml </w:t>
      </w:r>
      <w:r w:rsidR="00D1648F">
        <w:rPr>
          <w:rFonts w:ascii="Calibri" w:eastAsia="Times New Roman" w:hAnsi="Calibri" w:cs="Arial"/>
          <w:bCs/>
          <w:color w:val="000000" w:themeColor="text1"/>
          <w:sz w:val="24"/>
          <w:szCs w:val="24"/>
          <w:lang w:val="en-US"/>
        </w:rPr>
        <w:t xml:space="preserve">microcentrifuge </w:t>
      </w:r>
      <w:r w:rsidR="00D1648F" w:rsidRPr="004611ED">
        <w:rPr>
          <w:rFonts w:ascii="Calibri" w:eastAsia="Times New Roman" w:hAnsi="Calibri" w:cs="Arial"/>
          <w:bCs/>
          <w:color w:val="000000" w:themeColor="text1"/>
          <w:sz w:val="24"/>
          <w:szCs w:val="24"/>
          <w:lang w:val="en-US"/>
        </w:rPr>
        <w:t xml:space="preserve">tube containing 750 </w:t>
      </w:r>
      <w:r w:rsidR="002C1016">
        <w:rPr>
          <w:rFonts w:ascii="Calibri" w:eastAsia="Times New Roman" w:hAnsi="Calibri" w:cs="Arial"/>
          <w:bCs/>
          <w:color w:val="000000" w:themeColor="text1"/>
          <w:sz w:val="24"/>
          <w:szCs w:val="24"/>
          <w:lang w:val="en-US"/>
        </w:rPr>
        <w:t>&amp;#181;</w:t>
      </w:r>
      <w:r w:rsidR="00D1648F" w:rsidRPr="004611ED">
        <w:rPr>
          <w:rFonts w:ascii="Calibri" w:eastAsia="Times New Roman" w:hAnsi="Calibri" w:cs="Arial"/>
          <w:bCs/>
          <w:color w:val="000000" w:themeColor="text1"/>
          <w:sz w:val="24"/>
          <w:szCs w:val="24"/>
          <w:lang w:val="en-US"/>
        </w:rPr>
        <w:t xml:space="preserve">l of 100% ethanol. Mix thoroughly by inversion. </w:t>
      </w:r>
    </w:p>
    <w:p w:rsidR="00D1648F" w:rsidRDefault="00D1648F" w:rsidP="000E0988">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2.1.8) </w:t>
      </w:r>
      <w:r w:rsidR="00D1648F" w:rsidRPr="004611ED">
        <w:rPr>
          <w:rFonts w:ascii="Calibri" w:eastAsia="Times New Roman" w:hAnsi="Calibri" w:cs="Arial"/>
          <w:bCs/>
          <w:color w:val="000000" w:themeColor="text1"/>
          <w:sz w:val="24"/>
          <w:szCs w:val="24"/>
          <w:lang w:val="en-US"/>
        </w:rPr>
        <w:t>Pipette up to 700 μl of each test sample, including any precipitate, into a mini column in a 2 ml collection tube. Close the lid and centrifuge at ≥8000 x g for approximately 30 sec at room temperature. Discard the flow-through. Repeat this step using the remainder of the sample.</w:t>
      </w:r>
    </w:p>
    <w:p w:rsidR="00D1648F" w:rsidRPr="004611ED" w:rsidRDefault="00D1648F" w:rsidP="00747AD2">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Pr="004611ED"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2.1.9) </w:t>
      </w:r>
      <w:r w:rsidR="00D1648F" w:rsidRPr="004611ED">
        <w:rPr>
          <w:rFonts w:ascii="Calibri" w:eastAsia="Times New Roman" w:hAnsi="Calibri" w:cs="Arial"/>
          <w:bCs/>
          <w:color w:val="000000" w:themeColor="text1"/>
          <w:sz w:val="24"/>
          <w:szCs w:val="24"/>
          <w:lang w:val="en-US"/>
        </w:rPr>
        <w:t>Perform a DN</w:t>
      </w:r>
      <w:r w:rsidR="00D1648F">
        <w:rPr>
          <w:rFonts w:ascii="Calibri" w:eastAsia="Times New Roman" w:hAnsi="Calibri" w:cs="Arial"/>
          <w:bCs/>
          <w:color w:val="000000" w:themeColor="text1"/>
          <w:sz w:val="24"/>
          <w:szCs w:val="24"/>
          <w:lang w:val="en-US"/>
        </w:rPr>
        <w:t>A</w:t>
      </w:r>
      <w:r w:rsidR="00D1648F" w:rsidRPr="004611ED">
        <w:rPr>
          <w:rFonts w:ascii="Calibri" w:eastAsia="Times New Roman" w:hAnsi="Calibri" w:cs="Arial"/>
          <w:bCs/>
          <w:color w:val="000000" w:themeColor="text1"/>
          <w:sz w:val="24"/>
          <w:szCs w:val="24"/>
          <w:lang w:val="en-US"/>
        </w:rPr>
        <w:t xml:space="preserve"> digest</w:t>
      </w:r>
      <w:r w:rsidR="00D1648F">
        <w:rPr>
          <w:rFonts w:ascii="Calibri" w:eastAsia="Times New Roman" w:hAnsi="Calibri" w:cs="Arial"/>
          <w:bCs/>
          <w:color w:val="000000" w:themeColor="text1"/>
          <w:sz w:val="24"/>
          <w:szCs w:val="24"/>
          <w:lang w:val="en-US"/>
        </w:rPr>
        <w:t xml:space="preserve"> for 15 min</w:t>
      </w:r>
      <w:r w:rsidR="00D1648F" w:rsidRPr="004611ED">
        <w:rPr>
          <w:rFonts w:ascii="Calibri" w:eastAsia="Times New Roman" w:hAnsi="Calibri" w:cs="Arial"/>
          <w:bCs/>
          <w:color w:val="000000" w:themeColor="text1"/>
          <w:sz w:val="24"/>
          <w:szCs w:val="24"/>
          <w:lang w:val="en-US"/>
        </w:rPr>
        <w:t>.</w:t>
      </w:r>
    </w:p>
    <w:p w:rsidR="00D1648F" w:rsidRDefault="00D1648F" w:rsidP="000E0988">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Pr="004611ED"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2.1.10) </w:t>
      </w:r>
      <w:r w:rsidR="00D1648F" w:rsidRPr="004611ED">
        <w:rPr>
          <w:rFonts w:ascii="Calibri" w:eastAsia="Times New Roman" w:hAnsi="Calibri" w:cs="Arial"/>
          <w:bCs/>
          <w:color w:val="000000" w:themeColor="text1"/>
          <w:sz w:val="24"/>
          <w:szCs w:val="24"/>
          <w:lang w:val="en-US"/>
        </w:rPr>
        <w:t xml:space="preserve">Add 700 μl </w:t>
      </w:r>
      <w:r w:rsidR="00D1648F">
        <w:rPr>
          <w:rFonts w:ascii="Calibri" w:eastAsia="Times New Roman" w:hAnsi="Calibri" w:cs="Arial"/>
          <w:bCs/>
          <w:color w:val="000000" w:themeColor="text1"/>
          <w:sz w:val="24"/>
          <w:szCs w:val="24"/>
          <w:lang w:val="en-US"/>
        </w:rPr>
        <w:t>b</w:t>
      </w:r>
      <w:r w:rsidR="00D1648F" w:rsidRPr="004611ED">
        <w:rPr>
          <w:rFonts w:ascii="Calibri" w:eastAsia="Times New Roman" w:hAnsi="Calibri" w:cs="Arial"/>
          <w:bCs/>
          <w:color w:val="000000" w:themeColor="text1"/>
          <w:sz w:val="24"/>
          <w:szCs w:val="24"/>
          <w:lang w:val="en-US"/>
        </w:rPr>
        <w:t xml:space="preserve">uffer RWT to the mini column and centrifuge for approximately 30 sec at ≥8000 x g. Discard the flow-through. </w:t>
      </w:r>
    </w:p>
    <w:p w:rsidR="00D1648F" w:rsidRDefault="00D1648F" w:rsidP="000E0988">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Pr="000E0988"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2.1.11) </w:t>
      </w:r>
      <w:r w:rsidR="00D1648F" w:rsidRPr="004611ED">
        <w:rPr>
          <w:rFonts w:ascii="Calibri" w:eastAsia="Times New Roman" w:hAnsi="Calibri" w:cs="Arial"/>
          <w:bCs/>
          <w:color w:val="000000" w:themeColor="text1"/>
          <w:sz w:val="24"/>
          <w:szCs w:val="24"/>
          <w:lang w:val="en-US"/>
        </w:rPr>
        <w:t xml:space="preserve">Wash mini column by adding 500 μl </w:t>
      </w:r>
      <w:r w:rsidR="00D1648F">
        <w:rPr>
          <w:rFonts w:ascii="Calibri" w:eastAsia="Times New Roman" w:hAnsi="Calibri" w:cs="Arial"/>
          <w:bCs/>
          <w:color w:val="000000" w:themeColor="text1"/>
          <w:sz w:val="24"/>
          <w:szCs w:val="24"/>
          <w:lang w:val="en-US"/>
        </w:rPr>
        <w:t>b</w:t>
      </w:r>
      <w:r w:rsidR="00D1648F" w:rsidRPr="004611ED">
        <w:rPr>
          <w:rFonts w:ascii="Calibri" w:eastAsia="Times New Roman" w:hAnsi="Calibri" w:cs="Arial"/>
          <w:bCs/>
          <w:color w:val="000000" w:themeColor="text1"/>
          <w:sz w:val="24"/>
          <w:szCs w:val="24"/>
          <w:lang w:val="en-US"/>
        </w:rPr>
        <w:t>uffer RPE and centrifuging for approximately 30 sec at ≥8000 x g. Discard the flow-through. Repeat wash.</w:t>
      </w:r>
      <w:r w:rsidR="00D1648F">
        <w:rPr>
          <w:rFonts w:ascii="Calibri" w:eastAsia="Times New Roman" w:hAnsi="Calibri" w:cs="Arial"/>
          <w:bCs/>
          <w:color w:val="000000" w:themeColor="text1"/>
          <w:sz w:val="24"/>
          <w:szCs w:val="24"/>
          <w:lang w:val="en-US"/>
        </w:rPr>
        <w:t xml:space="preserve"> </w:t>
      </w:r>
      <w:r w:rsidR="00D1648F" w:rsidRPr="000E0988">
        <w:rPr>
          <w:rFonts w:ascii="Calibri" w:eastAsia="Times New Roman" w:hAnsi="Calibri" w:cs="Arial"/>
          <w:color w:val="000000"/>
          <w:sz w:val="24"/>
          <w:szCs w:val="24"/>
          <w:lang w:val="en-US"/>
        </w:rPr>
        <w:t>Centrifuge at ≥12,000 x g for 1 min to dry the membrane further.</w:t>
      </w:r>
    </w:p>
    <w:p w:rsidR="00D1648F" w:rsidRPr="000E0988" w:rsidRDefault="00D1648F" w:rsidP="000E0988">
      <w:pPr>
        <w:pStyle w:val="ListParagraph"/>
        <w:widowControl w:val="0"/>
        <w:autoSpaceDE w:val="0"/>
        <w:autoSpaceDN w:val="0"/>
        <w:adjustRightInd w:val="0"/>
        <w:spacing w:after="0" w:line="240" w:lineRule="auto"/>
        <w:ind w:left="0"/>
        <w:jc w:val="both"/>
      </w:pPr>
    </w:p>
    <w:p w:rsidR="00D1648F" w:rsidRPr="000D1DD6" w:rsidRDefault="0027638C" w:rsidP="0027638C">
      <w:pPr>
        <w:pStyle w:val="ListParagraph"/>
        <w:widowControl w:val="0"/>
        <w:autoSpaceDE w:val="0"/>
        <w:autoSpaceDN w:val="0"/>
        <w:adjustRightInd w:val="0"/>
        <w:spacing w:after="0" w:line="240" w:lineRule="auto"/>
        <w:ind w:left="0"/>
        <w:jc w:val="both"/>
      </w:pPr>
      <w:r>
        <w:rPr>
          <w:rFonts w:ascii="Calibri" w:eastAsia="Times New Roman" w:hAnsi="Calibri" w:cs="Arial"/>
          <w:color w:val="000000"/>
          <w:sz w:val="24"/>
          <w:szCs w:val="24"/>
          <w:lang w:val="en-US"/>
        </w:rPr>
        <w:t xml:space="preserve">2.1.12) </w:t>
      </w:r>
      <w:r w:rsidR="00D1648F" w:rsidRPr="000E0988">
        <w:rPr>
          <w:rFonts w:ascii="Calibri" w:eastAsia="Times New Roman" w:hAnsi="Calibri" w:cs="Arial"/>
          <w:color w:val="000000"/>
          <w:sz w:val="24"/>
          <w:szCs w:val="24"/>
          <w:lang w:val="en-US"/>
        </w:rPr>
        <w:t xml:space="preserve">Elute total RNA in a 1.5 ml Eppendorf tube by adding 40 </w:t>
      </w:r>
      <w:r w:rsidR="00D1648F" w:rsidRPr="000E0988">
        <w:rPr>
          <w:rFonts w:ascii="Calibri" w:eastAsia="Times New Roman" w:hAnsi="Calibri" w:cs="Arial"/>
          <w:bCs/>
          <w:color w:val="000000" w:themeColor="text1"/>
          <w:sz w:val="24"/>
          <w:szCs w:val="24"/>
          <w:lang w:val="en-US"/>
        </w:rPr>
        <w:t>μl of RNase-free water to the mini column and centrifuging  for 1 min at ≥8000 x g</w:t>
      </w:r>
      <w:r w:rsidR="00D1648F" w:rsidRPr="000D1DD6">
        <w:t>.</w:t>
      </w:r>
      <w:r w:rsidR="00D1648F">
        <w:t xml:space="preserve"> </w:t>
      </w:r>
      <w:r w:rsidR="00D1648F" w:rsidRPr="000D1DD6">
        <w:t>Measure total RNA concentration with the aid of an appropriate spectrophotometer.</w:t>
      </w:r>
    </w:p>
    <w:p w:rsidR="00D1648F" w:rsidRDefault="00D1648F" w:rsidP="00AC4A7A">
      <w:pPr>
        <w:widowControl w:val="0"/>
        <w:autoSpaceDE w:val="0"/>
        <w:autoSpaceDN w:val="0"/>
        <w:adjustRightInd w:val="0"/>
        <w:spacing w:after="0" w:line="240" w:lineRule="auto"/>
        <w:jc w:val="both"/>
      </w:pPr>
    </w:p>
    <w:p w:rsidR="00D1648F" w:rsidRPr="000F03A1" w:rsidRDefault="0027638C" w:rsidP="0027638C">
      <w:pPr>
        <w:pStyle w:val="ListParagraph"/>
        <w:widowControl w:val="0"/>
        <w:autoSpaceDE w:val="0"/>
        <w:autoSpaceDN w:val="0"/>
        <w:adjustRightInd w:val="0"/>
        <w:spacing w:after="0" w:line="240" w:lineRule="auto"/>
        <w:ind w:left="0"/>
        <w:jc w:val="both"/>
        <w:rPr>
          <w:rFonts w:ascii="Calibri" w:hAnsi="Calibri"/>
          <w:b/>
          <w:sz w:val="24"/>
          <w:szCs w:val="24"/>
        </w:rPr>
      </w:pPr>
      <w:r>
        <w:rPr>
          <w:rFonts w:ascii="Calibri" w:hAnsi="Calibri"/>
          <w:b/>
          <w:sz w:val="24"/>
          <w:szCs w:val="24"/>
        </w:rPr>
        <w:t>2.2</w:t>
      </w:r>
      <w:r w:rsidR="00D1648F">
        <w:rPr>
          <w:rFonts w:ascii="Calibri" w:hAnsi="Calibri"/>
          <w:b/>
          <w:sz w:val="24"/>
          <w:szCs w:val="24"/>
        </w:rPr>
        <w:t xml:space="preserve">) </w:t>
      </w:r>
      <w:r w:rsidR="00D1648F" w:rsidRPr="000F03A1">
        <w:rPr>
          <w:rFonts w:ascii="Calibri" w:hAnsi="Calibri"/>
          <w:b/>
          <w:sz w:val="24"/>
          <w:szCs w:val="24"/>
        </w:rPr>
        <w:t>miRNA cDNA preparation</w:t>
      </w:r>
    </w:p>
    <w:p w:rsidR="0027638C"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Pr="00747AD2"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2.2.1) </w:t>
      </w:r>
      <w:r w:rsidR="00D1648F" w:rsidRPr="00747AD2">
        <w:rPr>
          <w:rFonts w:ascii="Calibri" w:eastAsia="Times New Roman" w:hAnsi="Calibri" w:cs="Arial"/>
          <w:bCs/>
          <w:color w:val="000000" w:themeColor="text1"/>
          <w:sz w:val="24"/>
          <w:szCs w:val="24"/>
          <w:lang w:val="en-US"/>
        </w:rPr>
        <w:t xml:space="preserve">Prepare the reverse-transcription master mix. Each sample requires 4 </w:t>
      </w:r>
      <w:r w:rsidR="002C1016">
        <w:rPr>
          <w:rFonts w:ascii="Calibri" w:eastAsia="Times New Roman" w:hAnsi="Calibri" w:cs="Arial"/>
          <w:bCs/>
          <w:color w:val="000000" w:themeColor="text1"/>
          <w:sz w:val="24"/>
          <w:szCs w:val="24"/>
          <w:lang w:val="en-US"/>
        </w:rPr>
        <w:t>&amp;#181;</w:t>
      </w:r>
      <w:r w:rsidR="00D1648F" w:rsidRPr="00747AD2">
        <w:rPr>
          <w:rFonts w:ascii="Calibri" w:eastAsia="Times New Roman" w:hAnsi="Calibri" w:cs="Arial"/>
          <w:bCs/>
          <w:color w:val="000000" w:themeColor="text1"/>
          <w:sz w:val="24"/>
          <w:szCs w:val="24"/>
          <w:lang w:val="en-US"/>
        </w:rPr>
        <w:t xml:space="preserve">l of 5x miScript HiSpec </w:t>
      </w:r>
      <w:r w:rsidR="00D1648F">
        <w:rPr>
          <w:rFonts w:ascii="Calibri" w:eastAsia="Times New Roman" w:hAnsi="Calibri" w:cs="Arial"/>
          <w:bCs/>
          <w:color w:val="000000" w:themeColor="text1"/>
          <w:sz w:val="24"/>
          <w:szCs w:val="24"/>
          <w:lang w:val="en-US"/>
        </w:rPr>
        <w:t>b</w:t>
      </w:r>
      <w:r w:rsidR="00D1648F" w:rsidRPr="00747AD2">
        <w:rPr>
          <w:rFonts w:ascii="Calibri" w:eastAsia="Times New Roman" w:hAnsi="Calibri" w:cs="Arial"/>
          <w:bCs/>
          <w:color w:val="000000" w:themeColor="text1"/>
          <w:sz w:val="24"/>
          <w:szCs w:val="24"/>
          <w:lang w:val="en-US"/>
        </w:rPr>
        <w:t xml:space="preserve">uffer, 2 </w:t>
      </w:r>
      <w:r w:rsidR="002C1016">
        <w:rPr>
          <w:rFonts w:ascii="Calibri" w:eastAsia="Times New Roman" w:hAnsi="Calibri" w:cs="Arial"/>
          <w:bCs/>
          <w:color w:val="000000" w:themeColor="text1"/>
          <w:sz w:val="24"/>
          <w:szCs w:val="24"/>
          <w:lang w:val="en-US"/>
        </w:rPr>
        <w:t>&amp;#181;</w:t>
      </w:r>
      <w:r w:rsidR="00D1648F" w:rsidRPr="00747AD2">
        <w:rPr>
          <w:rFonts w:ascii="Calibri" w:eastAsia="Times New Roman" w:hAnsi="Calibri" w:cs="Arial"/>
          <w:bCs/>
          <w:color w:val="000000" w:themeColor="text1"/>
          <w:sz w:val="24"/>
          <w:szCs w:val="24"/>
          <w:lang w:val="en-US"/>
        </w:rPr>
        <w:t xml:space="preserve">l of 10x </w:t>
      </w:r>
      <w:r w:rsidR="00D1648F">
        <w:rPr>
          <w:rFonts w:ascii="Calibri" w:eastAsia="Times New Roman" w:hAnsi="Calibri" w:cs="Arial"/>
          <w:bCs/>
          <w:color w:val="000000" w:themeColor="text1"/>
          <w:sz w:val="24"/>
          <w:szCs w:val="24"/>
          <w:lang w:val="en-US"/>
        </w:rPr>
        <w:t>n</w:t>
      </w:r>
      <w:r w:rsidR="00D1648F" w:rsidRPr="00747AD2">
        <w:rPr>
          <w:rFonts w:ascii="Calibri" w:eastAsia="Times New Roman" w:hAnsi="Calibri" w:cs="Arial"/>
          <w:bCs/>
          <w:color w:val="000000" w:themeColor="text1"/>
          <w:sz w:val="24"/>
          <w:szCs w:val="24"/>
          <w:lang w:val="en-US"/>
        </w:rPr>
        <w:t xml:space="preserve">ucleics </w:t>
      </w:r>
      <w:r w:rsidR="00D1648F">
        <w:rPr>
          <w:rFonts w:ascii="Calibri" w:eastAsia="Times New Roman" w:hAnsi="Calibri" w:cs="Arial"/>
          <w:bCs/>
          <w:color w:val="000000" w:themeColor="text1"/>
          <w:sz w:val="24"/>
          <w:szCs w:val="24"/>
          <w:lang w:val="en-US"/>
        </w:rPr>
        <w:t>m</w:t>
      </w:r>
      <w:r w:rsidR="00D1648F" w:rsidRPr="00747AD2">
        <w:rPr>
          <w:rFonts w:ascii="Calibri" w:eastAsia="Times New Roman" w:hAnsi="Calibri" w:cs="Arial"/>
          <w:bCs/>
          <w:color w:val="000000" w:themeColor="text1"/>
          <w:sz w:val="24"/>
          <w:szCs w:val="24"/>
          <w:lang w:val="en-US"/>
        </w:rPr>
        <w:t xml:space="preserve">ix, 2 </w:t>
      </w:r>
      <w:r w:rsidR="002C1016">
        <w:rPr>
          <w:rFonts w:ascii="Calibri" w:eastAsia="Times New Roman" w:hAnsi="Calibri" w:cs="Arial"/>
          <w:bCs/>
          <w:color w:val="000000" w:themeColor="text1"/>
          <w:sz w:val="24"/>
          <w:szCs w:val="24"/>
          <w:lang w:val="en-US"/>
        </w:rPr>
        <w:t>&amp;#181;</w:t>
      </w:r>
      <w:r w:rsidR="00D1648F" w:rsidRPr="00747AD2">
        <w:rPr>
          <w:rFonts w:ascii="Calibri" w:eastAsia="Times New Roman" w:hAnsi="Calibri" w:cs="Arial"/>
          <w:bCs/>
          <w:color w:val="000000" w:themeColor="text1"/>
          <w:sz w:val="24"/>
          <w:szCs w:val="24"/>
          <w:lang w:val="en-US"/>
        </w:rPr>
        <w:t xml:space="preserve">l miScript </w:t>
      </w:r>
      <w:r w:rsidR="00D1648F">
        <w:rPr>
          <w:rFonts w:ascii="Calibri" w:eastAsia="Times New Roman" w:hAnsi="Calibri" w:cs="Arial"/>
          <w:bCs/>
          <w:color w:val="000000" w:themeColor="text1"/>
          <w:sz w:val="24"/>
          <w:szCs w:val="24"/>
          <w:lang w:val="en-US"/>
        </w:rPr>
        <w:t>r</w:t>
      </w:r>
      <w:r w:rsidR="00D1648F" w:rsidRPr="00747AD2">
        <w:rPr>
          <w:rFonts w:ascii="Calibri" w:eastAsia="Times New Roman" w:hAnsi="Calibri" w:cs="Arial"/>
          <w:bCs/>
          <w:color w:val="000000" w:themeColor="text1"/>
          <w:sz w:val="24"/>
          <w:szCs w:val="24"/>
          <w:lang w:val="en-US"/>
        </w:rPr>
        <w:t xml:space="preserve">everse </w:t>
      </w:r>
      <w:r w:rsidR="00D1648F">
        <w:rPr>
          <w:rFonts w:ascii="Calibri" w:eastAsia="Times New Roman" w:hAnsi="Calibri" w:cs="Arial"/>
          <w:bCs/>
          <w:color w:val="000000" w:themeColor="text1"/>
          <w:sz w:val="24"/>
          <w:szCs w:val="24"/>
          <w:lang w:val="en-US"/>
        </w:rPr>
        <w:t>t</w:t>
      </w:r>
      <w:r w:rsidR="00D1648F" w:rsidRPr="00747AD2">
        <w:rPr>
          <w:rFonts w:ascii="Calibri" w:eastAsia="Times New Roman" w:hAnsi="Calibri" w:cs="Arial"/>
          <w:bCs/>
          <w:color w:val="000000" w:themeColor="text1"/>
          <w:sz w:val="24"/>
          <w:szCs w:val="24"/>
          <w:lang w:val="en-US"/>
        </w:rPr>
        <w:t xml:space="preserve">ranscriptase </w:t>
      </w:r>
      <w:r w:rsidR="00D1648F">
        <w:rPr>
          <w:rFonts w:ascii="Calibri" w:eastAsia="Times New Roman" w:hAnsi="Calibri" w:cs="Arial"/>
          <w:bCs/>
          <w:color w:val="000000" w:themeColor="text1"/>
          <w:sz w:val="24"/>
          <w:szCs w:val="24"/>
          <w:lang w:val="en-US"/>
        </w:rPr>
        <w:t>m</w:t>
      </w:r>
      <w:r w:rsidR="00D1648F" w:rsidRPr="00747AD2">
        <w:rPr>
          <w:rFonts w:ascii="Calibri" w:eastAsia="Times New Roman" w:hAnsi="Calibri" w:cs="Arial"/>
          <w:bCs/>
          <w:color w:val="000000" w:themeColor="text1"/>
          <w:sz w:val="24"/>
          <w:szCs w:val="24"/>
          <w:lang w:val="en-US"/>
        </w:rPr>
        <w:t xml:space="preserve">ix. </w:t>
      </w:r>
    </w:p>
    <w:p w:rsidR="00D1648F"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2.2.2) </w:t>
      </w:r>
      <w:r w:rsidR="00D1648F" w:rsidRPr="00747AD2">
        <w:rPr>
          <w:rFonts w:ascii="Calibri" w:eastAsia="Times New Roman" w:hAnsi="Calibri" w:cs="Arial"/>
          <w:bCs/>
          <w:color w:val="000000" w:themeColor="text1"/>
          <w:sz w:val="24"/>
          <w:szCs w:val="24"/>
          <w:lang w:val="en-US"/>
        </w:rPr>
        <w:t xml:space="preserve">Aliquot 8 </w:t>
      </w:r>
      <w:r w:rsidR="002C1016">
        <w:rPr>
          <w:rFonts w:ascii="Calibri" w:eastAsia="Times New Roman" w:hAnsi="Calibri" w:cs="Arial"/>
          <w:bCs/>
          <w:color w:val="000000" w:themeColor="text1"/>
          <w:sz w:val="24"/>
          <w:szCs w:val="24"/>
          <w:lang w:val="en-US"/>
        </w:rPr>
        <w:t>&amp;#181;</w:t>
      </w:r>
      <w:r w:rsidR="00D1648F" w:rsidRPr="00747AD2">
        <w:rPr>
          <w:rFonts w:ascii="Calibri" w:eastAsia="Times New Roman" w:hAnsi="Calibri" w:cs="Arial"/>
          <w:bCs/>
          <w:color w:val="000000" w:themeColor="text1"/>
          <w:sz w:val="24"/>
          <w:szCs w:val="24"/>
          <w:lang w:val="en-US"/>
        </w:rPr>
        <w:t xml:space="preserve">l of master mix in a PCR tube, add required volume of total RNA (250 ng), and add RNase-free water to a final volume of 20 </w:t>
      </w:r>
      <w:r w:rsidR="002C1016">
        <w:rPr>
          <w:rFonts w:ascii="Calibri" w:eastAsia="Times New Roman" w:hAnsi="Calibri" w:cs="Arial"/>
          <w:bCs/>
          <w:color w:val="000000" w:themeColor="text1"/>
          <w:sz w:val="24"/>
          <w:szCs w:val="24"/>
          <w:lang w:val="en-US"/>
        </w:rPr>
        <w:t>&amp;#181;</w:t>
      </w:r>
      <w:r w:rsidR="00D1648F" w:rsidRPr="00747AD2">
        <w:rPr>
          <w:rFonts w:ascii="Calibri" w:eastAsia="Times New Roman" w:hAnsi="Calibri" w:cs="Arial"/>
          <w:bCs/>
          <w:color w:val="000000" w:themeColor="text1"/>
          <w:sz w:val="24"/>
          <w:szCs w:val="24"/>
          <w:lang w:val="en-US"/>
        </w:rPr>
        <w:t>l.</w:t>
      </w:r>
    </w:p>
    <w:p w:rsidR="00D1648F" w:rsidRPr="00747AD2"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2.2.3) </w:t>
      </w:r>
      <w:r w:rsidR="00D1648F" w:rsidRPr="00747AD2">
        <w:rPr>
          <w:rFonts w:ascii="Calibri" w:eastAsia="Times New Roman" w:hAnsi="Calibri" w:cs="Arial"/>
          <w:bCs/>
          <w:color w:val="000000" w:themeColor="text1"/>
          <w:sz w:val="24"/>
          <w:szCs w:val="24"/>
          <w:lang w:val="en-US"/>
        </w:rPr>
        <w:t>Incubate for 60 min at 37 °C.</w:t>
      </w:r>
      <w:r w:rsidR="00D1648F">
        <w:rPr>
          <w:rFonts w:ascii="Calibri" w:eastAsia="Times New Roman" w:hAnsi="Calibri" w:cs="Arial"/>
          <w:bCs/>
          <w:color w:val="000000" w:themeColor="text1"/>
          <w:sz w:val="24"/>
          <w:szCs w:val="24"/>
          <w:lang w:val="en-US"/>
        </w:rPr>
        <w:t xml:space="preserve"> </w:t>
      </w:r>
      <w:r w:rsidR="00D1648F" w:rsidRPr="00747AD2">
        <w:rPr>
          <w:rFonts w:ascii="Calibri" w:eastAsia="Times New Roman" w:hAnsi="Calibri" w:cs="Arial"/>
          <w:bCs/>
          <w:color w:val="000000" w:themeColor="text1"/>
          <w:sz w:val="24"/>
          <w:szCs w:val="24"/>
          <w:lang w:val="en-US"/>
        </w:rPr>
        <w:t>Incubate for 5 min at 95°C to inactivate miScript Reverse Transcriptase Mix.</w:t>
      </w:r>
    </w:p>
    <w:p w:rsidR="00D1648F" w:rsidRPr="00747AD2"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Pr="00747AD2"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2.2.4) </w:t>
      </w:r>
      <w:r w:rsidR="00D1648F" w:rsidRPr="00747AD2">
        <w:rPr>
          <w:rFonts w:ascii="Calibri" w:eastAsia="Times New Roman" w:hAnsi="Calibri" w:cs="Arial"/>
          <w:bCs/>
          <w:color w:val="000000" w:themeColor="text1"/>
          <w:sz w:val="24"/>
          <w:szCs w:val="24"/>
          <w:lang w:val="en-US"/>
        </w:rPr>
        <w:t>Add 200 μl RNase-free water to each 20 μl reverse-transcription reaction, store at –20 °C, or proceed with real-time PCR immediately.</w:t>
      </w:r>
    </w:p>
    <w:p w:rsidR="00D1648F"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Pr="00902456"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
          <w:bCs/>
          <w:color w:val="000000" w:themeColor="text1"/>
          <w:sz w:val="24"/>
          <w:szCs w:val="24"/>
          <w:highlight w:val="yellow"/>
          <w:lang w:val="en-US"/>
        </w:rPr>
      </w:pPr>
      <w:r>
        <w:rPr>
          <w:rFonts w:ascii="Calibri" w:eastAsia="Times New Roman" w:hAnsi="Calibri" w:cs="Arial"/>
          <w:b/>
          <w:bCs/>
          <w:color w:val="000000" w:themeColor="text1"/>
          <w:sz w:val="24"/>
          <w:szCs w:val="24"/>
          <w:highlight w:val="yellow"/>
          <w:lang w:val="en-US"/>
        </w:rPr>
        <w:t>2.3</w:t>
      </w:r>
      <w:r w:rsidR="00D1648F" w:rsidRPr="00AC4A7A">
        <w:rPr>
          <w:rFonts w:ascii="Calibri" w:eastAsia="Times New Roman" w:hAnsi="Calibri" w:cs="Arial"/>
          <w:b/>
          <w:bCs/>
          <w:color w:val="000000" w:themeColor="text1"/>
          <w:sz w:val="24"/>
          <w:szCs w:val="24"/>
          <w:highlight w:val="yellow"/>
          <w:lang w:val="en-US"/>
        </w:rPr>
        <w:t xml:space="preserve">) Stem </w:t>
      </w:r>
      <w:r w:rsidR="00D1648F" w:rsidRPr="00902456">
        <w:rPr>
          <w:rFonts w:ascii="Calibri" w:eastAsia="Times New Roman" w:hAnsi="Calibri" w:cs="Arial"/>
          <w:b/>
          <w:bCs/>
          <w:color w:val="000000" w:themeColor="text1"/>
          <w:sz w:val="24"/>
          <w:szCs w:val="24"/>
          <w:highlight w:val="yellow"/>
          <w:lang w:val="en-US"/>
        </w:rPr>
        <w:t xml:space="preserve">cells and developmental pathways focused miRNA PCR array </w:t>
      </w:r>
    </w:p>
    <w:p w:rsidR="0027638C"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2.3.1) </w:t>
      </w:r>
      <w:r w:rsidR="00D1648F" w:rsidRPr="00747AD2">
        <w:rPr>
          <w:rFonts w:ascii="Calibri" w:eastAsia="Times New Roman" w:hAnsi="Calibri" w:cs="Arial"/>
          <w:bCs/>
          <w:color w:val="000000" w:themeColor="text1"/>
          <w:sz w:val="24"/>
          <w:szCs w:val="24"/>
          <w:highlight w:val="yellow"/>
          <w:lang w:val="en-US"/>
        </w:rPr>
        <w:t xml:space="preserve">Prepare the PCR components mix in a 15 ml tube by adding 1375 </w:t>
      </w:r>
      <w:r w:rsidR="002C1016">
        <w:rPr>
          <w:rFonts w:ascii="Calibri" w:eastAsia="Times New Roman" w:hAnsi="Calibri" w:cs="Arial"/>
          <w:bCs/>
          <w:color w:val="000000" w:themeColor="text1"/>
          <w:sz w:val="24"/>
          <w:szCs w:val="24"/>
          <w:highlight w:val="yellow"/>
          <w:lang w:val="en-US"/>
        </w:rPr>
        <w:t>&amp;#181;</w:t>
      </w:r>
      <w:r w:rsidR="00D1648F" w:rsidRPr="00747AD2">
        <w:rPr>
          <w:rFonts w:ascii="Calibri" w:eastAsia="Times New Roman" w:hAnsi="Calibri" w:cs="Arial"/>
          <w:bCs/>
          <w:color w:val="000000" w:themeColor="text1"/>
          <w:sz w:val="24"/>
          <w:szCs w:val="24"/>
          <w:highlight w:val="yellow"/>
          <w:lang w:val="en-US"/>
        </w:rPr>
        <w:t xml:space="preserve">l  of 2x </w:t>
      </w:r>
      <w:r w:rsidR="00D1648F">
        <w:rPr>
          <w:rFonts w:ascii="Calibri" w:eastAsia="Times New Roman" w:hAnsi="Calibri" w:cs="Arial"/>
          <w:bCs/>
          <w:color w:val="000000" w:themeColor="text1"/>
          <w:sz w:val="24"/>
          <w:szCs w:val="24"/>
          <w:highlight w:val="yellow"/>
          <w:lang w:val="en-US"/>
        </w:rPr>
        <w:t>SYBR green master mix</w:t>
      </w:r>
      <w:r w:rsidR="00D1648F" w:rsidRPr="00747AD2">
        <w:rPr>
          <w:rFonts w:ascii="Calibri" w:eastAsia="Times New Roman" w:hAnsi="Calibri" w:cs="Arial"/>
          <w:bCs/>
          <w:color w:val="000000" w:themeColor="text1"/>
          <w:sz w:val="24"/>
          <w:szCs w:val="24"/>
          <w:highlight w:val="yellow"/>
          <w:lang w:val="en-US"/>
        </w:rPr>
        <w:t xml:space="preserve">, 100 </w:t>
      </w:r>
      <w:r w:rsidR="002C1016">
        <w:rPr>
          <w:rFonts w:ascii="Calibri" w:eastAsia="Times New Roman" w:hAnsi="Calibri" w:cs="Arial"/>
          <w:bCs/>
          <w:color w:val="000000" w:themeColor="text1"/>
          <w:sz w:val="24"/>
          <w:szCs w:val="24"/>
          <w:highlight w:val="yellow"/>
          <w:lang w:val="en-US"/>
        </w:rPr>
        <w:t>&amp;#181;</w:t>
      </w:r>
      <w:r w:rsidR="00D1648F" w:rsidRPr="00747AD2">
        <w:rPr>
          <w:rFonts w:ascii="Calibri" w:eastAsia="Times New Roman" w:hAnsi="Calibri" w:cs="Arial"/>
          <w:bCs/>
          <w:color w:val="000000" w:themeColor="text1"/>
          <w:sz w:val="24"/>
          <w:szCs w:val="24"/>
          <w:highlight w:val="yellow"/>
          <w:lang w:val="en-US"/>
        </w:rPr>
        <w:t xml:space="preserve">l miRNA cDNA preparation, 275 </w:t>
      </w:r>
      <w:r w:rsidR="002C1016">
        <w:rPr>
          <w:rFonts w:ascii="Calibri" w:eastAsia="Times New Roman" w:hAnsi="Calibri" w:cs="Arial"/>
          <w:bCs/>
          <w:color w:val="000000" w:themeColor="text1"/>
          <w:sz w:val="24"/>
          <w:szCs w:val="24"/>
          <w:highlight w:val="yellow"/>
          <w:lang w:val="en-US"/>
        </w:rPr>
        <w:t>&amp;#181;</w:t>
      </w:r>
      <w:r w:rsidR="00D1648F" w:rsidRPr="00747AD2">
        <w:rPr>
          <w:rFonts w:ascii="Calibri" w:eastAsia="Times New Roman" w:hAnsi="Calibri" w:cs="Arial"/>
          <w:bCs/>
          <w:color w:val="000000" w:themeColor="text1"/>
          <w:sz w:val="24"/>
          <w:szCs w:val="24"/>
          <w:highlight w:val="yellow"/>
          <w:lang w:val="en-US"/>
        </w:rPr>
        <w:t xml:space="preserve">l of 10x miScript Universal Primer, and 1000 </w:t>
      </w:r>
      <w:r w:rsidR="002C1016">
        <w:rPr>
          <w:rFonts w:ascii="Calibri" w:eastAsia="Times New Roman" w:hAnsi="Calibri" w:cs="Arial"/>
          <w:bCs/>
          <w:color w:val="000000" w:themeColor="text1"/>
          <w:sz w:val="24"/>
          <w:szCs w:val="24"/>
          <w:highlight w:val="yellow"/>
          <w:lang w:val="en-US"/>
        </w:rPr>
        <w:t>&amp;#181;</w:t>
      </w:r>
      <w:r w:rsidR="00D1648F" w:rsidRPr="00747AD2">
        <w:rPr>
          <w:rFonts w:ascii="Calibri" w:eastAsia="Times New Roman" w:hAnsi="Calibri" w:cs="Arial"/>
          <w:bCs/>
          <w:color w:val="000000" w:themeColor="text1"/>
          <w:sz w:val="24"/>
          <w:szCs w:val="24"/>
          <w:highlight w:val="yellow"/>
          <w:lang w:val="en-US"/>
        </w:rPr>
        <w:t xml:space="preserve">l of RNase-free water (total volume  2750 </w:t>
      </w:r>
      <w:r w:rsidR="002C1016">
        <w:rPr>
          <w:rFonts w:ascii="Calibri" w:eastAsia="Times New Roman" w:hAnsi="Calibri" w:cs="Arial"/>
          <w:bCs/>
          <w:color w:val="000000" w:themeColor="text1"/>
          <w:sz w:val="24"/>
          <w:szCs w:val="24"/>
          <w:highlight w:val="yellow"/>
          <w:lang w:val="en-US"/>
        </w:rPr>
        <w:t>&amp;#181;</w:t>
      </w:r>
      <w:r w:rsidR="00D1648F" w:rsidRPr="00747AD2">
        <w:rPr>
          <w:rFonts w:ascii="Calibri" w:eastAsia="Times New Roman" w:hAnsi="Calibri" w:cs="Arial"/>
          <w:bCs/>
          <w:color w:val="000000" w:themeColor="text1"/>
          <w:sz w:val="24"/>
          <w:szCs w:val="24"/>
          <w:highlight w:val="yellow"/>
          <w:lang w:val="en-US"/>
        </w:rPr>
        <w:t>l).</w:t>
      </w:r>
    </w:p>
    <w:p w:rsidR="00D1648F" w:rsidRPr="00747AD2"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2.3.2) </w:t>
      </w:r>
      <w:r w:rsidR="00D1648F" w:rsidRPr="00AC4A7A">
        <w:rPr>
          <w:rFonts w:ascii="Calibri" w:eastAsia="Times New Roman" w:hAnsi="Calibri" w:cs="Arial"/>
          <w:bCs/>
          <w:color w:val="000000" w:themeColor="text1"/>
          <w:sz w:val="24"/>
          <w:szCs w:val="24"/>
          <w:highlight w:val="yellow"/>
          <w:lang w:val="en-US"/>
        </w:rPr>
        <w:t>Transfer PCR components mix on a PCR loading reservoir.</w:t>
      </w:r>
      <w:r w:rsidR="00D1648F">
        <w:rPr>
          <w:rFonts w:ascii="Calibri" w:eastAsia="Times New Roman" w:hAnsi="Calibri" w:cs="Arial"/>
          <w:bCs/>
          <w:color w:val="000000" w:themeColor="text1"/>
          <w:sz w:val="24"/>
          <w:szCs w:val="24"/>
          <w:highlight w:val="yellow"/>
          <w:lang w:val="en-US"/>
        </w:rPr>
        <w:t xml:space="preserve"> </w:t>
      </w:r>
      <w:r w:rsidR="00D1648F" w:rsidRPr="00AC4A7A">
        <w:rPr>
          <w:rFonts w:ascii="Calibri" w:eastAsia="Times New Roman" w:hAnsi="Calibri" w:cs="Arial"/>
          <w:bCs/>
          <w:color w:val="000000" w:themeColor="text1"/>
          <w:sz w:val="24"/>
          <w:szCs w:val="24"/>
          <w:highlight w:val="yellow"/>
          <w:lang w:val="en-US"/>
        </w:rPr>
        <w:t>Carefully remove the 96 well plate PCR array from its sealed bag.</w:t>
      </w:r>
    </w:p>
    <w:p w:rsidR="00D1648F" w:rsidRPr="00AC4A7A"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2.3.3) </w:t>
      </w:r>
      <w:r w:rsidR="00D1648F" w:rsidRPr="00747AD2">
        <w:rPr>
          <w:rFonts w:ascii="Calibri" w:eastAsia="Times New Roman" w:hAnsi="Calibri" w:cs="Arial"/>
          <w:bCs/>
          <w:color w:val="000000" w:themeColor="text1"/>
          <w:sz w:val="24"/>
          <w:szCs w:val="24"/>
          <w:highlight w:val="yellow"/>
          <w:lang w:val="en-US"/>
        </w:rPr>
        <w:t>Add 25 μl PCR components mix to each well of the PCR Array using an 8-channel pipettor, or a 12-channel pipettor using only 8 tips. Change pipet tips following each pipetting step to avoid cross-contamination between the wells.</w:t>
      </w:r>
    </w:p>
    <w:p w:rsidR="00D1648F" w:rsidRPr="00747AD2"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2.3.4) </w:t>
      </w:r>
      <w:r w:rsidR="00D1648F" w:rsidRPr="00747AD2">
        <w:rPr>
          <w:rFonts w:ascii="Calibri" w:eastAsia="Times New Roman" w:hAnsi="Calibri" w:cs="Arial"/>
          <w:bCs/>
          <w:color w:val="000000" w:themeColor="text1"/>
          <w:sz w:val="24"/>
          <w:szCs w:val="24"/>
          <w:highlight w:val="yellow"/>
          <w:lang w:val="en-US"/>
        </w:rPr>
        <w:t xml:space="preserve">Seal plate with optical adhesive film, and centrifuge for 1 min at 1000 g at room temperature (15–25°C) to remove bubbles. Visually inspect the plate from underneath to ensure </w:t>
      </w:r>
      <w:r w:rsidR="00D1648F" w:rsidRPr="00747AD2">
        <w:rPr>
          <w:rFonts w:ascii="Calibri" w:eastAsia="Times New Roman" w:hAnsi="Calibri" w:cs="Arial"/>
          <w:bCs/>
          <w:color w:val="000000" w:themeColor="text1"/>
          <w:sz w:val="24"/>
          <w:szCs w:val="24"/>
          <w:highlight w:val="yellow"/>
          <w:lang w:val="en-US"/>
        </w:rPr>
        <w:lastRenderedPageBreak/>
        <w:t>no bubbles are present in the wells.</w:t>
      </w:r>
    </w:p>
    <w:p w:rsidR="00D1648F" w:rsidRPr="00747AD2"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2.3.5) </w:t>
      </w:r>
      <w:r w:rsidR="00D1648F" w:rsidRPr="00747AD2">
        <w:rPr>
          <w:rFonts w:ascii="Calibri" w:eastAsia="Times New Roman" w:hAnsi="Calibri" w:cs="Arial"/>
          <w:bCs/>
          <w:color w:val="000000" w:themeColor="text1"/>
          <w:sz w:val="24"/>
          <w:szCs w:val="24"/>
          <w:highlight w:val="yellow"/>
          <w:lang w:val="en-US"/>
        </w:rPr>
        <w:t xml:space="preserve">Place the 96 well plate PCR </w:t>
      </w:r>
      <w:r w:rsidR="00D1648F" w:rsidRPr="00902456">
        <w:rPr>
          <w:rFonts w:ascii="Calibri" w:eastAsia="Times New Roman" w:hAnsi="Calibri" w:cs="Arial"/>
          <w:bCs/>
          <w:color w:val="000000" w:themeColor="text1"/>
          <w:sz w:val="24"/>
          <w:szCs w:val="24"/>
          <w:highlight w:val="yellow"/>
          <w:lang w:val="en-US"/>
        </w:rPr>
        <w:t>a</w:t>
      </w:r>
      <w:r w:rsidR="00D1648F" w:rsidRPr="00747AD2">
        <w:rPr>
          <w:rFonts w:ascii="Calibri" w:eastAsia="Times New Roman" w:hAnsi="Calibri" w:cs="Arial"/>
          <w:bCs/>
          <w:color w:val="000000" w:themeColor="text1"/>
          <w:sz w:val="24"/>
          <w:szCs w:val="24"/>
          <w:highlight w:val="yellow"/>
          <w:lang w:val="en-US"/>
        </w:rPr>
        <w:t>rray in the real-time cycler</w:t>
      </w:r>
      <w:r w:rsidR="00D1648F">
        <w:rPr>
          <w:rFonts w:ascii="Calibri" w:eastAsia="Times New Roman" w:hAnsi="Calibri" w:cs="Arial"/>
          <w:bCs/>
          <w:color w:val="000000" w:themeColor="text1"/>
          <w:sz w:val="24"/>
          <w:szCs w:val="24"/>
          <w:highlight w:val="yellow"/>
          <w:lang w:val="en-US"/>
        </w:rPr>
        <w:t>.</w:t>
      </w:r>
    </w:p>
    <w:p w:rsidR="00D1648F" w:rsidRPr="00747AD2"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2.3.6) </w:t>
      </w:r>
      <w:r w:rsidR="00D1648F" w:rsidRPr="00747AD2">
        <w:rPr>
          <w:rFonts w:ascii="Calibri" w:eastAsia="Times New Roman" w:hAnsi="Calibri" w:cs="Arial"/>
          <w:bCs/>
          <w:color w:val="000000" w:themeColor="text1"/>
          <w:sz w:val="24"/>
          <w:szCs w:val="24"/>
          <w:highlight w:val="yellow"/>
          <w:lang w:val="en-US"/>
        </w:rPr>
        <w:t>Program the real-time cycler accordingly: 1 cycle at 95</w:t>
      </w:r>
      <w:r w:rsidR="00D1648F">
        <w:rPr>
          <w:rFonts w:ascii="Calibri" w:eastAsia="Times New Roman" w:hAnsi="Calibri" w:cs="Arial"/>
          <w:bCs/>
          <w:color w:val="000000" w:themeColor="text1"/>
          <w:sz w:val="24"/>
          <w:szCs w:val="24"/>
          <w:highlight w:val="yellow"/>
          <w:lang w:val="en-US"/>
        </w:rPr>
        <w:t xml:space="preserve"> </w:t>
      </w:r>
      <w:r w:rsidR="00D1648F" w:rsidRPr="00747AD2">
        <w:rPr>
          <w:rFonts w:ascii="Calibri" w:eastAsia="Times New Roman" w:hAnsi="Calibri" w:cs="Arial"/>
          <w:bCs/>
          <w:color w:val="000000" w:themeColor="text1"/>
          <w:sz w:val="24"/>
          <w:szCs w:val="24"/>
          <w:highlight w:val="yellow"/>
          <w:lang w:val="en-US"/>
        </w:rPr>
        <w:t>°C for 10 min, and 45 cycles for 15 s at 95</w:t>
      </w:r>
      <w:r w:rsidR="00D1648F">
        <w:rPr>
          <w:rFonts w:ascii="Calibri" w:eastAsia="Times New Roman" w:hAnsi="Calibri" w:cs="Arial"/>
          <w:bCs/>
          <w:color w:val="000000" w:themeColor="text1"/>
          <w:sz w:val="24"/>
          <w:szCs w:val="24"/>
          <w:highlight w:val="yellow"/>
          <w:lang w:val="en-US"/>
        </w:rPr>
        <w:t xml:space="preserve"> </w:t>
      </w:r>
      <w:r w:rsidR="00D1648F" w:rsidRPr="00747AD2">
        <w:rPr>
          <w:rFonts w:ascii="Calibri" w:eastAsia="Times New Roman" w:hAnsi="Calibri" w:cs="Arial"/>
          <w:bCs/>
          <w:color w:val="000000" w:themeColor="text1"/>
          <w:sz w:val="24"/>
          <w:szCs w:val="24"/>
          <w:highlight w:val="yellow"/>
          <w:lang w:val="en-US"/>
        </w:rPr>
        <w:t>°C, and 1 min at 60</w:t>
      </w:r>
      <w:r w:rsidR="00D1648F">
        <w:rPr>
          <w:rFonts w:ascii="Calibri" w:eastAsia="Times New Roman" w:hAnsi="Calibri" w:cs="Arial"/>
          <w:bCs/>
          <w:color w:val="000000" w:themeColor="text1"/>
          <w:sz w:val="24"/>
          <w:szCs w:val="24"/>
          <w:highlight w:val="yellow"/>
          <w:lang w:val="en-US"/>
        </w:rPr>
        <w:t xml:space="preserve"> </w:t>
      </w:r>
      <w:r w:rsidR="00D1648F" w:rsidRPr="00747AD2">
        <w:rPr>
          <w:rFonts w:ascii="Calibri" w:eastAsia="Times New Roman" w:hAnsi="Calibri" w:cs="Arial"/>
          <w:bCs/>
          <w:color w:val="000000" w:themeColor="text1"/>
          <w:sz w:val="24"/>
          <w:szCs w:val="24"/>
          <w:highlight w:val="yellow"/>
          <w:lang w:val="en-US"/>
        </w:rPr>
        <w:t xml:space="preserve">°C set a single (fluorescence data collection). </w:t>
      </w:r>
    </w:p>
    <w:p w:rsidR="00D1648F" w:rsidRPr="00747AD2"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747AD2"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2.3.7) </w:t>
      </w:r>
      <w:r w:rsidR="00D1648F" w:rsidRPr="00747AD2">
        <w:rPr>
          <w:rFonts w:ascii="Calibri" w:eastAsia="Times New Roman" w:hAnsi="Calibri" w:cs="Arial"/>
          <w:bCs/>
          <w:color w:val="000000" w:themeColor="text1"/>
          <w:sz w:val="24"/>
          <w:szCs w:val="24"/>
          <w:highlight w:val="yellow"/>
          <w:lang w:val="en-US"/>
        </w:rPr>
        <w:t xml:space="preserve">Export the Ct values for all wells to a blank Excel spreadsheet for use with PCR Array Data Analysis Template Excel and web-based software. </w:t>
      </w:r>
      <w:r w:rsidR="00D1648F">
        <w:rPr>
          <w:rFonts w:ascii="Calibri" w:eastAsia="Times New Roman" w:hAnsi="Calibri" w:cs="Arial"/>
          <w:bCs/>
          <w:color w:val="000000" w:themeColor="text1"/>
          <w:sz w:val="24"/>
          <w:szCs w:val="24"/>
          <w:highlight w:val="yellow"/>
          <w:lang w:val="en-US"/>
        </w:rPr>
        <w:t xml:space="preserve">NOTE: </w:t>
      </w:r>
      <w:r w:rsidR="00D1648F" w:rsidRPr="00747AD2">
        <w:rPr>
          <w:rFonts w:ascii="Calibri" w:eastAsia="Times New Roman" w:hAnsi="Calibri" w:cs="Arial"/>
          <w:bCs/>
          <w:color w:val="000000" w:themeColor="text1"/>
          <w:sz w:val="24"/>
          <w:szCs w:val="24"/>
          <w:highlight w:val="yellow"/>
          <w:lang w:val="en-US"/>
        </w:rPr>
        <w:t xml:space="preserve">Software is available at </w:t>
      </w:r>
      <w:hyperlink r:id="rId5" w:history="1">
        <w:r w:rsidR="00D1648F" w:rsidRPr="00902456">
          <w:rPr>
            <w:rStyle w:val="Hyperlink"/>
            <w:rFonts w:ascii="Calibri" w:eastAsia="Times New Roman" w:hAnsi="Calibri" w:cs="Arial"/>
            <w:bCs/>
            <w:sz w:val="24"/>
            <w:szCs w:val="24"/>
            <w:highlight w:val="yellow"/>
            <w:lang w:val="en-US"/>
          </w:rPr>
          <w:t>www.SABiosciences.com/pcrarraydataanalysis.php</w:t>
        </w:r>
      </w:hyperlink>
      <w:r w:rsidR="00D1648F" w:rsidRPr="00747AD2">
        <w:rPr>
          <w:rFonts w:ascii="Calibri" w:eastAsia="Times New Roman" w:hAnsi="Calibri" w:cs="Arial"/>
          <w:bCs/>
          <w:color w:val="000000" w:themeColor="text1"/>
          <w:sz w:val="24"/>
          <w:szCs w:val="24"/>
          <w:highlight w:val="yellow"/>
          <w:lang w:val="en-US"/>
        </w:rPr>
        <w:t>.</w:t>
      </w:r>
    </w:p>
    <w:p w:rsidR="00D1648F" w:rsidRPr="00902456" w:rsidRDefault="00D1648F" w:rsidP="00AC4A7A">
      <w:pPr>
        <w:widowControl w:val="0"/>
        <w:autoSpaceDE w:val="0"/>
        <w:autoSpaceDN w:val="0"/>
        <w:adjustRightInd w:val="0"/>
        <w:spacing w:after="0" w:line="240" w:lineRule="auto"/>
        <w:contextualSpacing/>
        <w:jc w:val="both"/>
        <w:rPr>
          <w:rFonts w:ascii="Calibri" w:eastAsia="Times New Roman" w:hAnsi="Calibri" w:cs="Arial"/>
          <w:bCs/>
          <w:color w:val="000000" w:themeColor="text1"/>
          <w:sz w:val="24"/>
          <w:szCs w:val="24"/>
          <w:highlight w:val="yellow"/>
          <w:lang w:val="en-US"/>
        </w:rPr>
      </w:pPr>
    </w:p>
    <w:p w:rsidR="00D1648F" w:rsidRPr="00902456" w:rsidRDefault="0027638C" w:rsidP="0027638C">
      <w:pPr>
        <w:widowControl w:val="0"/>
        <w:autoSpaceDE w:val="0"/>
        <w:autoSpaceDN w:val="0"/>
        <w:adjustRightInd w:val="0"/>
        <w:spacing w:after="0" w:line="240" w:lineRule="auto"/>
        <w:contextualSpacing/>
        <w:jc w:val="both"/>
        <w:rPr>
          <w:rFonts w:ascii="Calibri" w:eastAsia="Times New Roman" w:hAnsi="Calibri" w:cs="Arial"/>
          <w:b/>
          <w:bCs/>
          <w:color w:val="000000" w:themeColor="text1"/>
          <w:sz w:val="24"/>
          <w:szCs w:val="24"/>
          <w:highlight w:val="yellow"/>
          <w:lang w:val="en-US"/>
        </w:rPr>
      </w:pPr>
      <w:r>
        <w:rPr>
          <w:rFonts w:ascii="Calibri" w:eastAsia="Times New Roman" w:hAnsi="Calibri" w:cs="Arial"/>
          <w:b/>
          <w:color w:val="000000" w:themeColor="text1"/>
          <w:sz w:val="24"/>
          <w:szCs w:val="24"/>
          <w:highlight w:val="yellow"/>
          <w:lang w:val="en-US"/>
        </w:rPr>
        <w:t xml:space="preserve">3. </w:t>
      </w:r>
      <w:r w:rsidR="00D1648F" w:rsidRPr="00902456">
        <w:rPr>
          <w:rFonts w:ascii="Calibri" w:eastAsia="Times New Roman" w:hAnsi="Calibri" w:cs="Arial"/>
          <w:b/>
          <w:color w:val="000000" w:themeColor="text1"/>
          <w:sz w:val="24"/>
          <w:szCs w:val="24"/>
          <w:highlight w:val="yellow"/>
          <w:lang w:val="en-US"/>
        </w:rPr>
        <w:t>Computational analysis for miRNA target prediction and validation of target mRNAs by reporter plasmid transfection and dual luciferase assay.</w:t>
      </w:r>
    </w:p>
    <w:p w:rsidR="00D1648F" w:rsidRPr="00902456" w:rsidRDefault="00D1648F" w:rsidP="00AC4A7A">
      <w:pPr>
        <w:widowControl w:val="0"/>
        <w:autoSpaceDE w:val="0"/>
        <w:autoSpaceDN w:val="0"/>
        <w:adjustRightInd w:val="0"/>
        <w:spacing w:after="0" w:line="240" w:lineRule="auto"/>
        <w:contextualSpacing/>
        <w:jc w:val="both"/>
        <w:rPr>
          <w:rFonts w:ascii="Calibri" w:eastAsia="Times New Roman" w:hAnsi="Calibri" w:cs="Arial"/>
          <w:bCs/>
          <w:color w:val="000000" w:themeColor="text1"/>
          <w:sz w:val="24"/>
          <w:szCs w:val="24"/>
          <w:highlight w:val="yellow"/>
          <w:lang w:val="en-US"/>
        </w:rPr>
      </w:pPr>
    </w:p>
    <w:p w:rsidR="00D1648F" w:rsidRPr="00902456" w:rsidRDefault="0027638C" w:rsidP="0027638C">
      <w:pPr>
        <w:widowControl w:val="0"/>
        <w:autoSpaceDE w:val="0"/>
        <w:autoSpaceDN w:val="0"/>
        <w:adjustRightInd w:val="0"/>
        <w:spacing w:after="0" w:line="240" w:lineRule="auto"/>
        <w:contextualSpacing/>
        <w:jc w:val="both"/>
        <w:rPr>
          <w:rFonts w:ascii="Calibri" w:eastAsia="Times New Roman" w:hAnsi="Calibri" w:cs="Arial"/>
          <w:b/>
          <w:bCs/>
          <w:color w:val="000000" w:themeColor="text1"/>
          <w:sz w:val="24"/>
          <w:szCs w:val="24"/>
          <w:highlight w:val="yellow"/>
          <w:lang w:val="en-US"/>
        </w:rPr>
      </w:pPr>
      <w:r>
        <w:rPr>
          <w:rFonts w:ascii="Calibri" w:eastAsia="Times New Roman" w:hAnsi="Calibri" w:cs="Arial"/>
          <w:b/>
          <w:bCs/>
          <w:color w:val="000000" w:themeColor="text1"/>
          <w:sz w:val="24"/>
          <w:szCs w:val="24"/>
          <w:highlight w:val="yellow"/>
          <w:lang w:val="en-US"/>
        </w:rPr>
        <w:t>3.1</w:t>
      </w:r>
      <w:r w:rsidR="00D1648F" w:rsidRPr="00902456">
        <w:rPr>
          <w:rFonts w:ascii="Calibri" w:eastAsia="Times New Roman" w:hAnsi="Calibri" w:cs="Arial"/>
          <w:b/>
          <w:bCs/>
          <w:color w:val="000000" w:themeColor="text1"/>
          <w:sz w:val="24"/>
          <w:szCs w:val="24"/>
          <w:highlight w:val="yellow"/>
          <w:lang w:val="en-US"/>
        </w:rPr>
        <w:t>) Computational analysis for miRNA target prediction</w:t>
      </w:r>
    </w:p>
    <w:p w:rsidR="0027638C"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902456"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3.1.1) </w:t>
      </w:r>
      <w:r w:rsidR="00D1648F" w:rsidRPr="00902456">
        <w:rPr>
          <w:rFonts w:ascii="Calibri" w:eastAsia="Times New Roman" w:hAnsi="Calibri" w:cs="Arial"/>
          <w:bCs/>
          <w:color w:val="000000" w:themeColor="text1"/>
          <w:sz w:val="24"/>
          <w:szCs w:val="24"/>
          <w:highlight w:val="yellow"/>
          <w:lang w:val="en-US"/>
        </w:rPr>
        <w:t xml:space="preserve">Browse </w:t>
      </w:r>
      <w:r w:rsidR="00D1648F" w:rsidRPr="00AC4A7A">
        <w:rPr>
          <w:rFonts w:ascii="Calibri" w:eastAsia="Times New Roman" w:hAnsi="Calibri" w:cs="Arial"/>
          <w:bCs/>
          <w:color w:val="000000" w:themeColor="text1"/>
          <w:sz w:val="24"/>
          <w:szCs w:val="24"/>
          <w:highlight w:val="yellow"/>
          <w:lang w:val="en-US"/>
        </w:rPr>
        <w:t>PicTar (</w:t>
      </w:r>
      <w:hyperlink r:id="rId6" w:history="1">
        <w:r w:rsidR="00D1648F" w:rsidRPr="00AC4A7A">
          <w:rPr>
            <w:rFonts w:ascii="Calibri" w:eastAsia="Times New Roman" w:hAnsi="Calibri" w:cs="Arial"/>
            <w:bCs/>
            <w:color w:val="000000" w:themeColor="text1"/>
            <w:sz w:val="24"/>
            <w:szCs w:val="24"/>
            <w:highlight w:val="yellow"/>
            <w:lang w:val="en-US"/>
          </w:rPr>
          <w:t>http://pictar.mdc-berlin.de/</w:t>
        </w:r>
      </w:hyperlink>
      <w:r w:rsidR="00D1648F" w:rsidRPr="00AC4A7A">
        <w:rPr>
          <w:rFonts w:ascii="Calibri" w:eastAsia="Times New Roman" w:hAnsi="Calibri" w:cs="Arial"/>
          <w:bCs/>
          <w:color w:val="000000" w:themeColor="text1"/>
          <w:sz w:val="24"/>
          <w:szCs w:val="24"/>
          <w:highlight w:val="yellow"/>
          <w:lang w:val="en-US"/>
        </w:rPr>
        <w:t>)</w:t>
      </w:r>
      <w:r w:rsidR="00D1648F" w:rsidRPr="00902456">
        <w:rPr>
          <w:rFonts w:ascii="Calibri" w:eastAsia="Times New Roman" w:hAnsi="Calibri" w:cs="Arial"/>
          <w:bCs/>
          <w:color w:val="000000" w:themeColor="text1"/>
          <w:sz w:val="24"/>
          <w:szCs w:val="24"/>
          <w:highlight w:val="yellow"/>
          <w:lang w:val="en-US"/>
        </w:rPr>
        <w:t xml:space="preserve"> </w:t>
      </w:r>
      <w:r w:rsidR="00D1648F">
        <w:rPr>
          <w:rFonts w:ascii="Calibri" w:eastAsia="Times New Roman" w:hAnsi="Calibri" w:cs="Arial"/>
          <w:bCs/>
          <w:noProof/>
          <w:color w:val="000000" w:themeColor="text1"/>
          <w:sz w:val="24"/>
          <w:szCs w:val="24"/>
          <w:highlight w:val="yellow"/>
          <w:vertAlign w:val="superscript"/>
          <w:lang w:val="en-US"/>
        </w:rPr>
        <w:t>21</w:t>
      </w:r>
      <w:r w:rsidR="00D1648F" w:rsidRPr="00AC4A7A">
        <w:rPr>
          <w:rFonts w:ascii="Calibri" w:eastAsia="Times New Roman" w:hAnsi="Calibri" w:cs="Arial"/>
          <w:bCs/>
          <w:color w:val="000000" w:themeColor="text1"/>
          <w:sz w:val="24"/>
          <w:szCs w:val="24"/>
          <w:highlight w:val="yellow"/>
          <w:lang w:val="en-US"/>
        </w:rPr>
        <w:t xml:space="preserve">, </w:t>
      </w:r>
      <w:r w:rsidR="00D1648F">
        <w:rPr>
          <w:rFonts w:ascii="Calibri" w:eastAsia="Times New Roman" w:hAnsi="Calibri" w:cs="Arial"/>
          <w:bCs/>
          <w:color w:val="000000" w:themeColor="text1"/>
          <w:sz w:val="24"/>
          <w:szCs w:val="24"/>
          <w:highlight w:val="yellow"/>
          <w:lang w:val="en-US"/>
        </w:rPr>
        <w:t>on</w:t>
      </w:r>
      <w:r w:rsidR="00D1648F" w:rsidRPr="00AC4A7A">
        <w:rPr>
          <w:rFonts w:ascii="Calibri" w:eastAsia="Times New Roman" w:hAnsi="Calibri" w:cs="Arial"/>
          <w:bCs/>
          <w:color w:val="000000" w:themeColor="text1"/>
          <w:sz w:val="24"/>
          <w:szCs w:val="24"/>
          <w:highlight w:val="yellow"/>
          <w:lang w:val="en-US"/>
        </w:rPr>
        <w:t xml:space="preserve">line available algorithm </w:t>
      </w:r>
      <w:r w:rsidR="00D1648F" w:rsidRPr="00902456">
        <w:rPr>
          <w:rFonts w:ascii="Calibri" w:eastAsia="Times New Roman" w:hAnsi="Calibri" w:cs="Arial"/>
          <w:bCs/>
          <w:color w:val="000000" w:themeColor="text1"/>
          <w:sz w:val="24"/>
          <w:szCs w:val="24"/>
          <w:highlight w:val="yellow"/>
          <w:lang w:val="en-US"/>
        </w:rPr>
        <w:t>for</w:t>
      </w:r>
      <w:r w:rsidR="00D1648F" w:rsidRPr="00AC4A7A">
        <w:rPr>
          <w:rFonts w:ascii="Calibri" w:eastAsia="Times New Roman" w:hAnsi="Calibri" w:cs="Arial"/>
          <w:bCs/>
          <w:color w:val="000000" w:themeColor="text1"/>
          <w:sz w:val="24"/>
          <w:szCs w:val="24"/>
          <w:highlight w:val="yellow"/>
          <w:lang w:val="en-US"/>
        </w:rPr>
        <w:t xml:space="preserve"> </w:t>
      </w:r>
      <w:r w:rsidR="00D1648F">
        <w:rPr>
          <w:rFonts w:ascii="Calibri" w:eastAsia="Times New Roman" w:hAnsi="Calibri" w:cs="Arial"/>
          <w:bCs/>
          <w:color w:val="000000" w:themeColor="text1"/>
          <w:sz w:val="24"/>
          <w:szCs w:val="24"/>
          <w:highlight w:val="yellow"/>
          <w:lang w:val="en-US"/>
        </w:rPr>
        <w:t xml:space="preserve">the </w:t>
      </w:r>
      <w:r w:rsidR="00D1648F" w:rsidRPr="00AC4A7A">
        <w:rPr>
          <w:rFonts w:ascii="Calibri" w:eastAsia="Times New Roman" w:hAnsi="Calibri" w:cs="Arial"/>
          <w:bCs/>
          <w:color w:val="000000" w:themeColor="text1"/>
          <w:sz w:val="24"/>
          <w:szCs w:val="24"/>
          <w:highlight w:val="yellow"/>
          <w:lang w:val="en-US"/>
        </w:rPr>
        <w:t>identif</w:t>
      </w:r>
      <w:r w:rsidR="00D1648F" w:rsidRPr="00902456">
        <w:rPr>
          <w:rFonts w:ascii="Calibri" w:eastAsia="Times New Roman" w:hAnsi="Calibri" w:cs="Arial"/>
          <w:bCs/>
          <w:color w:val="000000" w:themeColor="text1"/>
          <w:sz w:val="24"/>
          <w:szCs w:val="24"/>
          <w:highlight w:val="yellow"/>
          <w:lang w:val="en-US"/>
        </w:rPr>
        <w:t xml:space="preserve">ication of </w:t>
      </w:r>
      <w:r w:rsidR="00D1648F" w:rsidRPr="00AC4A7A">
        <w:rPr>
          <w:rFonts w:ascii="Calibri" w:eastAsia="Times New Roman" w:hAnsi="Calibri" w:cs="Arial"/>
          <w:bCs/>
          <w:color w:val="000000" w:themeColor="text1"/>
          <w:sz w:val="24"/>
          <w:szCs w:val="24"/>
          <w:highlight w:val="yellow"/>
          <w:lang w:val="en-US"/>
        </w:rPr>
        <w:t xml:space="preserve"> miRNA target prediction mRNAs.</w:t>
      </w:r>
    </w:p>
    <w:p w:rsidR="00D1648F"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AC4A7A"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3.1.2) </w:t>
      </w:r>
      <w:r w:rsidR="00D1648F" w:rsidRPr="00902456">
        <w:rPr>
          <w:rFonts w:ascii="Calibri" w:eastAsia="Times New Roman" w:hAnsi="Calibri" w:cs="Arial"/>
          <w:bCs/>
          <w:color w:val="000000" w:themeColor="text1"/>
          <w:sz w:val="24"/>
          <w:szCs w:val="24"/>
          <w:highlight w:val="yellow"/>
          <w:lang w:val="en-US"/>
        </w:rPr>
        <w:t>Click on click here for PicTar prediction on vertebrates, a new page will open.</w:t>
      </w:r>
    </w:p>
    <w:p w:rsidR="00D1648F"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AC4A7A"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3.1.3) </w:t>
      </w:r>
      <w:r w:rsidR="00D1648F" w:rsidRPr="00AC4A7A">
        <w:rPr>
          <w:rFonts w:ascii="Calibri" w:eastAsia="Times New Roman" w:hAnsi="Calibri" w:cs="Arial"/>
          <w:bCs/>
          <w:color w:val="000000" w:themeColor="text1"/>
          <w:sz w:val="24"/>
          <w:szCs w:val="24"/>
          <w:highlight w:val="yellow"/>
          <w:lang w:val="en-US"/>
        </w:rPr>
        <w:t>In the new page, PicTar web interface, choose species in the drop down menu and insert miRNA of interest in the miRNA ID box.</w:t>
      </w:r>
      <w:r w:rsidR="00D1648F">
        <w:rPr>
          <w:rFonts w:ascii="Calibri" w:eastAsia="Times New Roman" w:hAnsi="Calibri" w:cs="Arial"/>
          <w:bCs/>
          <w:color w:val="000000" w:themeColor="text1"/>
          <w:sz w:val="24"/>
          <w:szCs w:val="24"/>
          <w:highlight w:val="yellow"/>
          <w:lang w:val="en-US"/>
        </w:rPr>
        <w:t xml:space="preserve"> </w:t>
      </w:r>
      <w:r w:rsidR="00D1648F" w:rsidRPr="00AC4A7A">
        <w:rPr>
          <w:rFonts w:ascii="Calibri" w:eastAsia="Times New Roman" w:hAnsi="Calibri" w:cs="Arial"/>
          <w:bCs/>
          <w:color w:val="000000" w:themeColor="text1"/>
          <w:sz w:val="24"/>
          <w:szCs w:val="24"/>
          <w:highlight w:val="yellow"/>
          <w:lang w:val="en-US"/>
        </w:rPr>
        <w:t>Click search for targets of a miRNA.</w:t>
      </w:r>
    </w:p>
    <w:p w:rsidR="00D1648F"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AC4A7A"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3.1.4) </w:t>
      </w:r>
      <w:r w:rsidR="00D1648F">
        <w:rPr>
          <w:rFonts w:ascii="Calibri" w:eastAsia="Times New Roman" w:hAnsi="Calibri" w:cs="Arial"/>
          <w:bCs/>
          <w:color w:val="000000" w:themeColor="text1"/>
          <w:sz w:val="24"/>
          <w:szCs w:val="24"/>
          <w:highlight w:val="yellow"/>
          <w:lang w:val="en-US"/>
        </w:rPr>
        <w:t>Observe a</w:t>
      </w:r>
      <w:r w:rsidR="00D1648F" w:rsidRPr="00AC4A7A">
        <w:rPr>
          <w:rFonts w:ascii="Calibri" w:eastAsia="Times New Roman" w:hAnsi="Calibri" w:cs="Arial"/>
          <w:bCs/>
          <w:color w:val="000000" w:themeColor="text1"/>
          <w:sz w:val="24"/>
          <w:szCs w:val="24"/>
          <w:highlight w:val="yellow"/>
          <w:lang w:val="en-US"/>
        </w:rPr>
        <w:t xml:space="preserve"> list of target mRNAs ranked by a</w:t>
      </w:r>
      <w:r w:rsidR="00D1648F" w:rsidRPr="006A366C">
        <w:rPr>
          <w:rFonts w:ascii="Calibri" w:eastAsia="Times New Roman" w:hAnsi="Calibri" w:cs="Arial"/>
          <w:bCs/>
          <w:color w:val="000000" w:themeColor="text1"/>
          <w:sz w:val="24"/>
          <w:szCs w:val="24"/>
          <w:highlight w:val="yellow"/>
          <w:lang w:val="en-US"/>
        </w:rPr>
        <w:t xml:space="preserve"> </w:t>
      </w:r>
      <w:r w:rsidR="00D1648F" w:rsidRPr="00AC4A7A">
        <w:rPr>
          <w:rFonts w:ascii="Calibri" w:eastAsia="Times New Roman" w:hAnsi="Calibri" w:cs="Arial"/>
          <w:bCs/>
          <w:color w:val="000000" w:themeColor="text1"/>
          <w:sz w:val="24"/>
          <w:szCs w:val="24"/>
          <w:highlight w:val="yellow"/>
          <w:lang w:val="en-US"/>
        </w:rPr>
        <w:t>PicTar score</w:t>
      </w:r>
      <w:r w:rsidR="00D1648F" w:rsidRPr="006A366C">
        <w:rPr>
          <w:highlight w:val="yellow"/>
        </w:rPr>
        <w:t xml:space="preserve">. </w:t>
      </w:r>
    </w:p>
    <w:p w:rsidR="00D1648F" w:rsidRPr="0027638C" w:rsidRDefault="00D1648F" w:rsidP="00AC4A7A">
      <w:pPr>
        <w:pStyle w:val="ListParagraph"/>
        <w:widowControl w:val="0"/>
        <w:autoSpaceDE w:val="0"/>
        <w:autoSpaceDN w:val="0"/>
        <w:adjustRightInd w:val="0"/>
        <w:spacing w:after="0" w:line="240" w:lineRule="auto"/>
        <w:ind w:left="0"/>
        <w:jc w:val="both"/>
        <w:rPr>
          <w:sz w:val="24"/>
          <w:highlight w:val="yellow"/>
        </w:rPr>
      </w:pPr>
    </w:p>
    <w:p w:rsidR="00D1648F" w:rsidRPr="00AC4A7A"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sidRPr="0027638C">
        <w:t>NOTE:</w:t>
      </w:r>
      <w:r w:rsidRPr="00AC4A7A">
        <w:t xml:space="preserve"> </w:t>
      </w:r>
      <w:r w:rsidRPr="00AC4A7A">
        <w:rPr>
          <w:sz w:val="24"/>
          <w:szCs w:val="24"/>
        </w:rPr>
        <w:t xml:space="preserve">PicTar computes a score reflecting the likelihood that a given UTR will be targeted by the selected miRNA, and based on seed complementarity, thermodynamics and a combinatorial prediction for common targets in sets of co-expressed miRNAs </w:t>
      </w:r>
      <w:r w:rsidRPr="00AC4A7A">
        <w:rPr>
          <w:noProof/>
          <w:sz w:val="24"/>
          <w:szCs w:val="24"/>
          <w:vertAlign w:val="superscript"/>
        </w:rPr>
        <w:t>22</w:t>
      </w:r>
      <w:r w:rsidRPr="00AC4A7A">
        <w:rPr>
          <w:rFonts w:ascii="Calibri" w:eastAsia="Times New Roman" w:hAnsi="Calibri" w:cs="Arial"/>
          <w:bCs/>
          <w:color w:val="000000" w:themeColor="text1"/>
          <w:sz w:val="24"/>
          <w:szCs w:val="24"/>
          <w:lang w:val="en-US"/>
        </w:rPr>
        <w:t xml:space="preserve">.   </w:t>
      </w:r>
    </w:p>
    <w:p w:rsidR="00D1648F"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AC4A7A"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3.1.5) </w:t>
      </w:r>
      <w:r w:rsidR="00D1648F" w:rsidRPr="00AC4A7A">
        <w:rPr>
          <w:rFonts w:ascii="Calibri" w:eastAsia="Times New Roman" w:hAnsi="Calibri" w:cs="Arial"/>
          <w:bCs/>
          <w:color w:val="000000" w:themeColor="text1"/>
          <w:sz w:val="24"/>
          <w:szCs w:val="24"/>
          <w:lang w:val="en-US"/>
        </w:rPr>
        <w:t>Similarly retrieve list of target mRNAs using DIANA-LAB (</w:t>
      </w:r>
      <w:hyperlink r:id="rId7" w:history="1">
        <w:r w:rsidR="00D1648F" w:rsidRPr="00AC4A7A">
          <w:rPr>
            <w:rFonts w:ascii="Calibri" w:eastAsia="Times New Roman" w:hAnsi="Calibri" w:cs="Arial"/>
            <w:bCs/>
            <w:color w:val="000000" w:themeColor="text1"/>
            <w:sz w:val="24"/>
            <w:szCs w:val="24"/>
            <w:lang w:val="en-US"/>
          </w:rPr>
          <w:t>http://diana.cslab.ece.ntua.gr/microT/</w:t>
        </w:r>
      </w:hyperlink>
      <w:r w:rsidR="00D1648F" w:rsidRPr="00AC4A7A">
        <w:rPr>
          <w:rFonts w:ascii="Calibri" w:eastAsia="Times New Roman" w:hAnsi="Calibri" w:cs="Arial"/>
          <w:bCs/>
          <w:color w:val="000000" w:themeColor="text1"/>
          <w:sz w:val="24"/>
          <w:szCs w:val="24"/>
          <w:lang w:val="en-US"/>
        </w:rPr>
        <w:t xml:space="preserve">) </w:t>
      </w:r>
      <w:r w:rsidR="00D1648F" w:rsidRPr="00AC4A7A">
        <w:rPr>
          <w:rFonts w:ascii="Calibri" w:eastAsia="Times New Roman" w:hAnsi="Calibri" w:cs="Arial"/>
          <w:bCs/>
          <w:noProof/>
          <w:color w:val="000000" w:themeColor="text1"/>
          <w:sz w:val="24"/>
          <w:szCs w:val="24"/>
          <w:vertAlign w:val="superscript"/>
          <w:lang w:val="en-US"/>
        </w:rPr>
        <w:t>23</w:t>
      </w:r>
      <w:r w:rsidR="00D1648F" w:rsidRPr="00AC4A7A">
        <w:rPr>
          <w:rFonts w:ascii="Calibri" w:eastAsia="Times New Roman" w:hAnsi="Calibri" w:cs="Arial"/>
          <w:bCs/>
          <w:color w:val="000000" w:themeColor="text1"/>
          <w:sz w:val="24"/>
          <w:szCs w:val="24"/>
          <w:lang w:val="en-US"/>
        </w:rPr>
        <w:t xml:space="preserve">, and TargetScan (http://www.targetscan.org/) </w:t>
      </w:r>
      <w:r w:rsidR="00D1648F" w:rsidRPr="00AC4A7A">
        <w:rPr>
          <w:rFonts w:ascii="Calibri" w:eastAsia="Times New Roman" w:hAnsi="Calibri" w:cs="Arial"/>
          <w:bCs/>
          <w:noProof/>
          <w:color w:val="000000" w:themeColor="text1"/>
          <w:sz w:val="24"/>
          <w:szCs w:val="24"/>
          <w:vertAlign w:val="superscript"/>
          <w:lang w:val="en-US"/>
        </w:rPr>
        <w:t>24</w:t>
      </w:r>
      <w:r w:rsidR="00D1648F" w:rsidRPr="00AC4A7A">
        <w:rPr>
          <w:rFonts w:ascii="Calibri" w:eastAsia="Times New Roman" w:hAnsi="Calibri" w:cs="Arial"/>
          <w:bCs/>
          <w:color w:val="000000" w:themeColor="text1"/>
          <w:sz w:val="24"/>
          <w:szCs w:val="24"/>
          <w:lang w:val="en-US"/>
        </w:rPr>
        <w:t xml:space="preserve">, alternative on line available algorithms. </w:t>
      </w:r>
    </w:p>
    <w:p w:rsidR="00D1648F" w:rsidRDefault="00D1648F" w:rsidP="00AC4A7A">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6A366C" w:rsidRDefault="0027638C" w:rsidP="0027638C">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3.1.6) </w:t>
      </w:r>
      <w:r w:rsidR="00D1648F" w:rsidRPr="006A366C">
        <w:rPr>
          <w:rFonts w:ascii="Calibri" w:eastAsia="Times New Roman" w:hAnsi="Calibri" w:cs="Arial"/>
          <w:bCs/>
          <w:color w:val="000000" w:themeColor="text1"/>
          <w:sz w:val="24"/>
          <w:szCs w:val="24"/>
          <w:highlight w:val="yellow"/>
          <w:lang w:val="en-US"/>
        </w:rPr>
        <w:t>Compile a comparative table of miRNAs based on ranking obtained using different software tool</w:t>
      </w:r>
      <w:r w:rsidR="00D1648F">
        <w:rPr>
          <w:rFonts w:ascii="Calibri" w:eastAsia="Times New Roman" w:hAnsi="Calibri" w:cs="Arial"/>
          <w:bCs/>
          <w:color w:val="000000" w:themeColor="text1"/>
          <w:sz w:val="24"/>
          <w:szCs w:val="24"/>
          <w:highlight w:val="yellow"/>
          <w:lang w:val="en-US"/>
        </w:rPr>
        <w:t>s</w:t>
      </w:r>
      <w:r w:rsidR="00D1648F" w:rsidRPr="006A366C">
        <w:rPr>
          <w:rFonts w:ascii="Calibri" w:eastAsia="Times New Roman" w:hAnsi="Calibri" w:cs="Arial"/>
          <w:bCs/>
          <w:color w:val="000000" w:themeColor="text1"/>
          <w:sz w:val="24"/>
          <w:szCs w:val="24"/>
          <w:highlight w:val="yellow"/>
          <w:lang w:val="en-US"/>
        </w:rPr>
        <w:t>. PicTar ranks by score, DianaLab by precision (</w:t>
      </w:r>
      <w:r w:rsidR="00D1648F">
        <w:rPr>
          <w:rFonts w:ascii="Calibri" w:eastAsia="Times New Roman" w:hAnsi="Calibri" w:cs="Arial"/>
          <w:bCs/>
          <w:color w:val="000000" w:themeColor="text1"/>
          <w:sz w:val="24"/>
          <w:szCs w:val="24"/>
          <w:highlight w:val="yellow"/>
          <w:lang w:val="en-US"/>
        </w:rPr>
        <w:t xml:space="preserve">based on </w:t>
      </w:r>
      <w:r w:rsidR="00D1648F" w:rsidRPr="006A366C">
        <w:rPr>
          <w:rFonts w:ascii="Calibri" w:eastAsia="Times New Roman" w:hAnsi="Calibri" w:cs="Arial"/>
          <w:bCs/>
          <w:color w:val="000000" w:themeColor="text1"/>
          <w:sz w:val="24"/>
          <w:szCs w:val="24"/>
          <w:highlight w:val="yellow"/>
          <w:lang w:val="en-US"/>
        </w:rPr>
        <w:t xml:space="preserve">signal to noise ratio and a precision score </w:t>
      </w:r>
      <w:r w:rsidR="00D1648F">
        <w:rPr>
          <w:rFonts w:ascii="Calibri" w:eastAsia="Times New Roman" w:hAnsi="Calibri" w:cs="Arial"/>
          <w:bCs/>
          <w:color w:val="000000" w:themeColor="text1"/>
          <w:sz w:val="24"/>
          <w:szCs w:val="24"/>
          <w:highlight w:val="yellow"/>
          <w:lang w:val="en-US"/>
        </w:rPr>
        <w:t>for</w:t>
      </w:r>
      <w:r w:rsidR="00D1648F" w:rsidRPr="006A366C">
        <w:rPr>
          <w:rFonts w:ascii="Calibri" w:eastAsia="Times New Roman" w:hAnsi="Calibri" w:cs="Arial"/>
          <w:bCs/>
          <w:color w:val="000000" w:themeColor="text1"/>
          <w:sz w:val="24"/>
          <w:szCs w:val="24"/>
          <w:highlight w:val="yellow"/>
          <w:lang w:val="en-US"/>
        </w:rPr>
        <w:t xml:space="preserve"> the evaluation of the significance of the predicted results), and TargetScan by aggregate PCT (based on seed complementarity, thermodynamic free energy of binding, conservation over different species), see table 1.</w:t>
      </w:r>
    </w:p>
    <w:p w:rsidR="00D1648F" w:rsidRDefault="00D1648F" w:rsidP="00D72494">
      <w:pPr>
        <w:pStyle w:val="ListParagraph"/>
        <w:widowControl w:val="0"/>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BD4D19" w:rsidRDefault="00D1648F" w:rsidP="00D72494">
      <w:pPr>
        <w:widowControl w:val="0"/>
        <w:autoSpaceDE w:val="0"/>
        <w:autoSpaceDN w:val="0"/>
        <w:adjustRightInd w:val="0"/>
        <w:spacing w:after="0" w:line="240" w:lineRule="auto"/>
        <w:jc w:val="both"/>
        <w:rPr>
          <w:rFonts w:ascii="Calibri" w:eastAsia="Times New Roman" w:hAnsi="Calibri" w:cs="Arial"/>
          <w:b/>
          <w:bCs/>
          <w:color w:val="000000" w:themeColor="text1"/>
          <w:sz w:val="24"/>
          <w:szCs w:val="24"/>
          <w:lang w:val="en-US"/>
        </w:rPr>
      </w:pPr>
      <w:r w:rsidRPr="00BD4D19">
        <w:rPr>
          <w:rFonts w:ascii="Calibri" w:eastAsia="Times New Roman" w:hAnsi="Calibri" w:cs="Arial"/>
          <w:b/>
          <w:bCs/>
          <w:color w:val="000000" w:themeColor="text1"/>
          <w:sz w:val="24"/>
          <w:szCs w:val="24"/>
          <w:lang w:val="en-US"/>
        </w:rPr>
        <w:t>3.2</w:t>
      </w:r>
      <w:r w:rsidR="0027638C">
        <w:rPr>
          <w:rFonts w:ascii="Calibri" w:eastAsia="Times New Roman" w:hAnsi="Calibri" w:cs="Arial"/>
          <w:b/>
          <w:bCs/>
          <w:color w:val="000000" w:themeColor="text1"/>
          <w:sz w:val="24"/>
          <w:szCs w:val="24"/>
          <w:lang w:val="en-US"/>
        </w:rPr>
        <w:t>)</w:t>
      </w:r>
      <w:r w:rsidRPr="00BD4D19">
        <w:rPr>
          <w:rFonts w:ascii="Calibri" w:eastAsia="Times New Roman" w:hAnsi="Calibri" w:cs="Arial"/>
          <w:bCs/>
          <w:color w:val="000000" w:themeColor="text1"/>
          <w:sz w:val="24"/>
          <w:szCs w:val="24"/>
          <w:lang w:val="en-US"/>
        </w:rPr>
        <w:t xml:space="preserve"> </w:t>
      </w:r>
      <w:r w:rsidRPr="00BD4D19">
        <w:rPr>
          <w:rFonts w:ascii="Calibri" w:eastAsia="Times New Roman" w:hAnsi="Calibri" w:cs="Arial"/>
          <w:b/>
          <w:color w:val="000000" w:themeColor="text1"/>
          <w:sz w:val="24"/>
          <w:szCs w:val="24"/>
          <w:lang w:val="en-US"/>
        </w:rPr>
        <w:t>Validation of target mRNAs by reporter plasmid transfection and dual luciferase assay.</w:t>
      </w:r>
    </w:p>
    <w:p w:rsidR="00D1648F" w:rsidRDefault="00D1648F" w:rsidP="00D72494">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2C1016">
        <w:rPr>
          <w:rFonts w:ascii="Calibri" w:eastAsia="Times New Roman" w:hAnsi="Calibri" w:cs="Arial"/>
          <w:bCs/>
          <w:color w:val="000000" w:themeColor="text1"/>
          <w:sz w:val="24"/>
          <w:szCs w:val="24"/>
          <w:lang w:val="en-US"/>
        </w:rPr>
        <w:t>NOTE:</w:t>
      </w:r>
      <w:r w:rsidRPr="00582323">
        <w:rPr>
          <w:rFonts w:ascii="Calibri" w:eastAsia="Times New Roman" w:hAnsi="Calibri" w:cs="Arial"/>
          <w:b/>
          <w:bCs/>
          <w:color w:val="000000" w:themeColor="text1"/>
          <w:sz w:val="24"/>
          <w:szCs w:val="24"/>
          <w:lang w:val="en-US"/>
        </w:rPr>
        <w:t xml:space="preserve"> </w:t>
      </w:r>
      <w:r w:rsidRPr="00BD4D19">
        <w:rPr>
          <w:rFonts w:ascii="Calibri" w:eastAsia="Times New Roman" w:hAnsi="Calibri" w:cs="Arial"/>
          <w:bCs/>
          <w:color w:val="000000" w:themeColor="text1"/>
          <w:sz w:val="24"/>
          <w:szCs w:val="24"/>
          <w:lang w:val="en-US"/>
        </w:rPr>
        <w:t>3</w:t>
      </w:r>
      <w:r>
        <w:rPr>
          <w:rFonts w:ascii="Calibri" w:eastAsia="Times New Roman" w:hAnsi="Calibri" w:cs="Arial"/>
          <w:bCs/>
          <w:color w:val="000000" w:themeColor="text1"/>
          <w:sz w:val="24"/>
          <w:szCs w:val="24"/>
          <w:lang w:val="en-US"/>
        </w:rPr>
        <w:t>’</w:t>
      </w:r>
      <w:r w:rsidRPr="00BD4D19">
        <w:rPr>
          <w:rFonts w:ascii="Calibri" w:eastAsia="Times New Roman" w:hAnsi="Calibri" w:cs="Arial"/>
          <w:bCs/>
          <w:color w:val="000000" w:themeColor="text1"/>
          <w:sz w:val="24"/>
          <w:szCs w:val="24"/>
          <w:lang w:val="en-US"/>
        </w:rPr>
        <w:t xml:space="preserve"> UTR luciferase reporters for the validation of target mRNA has been previously described </w:t>
      </w:r>
      <w:r w:rsidRPr="004611ED">
        <w:rPr>
          <w:rFonts w:ascii="Calibri" w:eastAsia="Times New Roman" w:hAnsi="Calibri" w:cs="Arial"/>
          <w:bCs/>
          <w:noProof/>
          <w:color w:val="000000" w:themeColor="text1"/>
          <w:sz w:val="24"/>
          <w:szCs w:val="24"/>
          <w:vertAlign w:val="superscript"/>
          <w:lang w:val="en-US"/>
        </w:rPr>
        <w:t>25</w:t>
      </w:r>
      <w:r w:rsidRPr="00BD4D19">
        <w:rPr>
          <w:rFonts w:ascii="Calibri" w:eastAsia="Times New Roman" w:hAnsi="Calibri" w:cs="Arial"/>
          <w:bCs/>
          <w:color w:val="000000" w:themeColor="text1"/>
          <w:sz w:val="24"/>
          <w:szCs w:val="24"/>
          <w:lang w:val="en-US"/>
        </w:rPr>
        <w:t>.</w:t>
      </w:r>
    </w:p>
    <w:p w:rsidR="00D1648F" w:rsidRPr="00BD4D19" w:rsidRDefault="00D1648F" w:rsidP="00D72494">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p>
    <w:p w:rsidR="00D1648F" w:rsidRPr="002C1016" w:rsidRDefault="00D1648F" w:rsidP="00D72494">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2C1016">
        <w:rPr>
          <w:rFonts w:ascii="Calibri" w:eastAsia="Times New Roman" w:hAnsi="Calibri" w:cs="Arial"/>
          <w:bCs/>
          <w:color w:val="000000" w:themeColor="text1"/>
          <w:sz w:val="24"/>
          <w:szCs w:val="24"/>
          <w:lang w:val="en-US"/>
        </w:rPr>
        <w:lastRenderedPageBreak/>
        <w:t>3.2.1</w:t>
      </w:r>
      <w:r w:rsidR="0027638C" w:rsidRPr="002C1016">
        <w:rPr>
          <w:rFonts w:ascii="Calibri" w:eastAsia="Times New Roman" w:hAnsi="Calibri" w:cs="Arial"/>
          <w:bCs/>
          <w:color w:val="000000" w:themeColor="text1"/>
          <w:sz w:val="24"/>
          <w:szCs w:val="24"/>
          <w:lang w:val="en-US"/>
        </w:rPr>
        <w:t xml:space="preserve">) </w:t>
      </w:r>
      <w:r w:rsidRPr="002C1016">
        <w:rPr>
          <w:rFonts w:ascii="Calibri" w:eastAsia="Times New Roman" w:hAnsi="Calibri" w:cs="Arial"/>
          <w:bCs/>
          <w:color w:val="000000" w:themeColor="text1"/>
          <w:sz w:val="24"/>
          <w:szCs w:val="24"/>
          <w:lang w:val="en-US"/>
        </w:rPr>
        <w:t>Transfection</w:t>
      </w:r>
    </w:p>
    <w:p w:rsidR="0027638C" w:rsidRDefault="0027638C" w:rsidP="0027638C">
      <w:pPr>
        <w:pStyle w:val="ListParagraph"/>
        <w:widowControl w:val="0"/>
        <w:tabs>
          <w:tab w:val="left" w:pos="851"/>
        </w:tabs>
        <w:autoSpaceDE w:val="0"/>
        <w:autoSpaceDN w:val="0"/>
        <w:adjustRightInd w:val="0"/>
        <w:spacing w:after="0" w:line="240" w:lineRule="auto"/>
        <w:ind w:left="0"/>
        <w:jc w:val="both"/>
        <w:rPr>
          <w:lang w:val="en-US"/>
        </w:rPr>
      </w:pPr>
    </w:p>
    <w:p w:rsidR="00D1648F" w:rsidRPr="002C1016" w:rsidRDefault="0027638C" w:rsidP="0027638C">
      <w:pPr>
        <w:pStyle w:val="ListParagraph"/>
        <w:widowControl w:val="0"/>
        <w:tabs>
          <w:tab w:val="left" w:pos="851"/>
        </w:tabs>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sidRPr="002C1016">
        <w:rPr>
          <w:sz w:val="24"/>
          <w:szCs w:val="24"/>
          <w:lang w:val="en-US"/>
        </w:rPr>
        <w:t xml:space="preserve">3.2.1.1) </w:t>
      </w:r>
      <w:r w:rsidR="00D1648F" w:rsidRPr="002C1016">
        <w:rPr>
          <w:sz w:val="24"/>
          <w:szCs w:val="24"/>
          <w:lang w:val="en-US"/>
        </w:rPr>
        <w:t xml:space="preserve">Seed </w:t>
      </w:r>
      <w:r w:rsidR="00D1648F" w:rsidRPr="002C1016">
        <w:rPr>
          <w:rFonts w:ascii="Calibri" w:eastAsia="Times New Roman" w:hAnsi="Calibri" w:cs="Arial"/>
          <w:bCs/>
          <w:color w:val="000000" w:themeColor="text1"/>
          <w:sz w:val="24"/>
          <w:szCs w:val="24"/>
          <w:lang w:val="en-US"/>
        </w:rPr>
        <w:t>HeLa cells at a density of 10</w:t>
      </w:r>
      <w:r w:rsidR="00D1648F" w:rsidRPr="002C1016">
        <w:rPr>
          <w:rFonts w:ascii="Calibri" w:eastAsia="Times New Roman" w:hAnsi="Calibri" w:cs="Arial"/>
          <w:bCs/>
          <w:color w:val="000000" w:themeColor="text1"/>
          <w:sz w:val="24"/>
          <w:szCs w:val="24"/>
          <w:vertAlign w:val="superscript"/>
          <w:lang w:val="en-US"/>
        </w:rPr>
        <w:t>5</w:t>
      </w:r>
      <w:r w:rsidR="00D1648F" w:rsidRPr="002C1016">
        <w:rPr>
          <w:rFonts w:ascii="Calibri" w:eastAsia="Times New Roman" w:hAnsi="Calibri" w:cs="Arial"/>
          <w:bCs/>
          <w:color w:val="000000" w:themeColor="text1"/>
          <w:sz w:val="24"/>
          <w:szCs w:val="24"/>
          <w:lang w:val="en-US"/>
        </w:rPr>
        <w:t xml:space="preserve"> cells/well in 24-well plate.</w:t>
      </w:r>
    </w:p>
    <w:p w:rsidR="00D1648F" w:rsidRDefault="00D1648F" w:rsidP="00D72494">
      <w:pPr>
        <w:pStyle w:val="ListParagraph"/>
        <w:widowControl w:val="0"/>
        <w:tabs>
          <w:tab w:val="left" w:pos="851"/>
        </w:tabs>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bookmarkStart w:id="0" w:name="_GoBack"/>
      <w:bookmarkEnd w:id="0"/>
    </w:p>
    <w:p w:rsidR="00D1648F" w:rsidRDefault="0027638C" w:rsidP="0027638C">
      <w:pPr>
        <w:pStyle w:val="ListParagraph"/>
        <w:widowControl w:val="0"/>
        <w:tabs>
          <w:tab w:val="left" w:pos="851"/>
        </w:tabs>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3.2.1.2) </w:t>
      </w:r>
      <w:r w:rsidR="00D1648F">
        <w:rPr>
          <w:rFonts w:ascii="Calibri" w:eastAsia="Times New Roman" w:hAnsi="Calibri" w:cs="Arial"/>
          <w:bCs/>
          <w:color w:val="000000" w:themeColor="text1"/>
          <w:sz w:val="24"/>
          <w:szCs w:val="24"/>
          <w:lang w:val="en-US"/>
        </w:rPr>
        <w:t>After 24 h</w:t>
      </w:r>
      <w:r w:rsidR="00D1648F" w:rsidRPr="00D72494">
        <w:rPr>
          <w:rFonts w:ascii="Calibri" w:eastAsia="Times New Roman" w:hAnsi="Calibri" w:cs="Arial"/>
          <w:bCs/>
          <w:color w:val="000000" w:themeColor="text1"/>
          <w:sz w:val="24"/>
          <w:szCs w:val="24"/>
          <w:lang w:val="en-US"/>
        </w:rPr>
        <w:t xml:space="preserve"> co-transfect </w:t>
      </w:r>
      <w:r w:rsidR="00D1648F" w:rsidRPr="0073403C">
        <w:rPr>
          <w:rFonts w:ascii="Calibri" w:eastAsia="Times New Roman" w:hAnsi="Calibri" w:cs="Arial"/>
          <w:bCs/>
          <w:color w:val="000000" w:themeColor="text1"/>
          <w:sz w:val="24"/>
          <w:szCs w:val="24"/>
          <w:lang w:val="en-US"/>
        </w:rPr>
        <w:t xml:space="preserve">HeLa cells </w:t>
      </w:r>
      <w:r w:rsidR="00D1648F" w:rsidRPr="00D72494">
        <w:rPr>
          <w:rFonts w:ascii="Calibri" w:eastAsia="Times New Roman" w:hAnsi="Calibri" w:cs="Arial"/>
          <w:bCs/>
          <w:color w:val="000000" w:themeColor="text1"/>
          <w:sz w:val="24"/>
          <w:szCs w:val="24"/>
          <w:lang w:val="en-US"/>
        </w:rPr>
        <w:t xml:space="preserve">with </w:t>
      </w:r>
      <w:r w:rsidR="00D1648F" w:rsidRPr="0073403C">
        <w:rPr>
          <w:rFonts w:ascii="Calibri" w:eastAsia="Times New Roman" w:hAnsi="Calibri" w:cs="Arial"/>
          <w:bCs/>
          <w:color w:val="000000" w:themeColor="text1"/>
          <w:sz w:val="24"/>
          <w:szCs w:val="24"/>
          <w:lang w:val="en-US"/>
        </w:rPr>
        <w:t xml:space="preserve">1.5 </w:t>
      </w:r>
      <w:r w:rsidR="002C1016">
        <w:rPr>
          <w:rFonts w:ascii="Calibri" w:eastAsia="Times New Roman" w:hAnsi="Calibri" w:cs="Arial"/>
          <w:bCs/>
          <w:color w:val="000000" w:themeColor="text1"/>
          <w:sz w:val="24"/>
          <w:szCs w:val="24"/>
          <w:lang w:val="en-US"/>
        </w:rPr>
        <w:t>&amp;#181;</w:t>
      </w:r>
      <w:r w:rsidR="00D1648F" w:rsidRPr="0073403C">
        <w:rPr>
          <w:rFonts w:ascii="Calibri" w:eastAsia="Times New Roman" w:hAnsi="Calibri" w:cs="Arial"/>
          <w:bCs/>
          <w:color w:val="000000" w:themeColor="text1"/>
          <w:sz w:val="24"/>
          <w:szCs w:val="24"/>
          <w:lang w:val="en-US"/>
        </w:rPr>
        <w:t xml:space="preserve">l of transfection reagent and </w:t>
      </w:r>
      <w:r w:rsidR="00D1648F" w:rsidRPr="00D72494">
        <w:rPr>
          <w:rFonts w:ascii="Calibri" w:eastAsia="Times New Roman" w:hAnsi="Calibri" w:cs="Arial"/>
          <w:bCs/>
          <w:color w:val="000000" w:themeColor="text1"/>
          <w:sz w:val="24"/>
          <w:szCs w:val="24"/>
          <w:lang w:val="en-US"/>
        </w:rPr>
        <w:t>either 100 ng of NR4A3 3’ UTR</w:t>
      </w:r>
      <w:r w:rsidR="00D1648F" w:rsidRPr="0073403C">
        <w:rPr>
          <w:rFonts w:ascii="Calibri" w:eastAsia="Times New Roman" w:hAnsi="Calibri" w:cs="Arial"/>
          <w:bCs/>
          <w:color w:val="000000" w:themeColor="text1"/>
          <w:sz w:val="24"/>
          <w:szCs w:val="24"/>
          <w:lang w:val="en-US"/>
        </w:rPr>
        <w:t xml:space="preserve"> </w:t>
      </w:r>
      <w:r w:rsidR="00D1648F" w:rsidRPr="00D72494">
        <w:rPr>
          <w:rFonts w:ascii="Calibri" w:eastAsia="Times New Roman" w:hAnsi="Calibri" w:cs="Arial"/>
          <w:bCs/>
          <w:color w:val="000000" w:themeColor="text1"/>
          <w:sz w:val="24"/>
          <w:szCs w:val="24"/>
          <w:lang w:val="en-US"/>
        </w:rPr>
        <w:t>or SOX5 3’ UTR</w:t>
      </w:r>
      <w:r w:rsidR="00D1648F" w:rsidRPr="0073403C">
        <w:rPr>
          <w:rFonts w:ascii="Calibri" w:eastAsia="Times New Roman" w:hAnsi="Calibri" w:cs="Arial"/>
          <w:bCs/>
          <w:color w:val="000000" w:themeColor="text1"/>
          <w:sz w:val="24"/>
          <w:szCs w:val="24"/>
          <w:lang w:val="en-US"/>
        </w:rPr>
        <w:t xml:space="preserve"> plasmid</w:t>
      </w:r>
      <w:r w:rsidR="00D1648F" w:rsidRPr="00D72494">
        <w:rPr>
          <w:rFonts w:ascii="Calibri" w:eastAsia="Times New Roman" w:hAnsi="Calibri" w:cs="Arial"/>
          <w:bCs/>
          <w:color w:val="000000" w:themeColor="text1"/>
          <w:sz w:val="24"/>
          <w:szCs w:val="24"/>
          <w:lang w:val="en-US"/>
        </w:rPr>
        <w:t xml:space="preserve">, as well as 20 nM miRNA mimics (hsa-miR-96-5p for SOX5 3’ UTR, and hsa-miR-7-5p, and hsa-miR-17-5p for NR4A3 3’ UTR respectively) per well.  </w:t>
      </w:r>
    </w:p>
    <w:p w:rsidR="00D1648F" w:rsidRDefault="00D1648F" w:rsidP="00D72494">
      <w:pPr>
        <w:pStyle w:val="ListParagraph"/>
        <w:widowControl w:val="0"/>
        <w:tabs>
          <w:tab w:val="left" w:pos="851"/>
        </w:tabs>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p>
    <w:p w:rsidR="00D1648F" w:rsidRDefault="0027638C" w:rsidP="0027638C">
      <w:pPr>
        <w:pStyle w:val="ListParagraph"/>
        <w:widowControl w:val="0"/>
        <w:tabs>
          <w:tab w:val="left" w:pos="851"/>
        </w:tabs>
        <w:autoSpaceDE w:val="0"/>
        <w:autoSpaceDN w:val="0"/>
        <w:adjustRightInd w:val="0"/>
        <w:spacing w:after="0" w:line="240" w:lineRule="auto"/>
        <w:ind w:left="0"/>
        <w:jc w:val="both"/>
        <w:rPr>
          <w:rFonts w:ascii="Calibri" w:eastAsia="Times New Roman" w:hAnsi="Calibri" w:cs="Arial"/>
          <w:bCs/>
          <w:color w:val="000000" w:themeColor="text1"/>
          <w:sz w:val="24"/>
          <w:szCs w:val="24"/>
          <w:lang w:val="en-US"/>
        </w:rPr>
      </w:pPr>
      <w:r>
        <w:rPr>
          <w:rFonts w:ascii="Calibri" w:eastAsia="Times New Roman" w:hAnsi="Calibri" w:cs="Arial"/>
          <w:bCs/>
          <w:color w:val="000000" w:themeColor="text1"/>
          <w:sz w:val="24"/>
          <w:szCs w:val="24"/>
          <w:lang w:val="en-US"/>
        </w:rPr>
        <w:t xml:space="preserve">3.2.1.3) </w:t>
      </w:r>
      <w:r w:rsidR="00D1648F" w:rsidRPr="0073403C">
        <w:rPr>
          <w:rFonts w:ascii="Calibri" w:eastAsia="Times New Roman" w:hAnsi="Calibri" w:cs="Arial"/>
          <w:bCs/>
          <w:color w:val="000000" w:themeColor="text1"/>
          <w:sz w:val="24"/>
          <w:szCs w:val="24"/>
          <w:lang w:val="en-US"/>
        </w:rPr>
        <w:t>Co-transfect c</w:t>
      </w:r>
      <w:r w:rsidR="00D1648F" w:rsidRPr="00D72494">
        <w:rPr>
          <w:rFonts w:ascii="Calibri" w:eastAsia="Times New Roman" w:hAnsi="Calibri" w:cs="Arial"/>
          <w:bCs/>
          <w:color w:val="000000" w:themeColor="text1"/>
          <w:sz w:val="24"/>
          <w:szCs w:val="24"/>
          <w:lang w:val="en-US"/>
        </w:rPr>
        <w:t xml:space="preserve">ontrol wells with </w:t>
      </w:r>
      <w:r w:rsidR="00D1648F" w:rsidRPr="0073403C">
        <w:rPr>
          <w:rFonts w:ascii="Calibri" w:eastAsia="Times New Roman" w:hAnsi="Calibri" w:cs="Arial"/>
          <w:bCs/>
          <w:color w:val="000000" w:themeColor="text1"/>
          <w:sz w:val="24"/>
          <w:szCs w:val="24"/>
          <w:lang w:val="en-US"/>
        </w:rPr>
        <w:t>NR4A3 3’ UTR</w:t>
      </w:r>
      <w:r w:rsidR="00D1648F" w:rsidRPr="0073403C" w:rsidDel="00887E7B">
        <w:rPr>
          <w:rFonts w:ascii="Calibri" w:eastAsia="Times New Roman" w:hAnsi="Calibri" w:cs="Arial"/>
          <w:bCs/>
          <w:color w:val="000000" w:themeColor="text1"/>
          <w:sz w:val="24"/>
          <w:szCs w:val="24"/>
          <w:lang w:val="en-US"/>
        </w:rPr>
        <w:t xml:space="preserve"> </w:t>
      </w:r>
      <w:r w:rsidR="00D1648F" w:rsidRPr="0073403C">
        <w:rPr>
          <w:rFonts w:ascii="Calibri" w:eastAsia="Times New Roman" w:hAnsi="Calibri" w:cs="Arial"/>
          <w:bCs/>
          <w:color w:val="000000" w:themeColor="text1"/>
          <w:sz w:val="24"/>
          <w:szCs w:val="24"/>
          <w:lang w:val="en-US"/>
        </w:rPr>
        <w:t>or SOX5 3’ UTR</w:t>
      </w:r>
      <w:r w:rsidR="00D1648F" w:rsidRPr="0073403C" w:rsidDel="00887E7B">
        <w:rPr>
          <w:rFonts w:ascii="Calibri" w:eastAsia="Times New Roman" w:hAnsi="Calibri" w:cs="Arial"/>
          <w:bCs/>
          <w:color w:val="000000" w:themeColor="text1"/>
          <w:sz w:val="24"/>
          <w:szCs w:val="24"/>
          <w:lang w:val="en-US"/>
        </w:rPr>
        <w:t xml:space="preserve"> </w:t>
      </w:r>
      <w:r w:rsidR="00D1648F" w:rsidRPr="00D72494">
        <w:rPr>
          <w:rFonts w:ascii="Calibri" w:eastAsia="Times New Roman" w:hAnsi="Calibri" w:cs="Arial"/>
          <w:bCs/>
          <w:color w:val="000000" w:themeColor="text1"/>
          <w:sz w:val="24"/>
          <w:szCs w:val="24"/>
          <w:lang w:val="en-US"/>
        </w:rPr>
        <w:t xml:space="preserve">plasmid and </w:t>
      </w:r>
      <w:r w:rsidR="00D1648F" w:rsidRPr="0073403C">
        <w:rPr>
          <w:rFonts w:ascii="Calibri" w:eastAsia="Times New Roman" w:hAnsi="Calibri" w:cs="Arial"/>
          <w:bCs/>
          <w:color w:val="000000" w:themeColor="text1"/>
          <w:sz w:val="24"/>
          <w:szCs w:val="24"/>
          <w:lang w:val="en-US"/>
        </w:rPr>
        <w:t xml:space="preserve">fluorochrome labelled </w:t>
      </w:r>
      <w:r w:rsidR="00D1648F">
        <w:rPr>
          <w:rFonts w:ascii="Calibri" w:eastAsia="Times New Roman" w:hAnsi="Calibri" w:cs="Arial"/>
          <w:bCs/>
          <w:color w:val="000000" w:themeColor="text1"/>
          <w:sz w:val="24"/>
          <w:szCs w:val="24"/>
          <w:lang w:val="en-US"/>
        </w:rPr>
        <w:t>negative control s</w:t>
      </w:r>
      <w:r w:rsidR="00D1648F" w:rsidRPr="0073403C">
        <w:rPr>
          <w:rFonts w:ascii="Calibri" w:eastAsia="Times New Roman" w:hAnsi="Calibri" w:cs="Arial"/>
          <w:bCs/>
          <w:color w:val="000000" w:themeColor="text1"/>
          <w:sz w:val="24"/>
          <w:szCs w:val="24"/>
          <w:lang w:val="en-US"/>
        </w:rPr>
        <w:t>i</w:t>
      </w:r>
      <w:r w:rsidR="00D1648F" w:rsidRPr="00D72494">
        <w:rPr>
          <w:rFonts w:ascii="Calibri" w:eastAsia="Times New Roman" w:hAnsi="Calibri" w:cs="Arial"/>
          <w:bCs/>
          <w:color w:val="000000" w:themeColor="text1"/>
          <w:sz w:val="24"/>
          <w:szCs w:val="24"/>
          <w:lang w:val="en-US"/>
        </w:rPr>
        <w:t>RNA</w:t>
      </w:r>
      <w:r w:rsidR="00D1648F">
        <w:rPr>
          <w:rFonts w:ascii="Calibri" w:eastAsia="Times New Roman" w:hAnsi="Calibri" w:cs="Arial"/>
          <w:bCs/>
          <w:color w:val="000000" w:themeColor="text1"/>
          <w:sz w:val="24"/>
          <w:szCs w:val="24"/>
          <w:lang w:val="en-US"/>
        </w:rPr>
        <w:t>s.</w:t>
      </w:r>
      <w:r w:rsidR="00D1648F" w:rsidRPr="00D72494">
        <w:rPr>
          <w:rFonts w:ascii="Calibri" w:eastAsia="Times New Roman" w:hAnsi="Calibri" w:cs="Arial"/>
          <w:bCs/>
          <w:color w:val="000000" w:themeColor="text1"/>
          <w:sz w:val="24"/>
          <w:szCs w:val="24"/>
          <w:lang w:val="en-US"/>
        </w:rPr>
        <w:t xml:space="preserve"> </w:t>
      </w:r>
      <w:r w:rsidR="00D1648F" w:rsidRPr="0073403C">
        <w:rPr>
          <w:rFonts w:ascii="Calibri" w:eastAsia="Times New Roman" w:hAnsi="Calibri" w:cs="Arial"/>
          <w:bCs/>
          <w:color w:val="000000" w:themeColor="text1"/>
          <w:sz w:val="24"/>
          <w:szCs w:val="24"/>
          <w:lang w:val="en-US"/>
        </w:rPr>
        <w:t>The transfection of control wells with fluorochrome labelled negative control</w:t>
      </w:r>
      <w:r w:rsidR="00D1648F">
        <w:rPr>
          <w:rFonts w:ascii="Calibri" w:eastAsia="Times New Roman" w:hAnsi="Calibri" w:cs="Arial"/>
          <w:bCs/>
          <w:color w:val="000000" w:themeColor="text1"/>
          <w:sz w:val="24"/>
          <w:szCs w:val="24"/>
          <w:lang w:val="en-US"/>
        </w:rPr>
        <w:t xml:space="preserve"> siRNAs allows evaluation of transfection efficiency and accounts for mimic miRNA 3’UTR bind specificity. </w:t>
      </w:r>
    </w:p>
    <w:p w:rsidR="00D1648F" w:rsidRPr="0027638C" w:rsidRDefault="00D1648F" w:rsidP="00D72494">
      <w:pPr>
        <w:pStyle w:val="ListParagraph"/>
        <w:widowControl w:val="0"/>
        <w:tabs>
          <w:tab w:val="left" w:pos="851"/>
        </w:tabs>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2C1016" w:rsidRDefault="00D1648F" w:rsidP="00D72494">
      <w:pPr>
        <w:widowControl w:val="0"/>
        <w:tabs>
          <w:tab w:val="left" w:pos="851"/>
        </w:tabs>
        <w:autoSpaceDE w:val="0"/>
        <w:autoSpaceDN w:val="0"/>
        <w:adjustRightInd w:val="0"/>
        <w:spacing w:after="0" w:line="240" w:lineRule="auto"/>
        <w:jc w:val="both"/>
        <w:rPr>
          <w:rFonts w:ascii="Calibri" w:eastAsia="Times New Roman" w:hAnsi="Calibri" w:cs="Arial"/>
          <w:bCs/>
          <w:color w:val="000000" w:themeColor="text1"/>
          <w:sz w:val="24"/>
          <w:szCs w:val="24"/>
          <w:highlight w:val="yellow"/>
          <w:lang w:val="en-US"/>
        </w:rPr>
      </w:pPr>
      <w:r w:rsidRPr="002C1016">
        <w:rPr>
          <w:rFonts w:ascii="Calibri" w:eastAsia="Times New Roman" w:hAnsi="Calibri" w:cs="Arial"/>
          <w:bCs/>
          <w:color w:val="000000" w:themeColor="text1"/>
          <w:sz w:val="24"/>
          <w:szCs w:val="24"/>
          <w:highlight w:val="yellow"/>
          <w:lang w:val="en-US"/>
        </w:rPr>
        <w:t>3.2.2</w:t>
      </w:r>
      <w:r w:rsidR="0027638C" w:rsidRPr="002C1016">
        <w:rPr>
          <w:rFonts w:ascii="Calibri" w:eastAsia="Times New Roman" w:hAnsi="Calibri" w:cs="Arial"/>
          <w:bCs/>
          <w:color w:val="000000" w:themeColor="text1"/>
          <w:sz w:val="24"/>
          <w:szCs w:val="24"/>
          <w:highlight w:val="yellow"/>
          <w:lang w:val="en-US"/>
        </w:rPr>
        <w:t>)</w:t>
      </w:r>
      <w:r w:rsidRPr="002C1016">
        <w:rPr>
          <w:rFonts w:ascii="Calibri" w:eastAsia="Times New Roman" w:hAnsi="Calibri" w:cs="Arial"/>
          <w:bCs/>
          <w:color w:val="000000" w:themeColor="text1"/>
          <w:sz w:val="24"/>
          <w:szCs w:val="24"/>
          <w:highlight w:val="yellow"/>
          <w:lang w:val="en-US"/>
        </w:rPr>
        <w:t xml:space="preserve"> Measurement of dual luciferase activities </w:t>
      </w:r>
    </w:p>
    <w:p w:rsidR="0027638C" w:rsidRDefault="0027638C" w:rsidP="0027638C">
      <w:pPr>
        <w:pStyle w:val="ListParagraph"/>
        <w:widowControl w:val="0"/>
        <w:tabs>
          <w:tab w:val="left" w:pos="851"/>
        </w:tabs>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D72494" w:rsidRDefault="0027638C" w:rsidP="0027638C">
      <w:pPr>
        <w:pStyle w:val="ListParagraph"/>
        <w:widowControl w:val="0"/>
        <w:tabs>
          <w:tab w:val="left" w:pos="851"/>
        </w:tabs>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3.2.2.1) </w:t>
      </w:r>
      <w:r w:rsidR="00D1648F" w:rsidRPr="00D72494">
        <w:rPr>
          <w:rFonts w:ascii="Calibri" w:eastAsia="Times New Roman" w:hAnsi="Calibri" w:cs="Arial"/>
          <w:bCs/>
          <w:color w:val="000000" w:themeColor="text1"/>
          <w:sz w:val="24"/>
          <w:szCs w:val="24"/>
          <w:highlight w:val="yellow"/>
          <w:lang w:val="en-US"/>
        </w:rPr>
        <w:t>Measure Firefly and Renilla luciferase activities 24 hr post transfection. Remove cell growth medium.</w:t>
      </w:r>
    </w:p>
    <w:p w:rsidR="00D1648F" w:rsidRPr="00D72494" w:rsidRDefault="00D1648F" w:rsidP="00D72494">
      <w:pPr>
        <w:pStyle w:val="ListParagraph"/>
        <w:widowControl w:val="0"/>
        <w:tabs>
          <w:tab w:val="left" w:pos="851"/>
        </w:tabs>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tabs>
          <w:tab w:val="left" w:pos="851"/>
        </w:tabs>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3.2.2.2) </w:t>
      </w:r>
      <w:r w:rsidR="00D1648F" w:rsidRPr="00D72494">
        <w:rPr>
          <w:rFonts w:ascii="Calibri" w:eastAsia="Times New Roman" w:hAnsi="Calibri" w:cs="Arial"/>
          <w:bCs/>
          <w:color w:val="000000" w:themeColor="text1"/>
          <w:sz w:val="24"/>
          <w:szCs w:val="24"/>
          <w:highlight w:val="yellow"/>
          <w:lang w:val="en-US"/>
        </w:rPr>
        <w:t xml:space="preserve">Prepare working solution I by adding 50 </w:t>
      </w:r>
      <w:r w:rsidR="002C1016">
        <w:rPr>
          <w:rFonts w:ascii="Calibri" w:eastAsia="Times New Roman" w:hAnsi="Calibri" w:cs="Arial"/>
          <w:bCs/>
          <w:color w:val="000000" w:themeColor="text1"/>
          <w:sz w:val="24"/>
          <w:szCs w:val="24"/>
          <w:highlight w:val="yellow"/>
          <w:lang w:val="en-US"/>
        </w:rPr>
        <w:t>&amp;#181;</w:t>
      </w:r>
      <w:r w:rsidR="00D1648F" w:rsidRPr="00D72494">
        <w:rPr>
          <w:rFonts w:ascii="Calibri" w:eastAsia="Times New Roman" w:hAnsi="Calibri" w:cs="Arial"/>
          <w:bCs/>
          <w:color w:val="000000" w:themeColor="text1"/>
          <w:sz w:val="24"/>
          <w:szCs w:val="24"/>
          <w:highlight w:val="yellow"/>
          <w:lang w:val="en-US"/>
        </w:rPr>
        <w:t>l of substrate I into 10 ml of Solution I; mix thoroughly.</w:t>
      </w:r>
      <w:r w:rsidR="00D1648F">
        <w:rPr>
          <w:rFonts w:ascii="Calibri" w:eastAsia="Times New Roman" w:hAnsi="Calibri" w:cs="Arial"/>
          <w:bCs/>
          <w:color w:val="000000" w:themeColor="text1"/>
          <w:sz w:val="24"/>
          <w:szCs w:val="24"/>
          <w:highlight w:val="yellow"/>
          <w:lang w:val="en-US"/>
        </w:rPr>
        <w:t xml:space="preserve"> </w:t>
      </w:r>
      <w:r w:rsidR="00D1648F" w:rsidRPr="00D72494">
        <w:rPr>
          <w:rFonts w:ascii="Calibri" w:eastAsia="Times New Roman" w:hAnsi="Calibri" w:cs="Arial"/>
          <w:bCs/>
          <w:color w:val="000000" w:themeColor="text1"/>
          <w:sz w:val="24"/>
          <w:szCs w:val="24"/>
          <w:highlight w:val="yellow"/>
          <w:lang w:val="en-US"/>
        </w:rPr>
        <w:t xml:space="preserve">Add 300 </w:t>
      </w:r>
      <w:r w:rsidR="002C1016">
        <w:rPr>
          <w:rFonts w:ascii="Calibri" w:eastAsia="Times New Roman" w:hAnsi="Calibri" w:cs="Arial"/>
          <w:bCs/>
          <w:color w:val="000000" w:themeColor="text1"/>
          <w:sz w:val="24"/>
          <w:szCs w:val="24"/>
          <w:highlight w:val="yellow"/>
          <w:lang w:val="en-US"/>
        </w:rPr>
        <w:t>&amp;#181;</w:t>
      </w:r>
      <w:r w:rsidR="00D1648F" w:rsidRPr="00D72494">
        <w:rPr>
          <w:rFonts w:ascii="Calibri" w:eastAsia="Times New Roman" w:hAnsi="Calibri" w:cs="Arial"/>
          <w:bCs/>
          <w:color w:val="000000" w:themeColor="text1"/>
          <w:sz w:val="24"/>
          <w:szCs w:val="24"/>
          <w:highlight w:val="yellow"/>
          <w:lang w:val="en-US"/>
        </w:rPr>
        <w:t>l of working solution I into each 24 well.</w:t>
      </w:r>
    </w:p>
    <w:p w:rsidR="00D1648F" w:rsidRPr="00D72494" w:rsidRDefault="00D1648F" w:rsidP="00D72494">
      <w:pPr>
        <w:pStyle w:val="ListParagraph"/>
        <w:widowControl w:val="0"/>
        <w:tabs>
          <w:tab w:val="left" w:pos="851"/>
        </w:tabs>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tabs>
          <w:tab w:val="left" w:pos="851"/>
        </w:tabs>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3.2.2.3) </w:t>
      </w:r>
      <w:r w:rsidR="00D1648F" w:rsidRPr="00D72494">
        <w:rPr>
          <w:rFonts w:ascii="Calibri" w:eastAsia="Times New Roman" w:hAnsi="Calibri" w:cs="Arial"/>
          <w:bCs/>
          <w:color w:val="000000" w:themeColor="text1"/>
          <w:sz w:val="24"/>
          <w:szCs w:val="24"/>
          <w:highlight w:val="yellow"/>
          <w:lang w:val="en-US"/>
        </w:rPr>
        <w:t xml:space="preserve">Transfer the contents of each 24 well into 3 wells of a 96 white plate, 100 </w:t>
      </w:r>
      <w:r w:rsidR="002C1016">
        <w:rPr>
          <w:rFonts w:ascii="Calibri" w:eastAsia="Times New Roman" w:hAnsi="Calibri" w:cs="Arial"/>
          <w:bCs/>
          <w:color w:val="000000" w:themeColor="text1"/>
          <w:sz w:val="24"/>
          <w:szCs w:val="24"/>
          <w:highlight w:val="yellow"/>
          <w:lang w:val="en-US"/>
        </w:rPr>
        <w:t>&amp;#181;</w:t>
      </w:r>
      <w:r w:rsidR="00D1648F" w:rsidRPr="00D72494">
        <w:rPr>
          <w:rFonts w:ascii="Calibri" w:eastAsia="Times New Roman" w:hAnsi="Calibri" w:cs="Arial"/>
          <w:bCs/>
          <w:color w:val="000000" w:themeColor="text1"/>
          <w:sz w:val="24"/>
          <w:szCs w:val="24"/>
          <w:highlight w:val="yellow"/>
          <w:lang w:val="en-US"/>
        </w:rPr>
        <w:t>l each. Wait 10 min and measure Firefly luciferase in luminometer set for luminescence acquisition.</w:t>
      </w:r>
    </w:p>
    <w:p w:rsidR="00D1648F" w:rsidRPr="00D72494" w:rsidRDefault="00D1648F" w:rsidP="00D72494">
      <w:pPr>
        <w:pStyle w:val="ListParagraph"/>
        <w:widowControl w:val="0"/>
        <w:tabs>
          <w:tab w:val="left" w:pos="851"/>
        </w:tabs>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Default="0027638C" w:rsidP="0027638C">
      <w:pPr>
        <w:pStyle w:val="ListParagraph"/>
        <w:widowControl w:val="0"/>
        <w:tabs>
          <w:tab w:val="left" w:pos="851"/>
          <w:tab w:val="left" w:pos="1418"/>
        </w:tabs>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3.2.2.4) </w:t>
      </w:r>
      <w:r w:rsidR="00D1648F" w:rsidRPr="00D72494">
        <w:rPr>
          <w:rFonts w:ascii="Calibri" w:eastAsia="Times New Roman" w:hAnsi="Calibri" w:cs="Arial"/>
          <w:bCs/>
          <w:color w:val="000000" w:themeColor="text1"/>
          <w:sz w:val="24"/>
          <w:szCs w:val="24"/>
          <w:highlight w:val="yellow"/>
          <w:lang w:val="en-US"/>
        </w:rPr>
        <w:t xml:space="preserve">Prepare working solution II by adding 50 </w:t>
      </w:r>
      <w:r w:rsidR="002C1016">
        <w:rPr>
          <w:rFonts w:ascii="Calibri" w:eastAsia="Times New Roman" w:hAnsi="Calibri" w:cs="Arial"/>
          <w:bCs/>
          <w:color w:val="000000" w:themeColor="text1"/>
          <w:sz w:val="24"/>
          <w:szCs w:val="24"/>
          <w:highlight w:val="yellow"/>
          <w:lang w:val="en-US"/>
        </w:rPr>
        <w:t>&amp;#181;</w:t>
      </w:r>
      <w:r w:rsidR="00D1648F" w:rsidRPr="00D72494">
        <w:rPr>
          <w:rFonts w:ascii="Calibri" w:eastAsia="Times New Roman" w:hAnsi="Calibri" w:cs="Arial"/>
          <w:bCs/>
          <w:color w:val="000000" w:themeColor="text1"/>
          <w:sz w:val="24"/>
          <w:szCs w:val="24"/>
          <w:highlight w:val="yellow"/>
          <w:lang w:val="en-US"/>
        </w:rPr>
        <w:t>l of substrate II into 10 ml of solution II; mix thoroughly.</w:t>
      </w:r>
      <w:r w:rsidR="00D1648F">
        <w:rPr>
          <w:rFonts w:ascii="Calibri" w:eastAsia="Times New Roman" w:hAnsi="Calibri" w:cs="Arial"/>
          <w:bCs/>
          <w:color w:val="000000" w:themeColor="text1"/>
          <w:sz w:val="24"/>
          <w:szCs w:val="24"/>
          <w:highlight w:val="yellow"/>
          <w:lang w:val="en-US"/>
        </w:rPr>
        <w:t xml:space="preserve"> </w:t>
      </w:r>
      <w:r w:rsidR="00D1648F" w:rsidRPr="00D72494">
        <w:rPr>
          <w:rFonts w:ascii="Calibri" w:eastAsia="Times New Roman" w:hAnsi="Calibri" w:cs="Arial"/>
          <w:bCs/>
          <w:color w:val="000000" w:themeColor="text1"/>
          <w:sz w:val="24"/>
          <w:szCs w:val="24"/>
          <w:highlight w:val="yellow"/>
          <w:lang w:val="en-US"/>
        </w:rPr>
        <w:t xml:space="preserve">Add 100 </w:t>
      </w:r>
      <w:r w:rsidR="002C1016">
        <w:rPr>
          <w:rFonts w:ascii="Calibri" w:eastAsia="Times New Roman" w:hAnsi="Calibri" w:cs="Arial"/>
          <w:bCs/>
          <w:color w:val="000000" w:themeColor="text1"/>
          <w:sz w:val="24"/>
          <w:szCs w:val="24"/>
          <w:highlight w:val="yellow"/>
          <w:lang w:val="en-US"/>
        </w:rPr>
        <w:t>&amp;#181;</w:t>
      </w:r>
      <w:r w:rsidR="00D1648F" w:rsidRPr="00D72494">
        <w:rPr>
          <w:rFonts w:ascii="Calibri" w:eastAsia="Times New Roman" w:hAnsi="Calibri" w:cs="Arial"/>
          <w:bCs/>
          <w:color w:val="000000" w:themeColor="text1"/>
          <w:sz w:val="24"/>
          <w:szCs w:val="24"/>
          <w:highlight w:val="yellow"/>
          <w:lang w:val="en-US"/>
        </w:rPr>
        <w:t xml:space="preserve">l of working solution I into each 96 well already containing 100 </w:t>
      </w:r>
      <w:r w:rsidR="002C1016">
        <w:rPr>
          <w:rFonts w:ascii="Calibri" w:eastAsia="Times New Roman" w:hAnsi="Calibri" w:cs="Arial"/>
          <w:bCs/>
          <w:color w:val="000000" w:themeColor="text1"/>
          <w:sz w:val="24"/>
          <w:szCs w:val="24"/>
          <w:highlight w:val="yellow"/>
          <w:lang w:val="en-US"/>
        </w:rPr>
        <w:t>&amp;#181;</w:t>
      </w:r>
      <w:r w:rsidR="00D1648F" w:rsidRPr="00D72494">
        <w:rPr>
          <w:rFonts w:ascii="Calibri" w:eastAsia="Times New Roman" w:hAnsi="Calibri" w:cs="Arial"/>
          <w:bCs/>
          <w:color w:val="000000" w:themeColor="text1"/>
          <w:sz w:val="24"/>
          <w:szCs w:val="24"/>
          <w:highlight w:val="yellow"/>
          <w:lang w:val="en-US"/>
        </w:rPr>
        <w:t>l of working solution II.</w:t>
      </w:r>
    </w:p>
    <w:p w:rsidR="00D1648F" w:rsidRPr="00D72494" w:rsidRDefault="00D1648F" w:rsidP="00D72494">
      <w:pPr>
        <w:pStyle w:val="ListParagraph"/>
        <w:widowControl w:val="0"/>
        <w:tabs>
          <w:tab w:val="left" w:pos="851"/>
          <w:tab w:val="left" w:pos="1418"/>
        </w:tabs>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p>
    <w:p w:rsidR="00D1648F" w:rsidRPr="00D72494" w:rsidRDefault="0027638C" w:rsidP="0027638C">
      <w:pPr>
        <w:pStyle w:val="ListParagraph"/>
        <w:widowControl w:val="0"/>
        <w:tabs>
          <w:tab w:val="left" w:pos="851"/>
          <w:tab w:val="left" w:pos="1418"/>
        </w:tabs>
        <w:autoSpaceDE w:val="0"/>
        <w:autoSpaceDN w:val="0"/>
        <w:adjustRightInd w:val="0"/>
        <w:spacing w:after="0" w:line="240" w:lineRule="auto"/>
        <w:ind w:left="0"/>
        <w:jc w:val="both"/>
        <w:rPr>
          <w:rFonts w:ascii="Calibri" w:eastAsia="Times New Roman" w:hAnsi="Calibri" w:cs="Arial"/>
          <w:bCs/>
          <w:color w:val="000000" w:themeColor="text1"/>
          <w:sz w:val="24"/>
          <w:szCs w:val="24"/>
          <w:highlight w:val="yellow"/>
          <w:lang w:val="en-US"/>
        </w:rPr>
      </w:pPr>
      <w:r>
        <w:rPr>
          <w:rFonts w:ascii="Calibri" w:eastAsia="Times New Roman" w:hAnsi="Calibri" w:cs="Arial"/>
          <w:bCs/>
          <w:color w:val="000000" w:themeColor="text1"/>
          <w:sz w:val="24"/>
          <w:szCs w:val="24"/>
          <w:highlight w:val="yellow"/>
          <w:lang w:val="en-US"/>
        </w:rPr>
        <w:t xml:space="preserve">3.2.2.5) </w:t>
      </w:r>
      <w:r w:rsidR="00D1648F" w:rsidRPr="00D72494">
        <w:rPr>
          <w:rFonts w:ascii="Calibri" w:eastAsia="Times New Roman" w:hAnsi="Calibri" w:cs="Arial"/>
          <w:bCs/>
          <w:color w:val="000000" w:themeColor="text1"/>
          <w:sz w:val="24"/>
          <w:szCs w:val="24"/>
          <w:highlight w:val="yellow"/>
          <w:lang w:val="en-US"/>
        </w:rPr>
        <w:t>Wait 10 min and measure Renilla luciferase in luminometer set for luminescence acquisition.</w:t>
      </w:r>
      <w:r w:rsidR="00D1648F">
        <w:rPr>
          <w:rFonts w:ascii="Calibri" w:eastAsia="Times New Roman" w:hAnsi="Calibri" w:cs="Arial"/>
          <w:bCs/>
          <w:color w:val="000000" w:themeColor="text1"/>
          <w:sz w:val="24"/>
          <w:szCs w:val="24"/>
          <w:highlight w:val="yellow"/>
          <w:lang w:val="en-US"/>
        </w:rPr>
        <w:t xml:space="preserve"> </w:t>
      </w:r>
      <w:r w:rsidR="00D1648F" w:rsidRPr="00D72494">
        <w:rPr>
          <w:rFonts w:ascii="Calibri" w:eastAsia="Times New Roman" w:hAnsi="Calibri" w:cs="Arial"/>
          <w:bCs/>
          <w:color w:val="000000" w:themeColor="text1"/>
          <w:sz w:val="24"/>
          <w:szCs w:val="24"/>
          <w:highlight w:val="yellow"/>
          <w:lang w:val="en-US"/>
        </w:rPr>
        <w:t>Calculate the ratio of luminescence from the Firefly luciferase to the Renilla luciferase.</w:t>
      </w:r>
    </w:p>
    <w:p w:rsidR="00D1648F" w:rsidRPr="001A71C7" w:rsidRDefault="00D1648F" w:rsidP="002E7330">
      <w:pPr>
        <w:pStyle w:val="ListParagraph"/>
        <w:widowControl w:val="0"/>
        <w:autoSpaceDE w:val="0"/>
        <w:autoSpaceDN w:val="0"/>
        <w:adjustRightInd w:val="0"/>
        <w:spacing w:after="0" w:line="240" w:lineRule="auto"/>
        <w:ind w:left="0"/>
        <w:jc w:val="both"/>
        <w:rPr>
          <w:rFonts w:ascii="Calibri" w:eastAsia="Times New Roman" w:hAnsi="Calibri" w:cs="Arial"/>
          <w:color w:val="000000"/>
          <w:sz w:val="24"/>
          <w:szCs w:val="24"/>
          <w:lang w:val="en-US"/>
        </w:rPr>
      </w:pPr>
    </w:p>
    <w:p w:rsidR="00D1648F" w:rsidRPr="00716A27" w:rsidRDefault="00D1648F" w:rsidP="001D16F2">
      <w:pPr>
        <w:widowControl w:val="0"/>
        <w:autoSpaceDE w:val="0"/>
        <w:autoSpaceDN w:val="0"/>
        <w:adjustRightInd w:val="0"/>
        <w:spacing w:after="0" w:line="240" w:lineRule="auto"/>
        <w:jc w:val="both"/>
        <w:rPr>
          <w:rFonts w:ascii="Calibri" w:eastAsia="Times New Roman" w:hAnsi="Calibri" w:cs="Arial"/>
          <w:sz w:val="24"/>
          <w:szCs w:val="24"/>
          <w:lang w:val="en-US"/>
        </w:rPr>
      </w:pPr>
      <w:r w:rsidRPr="001D16F2">
        <w:rPr>
          <w:rFonts w:ascii="Calibri" w:eastAsia="Times New Roman" w:hAnsi="Calibri" w:cs="Arial"/>
          <w:b/>
          <w:color w:val="000000"/>
          <w:sz w:val="24"/>
          <w:szCs w:val="24"/>
          <w:lang w:val="en-US"/>
        </w:rPr>
        <w:t>REPRESENTATIVE RESULTS</w:t>
      </w:r>
      <w:r w:rsidRPr="001D16F2">
        <w:rPr>
          <w:rFonts w:ascii="Calibri" w:eastAsia="Times New Roman" w:hAnsi="Calibri" w:cs="Arial"/>
          <w:b/>
          <w:bCs/>
          <w:color w:val="000000"/>
          <w:sz w:val="24"/>
          <w:szCs w:val="24"/>
          <w:lang w:val="en-US"/>
        </w:rPr>
        <w:t xml:space="preserve">: </w:t>
      </w:r>
    </w:p>
    <w:p w:rsidR="00D1648F" w:rsidRDefault="00D1648F" w:rsidP="001D16F2">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r>
        <w:rPr>
          <w:rFonts w:ascii="Calibri" w:eastAsia="Times New Roman" w:hAnsi="Calibri" w:cs="Arial"/>
          <w:color w:val="000000" w:themeColor="text1"/>
          <w:sz w:val="24"/>
          <w:szCs w:val="24"/>
          <w:lang w:val="en-US"/>
        </w:rPr>
        <w:t xml:space="preserve">In Figure 1 is visualized the investigation and </w:t>
      </w:r>
      <w:r w:rsidRPr="00302B05">
        <w:rPr>
          <w:rFonts w:ascii="Calibri" w:eastAsia="Times New Roman" w:hAnsi="Calibri" w:cs="Arial"/>
          <w:color w:val="000000" w:themeColor="text1"/>
          <w:sz w:val="24"/>
          <w:szCs w:val="24"/>
          <w:lang w:val="en-US"/>
        </w:rPr>
        <w:t xml:space="preserve">quantification of hNSC differentiation </w:t>
      </w:r>
      <w:r>
        <w:rPr>
          <w:rFonts w:ascii="Calibri" w:eastAsia="Times New Roman" w:hAnsi="Calibri" w:cs="Arial"/>
          <w:color w:val="000000" w:themeColor="text1"/>
          <w:sz w:val="24"/>
          <w:szCs w:val="24"/>
          <w:lang w:val="en-US"/>
        </w:rPr>
        <w:t xml:space="preserve">on 3D scaffolds </w:t>
      </w:r>
      <w:r w:rsidRPr="00302B05">
        <w:rPr>
          <w:rFonts w:ascii="Calibri" w:eastAsia="Times New Roman" w:hAnsi="Calibri" w:cs="Arial"/>
          <w:color w:val="000000" w:themeColor="text1"/>
          <w:sz w:val="24"/>
          <w:szCs w:val="24"/>
          <w:lang w:val="en-US"/>
        </w:rPr>
        <w:t>compared with traditi</w:t>
      </w:r>
      <w:r>
        <w:rPr>
          <w:rFonts w:ascii="Calibri" w:eastAsia="Times New Roman" w:hAnsi="Calibri" w:cs="Arial"/>
          <w:color w:val="000000" w:themeColor="text1"/>
          <w:sz w:val="24"/>
          <w:szCs w:val="24"/>
          <w:lang w:val="en-US"/>
        </w:rPr>
        <w:t>onal flat surface cultures (2D)</w:t>
      </w:r>
      <w:r w:rsidRPr="00302B05">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and expressed</w:t>
      </w:r>
      <w:r w:rsidRPr="00302B05">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as</w:t>
      </w:r>
      <w:r w:rsidRPr="00302B05">
        <w:rPr>
          <w:rFonts w:ascii="Calibri" w:eastAsia="Times New Roman" w:hAnsi="Calibri" w:cs="Arial"/>
          <w:color w:val="000000" w:themeColor="text1"/>
          <w:sz w:val="24"/>
          <w:szCs w:val="24"/>
          <w:lang w:val="en-US"/>
        </w:rPr>
        <w:t xml:space="preserve"> axo</w:t>
      </w:r>
      <w:r>
        <w:rPr>
          <w:rFonts w:ascii="Calibri" w:eastAsia="Times New Roman" w:hAnsi="Calibri" w:cs="Arial"/>
          <w:color w:val="000000" w:themeColor="text1"/>
          <w:sz w:val="24"/>
          <w:szCs w:val="24"/>
          <w:lang w:val="en-US"/>
        </w:rPr>
        <w:t>n process outgrowth measurements. In Figure 2</w:t>
      </w:r>
      <w:r w:rsidRPr="002F50D3">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is represented</w:t>
      </w:r>
      <w:r w:rsidRPr="00302B05">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the workflow and the results for the miRNA quantification using s</w:t>
      </w:r>
      <w:r w:rsidRPr="00302B05">
        <w:rPr>
          <w:rFonts w:ascii="Calibri" w:eastAsia="Times New Roman" w:hAnsi="Calibri" w:cs="Arial"/>
          <w:color w:val="000000" w:themeColor="text1"/>
          <w:sz w:val="24"/>
          <w:szCs w:val="24"/>
          <w:lang w:val="en-US"/>
        </w:rPr>
        <w:t xml:space="preserve">tem cells and developmental pathways focused miRNA PCR array  to investigate differential expression </w:t>
      </w:r>
      <w:r>
        <w:rPr>
          <w:rFonts w:ascii="Calibri" w:eastAsia="Times New Roman" w:hAnsi="Calibri" w:cs="Arial"/>
          <w:color w:val="000000" w:themeColor="text1"/>
          <w:sz w:val="24"/>
          <w:szCs w:val="24"/>
          <w:lang w:val="en-US"/>
        </w:rPr>
        <w:t>of miRNAs in</w:t>
      </w:r>
      <w:r w:rsidRPr="00302B05">
        <w:rPr>
          <w:rFonts w:ascii="Calibri" w:eastAsia="Times New Roman" w:hAnsi="Calibri" w:cs="Arial"/>
          <w:color w:val="000000" w:themeColor="text1"/>
          <w:sz w:val="24"/>
          <w:szCs w:val="24"/>
          <w:lang w:val="en-US"/>
        </w:rPr>
        <w:t xml:space="preserve"> 2D and 3D differentiat</w:t>
      </w:r>
      <w:r>
        <w:rPr>
          <w:rFonts w:ascii="Calibri" w:eastAsia="Times New Roman" w:hAnsi="Calibri" w:cs="Arial"/>
          <w:color w:val="000000" w:themeColor="text1"/>
          <w:sz w:val="24"/>
          <w:szCs w:val="24"/>
          <w:lang w:val="en-US"/>
        </w:rPr>
        <w:t>ed</w:t>
      </w:r>
      <w:r w:rsidRPr="00E00B02">
        <w:rPr>
          <w:rFonts w:ascii="Calibri" w:eastAsia="Times New Roman" w:hAnsi="Calibri" w:cs="Arial"/>
          <w:color w:val="000000" w:themeColor="text1"/>
          <w:sz w:val="24"/>
          <w:szCs w:val="24"/>
          <w:lang w:val="en-US"/>
        </w:rPr>
        <w:t xml:space="preserve"> </w:t>
      </w:r>
      <w:r w:rsidRPr="00302B05">
        <w:rPr>
          <w:rFonts w:ascii="Calibri" w:eastAsia="Times New Roman" w:hAnsi="Calibri" w:cs="Arial"/>
          <w:color w:val="000000" w:themeColor="text1"/>
          <w:sz w:val="24"/>
          <w:szCs w:val="24"/>
          <w:lang w:val="en-US"/>
        </w:rPr>
        <w:t>hNSC</w:t>
      </w:r>
      <w:r>
        <w:rPr>
          <w:rFonts w:ascii="Calibri" w:eastAsia="Times New Roman" w:hAnsi="Calibri" w:cs="Arial"/>
          <w:color w:val="000000" w:themeColor="text1"/>
          <w:sz w:val="24"/>
          <w:szCs w:val="24"/>
          <w:lang w:val="en-US"/>
        </w:rPr>
        <w:t>s compared with undifferentiated control. Following miRNA comparative analysis between differentiated and undifferentiated hNSCs, and c</w:t>
      </w:r>
      <w:r w:rsidRPr="00662C87">
        <w:rPr>
          <w:rFonts w:ascii="Calibri" w:eastAsia="Times New Roman" w:hAnsi="Calibri" w:cs="Arial"/>
          <w:color w:val="000000" w:themeColor="text1"/>
          <w:sz w:val="24"/>
          <w:szCs w:val="24"/>
          <w:lang w:val="en-US"/>
        </w:rPr>
        <w:t>omputational analysis for target prediction</w:t>
      </w:r>
      <w:r>
        <w:rPr>
          <w:rFonts w:ascii="Calibri" w:eastAsia="Times New Roman" w:hAnsi="Calibri" w:cs="Arial"/>
          <w:color w:val="000000" w:themeColor="text1"/>
          <w:sz w:val="24"/>
          <w:szCs w:val="24"/>
          <w:lang w:val="en-US"/>
        </w:rPr>
        <w:t xml:space="preserve">, SOX5 and </w:t>
      </w:r>
      <w:r w:rsidRPr="00662C87">
        <w:rPr>
          <w:rFonts w:ascii="Calibri" w:eastAsia="Times New Roman" w:hAnsi="Calibri" w:cs="Arial"/>
          <w:color w:val="000000" w:themeColor="text1"/>
          <w:sz w:val="24"/>
          <w:szCs w:val="24"/>
          <w:lang w:val="en-US"/>
        </w:rPr>
        <w:t>NR4A3 (NOR1)</w:t>
      </w:r>
      <w:r>
        <w:rPr>
          <w:rFonts w:ascii="Calibri" w:eastAsia="Times New Roman" w:hAnsi="Calibri" w:cs="Arial"/>
          <w:color w:val="000000" w:themeColor="text1"/>
          <w:sz w:val="24"/>
          <w:szCs w:val="24"/>
          <w:lang w:val="en-US"/>
        </w:rPr>
        <w:t xml:space="preserve"> were identified as putative target mRNAs. </w:t>
      </w:r>
      <w:r w:rsidRPr="00662C87">
        <w:rPr>
          <w:rFonts w:ascii="Calibri" w:eastAsia="Times New Roman" w:hAnsi="Calibri" w:cs="Arial"/>
          <w:color w:val="000000" w:themeColor="text1"/>
          <w:sz w:val="24"/>
          <w:szCs w:val="24"/>
          <w:lang w:val="en-US"/>
        </w:rPr>
        <w:t>To study the direct interaction between the miRNAs and their putative site on the 3’</w:t>
      </w:r>
      <w:r>
        <w:rPr>
          <w:rFonts w:ascii="Calibri" w:eastAsia="Times New Roman" w:hAnsi="Calibri" w:cs="Arial"/>
          <w:color w:val="000000" w:themeColor="text1"/>
          <w:sz w:val="24"/>
          <w:szCs w:val="24"/>
          <w:lang w:val="en-US"/>
        </w:rPr>
        <w:t xml:space="preserve"> </w:t>
      </w:r>
      <w:r w:rsidRPr="00662C87">
        <w:rPr>
          <w:rFonts w:ascii="Calibri" w:eastAsia="Times New Roman" w:hAnsi="Calibri" w:cs="Arial"/>
          <w:color w:val="000000" w:themeColor="text1"/>
          <w:sz w:val="24"/>
          <w:szCs w:val="24"/>
          <w:lang w:val="en-US"/>
        </w:rPr>
        <w:t xml:space="preserve">UTR </w:t>
      </w:r>
      <w:r>
        <w:rPr>
          <w:rFonts w:ascii="Calibri" w:eastAsia="Times New Roman" w:hAnsi="Calibri" w:cs="Arial"/>
          <w:color w:val="000000" w:themeColor="text1"/>
          <w:sz w:val="24"/>
          <w:szCs w:val="24"/>
          <w:lang w:val="en-US"/>
        </w:rPr>
        <w:t xml:space="preserve">mRNA </w:t>
      </w:r>
      <w:r w:rsidRPr="00662C87">
        <w:rPr>
          <w:rFonts w:ascii="Calibri" w:eastAsia="Times New Roman" w:hAnsi="Calibri" w:cs="Arial"/>
          <w:color w:val="000000" w:themeColor="text1"/>
          <w:sz w:val="24"/>
          <w:szCs w:val="24"/>
          <w:lang w:val="en-US"/>
        </w:rPr>
        <w:t>we used 2 commercially available plasmids containing either SOX5 or NR4A3 3</w:t>
      </w:r>
      <w:r>
        <w:rPr>
          <w:rFonts w:ascii="Calibri" w:eastAsia="Times New Roman" w:hAnsi="Calibri" w:cs="Arial"/>
          <w:color w:val="000000" w:themeColor="text1"/>
          <w:sz w:val="24"/>
          <w:szCs w:val="24"/>
          <w:lang w:val="en-US"/>
        </w:rPr>
        <w:t xml:space="preserve"> </w:t>
      </w:r>
      <w:r w:rsidRPr="00662C87">
        <w:rPr>
          <w:rFonts w:ascii="Calibri" w:eastAsia="Times New Roman" w:hAnsi="Calibri" w:cs="Arial"/>
          <w:color w:val="000000" w:themeColor="text1"/>
          <w:sz w:val="24"/>
          <w:szCs w:val="24"/>
          <w:lang w:val="en-US"/>
        </w:rPr>
        <w:t xml:space="preserve">′UTR </w:t>
      </w:r>
      <w:r>
        <w:rPr>
          <w:rFonts w:ascii="Calibri" w:eastAsia="Times New Roman" w:hAnsi="Calibri" w:cs="Arial"/>
          <w:color w:val="000000" w:themeColor="text1"/>
          <w:sz w:val="24"/>
          <w:szCs w:val="24"/>
          <w:lang w:val="en-US"/>
        </w:rPr>
        <w:t xml:space="preserve">sequence </w:t>
      </w:r>
      <w:r w:rsidRPr="00662C87">
        <w:rPr>
          <w:rFonts w:ascii="Calibri" w:eastAsia="Times New Roman" w:hAnsi="Calibri" w:cs="Arial"/>
          <w:color w:val="000000" w:themeColor="text1"/>
          <w:sz w:val="24"/>
          <w:szCs w:val="24"/>
          <w:lang w:val="en-US"/>
        </w:rPr>
        <w:t xml:space="preserve">inserted downstream of the firefly luciferase reporter gene, and </w:t>
      </w:r>
      <w:r>
        <w:rPr>
          <w:rFonts w:ascii="Calibri" w:eastAsia="Times New Roman" w:hAnsi="Calibri" w:cs="Arial"/>
          <w:color w:val="000000" w:themeColor="text1"/>
          <w:sz w:val="24"/>
          <w:szCs w:val="24"/>
          <w:lang w:val="en-US"/>
        </w:rPr>
        <w:t xml:space="preserve">containing in the same plasmid </w:t>
      </w:r>
      <w:r w:rsidRPr="00662C87">
        <w:rPr>
          <w:rFonts w:ascii="Calibri" w:eastAsia="Times New Roman" w:hAnsi="Calibri" w:cs="Arial"/>
          <w:color w:val="000000" w:themeColor="text1"/>
          <w:sz w:val="24"/>
          <w:szCs w:val="24"/>
          <w:lang w:val="en-US"/>
        </w:rPr>
        <w:t xml:space="preserve">renilla luciferase gene for normalization. </w:t>
      </w:r>
      <w:r>
        <w:rPr>
          <w:rFonts w:ascii="Calibri" w:eastAsia="Times New Roman" w:hAnsi="Calibri" w:cs="Arial"/>
          <w:color w:val="000000" w:themeColor="text1"/>
          <w:sz w:val="24"/>
          <w:szCs w:val="24"/>
          <w:lang w:val="en-US"/>
        </w:rPr>
        <w:t xml:space="preserve">The </w:t>
      </w:r>
      <w:r>
        <w:rPr>
          <w:rFonts w:ascii="Calibri" w:eastAsia="Times New Roman" w:hAnsi="Calibri" w:cs="Arial"/>
          <w:color w:val="000000" w:themeColor="text1"/>
          <w:sz w:val="24"/>
          <w:szCs w:val="24"/>
          <w:lang w:val="en-US"/>
        </w:rPr>
        <w:lastRenderedPageBreak/>
        <w:t xml:space="preserve">representative results of </w:t>
      </w:r>
      <w:r w:rsidRPr="00662C87">
        <w:rPr>
          <w:rFonts w:ascii="Calibri" w:eastAsia="Times New Roman" w:hAnsi="Calibri" w:cs="Arial"/>
          <w:color w:val="000000" w:themeColor="text1"/>
          <w:sz w:val="24"/>
          <w:szCs w:val="24"/>
          <w:lang w:val="en-US"/>
        </w:rPr>
        <w:t xml:space="preserve">3’ UTR luciferase activity </w:t>
      </w:r>
      <w:r>
        <w:rPr>
          <w:rFonts w:ascii="Calibri" w:eastAsia="Times New Roman" w:hAnsi="Calibri" w:cs="Arial"/>
          <w:color w:val="000000" w:themeColor="text1"/>
          <w:sz w:val="24"/>
          <w:szCs w:val="24"/>
          <w:lang w:val="en-US"/>
        </w:rPr>
        <w:t>down-regulation is presented in Figure 3.</w:t>
      </w:r>
    </w:p>
    <w:p w:rsidR="00D1648F" w:rsidRPr="00302B05" w:rsidRDefault="00D1648F" w:rsidP="00716A27">
      <w:pPr>
        <w:widowControl w:val="0"/>
        <w:autoSpaceDE w:val="0"/>
        <w:autoSpaceDN w:val="0"/>
        <w:adjustRightInd w:val="0"/>
        <w:spacing w:after="0" w:line="240" w:lineRule="auto"/>
        <w:rPr>
          <w:rFonts w:ascii="Calibri" w:eastAsia="Times New Roman" w:hAnsi="Calibri" w:cs="Arial"/>
          <w:color w:val="000000" w:themeColor="text1"/>
          <w:sz w:val="24"/>
          <w:szCs w:val="24"/>
          <w:lang w:val="en-US"/>
        </w:rPr>
      </w:pPr>
    </w:p>
    <w:p w:rsidR="00D1648F" w:rsidRPr="008D524A" w:rsidRDefault="00D1648F" w:rsidP="004F435A">
      <w:pPr>
        <w:widowControl w:val="0"/>
        <w:autoSpaceDE w:val="0"/>
        <w:autoSpaceDN w:val="0"/>
        <w:adjustRightInd w:val="0"/>
        <w:spacing w:after="0" w:line="240" w:lineRule="auto"/>
        <w:rPr>
          <w:rFonts w:ascii="Calibri" w:eastAsia="Times New Roman" w:hAnsi="Calibri" w:cs="Arial"/>
          <w:color w:val="000000" w:themeColor="text1"/>
          <w:sz w:val="24"/>
          <w:szCs w:val="24"/>
          <w:lang w:val="en-US"/>
        </w:rPr>
      </w:pPr>
      <w:r w:rsidRPr="004F435A">
        <w:rPr>
          <w:rFonts w:ascii="Calibri" w:eastAsia="Times New Roman" w:hAnsi="Calibri" w:cs="Arial"/>
          <w:b/>
          <w:color w:val="000000" w:themeColor="text1"/>
          <w:sz w:val="24"/>
          <w:szCs w:val="24"/>
          <w:lang w:val="en-US"/>
        </w:rPr>
        <w:t xml:space="preserve">Figure </w:t>
      </w:r>
      <w:r>
        <w:rPr>
          <w:rFonts w:ascii="Calibri" w:eastAsia="Times New Roman" w:hAnsi="Calibri" w:cs="Arial"/>
          <w:b/>
          <w:color w:val="000000" w:themeColor="text1"/>
          <w:sz w:val="24"/>
          <w:szCs w:val="24"/>
          <w:lang w:val="en-US"/>
        </w:rPr>
        <w:t>1</w:t>
      </w:r>
      <w:r w:rsidRPr="004F435A">
        <w:rPr>
          <w:rFonts w:ascii="Calibri" w:eastAsia="Times New Roman" w:hAnsi="Calibri" w:cs="Arial"/>
          <w:b/>
          <w:color w:val="000000" w:themeColor="text1"/>
          <w:sz w:val="24"/>
          <w:szCs w:val="24"/>
          <w:lang w:val="en-US"/>
        </w:rPr>
        <w:t>:</w:t>
      </w:r>
      <w:r>
        <w:rPr>
          <w:rFonts w:ascii="Calibri" w:eastAsia="Times New Roman" w:hAnsi="Calibri" w:cs="Arial"/>
          <w:b/>
          <w:color w:val="000000" w:themeColor="text1"/>
          <w:sz w:val="24"/>
          <w:szCs w:val="24"/>
          <w:lang w:val="en-US"/>
        </w:rPr>
        <w:t xml:space="preserve"> Differentiation of hNSCs on 3D scaffolds, and measurement of </w:t>
      </w:r>
      <w:r w:rsidRPr="00A378D6">
        <w:rPr>
          <w:rFonts w:ascii="Calibri" w:eastAsia="Times New Roman" w:hAnsi="Calibri" w:cs="Arial"/>
          <w:b/>
          <w:color w:val="000000" w:themeColor="text1"/>
          <w:sz w:val="24"/>
          <w:szCs w:val="24"/>
          <w:lang w:val="en-US"/>
        </w:rPr>
        <w:t>axon process</w:t>
      </w:r>
      <w:r>
        <w:rPr>
          <w:rFonts w:ascii="Calibri" w:eastAsia="Times New Roman" w:hAnsi="Calibri" w:cs="Arial"/>
          <w:b/>
          <w:color w:val="000000" w:themeColor="text1"/>
          <w:sz w:val="24"/>
          <w:szCs w:val="24"/>
          <w:lang w:val="en-US"/>
        </w:rPr>
        <w:t>es</w:t>
      </w:r>
      <w:r w:rsidRPr="00A378D6">
        <w:rPr>
          <w:rFonts w:ascii="Calibri" w:eastAsia="Times New Roman" w:hAnsi="Calibri" w:cs="Arial"/>
          <w:b/>
          <w:color w:val="000000" w:themeColor="text1"/>
          <w:sz w:val="24"/>
          <w:szCs w:val="24"/>
          <w:lang w:val="en-US"/>
        </w:rPr>
        <w:t xml:space="preserve"> outgrowth</w:t>
      </w:r>
      <w:r>
        <w:rPr>
          <w:rFonts w:ascii="Calibri" w:eastAsia="Times New Roman" w:hAnsi="Calibri" w:cs="Arial"/>
          <w:b/>
          <w:color w:val="000000" w:themeColor="text1"/>
          <w:sz w:val="24"/>
          <w:szCs w:val="24"/>
          <w:lang w:val="en-US"/>
        </w:rPr>
        <w:t>. A</w:t>
      </w:r>
      <w:r w:rsidRPr="00CD232E">
        <w:rPr>
          <w:rFonts w:ascii="Calibri" w:eastAsia="Times New Roman" w:hAnsi="Calibri" w:cs="Arial"/>
          <w:b/>
          <w:color w:val="000000" w:themeColor="text1"/>
          <w:sz w:val="24"/>
          <w:szCs w:val="24"/>
          <w:lang w:val="en-US"/>
        </w:rPr>
        <w:t>)</w:t>
      </w:r>
      <w:r>
        <w:rPr>
          <w:rFonts w:ascii="Calibri" w:eastAsia="Times New Roman" w:hAnsi="Calibri" w:cs="Arial"/>
          <w:color w:val="000000" w:themeColor="text1"/>
          <w:sz w:val="24"/>
          <w:szCs w:val="24"/>
          <w:lang w:val="en-US"/>
        </w:rPr>
        <w:t xml:space="preserve"> Following standard ICC staining for </w:t>
      </w:r>
      <w:r w:rsidRPr="00683586">
        <w:rPr>
          <w:rFonts w:ascii="Calibri" w:eastAsia="Times New Roman" w:hAnsi="Calibri" w:cs="Arial"/>
          <w:color w:val="000000" w:themeColor="text1"/>
          <w:sz w:val="24"/>
          <w:szCs w:val="24"/>
          <w:lang w:val="en-US"/>
        </w:rPr>
        <w:t>β3-tubulin</w:t>
      </w:r>
      <w:r>
        <w:rPr>
          <w:rFonts w:ascii="Calibri" w:eastAsia="Times New Roman" w:hAnsi="Calibri" w:cs="Arial"/>
          <w:color w:val="000000" w:themeColor="text1"/>
          <w:sz w:val="24"/>
          <w:szCs w:val="24"/>
          <w:lang w:val="en-US"/>
        </w:rPr>
        <w:t xml:space="preserve"> (green) and nuclei counterstained with </w:t>
      </w:r>
      <w:r w:rsidRPr="00683586">
        <w:rPr>
          <w:rFonts w:ascii="Calibri" w:eastAsia="Times New Roman" w:hAnsi="Calibri" w:cs="Arial"/>
          <w:color w:val="000000" w:themeColor="text1"/>
          <w:sz w:val="24"/>
          <w:szCs w:val="24"/>
          <w:lang w:val="en-US"/>
        </w:rPr>
        <w:t>Hoechst</w:t>
      </w:r>
      <w:r>
        <w:rPr>
          <w:rFonts w:ascii="Calibri" w:eastAsia="Times New Roman" w:hAnsi="Calibri" w:cs="Arial"/>
          <w:color w:val="000000" w:themeColor="text1"/>
          <w:sz w:val="24"/>
          <w:szCs w:val="24"/>
          <w:lang w:val="en-US"/>
        </w:rPr>
        <w:t xml:space="preserve"> (blue) representative </w:t>
      </w:r>
      <w:r w:rsidRPr="00683586">
        <w:rPr>
          <w:rFonts w:ascii="Calibri" w:eastAsia="Times New Roman" w:hAnsi="Calibri" w:cs="Arial"/>
          <w:color w:val="000000" w:themeColor="text1"/>
          <w:sz w:val="24"/>
          <w:szCs w:val="24"/>
          <w:lang w:val="en-US"/>
        </w:rPr>
        <w:t>microphotograph</w:t>
      </w:r>
      <w:r>
        <w:rPr>
          <w:rFonts w:ascii="Calibri" w:eastAsia="Times New Roman" w:hAnsi="Calibri" w:cs="Arial"/>
          <w:color w:val="000000" w:themeColor="text1"/>
          <w:sz w:val="24"/>
          <w:szCs w:val="24"/>
          <w:lang w:val="en-US"/>
        </w:rPr>
        <w:t xml:space="preserve">s were acquired and </w:t>
      </w:r>
      <w:r w:rsidRPr="00683586">
        <w:rPr>
          <w:rFonts w:ascii="Calibri" w:eastAsia="Times New Roman" w:hAnsi="Calibri" w:cs="Arial"/>
          <w:color w:val="000000" w:themeColor="text1"/>
          <w:sz w:val="24"/>
          <w:szCs w:val="24"/>
          <w:lang w:val="en-US"/>
        </w:rPr>
        <w:t>measurement of axon process</w:t>
      </w:r>
      <w:r>
        <w:rPr>
          <w:rFonts w:ascii="Calibri" w:eastAsia="Times New Roman" w:hAnsi="Calibri" w:cs="Arial"/>
          <w:color w:val="000000" w:themeColor="text1"/>
          <w:sz w:val="24"/>
          <w:szCs w:val="24"/>
          <w:lang w:val="en-US"/>
        </w:rPr>
        <w:t xml:space="preserve">es were performed with the aid of an image analysis software. </w:t>
      </w:r>
      <w:r>
        <w:rPr>
          <w:rFonts w:ascii="Calibri" w:eastAsia="Times New Roman" w:hAnsi="Calibri" w:cs="Arial"/>
          <w:b/>
          <w:color w:val="000000" w:themeColor="text1"/>
          <w:sz w:val="24"/>
          <w:szCs w:val="24"/>
          <w:lang w:val="en-US"/>
        </w:rPr>
        <w:t>B</w:t>
      </w:r>
      <w:r w:rsidRPr="00CD232E">
        <w:rPr>
          <w:rFonts w:ascii="Calibri" w:eastAsia="Times New Roman" w:hAnsi="Calibri" w:cs="Arial"/>
          <w:b/>
          <w:color w:val="000000" w:themeColor="text1"/>
          <w:sz w:val="24"/>
          <w:szCs w:val="24"/>
          <w:lang w:val="en-US"/>
        </w:rPr>
        <w:t>)</w:t>
      </w:r>
      <w:r>
        <w:rPr>
          <w:rFonts w:ascii="Calibri" w:eastAsia="Times New Roman" w:hAnsi="Calibri" w:cs="Arial"/>
          <w:color w:val="000000" w:themeColor="text1"/>
          <w:sz w:val="24"/>
          <w:szCs w:val="24"/>
          <w:lang w:val="en-US"/>
        </w:rPr>
        <w:t xml:space="preserve"> Diagrams reporting the </w:t>
      </w:r>
      <w:r w:rsidRPr="00683586">
        <w:rPr>
          <w:rFonts w:ascii="Calibri" w:eastAsia="Times New Roman" w:hAnsi="Calibri" w:cs="Arial"/>
          <w:color w:val="000000" w:themeColor="text1"/>
          <w:sz w:val="24"/>
          <w:szCs w:val="24"/>
          <w:lang w:val="en-US"/>
        </w:rPr>
        <w:t>measurement of axon process</w:t>
      </w:r>
      <w:r>
        <w:rPr>
          <w:rFonts w:ascii="Calibri" w:eastAsia="Times New Roman" w:hAnsi="Calibri" w:cs="Arial"/>
          <w:color w:val="000000" w:themeColor="text1"/>
          <w:sz w:val="24"/>
          <w:szCs w:val="24"/>
          <w:lang w:val="en-US"/>
        </w:rPr>
        <w:t xml:space="preserve"> outgrowth performed in 2D and 3D differentiated hNSCs for 1 (1W) or 3 weeks (3W).</w:t>
      </w:r>
    </w:p>
    <w:p w:rsidR="00D1648F" w:rsidRDefault="00D1648F" w:rsidP="004F435A">
      <w:pPr>
        <w:widowControl w:val="0"/>
        <w:autoSpaceDE w:val="0"/>
        <w:autoSpaceDN w:val="0"/>
        <w:adjustRightInd w:val="0"/>
        <w:spacing w:after="0" w:line="240" w:lineRule="auto"/>
        <w:rPr>
          <w:rFonts w:ascii="Calibri" w:eastAsia="Times New Roman" w:hAnsi="Calibri" w:cs="Arial"/>
          <w:color w:val="000000" w:themeColor="text1"/>
          <w:sz w:val="24"/>
          <w:szCs w:val="24"/>
          <w:lang w:val="en-US"/>
        </w:rPr>
      </w:pPr>
    </w:p>
    <w:p w:rsidR="00D1648F" w:rsidRPr="00302B05" w:rsidRDefault="00D1648F" w:rsidP="00186C83">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r w:rsidRPr="00EB590C">
        <w:rPr>
          <w:rFonts w:ascii="Calibri" w:eastAsia="Times New Roman" w:hAnsi="Calibri" w:cs="Arial"/>
          <w:b/>
          <w:color w:val="000000" w:themeColor="text1"/>
          <w:sz w:val="24"/>
          <w:szCs w:val="24"/>
          <w:lang w:val="en-US"/>
        </w:rPr>
        <w:t xml:space="preserve">Figure </w:t>
      </w:r>
      <w:r>
        <w:rPr>
          <w:rFonts w:ascii="Calibri" w:eastAsia="Times New Roman" w:hAnsi="Calibri" w:cs="Arial"/>
          <w:b/>
          <w:color w:val="000000" w:themeColor="text1"/>
          <w:sz w:val="24"/>
          <w:szCs w:val="24"/>
          <w:lang w:val="en-US"/>
        </w:rPr>
        <w:t>2</w:t>
      </w:r>
      <w:r w:rsidRPr="00EB590C">
        <w:rPr>
          <w:rFonts w:ascii="Calibri" w:eastAsia="Times New Roman" w:hAnsi="Calibri" w:cs="Arial"/>
          <w:b/>
          <w:color w:val="000000" w:themeColor="text1"/>
          <w:sz w:val="24"/>
          <w:szCs w:val="24"/>
          <w:lang w:val="en-US"/>
        </w:rPr>
        <w:t>:</w:t>
      </w:r>
      <w:r w:rsidRPr="00EB590C">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 xml:space="preserve"> </w:t>
      </w:r>
      <w:r w:rsidRPr="004F435A">
        <w:rPr>
          <w:rFonts w:ascii="Calibri" w:eastAsia="Times New Roman" w:hAnsi="Calibri" w:cs="Arial"/>
          <w:b/>
          <w:color w:val="000000" w:themeColor="text1"/>
          <w:sz w:val="24"/>
          <w:szCs w:val="24"/>
          <w:lang w:val="en-US"/>
        </w:rPr>
        <w:t>Schematic workflow of miRNA profiling in differentiated hNSCs.</w:t>
      </w:r>
      <w:r>
        <w:rPr>
          <w:rFonts w:ascii="Calibri" w:eastAsia="Times New Roman" w:hAnsi="Calibri" w:cs="Arial"/>
          <w:color w:val="000000" w:themeColor="text1"/>
          <w:sz w:val="24"/>
          <w:szCs w:val="24"/>
          <w:lang w:val="en-US"/>
        </w:rPr>
        <w:t xml:space="preserve"> Total RNA,</w:t>
      </w:r>
      <w:r w:rsidRPr="00186C83">
        <w:t xml:space="preserve"> </w:t>
      </w:r>
      <w:r w:rsidRPr="00186C83">
        <w:rPr>
          <w:rFonts w:ascii="Calibri" w:eastAsia="Times New Roman" w:hAnsi="Calibri" w:cs="Arial"/>
          <w:color w:val="000000" w:themeColor="text1"/>
          <w:sz w:val="24"/>
          <w:szCs w:val="24"/>
          <w:lang w:val="en-US"/>
        </w:rPr>
        <w:t xml:space="preserve">including </w:t>
      </w:r>
      <w:r>
        <w:rPr>
          <w:rFonts w:ascii="Calibri" w:eastAsia="Times New Roman" w:hAnsi="Calibri" w:cs="Arial"/>
          <w:color w:val="000000" w:themeColor="text1"/>
          <w:sz w:val="24"/>
          <w:szCs w:val="24"/>
          <w:lang w:val="en-US"/>
        </w:rPr>
        <w:t>mi</w:t>
      </w:r>
      <w:r w:rsidRPr="00186C83">
        <w:rPr>
          <w:rFonts w:ascii="Calibri" w:eastAsia="Times New Roman" w:hAnsi="Calibri" w:cs="Arial"/>
          <w:color w:val="000000" w:themeColor="text1"/>
          <w:sz w:val="24"/>
          <w:szCs w:val="24"/>
          <w:lang w:val="en-US"/>
        </w:rPr>
        <w:t>RNAs</w:t>
      </w:r>
      <w:r>
        <w:rPr>
          <w:rFonts w:ascii="Calibri" w:eastAsia="Times New Roman" w:hAnsi="Calibri" w:cs="Arial"/>
          <w:color w:val="000000" w:themeColor="text1"/>
          <w:sz w:val="24"/>
          <w:szCs w:val="24"/>
          <w:lang w:val="en-US"/>
        </w:rPr>
        <w:t xml:space="preserve">, was extracted from either differentiated hNSCs on 3D scaffolds and standard 2D cultures, or undifferentiated control.  250 ng of total RNA were retro-transcribed with a method that </w:t>
      </w:r>
      <w:r w:rsidRPr="00186C83">
        <w:rPr>
          <w:rFonts w:ascii="Calibri" w:eastAsia="Times New Roman" w:hAnsi="Calibri" w:cs="Arial"/>
          <w:color w:val="000000" w:themeColor="text1"/>
          <w:sz w:val="24"/>
          <w:szCs w:val="24"/>
          <w:lang w:val="en-US"/>
        </w:rPr>
        <w:t>facilitate</w:t>
      </w:r>
      <w:r>
        <w:rPr>
          <w:rFonts w:ascii="Calibri" w:eastAsia="Times New Roman" w:hAnsi="Calibri" w:cs="Arial"/>
          <w:color w:val="000000" w:themeColor="text1"/>
          <w:sz w:val="24"/>
          <w:szCs w:val="24"/>
          <w:lang w:val="en-US"/>
        </w:rPr>
        <w:t>s</w:t>
      </w:r>
      <w:r w:rsidRPr="00186C83">
        <w:rPr>
          <w:rFonts w:ascii="Calibri" w:eastAsia="Times New Roman" w:hAnsi="Calibri" w:cs="Arial"/>
          <w:color w:val="000000" w:themeColor="text1"/>
          <w:sz w:val="24"/>
          <w:szCs w:val="24"/>
          <w:lang w:val="en-US"/>
        </w:rPr>
        <w:t xml:space="preserve"> the</w:t>
      </w:r>
      <w:r>
        <w:rPr>
          <w:rFonts w:ascii="Calibri" w:eastAsia="Times New Roman" w:hAnsi="Calibri" w:cs="Arial"/>
          <w:color w:val="000000" w:themeColor="text1"/>
          <w:sz w:val="24"/>
          <w:szCs w:val="24"/>
          <w:lang w:val="en-US"/>
        </w:rPr>
        <w:t xml:space="preserve"> selective conversion of mature </w:t>
      </w:r>
      <w:r w:rsidRPr="00186C83">
        <w:rPr>
          <w:rFonts w:ascii="Calibri" w:eastAsia="Times New Roman" w:hAnsi="Calibri" w:cs="Arial"/>
          <w:color w:val="000000" w:themeColor="text1"/>
          <w:sz w:val="24"/>
          <w:szCs w:val="24"/>
          <w:lang w:val="en-US"/>
        </w:rPr>
        <w:t>miRNAs into cDNA</w:t>
      </w:r>
      <w:r>
        <w:rPr>
          <w:rFonts w:ascii="Calibri" w:eastAsia="Times New Roman" w:hAnsi="Calibri" w:cs="Arial"/>
          <w:color w:val="000000" w:themeColor="text1"/>
          <w:sz w:val="24"/>
          <w:szCs w:val="24"/>
          <w:lang w:val="en-US"/>
        </w:rPr>
        <w:t xml:space="preserve"> suitable for miRNA quantification with h</w:t>
      </w:r>
      <w:r w:rsidRPr="00186C83">
        <w:rPr>
          <w:rFonts w:ascii="Calibri" w:eastAsia="Times New Roman" w:hAnsi="Calibri" w:cs="Arial"/>
          <w:color w:val="000000" w:themeColor="text1"/>
          <w:sz w:val="24"/>
          <w:szCs w:val="24"/>
          <w:lang w:val="en-US"/>
        </w:rPr>
        <w:t xml:space="preserve">uman cell differentiation </w:t>
      </w:r>
      <w:r>
        <w:rPr>
          <w:rFonts w:ascii="Calibri" w:eastAsia="Times New Roman" w:hAnsi="Calibri" w:cs="Arial"/>
          <w:color w:val="000000" w:themeColor="text1"/>
          <w:sz w:val="24"/>
          <w:szCs w:val="24"/>
          <w:lang w:val="en-US"/>
        </w:rPr>
        <w:t xml:space="preserve">and </w:t>
      </w:r>
      <w:r w:rsidRPr="00186C83">
        <w:rPr>
          <w:rFonts w:ascii="Calibri" w:eastAsia="Times New Roman" w:hAnsi="Calibri" w:cs="Arial"/>
          <w:color w:val="000000" w:themeColor="text1"/>
          <w:sz w:val="24"/>
          <w:szCs w:val="24"/>
          <w:lang w:val="en-US"/>
        </w:rPr>
        <w:t>devel</w:t>
      </w:r>
      <w:r>
        <w:rPr>
          <w:rFonts w:ascii="Calibri" w:eastAsia="Times New Roman" w:hAnsi="Calibri" w:cs="Arial"/>
          <w:color w:val="000000" w:themeColor="text1"/>
          <w:sz w:val="24"/>
          <w:szCs w:val="24"/>
          <w:lang w:val="en-US"/>
        </w:rPr>
        <w:t xml:space="preserve">opment miScript miRNA PCR array. </w:t>
      </w:r>
      <w:r w:rsidRPr="00302B05">
        <w:rPr>
          <w:rFonts w:ascii="Calibri" w:eastAsia="Times New Roman" w:hAnsi="Calibri" w:cs="Arial"/>
          <w:color w:val="000000" w:themeColor="text1"/>
          <w:sz w:val="24"/>
          <w:szCs w:val="24"/>
          <w:lang w:val="en-US"/>
        </w:rPr>
        <w:t>The geo-mean of SNORD61, SNORD68, SNORD72, SNORD95, SNORD96A, and RNU6-2 was used for data analysis based on the 2</w:t>
      </w:r>
      <w:r w:rsidRPr="00C506A2">
        <w:rPr>
          <w:rFonts w:ascii="Calibri" w:eastAsia="Times New Roman" w:hAnsi="Calibri" w:cs="Arial"/>
          <w:color w:val="000000" w:themeColor="text1"/>
          <w:sz w:val="24"/>
          <w:szCs w:val="24"/>
          <w:vertAlign w:val="superscript"/>
          <w:lang w:val="en-US"/>
        </w:rPr>
        <w:t>-ΔΔct</w:t>
      </w:r>
      <w:r w:rsidRPr="00302B05">
        <w:rPr>
          <w:rFonts w:ascii="Calibri" w:eastAsia="Times New Roman" w:hAnsi="Calibri" w:cs="Arial"/>
          <w:color w:val="000000" w:themeColor="text1"/>
          <w:sz w:val="24"/>
          <w:szCs w:val="24"/>
          <w:lang w:val="en-US"/>
        </w:rPr>
        <w:t xml:space="preserve"> method. </w:t>
      </w:r>
      <w:r>
        <w:rPr>
          <w:rFonts w:ascii="Calibri" w:eastAsia="Times New Roman" w:hAnsi="Calibri" w:cs="Arial"/>
          <w:color w:val="000000" w:themeColor="text1"/>
          <w:sz w:val="24"/>
          <w:szCs w:val="24"/>
          <w:lang w:val="en-US"/>
        </w:rPr>
        <w:t>S</w:t>
      </w:r>
      <w:r w:rsidRPr="006053F2">
        <w:rPr>
          <w:rFonts w:ascii="Calibri" w:eastAsia="Times New Roman" w:hAnsi="Calibri" w:cs="Arial"/>
          <w:color w:val="000000" w:themeColor="text1"/>
          <w:sz w:val="24"/>
          <w:szCs w:val="24"/>
          <w:lang w:val="en-US"/>
        </w:rPr>
        <w:t>ignificant changes were defined as +/- 1.5 fold up and down regulation to a statistically significant extent.</w:t>
      </w:r>
      <w:r>
        <w:rPr>
          <w:rFonts w:ascii="Calibri" w:eastAsia="Times New Roman" w:hAnsi="Calibri" w:cs="Arial"/>
          <w:color w:val="000000" w:themeColor="text1"/>
          <w:sz w:val="24"/>
          <w:szCs w:val="24"/>
          <w:lang w:val="en-US"/>
        </w:rPr>
        <w:t xml:space="preserve"> Data were analyzed using w</w:t>
      </w:r>
      <w:r w:rsidRPr="00D16662">
        <w:rPr>
          <w:rFonts w:ascii="Calibri" w:eastAsia="Times New Roman" w:hAnsi="Calibri" w:cs="Arial"/>
          <w:color w:val="000000" w:themeColor="text1"/>
          <w:sz w:val="24"/>
          <w:szCs w:val="24"/>
          <w:lang w:val="en-US"/>
        </w:rPr>
        <w:t xml:space="preserve">eb-based software available at </w:t>
      </w:r>
      <w:hyperlink r:id="rId8" w:history="1">
        <w:r w:rsidRPr="001E2401">
          <w:rPr>
            <w:rStyle w:val="Hyperlink"/>
            <w:rFonts w:ascii="Calibri" w:eastAsia="Times New Roman" w:hAnsi="Calibri" w:cs="Arial"/>
            <w:sz w:val="24"/>
            <w:szCs w:val="24"/>
            <w:lang w:val="en-US"/>
          </w:rPr>
          <w:t>www.SABiosciences.com/pcrarraydataanalysis.php</w:t>
        </w:r>
      </w:hyperlink>
      <w:r w:rsidRPr="00D16662">
        <w:rPr>
          <w:rFonts w:ascii="Calibri" w:eastAsia="Times New Roman" w:hAnsi="Calibri" w:cs="Arial"/>
          <w:color w:val="000000" w:themeColor="text1"/>
          <w:sz w:val="24"/>
          <w:szCs w:val="24"/>
          <w:lang w:val="en-US"/>
        </w:rPr>
        <w:t>.</w:t>
      </w:r>
      <w:r>
        <w:rPr>
          <w:rFonts w:ascii="Calibri" w:eastAsia="Times New Roman" w:hAnsi="Calibri" w:cs="Arial"/>
          <w:color w:val="000000" w:themeColor="text1"/>
          <w:sz w:val="24"/>
          <w:szCs w:val="24"/>
          <w:lang w:val="en-US"/>
        </w:rPr>
        <w:t xml:space="preserve"> Results are expressed as a clustergram. Modified from figure 3</w:t>
      </w:r>
      <w:r w:rsidRPr="00905A76">
        <w:rPr>
          <w:rFonts w:ascii="Calibri" w:eastAsia="Times New Roman" w:hAnsi="Calibri" w:cs="Arial"/>
          <w:noProof/>
          <w:color w:val="000000" w:themeColor="text1"/>
          <w:sz w:val="24"/>
          <w:szCs w:val="24"/>
          <w:vertAlign w:val="superscript"/>
          <w:lang w:val="en-US"/>
        </w:rPr>
        <w:t>19</w:t>
      </w:r>
      <w:r>
        <w:rPr>
          <w:rFonts w:ascii="Calibri" w:eastAsia="Times New Roman" w:hAnsi="Calibri" w:cs="Arial"/>
          <w:color w:val="000000" w:themeColor="text1"/>
          <w:sz w:val="24"/>
          <w:szCs w:val="24"/>
          <w:lang w:val="en-US"/>
        </w:rPr>
        <w:t>.</w:t>
      </w:r>
    </w:p>
    <w:p w:rsidR="00D1648F" w:rsidRDefault="00D1648F" w:rsidP="00302B05">
      <w:pPr>
        <w:widowControl w:val="0"/>
        <w:autoSpaceDE w:val="0"/>
        <w:autoSpaceDN w:val="0"/>
        <w:adjustRightInd w:val="0"/>
        <w:spacing w:after="0" w:line="240" w:lineRule="auto"/>
        <w:jc w:val="both"/>
        <w:rPr>
          <w:rFonts w:ascii="Calibri" w:eastAsia="Times New Roman" w:hAnsi="Calibri" w:cs="Arial"/>
          <w:color w:val="808080"/>
          <w:sz w:val="24"/>
          <w:szCs w:val="24"/>
          <w:lang w:val="en-US"/>
        </w:rPr>
      </w:pPr>
    </w:p>
    <w:p w:rsidR="00D1648F" w:rsidRPr="003267E2" w:rsidRDefault="00D1648F" w:rsidP="001D16F2">
      <w:pPr>
        <w:widowControl w:val="0"/>
        <w:autoSpaceDE w:val="0"/>
        <w:autoSpaceDN w:val="0"/>
        <w:adjustRightInd w:val="0"/>
        <w:spacing w:after="0" w:line="240" w:lineRule="auto"/>
        <w:jc w:val="both"/>
        <w:rPr>
          <w:rFonts w:ascii="Calibri" w:eastAsia="Times New Roman" w:hAnsi="Calibri" w:cs="Arial"/>
          <w:color w:val="808080"/>
          <w:sz w:val="24"/>
          <w:szCs w:val="24"/>
          <w:lang w:val="en-US"/>
        </w:rPr>
      </w:pPr>
      <w:r>
        <w:rPr>
          <w:rFonts w:ascii="Calibri" w:eastAsia="Times New Roman" w:hAnsi="Calibri" w:cs="Arial"/>
          <w:b/>
          <w:color w:val="000000"/>
          <w:sz w:val="24"/>
          <w:szCs w:val="24"/>
          <w:lang w:val="en-US"/>
        </w:rPr>
        <w:t>Figure 3:</w:t>
      </w:r>
      <w:r w:rsidRPr="001D16F2">
        <w:rPr>
          <w:rFonts w:ascii="Calibri" w:eastAsia="Times New Roman" w:hAnsi="Calibri" w:cs="Arial"/>
          <w:color w:val="808080"/>
          <w:sz w:val="24"/>
          <w:szCs w:val="24"/>
          <w:lang w:val="en-US"/>
        </w:rPr>
        <w:t xml:space="preserve"> </w:t>
      </w:r>
      <w:r w:rsidRPr="003267E2">
        <w:rPr>
          <w:rFonts w:ascii="Calibri" w:eastAsia="Times New Roman" w:hAnsi="Calibri" w:cs="Arial"/>
          <w:b/>
          <w:color w:val="000000" w:themeColor="text1"/>
          <w:sz w:val="24"/>
          <w:szCs w:val="24"/>
          <w:lang w:val="en-US"/>
        </w:rPr>
        <w:t>Validation of miRNA target predicted mRNA</w:t>
      </w:r>
      <w:r>
        <w:rPr>
          <w:rFonts w:ascii="Calibri" w:eastAsia="Times New Roman" w:hAnsi="Calibri" w:cs="Arial"/>
          <w:b/>
          <w:color w:val="000000" w:themeColor="text1"/>
          <w:sz w:val="24"/>
          <w:szCs w:val="24"/>
          <w:lang w:val="en-US"/>
        </w:rPr>
        <w:t xml:space="preserve"> using a </w:t>
      </w:r>
      <w:r w:rsidRPr="00EF6053">
        <w:rPr>
          <w:rFonts w:ascii="Calibri" w:eastAsia="Times New Roman" w:hAnsi="Calibri" w:cs="Arial"/>
          <w:b/>
          <w:color w:val="000000" w:themeColor="text1"/>
          <w:sz w:val="24"/>
          <w:szCs w:val="24"/>
          <w:lang w:val="en-US"/>
        </w:rPr>
        <w:t>dual luciferase report assay.</w:t>
      </w:r>
      <w:r w:rsidRPr="00EF6053">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 xml:space="preserve"> </w:t>
      </w:r>
      <w:r w:rsidRPr="00CD232E">
        <w:rPr>
          <w:rFonts w:ascii="Calibri" w:eastAsia="Times New Roman" w:hAnsi="Calibri" w:cs="Arial"/>
          <w:b/>
          <w:color w:val="000000" w:themeColor="text1"/>
          <w:sz w:val="24"/>
          <w:szCs w:val="24"/>
          <w:lang w:val="en-US"/>
        </w:rPr>
        <w:t>A)</w:t>
      </w:r>
      <w:r>
        <w:rPr>
          <w:rFonts w:ascii="Calibri" w:eastAsia="Times New Roman" w:hAnsi="Calibri" w:cs="Arial"/>
          <w:color w:val="000000" w:themeColor="text1"/>
          <w:sz w:val="24"/>
          <w:szCs w:val="24"/>
          <w:lang w:val="en-US"/>
        </w:rPr>
        <w:t xml:space="preserve"> Representative diagram of a dual luciferase reporter plasmid used as a </w:t>
      </w:r>
      <w:r w:rsidRPr="00EF6053">
        <w:rPr>
          <w:rFonts w:ascii="Calibri" w:eastAsia="Times New Roman" w:hAnsi="Calibri" w:cs="Arial"/>
          <w:color w:val="000000" w:themeColor="text1"/>
          <w:sz w:val="24"/>
          <w:szCs w:val="24"/>
          <w:lang w:val="en-US"/>
        </w:rPr>
        <w:t xml:space="preserve">tool to validate </w:t>
      </w:r>
      <w:r>
        <w:rPr>
          <w:rFonts w:ascii="Calibri" w:eastAsia="Times New Roman" w:hAnsi="Calibri" w:cs="Arial"/>
          <w:color w:val="000000" w:themeColor="text1"/>
          <w:sz w:val="24"/>
          <w:szCs w:val="24"/>
          <w:lang w:val="en-US"/>
        </w:rPr>
        <w:t xml:space="preserve">3’UTR </w:t>
      </w:r>
      <w:r w:rsidRPr="00EF6053">
        <w:rPr>
          <w:rFonts w:ascii="Calibri" w:eastAsia="Times New Roman" w:hAnsi="Calibri" w:cs="Arial"/>
          <w:color w:val="000000" w:themeColor="text1"/>
          <w:sz w:val="24"/>
          <w:szCs w:val="24"/>
          <w:lang w:val="en-US"/>
        </w:rPr>
        <w:t>sequence as a direct target of a miRNA</w:t>
      </w:r>
      <w:r>
        <w:rPr>
          <w:rFonts w:ascii="Calibri" w:eastAsia="Times New Roman" w:hAnsi="Calibri" w:cs="Arial"/>
          <w:color w:val="000000" w:themeColor="text1"/>
          <w:sz w:val="24"/>
          <w:szCs w:val="24"/>
          <w:lang w:val="en-US"/>
        </w:rPr>
        <w:t>.</w:t>
      </w:r>
      <w:r w:rsidRPr="00EF6053">
        <w:rPr>
          <w:rFonts w:ascii="Calibri" w:eastAsia="Times New Roman" w:hAnsi="Calibri" w:cs="Arial"/>
          <w:color w:val="000000" w:themeColor="text1"/>
          <w:sz w:val="24"/>
          <w:szCs w:val="24"/>
          <w:lang w:val="en-US"/>
        </w:rPr>
        <w:t xml:space="preserve"> </w:t>
      </w:r>
      <w:r w:rsidRPr="00CD232E">
        <w:rPr>
          <w:rFonts w:ascii="Calibri" w:eastAsia="Times New Roman" w:hAnsi="Calibri" w:cs="Arial"/>
          <w:b/>
          <w:color w:val="000000" w:themeColor="text1"/>
          <w:sz w:val="24"/>
          <w:szCs w:val="24"/>
          <w:lang w:val="en-US"/>
        </w:rPr>
        <w:t>B)</w:t>
      </w:r>
      <w:r>
        <w:rPr>
          <w:rFonts w:ascii="Calibri" w:eastAsia="Times New Roman" w:hAnsi="Calibri" w:cs="Arial"/>
          <w:color w:val="000000" w:themeColor="text1"/>
          <w:sz w:val="24"/>
          <w:szCs w:val="24"/>
          <w:lang w:val="en-US"/>
        </w:rPr>
        <w:t xml:space="preserve"> Representative micrograph showing transfection efficiency.  </w:t>
      </w:r>
      <w:r w:rsidRPr="00CD232E">
        <w:rPr>
          <w:rFonts w:ascii="Calibri" w:eastAsia="Times New Roman" w:hAnsi="Calibri" w:cs="Arial"/>
          <w:b/>
          <w:color w:val="000000" w:themeColor="text1"/>
          <w:sz w:val="24"/>
          <w:szCs w:val="24"/>
          <w:lang w:val="en-US"/>
        </w:rPr>
        <w:t>C)</w:t>
      </w:r>
      <w:r>
        <w:rPr>
          <w:rFonts w:ascii="Calibri" w:eastAsia="Times New Roman" w:hAnsi="Calibri" w:cs="Arial"/>
          <w:color w:val="000000" w:themeColor="text1"/>
          <w:sz w:val="24"/>
          <w:szCs w:val="24"/>
          <w:lang w:val="en-US"/>
        </w:rPr>
        <w:t xml:space="preserve"> </w:t>
      </w:r>
      <w:r w:rsidRPr="00EF6053">
        <w:rPr>
          <w:rFonts w:ascii="Calibri" w:eastAsia="Times New Roman" w:hAnsi="Calibri" w:cs="Arial"/>
          <w:color w:val="000000" w:themeColor="text1"/>
          <w:sz w:val="24"/>
          <w:szCs w:val="24"/>
          <w:lang w:val="en-US"/>
        </w:rPr>
        <w:t>Signals</w:t>
      </w:r>
      <w:r>
        <w:rPr>
          <w:rFonts w:ascii="Calibri" w:eastAsia="Times New Roman" w:hAnsi="Calibri" w:cs="Arial"/>
          <w:color w:val="000000" w:themeColor="text1"/>
          <w:sz w:val="24"/>
          <w:szCs w:val="24"/>
          <w:lang w:val="en-US"/>
        </w:rPr>
        <w:t xml:space="preserve">, expressed as relative luciferase activity, </w:t>
      </w:r>
      <w:r w:rsidRPr="00EF6053">
        <w:rPr>
          <w:rFonts w:ascii="Calibri" w:eastAsia="Times New Roman" w:hAnsi="Calibri" w:cs="Arial"/>
          <w:color w:val="000000" w:themeColor="text1"/>
          <w:sz w:val="24"/>
          <w:szCs w:val="24"/>
          <w:lang w:val="en-US"/>
        </w:rPr>
        <w:t xml:space="preserve"> from human 3'UTR reporters </w:t>
      </w:r>
      <w:r>
        <w:rPr>
          <w:rFonts w:ascii="Calibri" w:eastAsia="Times New Roman" w:hAnsi="Calibri" w:cs="Arial"/>
          <w:color w:val="000000" w:themeColor="text1"/>
          <w:sz w:val="24"/>
          <w:szCs w:val="24"/>
          <w:lang w:val="en-US"/>
        </w:rPr>
        <w:t>of</w:t>
      </w:r>
      <w:r w:rsidRPr="00EF6053">
        <w:rPr>
          <w:rFonts w:ascii="Calibri" w:eastAsia="Times New Roman" w:hAnsi="Calibri" w:cs="Arial"/>
          <w:color w:val="000000" w:themeColor="text1"/>
          <w:sz w:val="24"/>
          <w:szCs w:val="24"/>
          <w:lang w:val="en-US"/>
        </w:rPr>
        <w:t xml:space="preserve"> </w:t>
      </w:r>
      <w:r w:rsidRPr="003267E2">
        <w:rPr>
          <w:rFonts w:ascii="Calibri" w:eastAsia="Times New Roman" w:hAnsi="Calibri" w:cs="Arial"/>
          <w:color w:val="000000" w:themeColor="text1"/>
          <w:sz w:val="24"/>
          <w:szCs w:val="24"/>
          <w:lang w:val="en-US"/>
        </w:rPr>
        <w:t xml:space="preserve">SOX5 and NR4A3 </w:t>
      </w:r>
      <w:r w:rsidRPr="00EF6053">
        <w:rPr>
          <w:rFonts w:ascii="Calibri" w:eastAsia="Times New Roman" w:hAnsi="Calibri" w:cs="Arial"/>
          <w:color w:val="000000" w:themeColor="text1"/>
          <w:sz w:val="24"/>
          <w:szCs w:val="24"/>
          <w:lang w:val="en-US"/>
        </w:rPr>
        <w:t xml:space="preserve">genes </w:t>
      </w:r>
      <w:r>
        <w:rPr>
          <w:rFonts w:ascii="Calibri" w:eastAsia="Times New Roman" w:hAnsi="Calibri" w:cs="Arial"/>
          <w:color w:val="000000" w:themeColor="text1"/>
          <w:sz w:val="24"/>
          <w:szCs w:val="24"/>
          <w:lang w:val="en-US"/>
        </w:rPr>
        <w:t>were</w:t>
      </w:r>
      <w:r w:rsidRPr="00EF6053">
        <w:rPr>
          <w:rFonts w:ascii="Calibri" w:eastAsia="Times New Roman" w:hAnsi="Calibri" w:cs="Arial"/>
          <w:color w:val="000000" w:themeColor="text1"/>
          <w:sz w:val="24"/>
          <w:szCs w:val="24"/>
          <w:lang w:val="en-US"/>
        </w:rPr>
        <w:t xml:space="preserve"> significantly knocked down in the presence of hsa-miR-96, and hsa-miR-7 and 17 </w:t>
      </w:r>
      <w:r>
        <w:rPr>
          <w:rFonts w:ascii="Calibri" w:eastAsia="Times New Roman" w:hAnsi="Calibri" w:cs="Arial"/>
          <w:color w:val="000000" w:themeColor="text1"/>
          <w:sz w:val="24"/>
          <w:szCs w:val="24"/>
          <w:lang w:val="en-US"/>
        </w:rPr>
        <w:t>mi</w:t>
      </w:r>
      <w:r w:rsidRPr="00EF6053">
        <w:rPr>
          <w:rFonts w:ascii="Calibri" w:eastAsia="Times New Roman" w:hAnsi="Calibri" w:cs="Arial"/>
          <w:color w:val="000000" w:themeColor="text1"/>
          <w:sz w:val="24"/>
          <w:szCs w:val="24"/>
          <w:lang w:val="en-US"/>
        </w:rPr>
        <w:t>RNA mimic</w:t>
      </w:r>
      <w:r>
        <w:rPr>
          <w:rFonts w:ascii="Calibri" w:eastAsia="Times New Roman" w:hAnsi="Calibri" w:cs="Arial"/>
          <w:color w:val="000000" w:themeColor="text1"/>
          <w:sz w:val="24"/>
          <w:szCs w:val="24"/>
          <w:lang w:val="en-US"/>
        </w:rPr>
        <w:t xml:space="preserve">s </w:t>
      </w:r>
      <w:r w:rsidRPr="00EF6053">
        <w:rPr>
          <w:rFonts w:ascii="Calibri" w:eastAsia="Times New Roman" w:hAnsi="Calibri" w:cs="Arial"/>
          <w:color w:val="000000" w:themeColor="text1"/>
          <w:sz w:val="24"/>
          <w:szCs w:val="24"/>
          <w:lang w:val="en-US"/>
        </w:rPr>
        <w:t>respectively</w:t>
      </w:r>
      <w:r>
        <w:rPr>
          <w:rFonts w:ascii="Calibri" w:eastAsia="Times New Roman" w:hAnsi="Calibri" w:cs="Arial"/>
          <w:color w:val="000000" w:themeColor="text1"/>
          <w:sz w:val="24"/>
          <w:szCs w:val="24"/>
          <w:lang w:val="en-US"/>
        </w:rPr>
        <w:t>.</w:t>
      </w:r>
      <w:r w:rsidRPr="00E41435">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 xml:space="preserve">Modified from figure 5 </w:t>
      </w:r>
      <w:r w:rsidRPr="00905A76">
        <w:rPr>
          <w:rFonts w:ascii="Calibri" w:eastAsia="Times New Roman" w:hAnsi="Calibri" w:cs="Arial"/>
          <w:noProof/>
          <w:color w:val="000000" w:themeColor="text1"/>
          <w:sz w:val="24"/>
          <w:szCs w:val="24"/>
          <w:vertAlign w:val="superscript"/>
          <w:lang w:val="en-US"/>
        </w:rPr>
        <w:t>19</w:t>
      </w:r>
      <w:r>
        <w:rPr>
          <w:rFonts w:ascii="Calibri" w:eastAsia="Times New Roman" w:hAnsi="Calibri" w:cs="Arial"/>
          <w:color w:val="000000" w:themeColor="text1"/>
          <w:sz w:val="24"/>
          <w:szCs w:val="24"/>
          <w:lang w:val="en-US"/>
        </w:rPr>
        <w:t>.</w:t>
      </w:r>
    </w:p>
    <w:p w:rsidR="00D1648F" w:rsidRDefault="00D1648F" w:rsidP="001D16F2">
      <w:pPr>
        <w:widowControl w:val="0"/>
        <w:autoSpaceDE w:val="0"/>
        <w:autoSpaceDN w:val="0"/>
        <w:adjustRightInd w:val="0"/>
        <w:spacing w:after="0" w:line="240" w:lineRule="auto"/>
        <w:jc w:val="both"/>
        <w:rPr>
          <w:rFonts w:ascii="Calibri" w:eastAsia="Times New Roman" w:hAnsi="Calibri" w:cs="Calibri"/>
          <w:color w:val="000000"/>
          <w:sz w:val="24"/>
          <w:szCs w:val="24"/>
          <w:lang w:val="en-US"/>
        </w:rPr>
      </w:pPr>
    </w:p>
    <w:p w:rsidR="00D1648F" w:rsidRDefault="00D1648F" w:rsidP="001D16F2">
      <w:pPr>
        <w:widowControl w:val="0"/>
        <w:autoSpaceDE w:val="0"/>
        <w:autoSpaceDN w:val="0"/>
        <w:adjustRightInd w:val="0"/>
        <w:spacing w:after="0" w:line="240" w:lineRule="auto"/>
        <w:jc w:val="both"/>
        <w:rPr>
          <w:rFonts w:ascii="Calibri" w:eastAsia="Times New Roman" w:hAnsi="Calibri" w:cs="Calibri"/>
          <w:color w:val="000000"/>
          <w:sz w:val="24"/>
          <w:szCs w:val="24"/>
          <w:lang w:val="en-US"/>
        </w:rPr>
      </w:pPr>
      <w:r w:rsidRPr="003F7A75">
        <w:rPr>
          <w:rFonts w:ascii="Calibri" w:eastAsia="Times New Roman" w:hAnsi="Calibri" w:cs="Calibri"/>
          <w:b/>
          <w:color w:val="000000"/>
          <w:sz w:val="24"/>
          <w:szCs w:val="24"/>
          <w:lang w:val="en-US"/>
        </w:rPr>
        <w:t xml:space="preserve">Table 1: </w:t>
      </w:r>
      <w:r w:rsidRPr="00F113C3">
        <w:rPr>
          <w:rFonts w:ascii="Calibri" w:eastAsia="Times New Roman" w:hAnsi="Calibri" w:cs="Calibri"/>
          <w:b/>
          <w:color w:val="000000"/>
          <w:sz w:val="24"/>
          <w:szCs w:val="24"/>
          <w:lang w:val="en-US"/>
        </w:rPr>
        <w:t>List of miRNA target prediction mRNAs</w:t>
      </w:r>
      <w:r w:rsidRPr="003F7A75">
        <w:rPr>
          <w:rFonts w:ascii="Calibri" w:eastAsia="Times New Roman" w:hAnsi="Calibri" w:cs="Calibri"/>
          <w:color w:val="000000"/>
          <w:sz w:val="24"/>
          <w:szCs w:val="24"/>
          <w:lang w:val="en-US"/>
        </w:rPr>
        <w:t xml:space="preserve">. </w:t>
      </w:r>
      <w:r>
        <w:rPr>
          <w:rFonts w:ascii="Calibri" w:eastAsia="Times New Roman" w:hAnsi="Calibri" w:cs="Calibri"/>
          <w:color w:val="000000"/>
          <w:sz w:val="24"/>
          <w:szCs w:val="24"/>
          <w:lang w:val="en-US"/>
        </w:rPr>
        <w:t>Representative table of m</w:t>
      </w:r>
      <w:r w:rsidRPr="003F7A75">
        <w:rPr>
          <w:rFonts w:ascii="Calibri" w:eastAsia="Times New Roman" w:hAnsi="Calibri" w:cs="Calibri"/>
          <w:color w:val="000000"/>
          <w:sz w:val="24"/>
          <w:szCs w:val="24"/>
          <w:lang w:val="en-US"/>
        </w:rPr>
        <w:t>iRNAs, target predictive genes</w:t>
      </w:r>
      <w:r>
        <w:rPr>
          <w:rFonts w:ascii="Calibri" w:eastAsia="Times New Roman" w:hAnsi="Calibri" w:cs="Calibri"/>
          <w:color w:val="000000"/>
          <w:sz w:val="24"/>
          <w:szCs w:val="24"/>
          <w:lang w:val="en-US"/>
        </w:rPr>
        <w:t>,</w:t>
      </w:r>
      <w:r w:rsidRPr="003F7A75">
        <w:rPr>
          <w:rFonts w:ascii="Calibri" w:eastAsia="Times New Roman" w:hAnsi="Calibri" w:cs="Calibri"/>
          <w:color w:val="000000"/>
          <w:sz w:val="24"/>
          <w:szCs w:val="24"/>
          <w:lang w:val="en-US"/>
        </w:rPr>
        <w:t xml:space="preserve"> </w:t>
      </w:r>
      <w:r>
        <w:rPr>
          <w:rFonts w:ascii="Calibri" w:eastAsia="Times New Roman" w:hAnsi="Calibri" w:cs="Calibri"/>
          <w:color w:val="000000"/>
          <w:sz w:val="24"/>
          <w:szCs w:val="24"/>
          <w:lang w:val="en-US"/>
        </w:rPr>
        <w:t xml:space="preserve">and </w:t>
      </w:r>
      <w:r w:rsidRPr="003F7A75">
        <w:rPr>
          <w:rFonts w:ascii="Calibri" w:eastAsia="Times New Roman" w:hAnsi="Calibri" w:cs="Calibri"/>
          <w:color w:val="000000"/>
          <w:sz w:val="24"/>
          <w:szCs w:val="24"/>
          <w:lang w:val="en-US"/>
        </w:rPr>
        <w:t xml:space="preserve">algorithms analysis </w:t>
      </w:r>
      <w:r>
        <w:rPr>
          <w:rFonts w:ascii="Calibri" w:eastAsia="Times New Roman" w:hAnsi="Calibri" w:cs="Calibri"/>
          <w:color w:val="000000"/>
          <w:sz w:val="24"/>
          <w:szCs w:val="24"/>
          <w:lang w:val="en-US"/>
        </w:rPr>
        <w:t>(</w:t>
      </w:r>
      <w:r w:rsidRPr="008270E7">
        <w:rPr>
          <w:rFonts w:ascii="Calibri" w:eastAsia="Times New Roman" w:hAnsi="Calibri" w:cs="Calibri"/>
          <w:color w:val="000000"/>
          <w:sz w:val="24"/>
          <w:szCs w:val="24"/>
          <w:lang w:val="en-US"/>
        </w:rPr>
        <w:t>pre</w:t>
      </w:r>
      <w:r>
        <w:rPr>
          <w:rFonts w:ascii="Calibri" w:eastAsia="Times New Roman" w:hAnsi="Calibri" w:cs="Calibri"/>
          <w:color w:val="000000"/>
          <w:sz w:val="24"/>
          <w:szCs w:val="24"/>
          <w:lang w:val="en-US"/>
        </w:rPr>
        <w:t>d</w:t>
      </w:r>
      <w:r w:rsidRPr="008270E7">
        <w:rPr>
          <w:rFonts w:ascii="Calibri" w:eastAsia="Times New Roman" w:hAnsi="Calibri" w:cs="Calibri"/>
          <w:color w:val="000000"/>
          <w:sz w:val="24"/>
          <w:szCs w:val="24"/>
          <w:lang w:val="en-US"/>
        </w:rPr>
        <w:t>iction/score/aggregate</w:t>
      </w:r>
      <w:r>
        <w:rPr>
          <w:rFonts w:ascii="Calibri" w:eastAsia="Times New Roman" w:hAnsi="Calibri" w:cs="Calibri"/>
          <w:color w:val="000000"/>
          <w:sz w:val="24"/>
          <w:szCs w:val="24"/>
          <w:lang w:val="en-US"/>
        </w:rPr>
        <w:t xml:space="preserve"> provided </w:t>
      </w:r>
      <w:r w:rsidRPr="003F7A75">
        <w:rPr>
          <w:rFonts w:ascii="Calibri" w:eastAsia="Times New Roman" w:hAnsi="Calibri" w:cs="Calibri"/>
          <w:color w:val="000000"/>
          <w:sz w:val="24"/>
          <w:szCs w:val="24"/>
          <w:lang w:val="en-US"/>
        </w:rPr>
        <w:t>using Diana Lab, PicTar, and TargetScan</w:t>
      </w:r>
      <w:r>
        <w:rPr>
          <w:rFonts w:ascii="Calibri" w:eastAsia="Times New Roman" w:hAnsi="Calibri" w:cs="Calibri"/>
          <w:color w:val="000000"/>
          <w:sz w:val="24"/>
          <w:szCs w:val="24"/>
          <w:lang w:val="en-US"/>
        </w:rPr>
        <w:t xml:space="preserve"> respectively)</w:t>
      </w:r>
      <w:r w:rsidRPr="003F7A75">
        <w:rPr>
          <w:rFonts w:ascii="Calibri" w:eastAsia="Times New Roman" w:hAnsi="Calibri" w:cs="Calibri"/>
          <w:color w:val="000000"/>
          <w:sz w:val="24"/>
          <w:szCs w:val="24"/>
          <w:lang w:val="en-US"/>
        </w:rPr>
        <w:t>.</w:t>
      </w:r>
      <w:r w:rsidRPr="00627871">
        <w:rPr>
          <w:rFonts w:ascii="Calibri" w:eastAsia="Times New Roman" w:hAnsi="Calibri" w:cs="Arial"/>
          <w:color w:val="000000" w:themeColor="text1"/>
          <w:sz w:val="24"/>
          <w:szCs w:val="24"/>
          <w:lang w:val="en-US"/>
        </w:rPr>
        <w:t xml:space="preserve"> </w:t>
      </w:r>
      <w:r>
        <w:rPr>
          <w:rFonts w:ascii="Calibri" w:eastAsia="Times New Roman" w:hAnsi="Calibri" w:cs="Arial"/>
          <w:color w:val="000000" w:themeColor="text1"/>
          <w:sz w:val="24"/>
          <w:szCs w:val="24"/>
          <w:lang w:val="en-US"/>
        </w:rPr>
        <w:t xml:space="preserve">Modified from table 3 </w:t>
      </w:r>
      <w:r w:rsidRPr="00905A76">
        <w:rPr>
          <w:rFonts w:ascii="Calibri" w:eastAsia="Times New Roman" w:hAnsi="Calibri" w:cs="Arial"/>
          <w:noProof/>
          <w:color w:val="000000" w:themeColor="text1"/>
          <w:sz w:val="24"/>
          <w:szCs w:val="24"/>
          <w:vertAlign w:val="superscript"/>
          <w:lang w:val="en-US"/>
        </w:rPr>
        <w:t>19</w:t>
      </w:r>
      <w:r>
        <w:rPr>
          <w:rFonts w:ascii="Calibri" w:eastAsia="Times New Roman" w:hAnsi="Calibri" w:cs="Arial"/>
          <w:color w:val="000000" w:themeColor="text1"/>
          <w:sz w:val="24"/>
          <w:szCs w:val="24"/>
          <w:lang w:val="en-US"/>
        </w:rPr>
        <w:t>.</w:t>
      </w:r>
    </w:p>
    <w:p w:rsidR="00D1648F" w:rsidRPr="003F7A75" w:rsidRDefault="00D1648F" w:rsidP="001D16F2">
      <w:pPr>
        <w:widowControl w:val="0"/>
        <w:autoSpaceDE w:val="0"/>
        <w:autoSpaceDN w:val="0"/>
        <w:adjustRightInd w:val="0"/>
        <w:spacing w:after="0" w:line="240" w:lineRule="auto"/>
        <w:jc w:val="both"/>
        <w:rPr>
          <w:rFonts w:ascii="Calibri" w:eastAsia="Times New Roman" w:hAnsi="Calibri" w:cs="Calibri"/>
          <w:color w:val="000000"/>
          <w:sz w:val="24"/>
          <w:szCs w:val="24"/>
          <w:lang w:val="en-US"/>
        </w:rPr>
      </w:pP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b/>
          <w:color w:val="000000"/>
          <w:sz w:val="24"/>
          <w:szCs w:val="24"/>
          <w:lang w:val="en-US"/>
        </w:rPr>
      </w:pPr>
      <w:r w:rsidRPr="001D16F2">
        <w:rPr>
          <w:rFonts w:ascii="Calibri" w:eastAsia="Times New Roman" w:hAnsi="Calibri" w:cs="Calibri"/>
          <w:b/>
          <w:color w:val="000000"/>
          <w:sz w:val="24"/>
          <w:szCs w:val="24"/>
          <w:lang w:val="en-US"/>
        </w:rPr>
        <w:t>DISCUSSION</w:t>
      </w:r>
      <w:r w:rsidRPr="001D16F2">
        <w:rPr>
          <w:rFonts w:ascii="Calibri" w:eastAsia="Times New Roman" w:hAnsi="Calibri" w:cs="Calibri"/>
          <w:b/>
          <w:bCs/>
          <w:color w:val="000000"/>
          <w:sz w:val="24"/>
          <w:szCs w:val="24"/>
          <w:lang w:val="en-US"/>
        </w:rPr>
        <w:t xml:space="preserve">: </w:t>
      </w:r>
    </w:p>
    <w:p w:rsidR="00D1648F" w:rsidRDefault="00D1648F" w:rsidP="00F5351F">
      <w:pPr>
        <w:widowControl w:val="0"/>
        <w:autoSpaceDE w:val="0"/>
        <w:autoSpaceDN w:val="0"/>
        <w:adjustRightInd w:val="0"/>
        <w:spacing w:after="0" w:line="240" w:lineRule="auto"/>
        <w:jc w:val="both"/>
        <w:rPr>
          <w:rFonts w:ascii="Calibri" w:eastAsia="Times New Roman" w:hAnsi="Calibri" w:cs="Calibri"/>
          <w:color w:val="000000" w:themeColor="text1"/>
          <w:sz w:val="24"/>
          <w:szCs w:val="24"/>
          <w:lang w:val="en-US"/>
        </w:rPr>
      </w:pPr>
      <w:r>
        <w:rPr>
          <w:rFonts w:ascii="Calibri" w:eastAsia="Times New Roman" w:hAnsi="Calibri" w:cs="Calibri"/>
          <w:color w:val="000000" w:themeColor="text1"/>
          <w:sz w:val="24"/>
          <w:szCs w:val="24"/>
          <w:lang w:val="en-US"/>
        </w:rPr>
        <w:t xml:space="preserve">The development of new </w:t>
      </w:r>
      <w:r w:rsidRPr="00D76F76">
        <w:rPr>
          <w:rFonts w:ascii="Calibri" w:eastAsia="Times New Roman" w:hAnsi="Calibri" w:cs="Calibri"/>
          <w:i/>
          <w:color w:val="000000" w:themeColor="text1"/>
          <w:sz w:val="24"/>
          <w:szCs w:val="24"/>
          <w:lang w:val="en-US"/>
        </w:rPr>
        <w:t>in vitro</w:t>
      </w:r>
      <w:r>
        <w:rPr>
          <w:rFonts w:ascii="Calibri" w:eastAsia="Times New Roman" w:hAnsi="Calibri" w:cs="Calibri"/>
          <w:color w:val="000000" w:themeColor="text1"/>
          <w:sz w:val="24"/>
          <w:szCs w:val="24"/>
          <w:lang w:val="en-US"/>
        </w:rPr>
        <w:t xml:space="preserve"> assays to assess and improve the differentiation of stem cells has always presented a challenge for the investigation of their functionalities and therapeutic capabilities. Long term and stable attachment of hNSCs, required for the development of a robust 3D in vitro differentiation assay, was addressed by testing several 3D substrates with different characteristics in term of materials and structures. As part of the assay development we also assessed optimal cell seeding concentration and identified the requirement for the scaffolds to be laminin coated. Although our hNSCs can </w:t>
      </w:r>
      <w:r w:rsidRPr="0055572E">
        <w:rPr>
          <w:rFonts w:ascii="Calibri" w:eastAsia="Times New Roman" w:hAnsi="Calibri" w:cs="Calibri"/>
          <w:color w:val="000000" w:themeColor="text1"/>
          <w:sz w:val="24"/>
          <w:szCs w:val="24"/>
          <w:lang w:val="en-US"/>
        </w:rPr>
        <w:t>s</w:t>
      </w:r>
      <w:r>
        <w:rPr>
          <w:rFonts w:ascii="Calibri" w:eastAsia="Times New Roman" w:hAnsi="Calibri" w:cs="Calibri"/>
          <w:color w:val="000000" w:themeColor="text1"/>
          <w:sz w:val="24"/>
          <w:szCs w:val="24"/>
          <w:lang w:val="en-US"/>
        </w:rPr>
        <w:t xml:space="preserve">pontaneously differentiate upon 4-OHT and growth factor removal, the implementation of a 3D culture system showed a significant improvement in their differentiation capability as measured by </w:t>
      </w:r>
      <w:r w:rsidRPr="00EB590C">
        <w:rPr>
          <w:rFonts w:ascii="Calibri" w:eastAsia="Times New Roman" w:hAnsi="Calibri" w:cs="Calibri"/>
          <w:color w:val="000000" w:themeColor="text1"/>
          <w:sz w:val="24"/>
          <w:szCs w:val="24"/>
          <w:lang w:val="en-US"/>
        </w:rPr>
        <w:t xml:space="preserve">axon </w:t>
      </w:r>
      <w:r>
        <w:rPr>
          <w:rFonts w:ascii="Calibri" w:eastAsia="Times New Roman" w:hAnsi="Calibri" w:cs="Calibri"/>
          <w:color w:val="000000" w:themeColor="text1"/>
          <w:sz w:val="24"/>
          <w:szCs w:val="24"/>
          <w:lang w:val="en-US"/>
        </w:rPr>
        <w:t xml:space="preserve">process </w:t>
      </w:r>
      <w:r w:rsidRPr="00EB590C">
        <w:rPr>
          <w:rFonts w:ascii="Calibri" w:eastAsia="Times New Roman" w:hAnsi="Calibri" w:cs="Calibri"/>
          <w:color w:val="000000" w:themeColor="text1"/>
          <w:sz w:val="24"/>
          <w:szCs w:val="24"/>
          <w:lang w:val="en-US"/>
        </w:rPr>
        <w:t>outgrowth</w:t>
      </w:r>
      <w:r>
        <w:rPr>
          <w:rFonts w:ascii="Calibri" w:eastAsia="Times New Roman" w:hAnsi="Calibri" w:cs="Calibri"/>
          <w:color w:val="000000" w:themeColor="text1"/>
          <w:sz w:val="24"/>
          <w:szCs w:val="24"/>
          <w:lang w:val="en-US"/>
        </w:rPr>
        <w:t xml:space="preserve"> when compared to standard 2D differentiated hNSCs.  </w:t>
      </w:r>
    </w:p>
    <w:p w:rsidR="00D1648F" w:rsidRDefault="00D1648F" w:rsidP="00F5351F">
      <w:pPr>
        <w:widowControl w:val="0"/>
        <w:autoSpaceDE w:val="0"/>
        <w:autoSpaceDN w:val="0"/>
        <w:adjustRightInd w:val="0"/>
        <w:spacing w:after="0" w:line="240" w:lineRule="auto"/>
        <w:jc w:val="both"/>
        <w:rPr>
          <w:rFonts w:ascii="Calibri" w:eastAsia="Times New Roman" w:hAnsi="Calibri" w:cs="Calibri"/>
          <w:color w:val="000000" w:themeColor="text1"/>
          <w:sz w:val="24"/>
          <w:szCs w:val="24"/>
          <w:lang w:val="en-US"/>
        </w:rPr>
      </w:pPr>
    </w:p>
    <w:p w:rsidR="00D1648F" w:rsidRDefault="00D1648F" w:rsidP="001D16F2">
      <w:pPr>
        <w:widowControl w:val="0"/>
        <w:autoSpaceDE w:val="0"/>
        <w:autoSpaceDN w:val="0"/>
        <w:adjustRightInd w:val="0"/>
        <w:spacing w:after="0" w:line="240" w:lineRule="auto"/>
        <w:jc w:val="both"/>
        <w:rPr>
          <w:rFonts w:ascii="Calibri" w:eastAsia="Times New Roman" w:hAnsi="Calibri" w:cs="Calibri"/>
          <w:color w:val="000000" w:themeColor="text1"/>
          <w:sz w:val="24"/>
          <w:szCs w:val="24"/>
          <w:lang w:val="en-US"/>
        </w:rPr>
      </w:pPr>
      <w:r>
        <w:rPr>
          <w:rFonts w:ascii="Calibri" w:eastAsia="Times New Roman" w:hAnsi="Calibri" w:cs="Calibri"/>
          <w:color w:val="000000" w:themeColor="text1"/>
          <w:sz w:val="24"/>
          <w:szCs w:val="24"/>
          <w:lang w:val="en-US"/>
        </w:rPr>
        <w:t xml:space="preserve">To investigate the effect of 3D induced differentiation on hNSC miRNA expression we used a PCR </w:t>
      </w:r>
      <w:r>
        <w:rPr>
          <w:rFonts w:ascii="Calibri" w:eastAsia="Times New Roman" w:hAnsi="Calibri" w:cs="Calibri"/>
          <w:color w:val="000000" w:themeColor="text1"/>
          <w:sz w:val="24"/>
          <w:szCs w:val="24"/>
          <w:lang w:val="en-US"/>
        </w:rPr>
        <w:lastRenderedPageBreak/>
        <w:t xml:space="preserve">array. Compared with standard chip microarray PCR array offers the advantages of a direct quantification and validation of miRNA of interest.  Although the PCR array is limited in term of total number of miRNA per array, for example in here less than 96, it can be tailored to specifically include miRNAs of interest, in our case previously reported in stem cell development. The expression of </w:t>
      </w:r>
      <w:r w:rsidRPr="0084056A">
        <w:rPr>
          <w:rFonts w:ascii="Calibri" w:eastAsia="Times New Roman" w:hAnsi="Calibri" w:cs="Calibri"/>
          <w:color w:val="000000" w:themeColor="text1"/>
          <w:sz w:val="24"/>
          <w:szCs w:val="24"/>
          <w:lang w:val="en-US"/>
        </w:rPr>
        <w:t xml:space="preserve">pathway focused </w:t>
      </w:r>
      <w:r>
        <w:rPr>
          <w:rFonts w:ascii="Calibri" w:eastAsia="Times New Roman" w:hAnsi="Calibri" w:cs="Calibri"/>
          <w:color w:val="000000" w:themeColor="text1"/>
          <w:sz w:val="24"/>
          <w:szCs w:val="24"/>
          <w:lang w:val="en-US"/>
        </w:rPr>
        <w:t xml:space="preserve">miRNAs was profiled in 3D and 2D differentiated hNSCs compared with undifferentiated hNSCs. </w:t>
      </w:r>
      <w:r w:rsidRPr="00EB590C">
        <w:rPr>
          <w:rFonts w:ascii="Calibri" w:eastAsia="Times New Roman" w:hAnsi="Calibri" w:cs="Calibri"/>
          <w:color w:val="000000" w:themeColor="text1"/>
          <w:sz w:val="24"/>
          <w:szCs w:val="24"/>
          <w:lang w:val="en-US"/>
        </w:rPr>
        <w:t xml:space="preserve">The most significantly down-regulated miRNAs were selected and analyzed to assess their putative target mRNAs with the intent of determining their functionality </w:t>
      </w:r>
      <w:r>
        <w:rPr>
          <w:rFonts w:ascii="Calibri" w:eastAsia="Times New Roman" w:hAnsi="Calibri" w:cs="Calibri"/>
          <w:color w:val="000000" w:themeColor="text1"/>
          <w:sz w:val="24"/>
          <w:szCs w:val="24"/>
          <w:lang w:val="en-US"/>
        </w:rPr>
        <w:t>and biological interpretation u</w:t>
      </w:r>
      <w:r w:rsidRPr="00EB590C">
        <w:rPr>
          <w:rFonts w:ascii="Calibri" w:eastAsia="Times New Roman" w:hAnsi="Calibri" w:cs="Calibri"/>
          <w:color w:val="000000" w:themeColor="text1"/>
          <w:sz w:val="24"/>
          <w:szCs w:val="24"/>
          <w:lang w:val="en-US"/>
        </w:rPr>
        <w:t xml:space="preserve">sing online available </w:t>
      </w:r>
      <w:r>
        <w:rPr>
          <w:rFonts w:ascii="Calibri" w:eastAsia="Times New Roman" w:hAnsi="Calibri" w:cs="Calibri"/>
          <w:color w:val="000000" w:themeColor="text1"/>
          <w:sz w:val="24"/>
          <w:szCs w:val="24"/>
          <w:lang w:val="en-US"/>
        </w:rPr>
        <w:t xml:space="preserve">algorithms </w:t>
      </w:r>
      <w:r w:rsidRPr="00EB590C">
        <w:rPr>
          <w:rFonts w:ascii="Calibri" w:eastAsia="Times New Roman" w:hAnsi="Calibri" w:cs="Calibri"/>
          <w:color w:val="000000" w:themeColor="text1"/>
          <w:sz w:val="24"/>
          <w:szCs w:val="24"/>
          <w:lang w:val="en-US"/>
        </w:rPr>
        <w:t>(DIANA Lab, PicTar, and TargetScans)</w:t>
      </w:r>
      <w:r>
        <w:rPr>
          <w:rFonts w:ascii="Calibri" w:eastAsia="Times New Roman" w:hAnsi="Calibri" w:cs="Calibri"/>
          <w:color w:val="000000" w:themeColor="text1"/>
          <w:sz w:val="24"/>
          <w:szCs w:val="24"/>
          <w:lang w:val="en-US"/>
        </w:rPr>
        <w:t>.</w:t>
      </w:r>
      <w:r w:rsidRPr="00EB590C">
        <w:rPr>
          <w:rFonts w:ascii="Calibri" w:eastAsia="Times New Roman" w:hAnsi="Calibri" w:cs="Calibri"/>
          <w:color w:val="000000" w:themeColor="text1"/>
          <w:sz w:val="24"/>
          <w:szCs w:val="24"/>
          <w:lang w:val="en-US"/>
        </w:rPr>
        <w:t xml:space="preserve"> </w:t>
      </w:r>
    </w:p>
    <w:p w:rsidR="00D1648F" w:rsidRDefault="00D1648F" w:rsidP="001D16F2">
      <w:pPr>
        <w:widowControl w:val="0"/>
        <w:autoSpaceDE w:val="0"/>
        <w:autoSpaceDN w:val="0"/>
        <w:adjustRightInd w:val="0"/>
        <w:spacing w:after="0" w:line="240" w:lineRule="auto"/>
        <w:jc w:val="both"/>
        <w:rPr>
          <w:rFonts w:ascii="Calibri" w:eastAsia="Times New Roman" w:hAnsi="Calibri" w:cs="Calibri"/>
          <w:color w:val="000000" w:themeColor="text1"/>
          <w:sz w:val="24"/>
          <w:szCs w:val="24"/>
          <w:lang w:val="en-US"/>
        </w:rPr>
      </w:pPr>
    </w:p>
    <w:p w:rsidR="00D1648F" w:rsidRDefault="00D1648F" w:rsidP="001D16F2">
      <w:pPr>
        <w:widowControl w:val="0"/>
        <w:autoSpaceDE w:val="0"/>
        <w:autoSpaceDN w:val="0"/>
        <w:adjustRightInd w:val="0"/>
        <w:spacing w:after="0" w:line="240" w:lineRule="auto"/>
        <w:jc w:val="both"/>
        <w:rPr>
          <w:rFonts w:ascii="Calibri" w:eastAsia="Times New Roman" w:hAnsi="Calibri" w:cs="Arial"/>
          <w:bCs/>
          <w:color w:val="000000" w:themeColor="text1"/>
          <w:sz w:val="24"/>
          <w:szCs w:val="24"/>
          <w:lang w:val="en-US"/>
        </w:rPr>
      </w:pPr>
      <w:r w:rsidRPr="00EB590C">
        <w:rPr>
          <w:rFonts w:ascii="Calibri" w:eastAsia="Times New Roman" w:hAnsi="Calibri" w:cs="Calibri"/>
          <w:color w:val="000000" w:themeColor="text1"/>
          <w:sz w:val="24"/>
          <w:szCs w:val="24"/>
          <w:lang w:val="en-US"/>
        </w:rPr>
        <w:t>A single miRNA can recognize hundreds of targets</w:t>
      </w:r>
      <w:r>
        <w:rPr>
          <w:rFonts w:ascii="Calibri" w:eastAsia="Times New Roman" w:hAnsi="Calibri" w:cs="Calibri"/>
          <w:color w:val="000000" w:themeColor="text1"/>
          <w:sz w:val="24"/>
          <w:szCs w:val="24"/>
          <w:lang w:val="en-US"/>
        </w:rPr>
        <w:t xml:space="preserve"> and for this reason we validated miRNA interactions with 3’ </w:t>
      </w:r>
      <w:r w:rsidRPr="00E0186D">
        <w:rPr>
          <w:rFonts w:ascii="Calibri" w:eastAsia="Times New Roman" w:hAnsi="Calibri" w:cs="Calibri"/>
          <w:color w:val="000000" w:themeColor="text1"/>
          <w:sz w:val="24"/>
          <w:szCs w:val="24"/>
          <w:lang w:val="en-US"/>
        </w:rPr>
        <w:t xml:space="preserve">UTR </w:t>
      </w:r>
      <w:r>
        <w:rPr>
          <w:rFonts w:ascii="Calibri" w:eastAsia="Times New Roman" w:hAnsi="Calibri" w:cs="Calibri"/>
          <w:color w:val="000000" w:themeColor="text1"/>
          <w:sz w:val="24"/>
          <w:szCs w:val="24"/>
          <w:lang w:val="en-US"/>
        </w:rPr>
        <w:t>mRNAs</w:t>
      </w:r>
      <w:r w:rsidRPr="00BC4A1D">
        <w:rPr>
          <w:rFonts w:ascii="Calibri" w:eastAsia="Times New Roman" w:hAnsi="Calibri" w:cs="Calibri"/>
          <w:color w:val="000000" w:themeColor="text1"/>
          <w:sz w:val="24"/>
          <w:szCs w:val="24"/>
          <w:lang w:val="en-US"/>
        </w:rPr>
        <w:t xml:space="preserve"> </w:t>
      </w:r>
      <w:r>
        <w:rPr>
          <w:rFonts w:ascii="Calibri" w:eastAsia="Times New Roman" w:hAnsi="Calibri" w:cs="Calibri"/>
          <w:color w:val="000000" w:themeColor="text1"/>
          <w:sz w:val="24"/>
          <w:szCs w:val="24"/>
          <w:lang w:val="en-US"/>
        </w:rPr>
        <w:t>that may be suitable candidates in axonal regulation</w:t>
      </w:r>
      <w:r w:rsidRPr="00BC4A1D">
        <w:rPr>
          <w:rFonts w:ascii="Calibri" w:eastAsia="Times New Roman" w:hAnsi="Calibri" w:cs="Calibri"/>
          <w:color w:val="000000" w:themeColor="text1"/>
          <w:sz w:val="24"/>
          <w:szCs w:val="24"/>
          <w:lang w:val="en-US"/>
        </w:rPr>
        <w:t>.</w:t>
      </w:r>
      <w:r>
        <w:rPr>
          <w:rFonts w:ascii="Calibri" w:eastAsia="Times New Roman" w:hAnsi="Calibri" w:cs="Calibri"/>
          <w:color w:val="000000" w:themeColor="text1"/>
          <w:sz w:val="24"/>
          <w:szCs w:val="24"/>
          <w:lang w:val="en-US"/>
        </w:rPr>
        <w:t xml:space="preserve"> </w:t>
      </w:r>
      <w:r w:rsidRPr="00EB590C">
        <w:rPr>
          <w:rFonts w:ascii="Calibri" w:eastAsia="Times New Roman" w:hAnsi="Calibri" w:cs="Calibri"/>
          <w:color w:val="000000" w:themeColor="text1"/>
          <w:sz w:val="24"/>
          <w:szCs w:val="24"/>
          <w:lang w:val="en-US"/>
        </w:rPr>
        <w:t xml:space="preserve">NR4A3, a target of the hsa-miR-7, and miR-17 family, is a member of the NR4A family </w:t>
      </w:r>
      <w:r w:rsidRPr="0084056A">
        <w:rPr>
          <w:rFonts w:ascii="Calibri" w:eastAsia="Times New Roman" w:hAnsi="Calibri" w:cs="Calibri"/>
          <w:color w:val="000000" w:themeColor="text1"/>
          <w:sz w:val="24"/>
          <w:szCs w:val="24"/>
          <w:lang w:val="en-US"/>
        </w:rPr>
        <w:t>nuclear receptors which, depending on their level of expression, are involved in the differentiation, survival, apoptosis and regulation o</w:t>
      </w:r>
      <w:r>
        <w:rPr>
          <w:rFonts w:ascii="Calibri" w:eastAsia="Times New Roman" w:hAnsi="Calibri" w:cs="Calibri"/>
          <w:color w:val="000000" w:themeColor="text1"/>
          <w:sz w:val="24"/>
          <w:szCs w:val="24"/>
          <w:lang w:val="en-US"/>
        </w:rPr>
        <w:t xml:space="preserve">f hippocampal axon guidance </w:t>
      </w:r>
      <w:r w:rsidRPr="004611ED">
        <w:rPr>
          <w:rFonts w:ascii="Calibri" w:eastAsia="Times New Roman" w:hAnsi="Calibri" w:cs="Calibri"/>
          <w:noProof/>
          <w:color w:val="000000" w:themeColor="text1"/>
          <w:sz w:val="24"/>
          <w:szCs w:val="24"/>
          <w:vertAlign w:val="superscript"/>
          <w:lang w:val="en-US"/>
        </w:rPr>
        <w:t>26</w:t>
      </w:r>
      <w:r w:rsidRPr="0084056A">
        <w:rPr>
          <w:rFonts w:ascii="Calibri" w:eastAsia="Times New Roman" w:hAnsi="Calibri" w:cs="Calibri"/>
          <w:color w:val="000000" w:themeColor="text1"/>
          <w:sz w:val="24"/>
          <w:szCs w:val="24"/>
          <w:lang w:val="en-US"/>
        </w:rPr>
        <w:t xml:space="preserve">. Similarly SOX5, a target of hsa-miR-96, is reported to control cell cycle progression in neural progenitors </w:t>
      </w:r>
      <w:r w:rsidRPr="004611ED">
        <w:rPr>
          <w:rFonts w:ascii="Calibri" w:eastAsia="Times New Roman" w:hAnsi="Calibri" w:cs="Calibri"/>
          <w:noProof/>
          <w:color w:val="000000" w:themeColor="text1"/>
          <w:sz w:val="24"/>
          <w:szCs w:val="24"/>
          <w:vertAlign w:val="superscript"/>
          <w:lang w:val="en-US"/>
        </w:rPr>
        <w:t>27</w:t>
      </w:r>
      <w:r>
        <w:rPr>
          <w:rFonts w:ascii="Calibri" w:eastAsia="Times New Roman" w:hAnsi="Calibri" w:cs="Calibri"/>
          <w:color w:val="000000" w:themeColor="text1"/>
          <w:sz w:val="24"/>
          <w:szCs w:val="24"/>
          <w:lang w:val="en-US"/>
        </w:rPr>
        <w:t xml:space="preserve"> </w:t>
      </w:r>
      <w:r w:rsidRPr="0084056A">
        <w:rPr>
          <w:rFonts w:ascii="Calibri" w:eastAsia="Times New Roman" w:hAnsi="Calibri" w:cs="Calibri"/>
          <w:color w:val="000000" w:themeColor="text1"/>
          <w:sz w:val="24"/>
          <w:szCs w:val="24"/>
          <w:lang w:val="en-US"/>
        </w:rPr>
        <w:t>axon length</w:t>
      </w:r>
      <w:r>
        <w:rPr>
          <w:rFonts w:ascii="Calibri" w:eastAsia="Times New Roman" w:hAnsi="Calibri" w:cs="Calibri"/>
          <w:color w:val="000000" w:themeColor="text1"/>
          <w:sz w:val="24"/>
          <w:szCs w:val="24"/>
          <w:lang w:val="en-US"/>
        </w:rPr>
        <w:t xml:space="preserve"> </w:t>
      </w:r>
      <w:r w:rsidRPr="004611ED">
        <w:rPr>
          <w:rFonts w:ascii="Calibri" w:eastAsia="Times New Roman" w:hAnsi="Calibri" w:cs="Calibri"/>
          <w:noProof/>
          <w:color w:val="000000" w:themeColor="text1"/>
          <w:sz w:val="24"/>
          <w:szCs w:val="24"/>
          <w:vertAlign w:val="superscript"/>
          <w:lang w:val="en-US"/>
        </w:rPr>
        <w:t>28</w:t>
      </w:r>
      <w:r w:rsidRPr="0084056A">
        <w:rPr>
          <w:rFonts w:ascii="Calibri" w:eastAsia="Times New Roman" w:hAnsi="Calibri" w:cs="Calibri"/>
          <w:color w:val="000000" w:themeColor="text1"/>
          <w:sz w:val="24"/>
          <w:szCs w:val="24"/>
          <w:lang w:val="en-US"/>
        </w:rPr>
        <w:t>, migration, post-migratory differentiation,</w:t>
      </w:r>
      <w:r>
        <w:rPr>
          <w:rFonts w:ascii="Calibri" w:eastAsia="Times New Roman" w:hAnsi="Calibri" w:cs="Calibri"/>
          <w:color w:val="000000" w:themeColor="text1"/>
          <w:sz w:val="24"/>
          <w:szCs w:val="24"/>
          <w:lang w:val="en-US"/>
        </w:rPr>
        <w:t xml:space="preserve"> and projections of neurons </w:t>
      </w:r>
      <w:r w:rsidRPr="004611ED">
        <w:rPr>
          <w:rFonts w:ascii="Calibri" w:eastAsia="Times New Roman" w:hAnsi="Calibri" w:cs="Calibri"/>
          <w:noProof/>
          <w:color w:val="000000" w:themeColor="text1"/>
          <w:sz w:val="24"/>
          <w:szCs w:val="24"/>
          <w:vertAlign w:val="superscript"/>
          <w:lang w:val="en-US"/>
        </w:rPr>
        <w:t>29</w:t>
      </w:r>
      <w:r w:rsidRPr="0084056A">
        <w:rPr>
          <w:rFonts w:ascii="Calibri" w:eastAsia="Times New Roman" w:hAnsi="Calibri" w:cs="Calibri"/>
          <w:color w:val="000000" w:themeColor="text1"/>
          <w:sz w:val="24"/>
          <w:szCs w:val="24"/>
          <w:lang w:val="en-US"/>
        </w:rPr>
        <w:t xml:space="preserve">. </w:t>
      </w:r>
      <w:r>
        <w:rPr>
          <w:rFonts w:ascii="Calibri" w:eastAsia="Times New Roman" w:hAnsi="Calibri" w:cs="Calibri"/>
          <w:color w:val="000000" w:themeColor="text1"/>
          <w:sz w:val="24"/>
          <w:szCs w:val="24"/>
          <w:lang w:val="en-US"/>
        </w:rPr>
        <w:t>Both</w:t>
      </w:r>
      <w:r w:rsidRPr="00BC4A1D">
        <w:rPr>
          <w:rFonts w:ascii="Calibri" w:eastAsia="Times New Roman" w:hAnsi="Calibri" w:cs="Calibri"/>
          <w:color w:val="000000" w:themeColor="text1"/>
          <w:sz w:val="24"/>
          <w:szCs w:val="24"/>
          <w:lang w:val="en-US"/>
        </w:rPr>
        <w:t xml:space="preserve"> SOX5 and NR4A3 were identified as a direct target </w:t>
      </w:r>
      <w:r>
        <w:rPr>
          <w:rFonts w:ascii="Calibri" w:eastAsia="Times New Roman" w:hAnsi="Calibri" w:cs="Calibri"/>
          <w:color w:val="000000" w:themeColor="text1"/>
          <w:sz w:val="24"/>
          <w:szCs w:val="24"/>
          <w:lang w:val="en-US"/>
        </w:rPr>
        <w:t>mRNA</w:t>
      </w:r>
      <w:r w:rsidRPr="00BC4A1D">
        <w:rPr>
          <w:rFonts w:ascii="Calibri" w:eastAsia="Times New Roman" w:hAnsi="Calibri" w:cs="Calibri"/>
          <w:color w:val="000000" w:themeColor="text1"/>
          <w:sz w:val="24"/>
          <w:szCs w:val="24"/>
          <w:lang w:val="en-US"/>
        </w:rPr>
        <w:t xml:space="preserve"> of hsa-miR-96, and hsa-miR-7 and 17 respectively by </w:t>
      </w:r>
      <w:r>
        <w:rPr>
          <w:rFonts w:ascii="Calibri" w:eastAsia="Times New Roman" w:hAnsi="Calibri" w:cs="Calibri"/>
          <w:color w:val="000000" w:themeColor="text1"/>
          <w:sz w:val="24"/>
          <w:szCs w:val="24"/>
          <w:lang w:val="en-US"/>
        </w:rPr>
        <w:t xml:space="preserve">dual </w:t>
      </w:r>
      <w:r w:rsidRPr="00BC4A1D">
        <w:rPr>
          <w:rFonts w:ascii="Calibri" w:eastAsia="Times New Roman" w:hAnsi="Calibri" w:cs="Calibri"/>
          <w:color w:val="000000" w:themeColor="text1"/>
          <w:sz w:val="24"/>
          <w:szCs w:val="24"/>
          <w:lang w:val="en-US"/>
        </w:rPr>
        <w:t>luciferase reporter assays.</w:t>
      </w:r>
      <w:r>
        <w:rPr>
          <w:rFonts w:ascii="Calibri" w:eastAsia="Times New Roman" w:hAnsi="Calibri" w:cs="Calibri"/>
          <w:color w:val="000000" w:themeColor="text1"/>
          <w:sz w:val="24"/>
          <w:szCs w:val="24"/>
          <w:lang w:val="en-US"/>
        </w:rPr>
        <w:t xml:space="preserve"> </w:t>
      </w:r>
      <w:r>
        <w:rPr>
          <w:rFonts w:ascii="Calibri" w:eastAsia="Times New Roman" w:hAnsi="Calibri" w:cs="Arial"/>
          <w:bCs/>
          <w:color w:val="000000" w:themeColor="text1"/>
          <w:sz w:val="24"/>
          <w:szCs w:val="24"/>
          <w:lang w:val="en-US"/>
        </w:rPr>
        <w:t>Dual luciferase (F</w:t>
      </w:r>
      <w:r w:rsidRPr="00C31CF0">
        <w:rPr>
          <w:rFonts w:ascii="Calibri" w:eastAsia="Times New Roman" w:hAnsi="Calibri" w:cs="Arial"/>
          <w:bCs/>
          <w:color w:val="000000" w:themeColor="text1"/>
          <w:sz w:val="24"/>
          <w:szCs w:val="24"/>
          <w:lang w:val="en-US"/>
        </w:rPr>
        <w:t xml:space="preserve">irefly and </w:t>
      </w:r>
      <w:r>
        <w:rPr>
          <w:rFonts w:ascii="Calibri" w:eastAsia="Times New Roman" w:hAnsi="Calibri" w:cs="Arial"/>
          <w:bCs/>
          <w:color w:val="000000" w:themeColor="text1"/>
          <w:sz w:val="24"/>
          <w:szCs w:val="24"/>
          <w:lang w:val="en-US"/>
        </w:rPr>
        <w:t>R</w:t>
      </w:r>
      <w:r w:rsidRPr="00C31CF0">
        <w:rPr>
          <w:rFonts w:ascii="Calibri" w:eastAsia="Times New Roman" w:hAnsi="Calibri" w:cs="Arial"/>
          <w:bCs/>
          <w:color w:val="000000" w:themeColor="text1"/>
          <w:sz w:val="24"/>
          <w:szCs w:val="24"/>
          <w:lang w:val="en-US"/>
        </w:rPr>
        <w:t>enilla</w:t>
      </w:r>
      <w:r>
        <w:rPr>
          <w:rFonts w:ascii="Calibri" w:eastAsia="Times New Roman" w:hAnsi="Calibri" w:cs="Arial"/>
          <w:bCs/>
          <w:color w:val="000000" w:themeColor="text1"/>
          <w:sz w:val="24"/>
          <w:szCs w:val="24"/>
          <w:lang w:val="en-US"/>
        </w:rPr>
        <w:t xml:space="preserve">) </w:t>
      </w:r>
      <w:r w:rsidRPr="00F627BA">
        <w:rPr>
          <w:rFonts w:ascii="Calibri" w:eastAsia="Times New Roman" w:hAnsi="Calibri" w:cs="Arial"/>
          <w:bCs/>
          <w:color w:val="000000" w:themeColor="text1"/>
          <w:sz w:val="24"/>
          <w:szCs w:val="24"/>
          <w:lang w:val="en-US"/>
        </w:rPr>
        <w:t>relies on tw</w:t>
      </w:r>
      <w:r>
        <w:rPr>
          <w:rFonts w:ascii="Calibri" w:eastAsia="Times New Roman" w:hAnsi="Calibri" w:cs="Arial"/>
          <w:bCs/>
          <w:color w:val="000000" w:themeColor="text1"/>
          <w:sz w:val="24"/>
          <w:szCs w:val="24"/>
          <w:lang w:val="en-US"/>
        </w:rPr>
        <w:t>o different reporter genes in the same plasmid and offers an improved system allowing normalization</w:t>
      </w:r>
      <w:r w:rsidRPr="005233A4">
        <w:rPr>
          <w:rFonts w:ascii="Calibri" w:eastAsia="Times New Roman" w:hAnsi="Calibri" w:cs="Arial"/>
          <w:bCs/>
          <w:color w:val="000000" w:themeColor="text1"/>
          <w:sz w:val="24"/>
          <w:szCs w:val="24"/>
          <w:lang w:val="en-US"/>
        </w:rPr>
        <w:t xml:space="preserve"> for effects </w:t>
      </w:r>
      <w:r>
        <w:rPr>
          <w:rFonts w:ascii="Calibri" w:eastAsia="Times New Roman" w:hAnsi="Calibri" w:cs="Arial"/>
          <w:bCs/>
          <w:color w:val="000000" w:themeColor="text1"/>
          <w:sz w:val="24"/>
          <w:szCs w:val="24"/>
          <w:lang w:val="en-US"/>
        </w:rPr>
        <w:t>caused by s</w:t>
      </w:r>
      <w:r w:rsidRPr="005233A4">
        <w:rPr>
          <w:rFonts w:ascii="Calibri" w:eastAsia="Times New Roman" w:hAnsi="Calibri" w:cs="Arial"/>
          <w:bCs/>
          <w:color w:val="000000" w:themeColor="text1"/>
          <w:sz w:val="24"/>
          <w:szCs w:val="24"/>
          <w:lang w:val="en-US"/>
        </w:rPr>
        <w:t>uboptimal transfection</w:t>
      </w:r>
      <w:r>
        <w:rPr>
          <w:rFonts w:ascii="Calibri" w:eastAsia="Times New Roman" w:hAnsi="Calibri" w:cs="Arial"/>
          <w:bCs/>
          <w:color w:val="000000" w:themeColor="text1"/>
          <w:sz w:val="24"/>
          <w:szCs w:val="24"/>
          <w:lang w:val="en-US"/>
        </w:rPr>
        <w:t xml:space="preserve"> and c</w:t>
      </w:r>
      <w:r w:rsidRPr="005233A4">
        <w:rPr>
          <w:rFonts w:ascii="Calibri" w:eastAsia="Times New Roman" w:hAnsi="Calibri" w:cs="Arial"/>
          <w:bCs/>
          <w:color w:val="000000" w:themeColor="text1"/>
          <w:sz w:val="24"/>
          <w:szCs w:val="24"/>
          <w:lang w:val="en-US"/>
        </w:rPr>
        <w:t>ytotoxic effects</w:t>
      </w:r>
      <w:r>
        <w:rPr>
          <w:rFonts w:ascii="Calibri" w:eastAsia="Times New Roman" w:hAnsi="Calibri" w:cs="Arial"/>
          <w:bCs/>
          <w:color w:val="000000" w:themeColor="text1"/>
          <w:sz w:val="24"/>
          <w:szCs w:val="24"/>
          <w:lang w:val="en-US"/>
        </w:rPr>
        <w:t xml:space="preserve"> compared with a single luciferase plasmid system. As part of our assay development we also optimized our transfection conditions in order to obtain high efficiency. </w:t>
      </w:r>
    </w:p>
    <w:p w:rsidR="00D1648F" w:rsidRPr="00D76F76" w:rsidRDefault="00D1648F" w:rsidP="001D16F2">
      <w:pPr>
        <w:widowControl w:val="0"/>
        <w:autoSpaceDE w:val="0"/>
        <w:autoSpaceDN w:val="0"/>
        <w:adjustRightInd w:val="0"/>
        <w:spacing w:after="0" w:line="240" w:lineRule="auto"/>
        <w:jc w:val="both"/>
        <w:rPr>
          <w:rFonts w:ascii="Calibri" w:eastAsia="Times New Roman" w:hAnsi="Calibri" w:cs="Calibri"/>
          <w:color w:val="000000" w:themeColor="text1"/>
          <w:sz w:val="24"/>
          <w:szCs w:val="24"/>
          <w:lang w:val="en-US"/>
        </w:rPr>
      </w:pPr>
    </w:p>
    <w:p w:rsidR="00D1648F" w:rsidRPr="0084056A" w:rsidRDefault="00D1648F" w:rsidP="001D16F2">
      <w:pPr>
        <w:widowControl w:val="0"/>
        <w:autoSpaceDE w:val="0"/>
        <w:autoSpaceDN w:val="0"/>
        <w:adjustRightInd w:val="0"/>
        <w:spacing w:after="0" w:line="240" w:lineRule="auto"/>
        <w:jc w:val="both"/>
        <w:rPr>
          <w:rFonts w:ascii="Calibri" w:eastAsia="Times New Roman" w:hAnsi="Calibri" w:cs="Calibri"/>
          <w:color w:val="000000" w:themeColor="text1"/>
          <w:sz w:val="24"/>
          <w:szCs w:val="24"/>
          <w:lang w:val="en-US"/>
        </w:rPr>
      </w:pPr>
      <w:r w:rsidRPr="004E3B28">
        <w:rPr>
          <w:rFonts w:ascii="Calibri" w:eastAsia="Times New Roman" w:hAnsi="Calibri" w:cs="Calibri"/>
          <w:color w:val="000000" w:themeColor="text1"/>
          <w:sz w:val="24"/>
          <w:szCs w:val="24"/>
          <w:lang w:val="en-US"/>
        </w:rPr>
        <w:t>The</w:t>
      </w:r>
      <w:r>
        <w:rPr>
          <w:rFonts w:ascii="Calibri" w:eastAsia="Times New Roman" w:hAnsi="Calibri" w:cs="Calibri"/>
          <w:color w:val="000000" w:themeColor="text1"/>
          <w:sz w:val="24"/>
          <w:szCs w:val="24"/>
          <w:lang w:val="en-US"/>
        </w:rPr>
        <w:t xml:space="preserve"> protocols</w:t>
      </w:r>
      <w:r w:rsidRPr="004E3B28">
        <w:rPr>
          <w:rFonts w:ascii="Calibri" w:eastAsia="Times New Roman" w:hAnsi="Calibri" w:cs="Calibri"/>
          <w:color w:val="000000" w:themeColor="text1"/>
          <w:sz w:val="24"/>
          <w:szCs w:val="24"/>
          <w:lang w:val="en-US"/>
        </w:rPr>
        <w:t xml:space="preserve"> </w:t>
      </w:r>
      <w:r>
        <w:rPr>
          <w:rFonts w:ascii="Calibri" w:eastAsia="Times New Roman" w:hAnsi="Calibri" w:cs="Calibri"/>
          <w:color w:val="000000" w:themeColor="text1"/>
          <w:sz w:val="24"/>
          <w:szCs w:val="24"/>
          <w:lang w:val="en-US"/>
        </w:rPr>
        <w:t xml:space="preserve">described herein </w:t>
      </w:r>
      <w:r w:rsidRPr="004E3B28">
        <w:rPr>
          <w:rFonts w:ascii="Calibri" w:eastAsia="Times New Roman" w:hAnsi="Calibri" w:cs="Calibri"/>
          <w:color w:val="000000" w:themeColor="text1"/>
          <w:sz w:val="24"/>
          <w:szCs w:val="24"/>
          <w:lang w:val="en-US"/>
        </w:rPr>
        <w:t xml:space="preserve">may be exploited </w:t>
      </w:r>
      <w:r>
        <w:rPr>
          <w:rFonts w:ascii="Calibri" w:eastAsia="Times New Roman" w:hAnsi="Calibri" w:cs="Calibri"/>
          <w:color w:val="000000" w:themeColor="text1"/>
          <w:sz w:val="24"/>
          <w:szCs w:val="24"/>
          <w:lang w:val="en-US"/>
        </w:rPr>
        <w:t>to further</w:t>
      </w:r>
      <w:r w:rsidRPr="004E3B28">
        <w:rPr>
          <w:rFonts w:ascii="Calibri" w:eastAsia="Times New Roman" w:hAnsi="Calibri" w:cs="Calibri"/>
          <w:color w:val="000000" w:themeColor="text1"/>
          <w:sz w:val="24"/>
          <w:szCs w:val="24"/>
          <w:lang w:val="en-US"/>
        </w:rPr>
        <w:t xml:space="preserve"> optimize</w:t>
      </w:r>
      <w:r>
        <w:rPr>
          <w:rFonts w:ascii="Calibri" w:eastAsia="Times New Roman" w:hAnsi="Calibri" w:cs="Calibri"/>
          <w:color w:val="000000" w:themeColor="text1"/>
          <w:sz w:val="24"/>
          <w:szCs w:val="24"/>
          <w:lang w:val="en-US"/>
        </w:rPr>
        <w:t xml:space="preserve"> and characterize </w:t>
      </w:r>
      <w:r w:rsidRPr="004E3B28">
        <w:rPr>
          <w:rFonts w:ascii="Calibri" w:eastAsia="Times New Roman" w:hAnsi="Calibri" w:cs="Calibri"/>
          <w:color w:val="000000" w:themeColor="text1"/>
          <w:sz w:val="24"/>
          <w:szCs w:val="24"/>
          <w:lang w:val="en-US"/>
        </w:rPr>
        <w:t>in</w:t>
      </w:r>
      <w:r w:rsidRPr="004E3B28">
        <w:rPr>
          <w:rFonts w:ascii="Calibri" w:eastAsia="Times New Roman" w:hAnsi="Calibri" w:cs="Calibri"/>
          <w:i/>
          <w:color w:val="000000" w:themeColor="text1"/>
          <w:sz w:val="24"/>
          <w:szCs w:val="24"/>
          <w:lang w:val="en-US"/>
        </w:rPr>
        <w:t xml:space="preserve"> vitro</w:t>
      </w:r>
      <w:r w:rsidRPr="004E3B28">
        <w:rPr>
          <w:rFonts w:ascii="Calibri" w:eastAsia="Times New Roman" w:hAnsi="Calibri" w:cs="Calibri"/>
          <w:color w:val="000000" w:themeColor="text1"/>
          <w:sz w:val="24"/>
          <w:szCs w:val="24"/>
          <w:lang w:val="en-US"/>
        </w:rPr>
        <w:t xml:space="preserve"> hNSC differentiation </w:t>
      </w:r>
      <w:r>
        <w:rPr>
          <w:rFonts w:ascii="Calibri" w:eastAsia="Times New Roman" w:hAnsi="Calibri" w:cs="Calibri"/>
          <w:color w:val="000000" w:themeColor="text1"/>
          <w:sz w:val="24"/>
          <w:szCs w:val="24"/>
          <w:lang w:val="en-US"/>
        </w:rPr>
        <w:t>which may be</w:t>
      </w:r>
      <w:r w:rsidRPr="004E3B28">
        <w:rPr>
          <w:rFonts w:ascii="Calibri" w:eastAsia="Times New Roman" w:hAnsi="Calibri" w:cs="Calibri"/>
          <w:color w:val="000000" w:themeColor="text1"/>
          <w:sz w:val="24"/>
          <w:szCs w:val="24"/>
          <w:lang w:val="en-US"/>
        </w:rPr>
        <w:t xml:space="preserve"> </w:t>
      </w:r>
      <w:r>
        <w:rPr>
          <w:rFonts w:ascii="Calibri" w:eastAsia="Times New Roman" w:hAnsi="Calibri" w:cs="Calibri"/>
          <w:color w:val="000000" w:themeColor="text1"/>
          <w:sz w:val="24"/>
          <w:szCs w:val="24"/>
          <w:lang w:val="en-US"/>
        </w:rPr>
        <w:t>implemented in</w:t>
      </w:r>
      <w:r w:rsidRPr="004E3B28">
        <w:rPr>
          <w:rFonts w:ascii="Calibri" w:eastAsia="Times New Roman" w:hAnsi="Calibri" w:cs="Calibri"/>
          <w:color w:val="000000" w:themeColor="text1"/>
          <w:sz w:val="24"/>
          <w:szCs w:val="24"/>
          <w:lang w:val="en-US"/>
        </w:rPr>
        <w:t xml:space="preserve"> </w:t>
      </w:r>
      <w:r>
        <w:rPr>
          <w:rFonts w:ascii="Calibri" w:eastAsia="Times New Roman" w:hAnsi="Calibri" w:cs="Calibri"/>
          <w:color w:val="000000" w:themeColor="text1"/>
          <w:sz w:val="24"/>
          <w:szCs w:val="24"/>
          <w:lang w:val="en-US"/>
        </w:rPr>
        <w:t xml:space="preserve">transplantation protocols for </w:t>
      </w:r>
      <w:r w:rsidRPr="004E3B28">
        <w:rPr>
          <w:rFonts w:ascii="Calibri" w:eastAsia="Times New Roman" w:hAnsi="Calibri" w:cs="Calibri"/>
          <w:color w:val="000000" w:themeColor="text1"/>
          <w:sz w:val="24"/>
          <w:szCs w:val="24"/>
          <w:lang w:val="en-US"/>
        </w:rPr>
        <w:t>pre-clinical studies and future clinical applications.</w:t>
      </w:r>
    </w:p>
    <w:p w:rsidR="00D1648F" w:rsidRPr="007C7628" w:rsidRDefault="00D1648F" w:rsidP="00716A27">
      <w:pPr>
        <w:widowControl w:val="0"/>
        <w:autoSpaceDE w:val="0"/>
        <w:autoSpaceDN w:val="0"/>
        <w:adjustRightInd w:val="0"/>
        <w:spacing w:after="0" w:line="240" w:lineRule="auto"/>
        <w:jc w:val="both"/>
        <w:rPr>
          <w:rFonts w:ascii="Calibri" w:eastAsia="Times New Roman" w:hAnsi="Calibri" w:cs="Calibri"/>
          <w:color w:val="000000" w:themeColor="text1"/>
          <w:sz w:val="24"/>
          <w:szCs w:val="24"/>
          <w:lang w:val="en-US"/>
        </w:rPr>
      </w:pPr>
    </w:p>
    <w:p w:rsidR="00D1648F" w:rsidRPr="001D16F2" w:rsidRDefault="00D1648F" w:rsidP="00716A27">
      <w:pPr>
        <w:widowControl w:val="0"/>
        <w:autoSpaceDE w:val="0"/>
        <w:autoSpaceDN w:val="0"/>
        <w:adjustRightInd w:val="0"/>
        <w:spacing w:after="0" w:line="240" w:lineRule="auto"/>
        <w:jc w:val="both"/>
        <w:rPr>
          <w:rFonts w:ascii="Calibri" w:eastAsia="Times New Roman" w:hAnsi="Calibri" w:cs="Arial"/>
          <w:b/>
          <w:color w:val="000000"/>
          <w:sz w:val="24"/>
          <w:szCs w:val="24"/>
          <w:lang w:val="en-US"/>
        </w:rPr>
      </w:pPr>
      <w:r w:rsidRPr="001D16F2">
        <w:rPr>
          <w:rFonts w:ascii="Calibri" w:eastAsia="Times New Roman" w:hAnsi="Calibri" w:cs="Arial"/>
          <w:b/>
          <w:color w:val="000000"/>
          <w:sz w:val="24"/>
          <w:szCs w:val="24"/>
          <w:lang w:val="en-US"/>
        </w:rPr>
        <w:t xml:space="preserve">DISCLOSURES: </w:t>
      </w:r>
    </w:p>
    <w:p w:rsidR="00D1648F" w:rsidRPr="00716A27" w:rsidRDefault="00D1648F" w:rsidP="00716A27">
      <w:pPr>
        <w:widowControl w:val="0"/>
        <w:autoSpaceDE w:val="0"/>
        <w:autoSpaceDN w:val="0"/>
        <w:adjustRightInd w:val="0"/>
        <w:spacing w:after="0" w:line="240" w:lineRule="auto"/>
        <w:jc w:val="both"/>
        <w:rPr>
          <w:rFonts w:ascii="Calibri" w:eastAsia="Times New Roman" w:hAnsi="Calibri" w:cs="Calibri"/>
          <w:sz w:val="24"/>
          <w:szCs w:val="24"/>
          <w:lang w:val="en-US"/>
        </w:rPr>
      </w:pPr>
      <w:r w:rsidRPr="007C7628">
        <w:rPr>
          <w:rFonts w:ascii="Calibri" w:eastAsia="Times New Roman" w:hAnsi="Calibri" w:cs="Calibri"/>
          <w:color w:val="000000" w:themeColor="text1"/>
          <w:sz w:val="24"/>
          <w:szCs w:val="24"/>
          <w:lang w:val="en-US"/>
        </w:rPr>
        <w:t>All authors are employees, stock and/or stock option holders in ReNeuron Ltd or its parent company</w:t>
      </w:r>
      <w:r w:rsidRPr="007C7628">
        <w:rPr>
          <w:rFonts w:ascii="Calibri" w:eastAsia="Times New Roman" w:hAnsi="Calibri" w:cs="Calibri"/>
          <w:color w:val="7F7F7F"/>
          <w:sz w:val="24"/>
          <w:szCs w:val="24"/>
          <w:lang w:val="en-US"/>
        </w:rPr>
        <w:t>.</w:t>
      </w:r>
    </w:p>
    <w:p w:rsidR="00D1648F" w:rsidRPr="00716A27" w:rsidRDefault="00D1648F" w:rsidP="001D16F2">
      <w:pPr>
        <w:widowControl w:val="0"/>
        <w:autoSpaceDE w:val="0"/>
        <w:autoSpaceDN w:val="0"/>
        <w:adjustRightInd w:val="0"/>
        <w:spacing w:after="0" w:line="240" w:lineRule="auto"/>
        <w:jc w:val="both"/>
        <w:rPr>
          <w:rFonts w:ascii="Calibri" w:eastAsia="Times New Roman" w:hAnsi="Calibri" w:cs="Calibri"/>
          <w:sz w:val="24"/>
          <w:szCs w:val="24"/>
          <w:lang w:val="en-US"/>
        </w:rPr>
      </w:pPr>
    </w:p>
    <w:p w:rsidR="00D1648F" w:rsidRPr="001D16F2" w:rsidRDefault="00D1648F" w:rsidP="001D16F2">
      <w:pPr>
        <w:widowControl w:val="0"/>
        <w:autoSpaceDE w:val="0"/>
        <w:autoSpaceDN w:val="0"/>
        <w:adjustRightInd w:val="0"/>
        <w:spacing w:after="0" w:line="240" w:lineRule="auto"/>
        <w:jc w:val="both"/>
        <w:rPr>
          <w:rFonts w:ascii="Calibri" w:eastAsia="Times New Roman" w:hAnsi="Calibri" w:cs="Arial"/>
          <w:color w:val="000000"/>
          <w:sz w:val="24"/>
          <w:szCs w:val="24"/>
          <w:lang w:val="en-US"/>
        </w:rPr>
      </w:pPr>
      <w:r w:rsidRPr="001D16F2">
        <w:rPr>
          <w:rFonts w:ascii="Calibri" w:eastAsia="Times New Roman" w:hAnsi="Calibri" w:cs="Arial"/>
          <w:b/>
          <w:bCs/>
          <w:color w:val="000000"/>
          <w:sz w:val="24"/>
          <w:szCs w:val="24"/>
          <w:lang w:val="en-US"/>
        </w:rPr>
        <w:t>ACKNOWLEDGMENTS:</w:t>
      </w:r>
      <w:r w:rsidRPr="001D16F2">
        <w:rPr>
          <w:rFonts w:ascii="Calibri" w:eastAsia="Times New Roman" w:hAnsi="Calibri" w:cs="Arial"/>
          <w:color w:val="000000"/>
          <w:sz w:val="24"/>
          <w:szCs w:val="24"/>
          <w:lang w:val="en-US"/>
        </w:rPr>
        <w:t xml:space="preserve"> </w:t>
      </w:r>
    </w:p>
    <w:p w:rsidR="00D1648F" w:rsidRPr="007C7628" w:rsidRDefault="00D1648F" w:rsidP="001D16F2">
      <w:pPr>
        <w:widowControl w:val="0"/>
        <w:autoSpaceDE w:val="0"/>
        <w:autoSpaceDN w:val="0"/>
        <w:adjustRightInd w:val="0"/>
        <w:spacing w:after="0" w:line="240" w:lineRule="auto"/>
        <w:jc w:val="both"/>
        <w:rPr>
          <w:rFonts w:ascii="Calibri" w:eastAsia="Times New Roman" w:hAnsi="Calibri" w:cs="Arial"/>
          <w:color w:val="000000" w:themeColor="text1"/>
          <w:sz w:val="24"/>
          <w:szCs w:val="24"/>
          <w:lang w:val="en-US"/>
        </w:rPr>
      </w:pPr>
      <w:r w:rsidRPr="007C7628">
        <w:rPr>
          <w:rFonts w:ascii="Calibri" w:eastAsia="Times New Roman" w:hAnsi="Calibri" w:cs="Arial"/>
          <w:color w:val="000000" w:themeColor="text1"/>
          <w:sz w:val="24"/>
          <w:szCs w:val="24"/>
          <w:lang w:val="en-US"/>
        </w:rPr>
        <w:t>This study was supported by ReNeuron (RENE.L). We acknowledge Julie Heward for helping in the preparation of hNSCs, and Lavaniya Thanabalasundaram for her technical support with HeLa culturing and transfection.</w:t>
      </w:r>
      <w:r w:rsidRPr="007C7628">
        <w:rPr>
          <w:rFonts w:ascii="Calibri" w:eastAsia="Times New Roman" w:hAnsi="Calibri" w:cs="Calibri"/>
          <w:color w:val="000000" w:themeColor="text1"/>
          <w:sz w:val="24"/>
          <w:szCs w:val="24"/>
          <w:lang w:val="en-US"/>
        </w:rPr>
        <w:t xml:space="preserve"> </w:t>
      </w:r>
    </w:p>
    <w:p w:rsidR="00D1648F" w:rsidRPr="00716A27" w:rsidRDefault="00D1648F" w:rsidP="001D16F2">
      <w:pPr>
        <w:widowControl w:val="0"/>
        <w:autoSpaceDE w:val="0"/>
        <w:autoSpaceDN w:val="0"/>
        <w:adjustRightInd w:val="0"/>
        <w:spacing w:after="0" w:line="240" w:lineRule="auto"/>
        <w:jc w:val="both"/>
        <w:rPr>
          <w:rFonts w:ascii="Calibri" w:eastAsia="Times New Roman" w:hAnsi="Calibri" w:cs="Calibri"/>
          <w:sz w:val="24"/>
          <w:szCs w:val="24"/>
          <w:lang w:val="en-US"/>
        </w:rPr>
      </w:pPr>
    </w:p>
    <w:p w:rsidR="00D1648F" w:rsidRPr="00582323" w:rsidRDefault="00D1648F" w:rsidP="00582323">
      <w:pPr>
        <w:widowControl w:val="0"/>
        <w:autoSpaceDE w:val="0"/>
        <w:autoSpaceDN w:val="0"/>
        <w:adjustRightInd w:val="0"/>
        <w:spacing w:after="0" w:line="240" w:lineRule="auto"/>
        <w:jc w:val="both"/>
        <w:rPr>
          <w:rFonts w:ascii="Calibri" w:eastAsia="Times New Roman" w:hAnsi="Calibri" w:cs="Arial"/>
          <w:color w:val="000000"/>
          <w:sz w:val="24"/>
          <w:szCs w:val="24"/>
          <w:lang w:val="en-US"/>
        </w:rPr>
      </w:pPr>
      <w:r w:rsidRPr="001D16F2">
        <w:rPr>
          <w:rFonts w:ascii="Calibri" w:eastAsia="Times New Roman" w:hAnsi="Calibri" w:cs="Arial"/>
          <w:b/>
          <w:bCs/>
          <w:color w:val="000000"/>
          <w:sz w:val="24"/>
          <w:szCs w:val="24"/>
          <w:lang w:val="en-US"/>
        </w:rPr>
        <w:t>REFERENCES</w:t>
      </w:r>
      <w:r>
        <w:rPr>
          <w:rFonts w:ascii="Calibri" w:eastAsia="Times New Roman" w:hAnsi="Calibri" w:cs="Arial"/>
          <w:b/>
          <w:bCs/>
          <w:color w:val="000000"/>
          <w:sz w:val="24"/>
          <w:szCs w:val="24"/>
          <w:lang w:val="en-US"/>
        </w:rPr>
        <w:t>:</w:t>
      </w:r>
      <w:r w:rsidRPr="001D16F2">
        <w:rPr>
          <w:rFonts w:ascii="Calibri" w:eastAsia="Times New Roman" w:hAnsi="Calibri" w:cs="Arial"/>
          <w:color w:val="000000"/>
          <w:sz w:val="24"/>
          <w:szCs w:val="24"/>
          <w:lang w:val="en-US"/>
        </w:rPr>
        <w:t xml:space="preserve"> </w:t>
      </w:r>
    </w:p>
    <w:p w:rsidR="00D1648F" w:rsidRPr="00582323" w:rsidRDefault="00D1648F" w:rsidP="00582323">
      <w:pPr>
        <w:pStyle w:val="EndNoteBibliography"/>
        <w:spacing w:after="0"/>
        <w:ind w:left="720" w:hanging="720"/>
        <w:jc w:val="both"/>
        <w:rPr>
          <w:sz w:val="24"/>
          <w:szCs w:val="24"/>
        </w:rPr>
      </w:pPr>
      <w:r w:rsidRPr="00582323">
        <w:rPr>
          <w:sz w:val="24"/>
          <w:szCs w:val="24"/>
        </w:rPr>
        <w:t>1</w:t>
      </w:r>
      <w:r w:rsidR="0027638C">
        <w:rPr>
          <w:sz w:val="24"/>
          <w:szCs w:val="24"/>
        </w:rPr>
        <w:t>.</w:t>
      </w:r>
      <w:r w:rsidRPr="00582323">
        <w:rPr>
          <w:sz w:val="24"/>
          <w:szCs w:val="24"/>
        </w:rPr>
        <w:tab/>
        <w:t xml:space="preserve">Falanga, V. Stem cells in tissue repair and regeneration. </w:t>
      </w:r>
      <w:r w:rsidRPr="00582323">
        <w:rPr>
          <w:i/>
          <w:sz w:val="24"/>
          <w:szCs w:val="24"/>
        </w:rPr>
        <w:t>J Invest Dermatol.</w:t>
      </w:r>
      <w:r w:rsidRPr="00582323">
        <w:rPr>
          <w:sz w:val="24"/>
          <w:szCs w:val="24"/>
        </w:rPr>
        <w:t xml:space="preserve"> </w:t>
      </w:r>
      <w:r w:rsidRPr="00582323">
        <w:rPr>
          <w:b/>
          <w:sz w:val="24"/>
          <w:szCs w:val="24"/>
        </w:rPr>
        <w:t>132</w:t>
      </w:r>
      <w:r w:rsidRPr="00582323">
        <w:rPr>
          <w:sz w:val="24"/>
          <w:szCs w:val="24"/>
        </w:rPr>
        <w:t xml:space="preserve"> (6), 1538-1541, doi:10.1038/jid.2012.77 (2012).</w:t>
      </w:r>
    </w:p>
    <w:p w:rsidR="00D1648F" w:rsidRPr="00582323" w:rsidRDefault="00D1648F" w:rsidP="00582323">
      <w:pPr>
        <w:pStyle w:val="EndNoteBibliography"/>
        <w:spacing w:after="0"/>
        <w:ind w:left="720" w:hanging="720"/>
        <w:jc w:val="both"/>
        <w:rPr>
          <w:sz w:val="24"/>
          <w:szCs w:val="24"/>
        </w:rPr>
      </w:pPr>
      <w:r w:rsidRPr="00582323">
        <w:rPr>
          <w:sz w:val="24"/>
          <w:szCs w:val="24"/>
        </w:rPr>
        <w:t>2</w:t>
      </w:r>
      <w:r w:rsidR="0027638C">
        <w:rPr>
          <w:sz w:val="24"/>
          <w:szCs w:val="24"/>
        </w:rPr>
        <w:t>.</w:t>
      </w:r>
      <w:r w:rsidRPr="00582323">
        <w:rPr>
          <w:sz w:val="24"/>
          <w:szCs w:val="24"/>
        </w:rPr>
        <w:tab/>
        <w:t>Pollock, K.</w:t>
      </w:r>
      <w:r w:rsidRPr="00582323">
        <w:rPr>
          <w:i/>
          <w:sz w:val="24"/>
          <w:szCs w:val="24"/>
        </w:rPr>
        <w:t xml:space="preserve"> et al.</w:t>
      </w:r>
      <w:r w:rsidRPr="00582323">
        <w:rPr>
          <w:sz w:val="24"/>
          <w:szCs w:val="24"/>
        </w:rPr>
        <w:t xml:space="preserve"> A conditionally immortal clonal stem cell line from human cortical neuroepithelium for the treatment of ischemic stroke. </w:t>
      </w:r>
      <w:r w:rsidRPr="00582323">
        <w:rPr>
          <w:i/>
          <w:sz w:val="24"/>
          <w:szCs w:val="24"/>
        </w:rPr>
        <w:t>Exp Neurol.</w:t>
      </w:r>
      <w:r w:rsidRPr="00582323">
        <w:rPr>
          <w:sz w:val="24"/>
          <w:szCs w:val="24"/>
        </w:rPr>
        <w:t xml:space="preserve"> </w:t>
      </w:r>
      <w:r w:rsidRPr="00582323">
        <w:rPr>
          <w:b/>
          <w:sz w:val="24"/>
          <w:szCs w:val="24"/>
        </w:rPr>
        <w:t>199</w:t>
      </w:r>
      <w:r w:rsidRPr="00582323">
        <w:rPr>
          <w:sz w:val="24"/>
          <w:szCs w:val="24"/>
        </w:rPr>
        <w:t xml:space="preserve"> (1), 143-155, doi:10.1016/j.expneurol.2005.12.011 (2006).</w:t>
      </w:r>
    </w:p>
    <w:p w:rsidR="00D1648F" w:rsidRPr="00582323" w:rsidRDefault="00D1648F" w:rsidP="00582323">
      <w:pPr>
        <w:pStyle w:val="EndNoteBibliography"/>
        <w:spacing w:after="0"/>
        <w:ind w:left="720" w:hanging="720"/>
        <w:jc w:val="both"/>
        <w:rPr>
          <w:sz w:val="24"/>
          <w:szCs w:val="24"/>
        </w:rPr>
      </w:pPr>
      <w:r w:rsidRPr="00582323">
        <w:rPr>
          <w:sz w:val="24"/>
          <w:szCs w:val="24"/>
        </w:rPr>
        <w:lastRenderedPageBreak/>
        <w:t>3</w:t>
      </w:r>
      <w:r w:rsidR="0027638C">
        <w:rPr>
          <w:sz w:val="24"/>
          <w:szCs w:val="24"/>
        </w:rPr>
        <w:t>.</w:t>
      </w:r>
      <w:r w:rsidRPr="00582323">
        <w:rPr>
          <w:sz w:val="24"/>
          <w:szCs w:val="24"/>
        </w:rPr>
        <w:tab/>
        <w:t>Hodges, H.</w:t>
      </w:r>
      <w:r w:rsidRPr="00582323">
        <w:rPr>
          <w:i/>
          <w:sz w:val="24"/>
          <w:szCs w:val="24"/>
        </w:rPr>
        <w:t xml:space="preserve"> et al.</w:t>
      </w:r>
      <w:r w:rsidRPr="00582323">
        <w:rPr>
          <w:sz w:val="24"/>
          <w:szCs w:val="24"/>
        </w:rPr>
        <w:t xml:space="preserve"> Making stem cell lines suitable for transplantation. </w:t>
      </w:r>
      <w:r w:rsidRPr="00582323">
        <w:rPr>
          <w:i/>
          <w:sz w:val="24"/>
          <w:szCs w:val="24"/>
        </w:rPr>
        <w:t>Cell Transplant.</w:t>
      </w:r>
      <w:r w:rsidRPr="00582323">
        <w:rPr>
          <w:sz w:val="24"/>
          <w:szCs w:val="24"/>
        </w:rPr>
        <w:t xml:space="preserve"> </w:t>
      </w:r>
      <w:r w:rsidRPr="00582323">
        <w:rPr>
          <w:b/>
          <w:sz w:val="24"/>
          <w:szCs w:val="24"/>
        </w:rPr>
        <w:t>16</w:t>
      </w:r>
      <w:r w:rsidRPr="00582323">
        <w:rPr>
          <w:sz w:val="24"/>
          <w:szCs w:val="24"/>
        </w:rPr>
        <w:t xml:space="preserve"> (2), 101-115</w:t>
      </w:r>
      <w:r>
        <w:rPr>
          <w:sz w:val="24"/>
          <w:szCs w:val="24"/>
        </w:rPr>
        <w:t>, doi:</w:t>
      </w:r>
      <w:r w:rsidRPr="008059A1">
        <w:t xml:space="preserve"> </w:t>
      </w:r>
      <w:r w:rsidRPr="008059A1">
        <w:rPr>
          <w:sz w:val="24"/>
          <w:szCs w:val="24"/>
        </w:rPr>
        <w:t>10.3727/000000007783464605</w:t>
      </w:r>
      <w:r w:rsidRPr="00582323">
        <w:rPr>
          <w:sz w:val="24"/>
          <w:szCs w:val="24"/>
        </w:rPr>
        <w:t xml:space="preserve"> (2007).</w:t>
      </w:r>
    </w:p>
    <w:p w:rsidR="00D1648F" w:rsidRPr="00582323" w:rsidRDefault="00D1648F" w:rsidP="00582323">
      <w:pPr>
        <w:pStyle w:val="EndNoteBibliography"/>
        <w:spacing w:after="0"/>
        <w:ind w:left="720" w:hanging="720"/>
        <w:jc w:val="both"/>
        <w:rPr>
          <w:sz w:val="24"/>
          <w:szCs w:val="24"/>
        </w:rPr>
      </w:pPr>
      <w:r w:rsidRPr="00582323">
        <w:rPr>
          <w:sz w:val="24"/>
          <w:szCs w:val="24"/>
        </w:rPr>
        <w:t>4</w:t>
      </w:r>
      <w:r w:rsidR="0027638C">
        <w:rPr>
          <w:sz w:val="24"/>
          <w:szCs w:val="24"/>
        </w:rPr>
        <w:t>.</w:t>
      </w:r>
      <w:r w:rsidRPr="00582323">
        <w:rPr>
          <w:sz w:val="24"/>
          <w:szCs w:val="24"/>
        </w:rPr>
        <w:tab/>
        <w:t>Smith, E. J.</w:t>
      </w:r>
      <w:r w:rsidRPr="00582323">
        <w:rPr>
          <w:i/>
          <w:sz w:val="24"/>
          <w:szCs w:val="24"/>
        </w:rPr>
        <w:t xml:space="preserve"> et al.</w:t>
      </w:r>
      <w:r w:rsidRPr="00582323">
        <w:rPr>
          <w:sz w:val="24"/>
          <w:szCs w:val="24"/>
        </w:rPr>
        <w:t xml:space="preserve"> Implantation site and lesion topology determine efficacy of a human neural stem cell line in a rat model of chronic stroke. </w:t>
      </w:r>
      <w:r w:rsidRPr="00582323">
        <w:rPr>
          <w:i/>
          <w:sz w:val="24"/>
          <w:szCs w:val="24"/>
        </w:rPr>
        <w:t>Stem Cells.</w:t>
      </w:r>
      <w:r w:rsidRPr="00582323">
        <w:rPr>
          <w:sz w:val="24"/>
          <w:szCs w:val="24"/>
        </w:rPr>
        <w:t xml:space="preserve"> </w:t>
      </w:r>
      <w:r w:rsidRPr="00582323">
        <w:rPr>
          <w:b/>
          <w:sz w:val="24"/>
          <w:szCs w:val="24"/>
        </w:rPr>
        <w:t>30</w:t>
      </w:r>
      <w:r w:rsidRPr="00582323">
        <w:rPr>
          <w:sz w:val="24"/>
          <w:szCs w:val="24"/>
        </w:rPr>
        <w:t xml:space="preserve"> (4), 785-796, doi:10.1002/stem.1024 (2012).</w:t>
      </w:r>
    </w:p>
    <w:p w:rsidR="00D1648F" w:rsidRPr="00582323" w:rsidRDefault="00D1648F" w:rsidP="00582323">
      <w:pPr>
        <w:pStyle w:val="EndNoteBibliography"/>
        <w:spacing w:after="0"/>
        <w:ind w:left="720" w:hanging="720"/>
        <w:jc w:val="both"/>
        <w:rPr>
          <w:sz w:val="24"/>
          <w:szCs w:val="24"/>
        </w:rPr>
      </w:pPr>
      <w:r w:rsidRPr="00582323">
        <w:rPr>
          <w:sz w:val="24"/>
          <w:szCs w:val="24"/>
        </w:rPr>
        <w:t>5</w:t>
      </w:r>
      <w:r w:rsidR="0027638C">
        <w:rPr>
          <w:sz w:val="24"/>
          <w:szCs w:val="24"/>
        </w:rPr>
        <w:t>.</w:t>
      </w:r>
      <w:r w:rsidRPr="00582323">
        <w:rPr>
          <w:sz w:val="24"/>
          <w:szCs w:val="24"/>
        </w:rPr>
        <w:tab/>
        <w:t>Stroemer, P.</w:t>
      </w:r>
      <w:r w:rsidRPr="00582323">
        <w:rPr>
          <w:i/>
          <w:sz w:val="24"/>
          <w:szCs w:val="24"/>
        </w:rPr>
        <w:t xml:space="preserve"> et al.</w:t>
      </w:r>
      <w:r w:rsidRPr="00582323">
        <w:rPr>
          <w:sz w:val="24"/>
          <w:szCs w:val="24"/>
        </w:rPr>
        <w:t xml:space="preserve"> The neural stem cell line CTX0E03 promotes behavioral recovery and endogenous neurogenesis after experimental stroke in a dose-dependent fashion. </w:t>
      </w:r>
      <w:r w:rsidRPr="00582323">
        <w:rPr>
          <w:i/>
          <w:sz w:val="24"/>
          <w:szCs w:val="24"/>
        </w:rPr>
        <w:t>Neurorehabil Neural Repair.</w:t>
      </w:r>
      <w:r w:rsidRPr="00582323">
        <w:rPr>
          <w:sz w:val="24"/>
          <w:szCs w:val="24"/>
        </w:rPr>
        <w:t xml:space="preserve"> </w:t>
      </w:r>
      <w:r w:rsidRPr="00582323">
        <w:rPr>
          <w:b/>
          <w:sz w:val="24"/>
          <w:szCs w:val="24"/>
        </w:rPr>
        <w:t>23</w:t>
      </w:r>
      <w:r w:rsidRPr="00582323">
        <w:rPr>
          <w:sz w:val="24"/>
          <w:szCs w:val="24"/>
        </w:rPr>
        <w:t xml:space="preserve"> (9), 895-909, doi:10.1177/1545968309335978 (2009).</w:t>
      </w:r>
    </w:p>
    <w:p w:rsidR="00D1648F" w:rsidRPr="00582323" w:rsidRDefault="00D1648F" w:rsidP="00582323">
      <w:pPr>
        <w:pStyle w:val="EndNoteBibliography"/>
        <w:spacing w:after="0"/>
        <w:ind w:left="720" w:hanging="720"/>
        <w:jc w:val="both"/>
        <w:rPr>
          <w:sz w:val="24"/>
          <w:szCs w:val="24"/>
        </w:rPr>
      </w:pPr>
      <w:r w:rsidRPr="00582323">
        <w:rPr>
          <w:sz w:val="24"/>
          <w:szCs w:val="24"/>
        </w:rPr>
        <w:t>6</w:t>
      </w:r>
      <w:r w:rsidR="0027638C">
        <w:rPr>
          <w:sz w:val="24"/>
          <w:szCs w:val="24"/>
        </w:rPr>
        <w:t>.</w:t>
      </w:r>
      <w:r w:rsidRPr="00582323">
        <w:rPr>
          <w:sz w:val="24"/>
          <w:szCs w:val="24"/>
        </w:rPr>
        <w:tab/>
        <w:t xml:space="preserve">Kalladka, D. &amp; Muir, K. W. Brain repair: cell therapy in stroke. </w:t>
      </w:r>
      <w:r w:rsidRPr="00582323">
        <w:rPr>
          <w:i/>
          <w:sz w:val="24"/>
          <w:szCs w:val="24"/>
        </w:rPr>
        <w:t>Stem Cells Cloning.</w:t>
      </w:r>
      <w:r w:rsidRPr="00582323">
        <w:rPr>
          <w:sz w:val="24"/>
          <w:szCs w:val="24"/>
        </w:rPr>
        <w:t xml:space="preserve"> </w:t>
      </w:r>
      <w:r w:rsidRPr="00582323">
        <w:rPr>
          <w:b/>
          <w:sz w:val="24"/>
          <w:szCs w:val="24"/>
        </w:rPr>
        <w:t>7</w:t>
      </w:r>
      <w:r w:rsidRPr="00582323">
        <w:rPr>
          <w:sz w:val="24"/>
          <w:szCs w:val="24"/>
        </w:rPr>
        <w:t xml:space="preserve"> 31-44, doi:10.2147/SCCAA.S38003, (2014).</w:t>
      </w:r>
    </w:p>
    <w:p w:rsidR="00D1648F" w:rsidRPr="00582323" w:rsidRDefault="00D1648F" w:rsidP="00582323">
      <w:pPr>
        <w:pStyle w:val="EndNoteBibliography"/>
        <w:spacing w:after="0"/>
        <w:ind w:left="720" w:hanging="720"/>
        <w:jc w:val="both"/>
        <w:rPr>
          <w:sz w:val="24"/>
          <w:szCs w:val="24"/>
        </w:rPr>
      </w:pPr>
      <w:r w:rsidRPr="00582323">
        <w:rPr>
          <w:sz w:val="24"/>
          <w:szCs w:val="24"/>
        </w:rPr>
        <w:t>7</w:t>
      </w:r>
      <w:r w:rsidR="0027638C">
        <w:rPr>
          <w:sz w:val="24"/>
          <w:szCs w:val="24"/>
        </w:rPr>
        <w:t>.</w:t>
      </w:r>
      <w:r w:rsidRPr="00582323">
        <w:rPr>
          <w:sz w:val="24"/>
          <w:szCs w:val="24"/>
        </w:rPr>
        <w:tab/>
        <w:t>Fire, A.</w:t>
      </w:r>
      <w:r w:rsidRPr="00582323">
        <w:rPr>
          <w:i/>
          <w:sz w:val="24"/>
          <w:szCs w:val="24"/>
        </w:rPr>
        <w:t xml:space="preserve"> et al.</w:t>
      </w:r>
      <w:r w:rsidRPr="00582323">
        <w:rPr>
          <w:sz w:val="24"/>
          <w:szCs w:val="24"/>
        </w:rPr>
        <w:t xml:space="preserve"> Potent and specific genetic interference by double-stranded RNA in Caenorhabditis elegans. </w:t>
      </w:r>
      <w:r w:rsidRPr="00582323">
        <w:rPr>
          <w:i/>
          <w:sz w:val="24"/>
          <w:szCs w:val="24"/>
        </w:rPr>
        <w:t>Nature.</w:t>
      </w:r>
      <w:r w:rsidRPr="00582323">
        <w:rPr>
          <w:sz w:val="24"/>
          <w:szCs w:val="24"/>
        </w:rPr>
        <w:t xml:space="preserve"> </w:t>
      </w:r>
      <w:r w:rsidRPr="00582323">
        <w:rPr>
          <w:b/>
          <w:sz w:val="24"/>
          <w:szCs w:val="24"/>
        </w:rPr>
        <w:t>391</w:t>
      </w:r>
      <w:r w:rsidRPr="00582323">
        <w:rPr>
          <w:sz w:val="24"/>
          <w:szCs w:val="24"/>
        </w:rPr>
        <w:t xml:space="preserve"> (6669), 806-811, doi:10.1038/35888 (1998).</w:t>
      </w:r>
    </w:p>
    <w:p w:rsidR="00D1648F" w:rsidRPr="00582323" w:rsidRDefault="00D1648F" w:rsidP="00582323">
      <w:pPr>
        <w:pStyle w:val="EndNoteBibliography"/>
        <w:spacing w:after="0"/>
        <w:ind w:left="720" w:hanging="720"/>
        <w:jc w:val="both"/>
        <w:rPr>
          <w:sz w:val="24"/>
          <w:szCs w:val="24"/>
        </w:rPr>
      </w:pPr>
      <w:r w:rsidRPr="00582323">
        <w:rPr>
          <w:sz w:val="24"/>
          <w:szCs w:val="24"/>
        </w:rPr>
        <w:t>8</w:t>
      </w:r>
      <w:r w:rsidR="0027638C">
        <w:rPr>
          <w:sz w:val="24"/>
          <w:szCs w:val="24"/>
        </w:rPr>
        <w:t>.</w:t>
      </w:r>
      <w:r w:rsidRPr="00582323">
        <w:rPr>
          <w:sz w:val="24"/>
          <w:szCs w:val="24"/>
        </w:rPr>
        <w:tab/>
        <w:t>Anokye-Danso, F.</w:t>
      </w:r>
      <w:r w:rsidRPr="00582323">
        <w:rPr>
          <w:i/>
          <w:sz w:val="24"/>
          <w:szCs w:val="24"/>
        </w:rPr>
        <w:t xml:space="preserve"> et al.</w:t>
      </w:r>
      <w:r w:rsidRPr="00582323">
        <w:rPr>
          <w:sz w:val="24"/>
          <w:szCs w:val="24"/>
        </w:rPr>
        <w:t xml:space="preserve"> Highly efficient miRNA-mediated reprogramming of mouse and human somatic cells to pluripotency. </w:t>
      </w:r>
      <w:r w:rsidRPr="00582323">
        <w:rPr>
          <w:i/>
          <w:sz w:val="24"/>
          <w:szCs w:val="24"/>
        </w:rPr>
        <w:t>Cell Stem Cell.</w:t>
      </w:r>
      <w:r w:rsidRPr="00582323">
        <w:rPr>
          <w:sz w:val="24"/>
          <w:szCs w:val="24"/>
        </w:rPr>
        <w:t xml:space="preserve"> </w:t>
      </w:r>
      <w:r w:rsidRPr="00582323">
        <w:rPr>
          <w:b/>
          <w:sz w:val="24"/>
          <w:szCs w:val="24"/>
        </w:rPr>
        <w:t>8</w:t>
      </w:r>
      <w:r w:rsidRPr="00582323">
        <w:rPr>
          <w:sz w:val="24"/>
          <w:szCs w:val="24"/>
        </w:rPr>
        <w:t xml:space="preserve"> (4), 376-388, doi:10.1016/j.stem.2011.03.001 (2011).</w:t>
      </w:r>
    </w:p>
    <w:p w:rsidR="00D1648F" w:rsidRPr="00582323" w:rsidRDefault="00D1648F" w:rsidP="00582323">
      <w:pPr>
        <w:pStyle w:val="EndNoteBibliography"/>
        <w:spacing w:after="0"/>
        <w:ind w:left="720" w:hanging="720"/>
        <w:jc w:val="both"/>
        <w:rPr>
          <w:sz w:val="24"/>
          <w:szCs w:val="24"/>
        </w:rPr>
      </w:pPr>
      <w:r w:rsidRPr="00582323">
        <w:rPr>
          <w:sz w:val="24"/>
          <w:szCs w:val="24"/>
        </w:rPr>
        <w:t>9</w:t>
      </w:r>
      <w:r w:rsidR="0027638C">
        <w:rPr>
          <w:sz w:val="24"/>
          <w:szCs w:val="24"/>
        </w:rPr>
        <w:t>.</w:t>
      </w:r>
      <w:r w:rsidRPr="00582323">
        <w:rPr>
          <w:sz w:val="24"/>
          <w:szCs w:val="24"/>
        </w:rPr>
        <w:tab/>
        <w:t xml:space="preserve">Li, X. &amp; Jin, P. Roles of small regulatory RNAs in determining neuronal identity. </w:t>
      </w:r>
      <w:r w:rsidRPr="00582323">
        <w:rPr>
          <w:i/>
          <w:sz w:val="24"/>
          <w:szCs w:val="24"/>
        </w:rPr>
        <w:t>Nat Rev Neurosci.</w:t>
      </w:r>
      <w:r w:rsidRPr="00582323">
        <w:rPr>
          <w:sz w:val="24"/>
          <w:szCs w:val="24"/>
        </w:rPr>
        <w:t xml:space="preserve"> </w:t>
      </w:r>
      <w:r w:rsidRPr="00582323">
        <w:rPr>
          <w:b/>
          <w:sz w:val="24"/>
          <w:szCs w:val="24"/>
        </w:rPr>
        <w:t>11</w:t>
      </w:r>
      <w:r w:rsidRPr="00582323">
        <w:rPr>
          <w:sz w:val="24"/>
          <w:szCs w:val="24"/>
        </w:rPr>
        <w:t xml:space="preserve"> (5), 329-338, doi:10.1038/nrn2739 (2010).</w:t>
      </w:r>
    </w:p>
    <w:p w:rsidR="00D1648F" w:rsidRPr="00582323" w:rsidRDefault="00D1648F" w:rsidP="00582323">
      <w:pPr>
        <w:pStyle w:val="EndNoteBibliography"/>
        <w:spacing w:after="0"/>
        <w:ind w:left="720" w:hanging="720"/>
        <w:jc w:val="both"/>
        <w:rPr>
          <w:sz w:val="24"/>
          <w:szCs w:val="24"/>
        </w:rPr>
      </w:pPr>
      <w:r w:rsidRPr="00582323">
        <w:rPr>
          <w:sz w:val="24"/>
          <w:szCs w:val="24"/>
        </w:rPr>
        <w:t>10</w:t>
      </w:r>
      <w:r w:rsidR="0027638C">
        <w:rPr>
          <w:sz w:val="24"/>
          <w:szCs w:val="24"/>
        </w:rPr>
        <w:t>.</w:t>
      </w:r>
      <w:r w:rsidRPr="00582323">
        <w:rPr>
          <w:sz w:val="24"/>
          <w:szCs w:val="24"/>
        </w:rPr>
        <w:tab/>
        <w:t xml:space="preserve">Badylak, S. F. The extracellular matrix as a scaffold for tissue reconstruction. </w:t>
      </w:r>
      <w:r w:rsidRPr="00582323">
        <w:rPr>
          <w:i/>
          <w:sz w:val="24"/>
          <w:szCs w:val="24"/>
        </w:rPr>
        <w:t>Semin Cell Dev Biol.</w:t>
      </w:r>
      <w:r w:rsidRPr="00582323">
        <w:rPr>
          <w:sz w:val="24"/>
          <w:szCs w:val="24"/>
        </w:rPr>
        <w:t xml:space="preserve"> </w:t>
      </w:r>
      <w:r w:rsidRPr="00582323">
        <w:rPr>
          <w:b/>
          <w:sz w:val="24"/>
          <w:szCs w:val="24"/>
        </w:rPr>
        <w:t>13</w:t>
      </w:r>
      <w:r w:rsidRPr="00582323">
        <w:rPr>
          <w:sz w:val="24"/>
          <w:szCs w:val="24"/>
        </w:rPr>
        <w:t xml:space="preserve"> (5), 377-383</w:t>
      </w:r>
      <w:r>
        <w:rPr>
          <w:sz w:val="24"/>
          <w:szCs w:val="24"/>
        </w:rPr>
        <w:t>, doi:</w:t>
      </w:r>
      <w:r w:rsidRPr="008059A1">
        <w:t xml:space="preserve"> </w:t>
      </w:r>
      <w:r w:rsidRPr="008059A1">
        <w:rPr>
          <w:sz w:val="24"/>
          <w:szCs w:val="24"/>
        </w:rPr>
        <w:t>10.1016/S1084952102000940</w:t>
      </w:r>
      <w:r w:rsidRPr="00582323">
        <w:rPr>
          <w:sz w:val="24"/>
          <w:szCs w:val="24"/>
        </w:rPr>
        <w:t xml:space="preserve"> (2002).</w:t>
      </w:r>
    </w:p>
    <w:p w:rsidR="00D1648F" w:rsidRPr="00582323" w:rsidRDefault="00D1648F" w:rsidP="00582323">
      <w:pPr>
        <w:pStyle w:val="EndNoteBibliography"/>
        <w:spacing w:after="0"/>
        <w:ind w:left="720" w:hanging="720"/>
        <w:jc w:val="both"/>
        <w:rPr>
          <w:sz w:val="24"/>
          <w:szCs w:val="24"/>
        </w:rPr>
      </w:pPr>
      <w:r w:rsidRPr="00582323">
        <w:rPr>
          <w:sz w:val="24"/>
          <w:szCs w:val="24"/>
        </w:rPr>
        <w:t>11</w:t>
      </w:r>
      <w:r w:rsidR="0027638C">
        <w:rPr>
          <w:sz w:val="24"/>
          <w:szCs w:val="24"/>
        </w:rPr>
        <w:t>.</w:t>
      </w:r>
      <w:r w:rsidRPr="00582323">
        <w:rPr>
          <w:sz w:val="24"/>
          <w:szCs w:val="24"/>
        </w:rPr>
        <w:tab/>
        <w:t xml:space="preserve">Buxboim, A. &amp; Discher, D. E. Stem cells feel the difference. </w:t>
      </w:r>
      <w:r w:rsidRPr="00582323">
        <w:rPr>
          <w:i/>
          <w:sz w:val="24"/>
          <w:szCs w:val="24"/>
        </w:rPr>
        <w:t>Nat Methods.</w:t>
      </w:r>
      <w:r w:rsidRPr="00582323">
        <w:rPr>
          <w:sz w:val="24"/>
          <w:szCs w:val="24"/>
        </w:rPr>
        <w:t xml:space="preserve"> </w:t>
      </w:r>
      <w:r w:rsidRPr="00582323">
        <w:rPr>
          <w:b/>
          <w:sz w:val="24"/>
          <w:szCs w:val="24"/>
        </w:rPr>
        <w:t>7</w:t>
      </w:r>
      <w:r w:rsidRPr="00582323">
        <w:rPr>
          <w:sz w:val="24"/>
          <w:szCs w:val="24"/>
        </w:rPr>
        <w:t xml:space="preserve"> (9), 695-697, doi:10.1038/nmeth0910-695 (2010).</w:t>
      </w:r>
    </w:p>
    <w:p w:rsidR="00D1648F" w:rsidRPr="00582323" w:rsidRDefault="00D1648F" w:rsidP="00582323">
      <w:pPr>
        <w:pStyle w:val="EndNoteBibliography"/>
        <w:spacing w:after="0"/>
        <w:ind w:left="720" w:hanging="720"/>
        <w:jc w:val="both"/>
        <w:rPr>
          <w:sz w:val="24"/>
          <w:szCs w:val="24"/>
        </w:rPr>
      </w:pPr>
      <w:r w:rsidRPr="00582323">
        <w:rPr>
          <w:sz w:val="24"/>
          <w:szCs w:val="24"/>
        </w:rPr>
        <w:t>12</w:t>
      </w:r>
      <w:r w:rsidR="0027638C">
        <w:rPr>
          <w:sz w:val="24"/>
          <w:szCs w:val="24"/>
        </w:rPr>
        <w:t>.</w:t>
      </w:r>
      <w:r w:rsidRPr="00582323">
        <w:rPr>
          <w:sz w:val="24"/>
          <w:szCs w:val="24"/>
        </w:rPr>
        <w:tab/>
        <w:t>Li, W. J.</w:t>
      </w:r>
      <w:r w:rsidRPr="00582323">
        <w:rPr>
          <w:i/>
          <w:sz w:val="24"/>
          <w:szCs w:val="24"/>
        </w:rPr>
        <w:t xml:space="preserve"> et al.</w:t>
      </w:r>
      <w:r w:rsidRPr="00582323">
        <w:rPr>
          <w:sz w:val="24"/>
          <w:szCs w:val="24"/>
        </w:rPr>
        <w:t xml:space="preserve"> A three-dimensional nanofibrous scaffold for cartilage tissue engineering using human mesenchymal stem cells. </w:t>
      </w:r>
      <w:r w:rsidRPr="00582323">
        <w:rPr>
          <w:i/>
          <w:sz w:val="24"/>
          <w:szCs w:val="24"/>
        </w:rPr>
        <w:t>Biomaterials.</w:t>
      </w:r>
      <w:r w:rsidRPr="00582323">
        <w:rPr>
          <w:sz w:val="24"/>
          <w:szCs w:val="24"/>
        </w:rPr>
        <w:t xml:space="preserve"> </w:t>
      </w:r>
      <w:r w:rsidRPr="00582323">
        <w:rPr>
          <w:b/>
          <w:sz w:val="24"/>
          <w:szCs w:val="24"/>
        </w:rPr>
        <w:t>26</w:t>
      </w:r>
      <w:r w:rsidRPr="00582323">
        <w:rPr>
          <w:sz w:val="24"/>
          <w:szCs w:val="24"/>
        </w:rPr>
        <w:t xml:space="preserve"> (6), 599-609, doi:10.1016/j.biomaterials.2004.03.005 (2005).</w:t>
      </w:r>
    </w:p>
    <w:p w:rsidR="00D1648F" w:rsidRPr="00582323" w:rsidRDefault="00D1648F" w:rsidP="00582323">
      <w:pPr>
        <w:pStyle w:val="EndNoteBibliography"/>
        <w:spacing w:after="0"/>
        <w:ind w:left="720" w:hanging="720"/>
        <w:jc w:val="both"/>
        <w:rPr>
          <w:sz w:val="24"/>
          <w:szCs w:val="24"/>
        </w:rPr>
      </w:pPr>
      <w:r w:rsidRPr="00582323">
        <w:rPr>
          <w:sz w:val="24"/>
          <w:szCs w:val="24"/>
        </w:rPr>
        <w:t>13</w:t>
      </w:r>
      <w:r w:rsidR="0027638C">
        <w:rPr>
          <w:sz w:val="24"/>
          <w:szCs w:val="24"/>
        </w:rPr>
        <w:t>.</w:t>
      </w:r>
      <w:r w:rsidRPr="00582323">
        <w:rPr>
          <w:sz w:val="24"/>
          <w:szCs w:val="24"/>
        </w:rPr>
        <w:tab/>
        <w:t xml:space="preserve">Lutolf, M. P., Gilbert, P. M. &amp; Blau, H. M. Designing materials to direct stem-cell fate. </w:t>
      </w:r>
      <w:r w:rsidRPr="00582323">
        <w:rPr>
          <w:i/>
          <w:sz w:val="24"/>
          <w:szCs w:val="24"/>
        </w:rPr>
        <w:t>Nature.</w:t>
      </w:r>
      <w:r w:rsidRPr="00582323">
        <w:rPr>
          <w:sz w:val="24"/>
          <w:szCs w:val="24"/>
        </w:rPr>
        <w:t xml:space="preserve"> </w:t>
      </w:r>
      <w:r w:rsidRPr="00582323">
        <w:rPr>
          <w:b/>
          <w:sz w:val="24"/>
          <w:szCs w:val="24"/>
        </w:rPr>
        <w:t>462</w:t>
      </w:r>
      <w:r w:rsidRPr="00582323">
        <w:rPr>
          <w:sz w:val="24"/>
          <w:szCs w:val="24"/>
        </w:rPr>
        <w:t xml:space="preserve"> (7272), 433-441, doi:10.1038/nature08602 (2009).</w:t>
      </w:r>
    </w:p>
    <w:p w:rsidR="00D1648F" w:rsidRPr="00582323" w:rsidRDefault="00D1648F" w:rsidP="00582323">
      <w:pPr>
        <w:pStyle w:val="EndNoteBibliography"/>
        <w:spacing w:after="0"/>
        <w:ind w:left="720" w:hanging="720"/>
        <w:jc w:val="both"/>
        <w:rPr>
          <w:sz w:val="24"/>
          <w:szCs w:val="24"/>
        </w:rPr>
      </w:pPr>
      <w:r w:rsidRPr="00582323">
        <w:rPr>
          <w:sz w:val="24"/>
          <w:szCs w:val="24"/>
        </w:rPr>
        <w:t>14</w:t>
      </w:r>
      <w:r w:rsidR="0027638C">
        <w:rPr>
          <w:sz w:val="24"/>
          <w:szCs w:val="24"/>
        </w:rPr>
        <w:t>.</w:t>
      </w:r>
      <w:r w:rsidRPr="00582323">
        <w:rPr>
          <w:sz w:val="24"/>
          <w:szCs w:val="24"/>
        </w:rPr>
        <w:tab/>
        <w:t>Ortinau, S.</w:t>
      </w:r>
      <w:r w:rsidRPr="00582323">
        <w:rPr>
          <w:i/>
          <w:sz w:val="24"/>
          <w:szCs w:val="24"/>
        </w:rPr>
        <w:t xml:space="preserve"> et al.</w:t>
      </w:r>
      <w:r w:rsidRPr="00582323">
        <w:rPr>
          <w:sz w:val="24"/>
          <w:szCs w:val="24"/>
        </w:rPr>
        <w:t xml:space="preserve"> Effect of 3D-scaffold formation on differentiation and survival in human neural progenitor cells. </w:t>
      </w:r>
      <w:r w:rsidRPr="00582323">
        <w:rPr>
          <w:i/>
          <w:sz w:val="24"/>
          <w:szCs w:val="24"/>
        </w:rPr>
        <w:t>Biomed Eng Online.</w:t>
      </w:r>
      <w:r w:rsidRPr="00582323">
        <w:rPr>
          <w:sz w:val="24"/>
          <w:szCs w:val="24"/>
        </w:rPr>
        <w:t xml:space="preserve"> </w:t>
      </w:r>
      <w:r w:rsidRPr="00582323">
        <w:rPr>
          <w:b/>
          <w:sz w:val="24"/>
          <w:szCs w:val="24"/>
        </w:rPr>
        <w:t>9</w:t>
      </w:r>
      <w:r w:rsidRPr="00582323">
        <w:rPr>
          <w:sz w:val="24"/>
          <w:szCs w:val="24"/>
        </w:rPr>
        <w:t xml:space="preserve"> (1), 70, doi:10.1186/1475-925X-9-70 (2010).</w:t>
      </w:r>
    </w:p>
    <w:p w:rsidR="00D1648F" w:rsidRPr="00582323" w:rsidRDefault="00D1648F" w:rsidP="00582323">
      <w:pPr>
        <w:pStyle w:val="EndNoteBibliography"/>
        <w:spacing w:after="0"/>
        <w:ind w:left="720" w:hanging="720"/>
        <w:jc w:val="both"/>
        <w:rPr>
          <w:sz w:val="24"/>
          <w:szCs w:val="24"/>
        </w:rPr>
      </w:pPr>
      <w:r w:rsidRPr="00582323">
        <w:rPr>
          <w:sz w:val="24"/>
          <w:szCs w:val="24"/>
        </w:rPr>
        <w:t>15</w:t>
      </w:r>
      <w:r w:rsidR="0027638C">
        <w:rPr>
          <w:sz w:val="24"/>
          <w:szCs w:val="24"/>
        </w:rPr>
        <w:t>.</w:t>
      </w:r>
      <w:r w:rsidRPr="00582323">
        <w:rPr>
          <w:sz w:val="24"/>
          <w:szCs w:val="24"/>
        </w:rPr>
        <w:tab/>
        <w:t xml:space="preserve">Saha, K., Pollock, J. F., Schaffer, D. V. &amp; Healy, K. E. Designing synthetic materials to control stem cell phenotype. </w:t>
      </w:r>
      <w:r w:rsidRPr="00582323">
        <w:rPr>
          <w:i/>
          <w:sz w:val="24"/>
          <w:szCs w:val="24"/>
        </w:rPr>
        <w:t>Curr Opin Chem Biol.</w:t>
      </w:r>
      <w:r w:rsidRPr="00582323">
        <w:rPr>
          <w:sz w:val="24"/>
          <w:szCs w:val="24"/>
        </w:rPr>
        <w:t xml:space="preserve"> </w:t>
      </w:r>
      <w:r w:rsidRPr="00582323">
        <w:rPr>
          <w:b/>
          <w:sz w:val="24"/>
          <w:szCs w:val="24"/>
        </w:rPr>
        <w:t>11</w:t>
      </w:r>
      <w:r w:rsidRPr="00582323">
        <w:rPr>
          <w:sz w:val="24"/>
          <w:szCs w:val="24"/>
        </w:rPr>
        <w:t xml:space="preserve"> (4), 381-387,</w:t>
      </w:r>
      <w:r>
        <w:rPr>
          <w:sz w:val="24"/>
          <w:szCs w:val="24"/>
        </w:rPr>
        <w:t xml:space="preserve"> doi:10.1016/j.cbpa.2007.05.030</w:t>
      </w:r>
      <w:r w:rsidRPr="00582323">
        <w:rPr>
          <w:sz w:val="24"/>
          <w:szCs w:val="24"/>
        </w:rPr>
        <w:t xml:space="preserve"> (2007).</w:t>
      </w:r>
    </w:p>
    <w:p w:rsidR="00D1648F" w:rsidRPr="00582323" w:rsidRDefault="00D1648F" w:rsidP="00582323">
      <w:pPr>
        <w:pStyle w:val="EndNoteBibliography"/>
        <w:spacing w:after="0"/>
        <w:ind w:left="720" w:hanging="720"/>
        <w:jc w:val="both"/>
        <w:rPr>
          <w:sz w:val="24"/>
          <w:szCs w:val="24"/>
        </w:rPr>
      </w:pPr>
      <w:r w:rsidRPr="00582323">
        <w:rPr>
          <w:sz w:val="24"/>
          <w:szCs w:val="24"/>
        </w:rPr>
        <w:t>16</w:t>
      </w:r>
      <w:r w:rsidR="0027638C">
        <w:rPr>
          <w:sz w:val="24"/>
          <w:szCs w:val="24"/>
        </w:rPr>
        <w:t>.</w:t>
      </w:r>
      <w:r w:rsidRPr="00582323">
        <w:rPr>
          <w:sz w:val="24"/>
          <w:szCs w:val="24"/>
        </w:rPr>
        <w:tab/>
        <w:t xml:space="preserve">Knight, E., Murray, B., Carnachan, R. &amp; Przyborski, S. Alvetex(R): polystyrene scaffold technology for routine three dimensional cell culture. </w:t>
      </w:r>
      <w:r w:rsidRPr="00582323">
        <w:rPr>
          <w:i/>
          <w:sz w:val="24"/>
          <w:szCs w:val="24"/>
        </w:rPr>
        <w:t>Methods Mol Biol.</w:t>
      </w:r>
      <w:r w:rsidRPr="00582323">
        <w:rPr>
          <w:sz w:val="24"/>
          <w:szCs w:val="24"/>
        </w:rPr>
        <w:t xml:space="preserve"> </w:t>
      </w:r>
      <w:r w:rsidRPr="00582323">
        <w:rPr>
          <w:b/>
          <w:sz w:val="24"/>
          <w:szCs w:val="24"/>
        </w:rPr>
        <w:t>695</w:t>
      </w:r>
      <w:r w:rsidRPr="00582323">
        <w:rPr>
          <w:sz w:val="24"/>
          <w:szCs w:val="24"/>
        </w:rPr>
        <w:t xml:space="preserve"> 323-340, d</w:t>
      </w:r>
      <w:r>
        <w:rPr>
          <w:sz w:val="24"/>
          <w:szCs w:val="24"/>
        </w:rPr>
        <w:t>oi:10.1007/978-1-60761-984-0_20</w:t>
      </w:r>
      <w:r w:rsidRPr="00582323">
        <w:rPr>
          <w:sz w:val="24"/>
          <w:szCs w:val="24"/>
        </w:rPr>
        <w:t xml:space="preserve"> (2011).</w:t>
      </w:r>
    </w:p>
    <w:p w:rsidR="00D1648F" w:rsidRPr="00582323" w:rsidRDefault="00D1648F" w:rsidP="00582323">
      <w:pPr>
        <w:pStyle w:val="EndNoteBibliography"/>
        <w:spacing w:after="0"/>
        <w:ind w:left="720" w:hanging="720"/>
        <w:jc w:val="both"/>
        <w:rPr>
          <w:sz w:val="24"/>
          <w:szCs w:val="24"/>
        </w:rPr>
      </w:pPr>
      <w:r w:rsidRPr="00582323">
        <w:rPr>
          <w:sz w:val="24"/>
          <w:szCs w:val="24"/>
        </w:rPr>
        <w:t>17</w:t>
      </w:r>
      <w:r w:rsidR="0027638C">
        <w:rPr>
          <w:sz w:val="24"/>
          <w:szCs w:val="24"/>
        </w:rPr>
        <w:t>.</w:t>
      </w:r>
      <w:r w:rsidRPr="00582323">
        <w:rPr>
          <w:sz w:val="24"/>
          <w:szCs w:val="24"/>
        </w:rPr>
        <w:tab/>
        <w:t xml:space="preserve">Bokhari, M., Carnachan, R. J., Przyborski, S. A., and Cameron, N. R. Emulsion- templated porous polymers as scaffolds for three dimensional cell culture: effect of synthesis parameters on scaffold formation and homogeneity. </w:t>
      </w:r>
      <w:r>
        <w:rPr>
          <w:i/>
          <w:sz w:val="24"/>
          <w:szCs w:val="24"/>
        </w:rPr>
        <w:t xml:space="preserve">J. Mater. Chem. </w:t>
      </w:r>
      <w:r w:rsidRPr="00582323">
        <w:rPr>
          <w:b/>
          <w:sz w:val="24"/>
          <w:szCs w:val="24"/>
        </w:rPr>
        <w:t>17</w:t>
      </w:r>
      <w:r>
        <w:rPr>
          <w:sz w:val="24"/>
          <w:szCs w:val="24"/>
        </w:rPr>
        <w:t>,</w:t>
      </w:r>
      <w:r w:rsidRPr="00582323">
        <w:rPr>
          <w:sz w:val="24"/>
          <w:szCs w:val="24"/>
        </w:rPr>
        <w:t xml:space="preserve"> 4088–4094</w:t>
      </w:r>
      <w:r>
        <w:rPr>
          <w:sz w:val="24"/>
          <w:szCs w:val="24"/>
        </w:rPr>
        <w:t>, doi:</w:t>
      </w:r>
      <w:r w:rsidRPr="008059A1">
        <w:t xml:space="preserve"> </w:t>
      </w:r>
      <w:r w:rsidRPr="008059A1">
        <w:rPr>
          <w:sz w:val="24"/>
          <w:szCs w:val="24"/>
        </w:rPr>
        <w:t>10.1039/B707499A</w:t>
      </w:r>
      <w:r w:rsidRPr="00582323">
        <w:rPr>
          <w:sz w:val="24"/>
          <w:szCs w:val="24"/>
        </w:rPr>
        <w:t xml:space="preserve"> (2007).</w:t>
      </w:r>
    </w:p>
    <w:p w:rsidR="00D1648F" w:rsidRPr="00582323" w:rsidRDefault="00D1648F" w:rsidP="00582323">
      <w:pPr>
        <w:pStyle w:val="EndNoteBibliography"/>
        <w:spacing w:after="0"/>
        <w:ind w:left="720" w:hanging="720"/>
        <w:jc w:val="both"/>
        <w:rPr>
          <w:sz w:val="24"/>
          <w:szCs w:val="24"/>
        </w:rPr>
      </w:pPr>
      <w:r w:rsidRPr="00582323">
        <w:rPr>
          <w:sz w:val="24"/>
          <w:szCs w:val="24"/>
        </w:rPr>
        <w:t>18</w:t>
      </w:r>
      <w:r w:rsidR="0027638C">
        <w:rPr>
          <w:sz w:val="24"/>
          <w:szCs w:val="24"/>
        </w:rPr>
        <w:t>.</w:t>
      </w:r>
      <w:r w:rsidRPr="00582323">
        <w:rPr>
          <w:sz w:val="24"/>
          <w:szCs w:val="24"/>
        </w:rPr>
        <w:tab/>
        <w:t xml:space="preserve">Bokhari, M., Carnachan, R. J., Cameron, N. R. &amp; Przyborski, S. A. Novel cell culture device enabling three-dimensional cell growth and improved cell function. </w:t>
      </w:r>
      <w:r w:rsidRPr="00582323">
        <w:rPr>
          <w:i/>
          <w:sz w:val="24"/>
          <w:szCs w:val="24"/>
        </w:rPr>
        <w:t>Biochem Biophys Res Commun.</w:t>
      </w:r>
      <w:r w:rsidRPr="00582323">
        <w:rPr>
          <w:sz w:val="24"/>
          <w:szCs w:val="24"/>
        </w:rPr>
        <w:t xml:space="preserve"> </w:t>
      </w:r>
      <w:r w:rsidRPr="00582323">
        <w:rPr>
          <w:b/>
          <w:sz w:val="24"/>
          <w:szCs w:val="24"/>
        </w:rPr>
        <w:t>354</w:t>
      </w:r>
      <w:r w:rsidRPr="00582323">
        <w:rPr>
          <w:sz w:val="24"/>
          <w:szCs w:val="24"/>
        </w:rPr>
        <w:t xml:space="preserve"> (4), 1095-1100, doi:10.1016/j.bbrc.2007.01.105 (2007).</w:t>
      </w:r>
    </w:p>
    <w:p w:rsidR="00D1648F" w:rsidRPr="00582323" w:rsidRDefault="00D1648F" w:rsidP="00582323">
      <w:pPr>
        <w:pStyle w:val="EndNoteBibliography"/>
        <w:spacing w:after="0"/>
        <w:ind w:left="720" w:hanging="720"/>
        <w:jc w:val="both"/>
        <w:rPr>
          <w:sz w:val="24"/>
          <w:szCs w:val="24"/>
        </w:rPr>
      </w:pPr>
      <w:r w:rsidRPr="00582323">
        <w:rPr>
          <w:sz w:val="24"/>
          <w:szCs w:val="24"/>
        </w:rPr>
        <w:t>19</w:t>
      </w:r>
      <w:r w:rsidR="0027638C">
        <w:rPr>
          <w:sz w:val="24"/>
          <w:szCs w:val="24"/>
        </w:rPr>
        <w:t>.</w:t>
      </w:r>
      <w:r w:rsidRPr="00582323">
        <w:rPr>
          <w:sz w:val="24"/>
          <w:szCs w:val="24"/>
        </w:rPr>
        <w:tab/>
        <w:t xml:space="preserve">Stevanato, L. &amp; Sinden, J. D. The effects of microRNAs on human neural stem cell differentiation in two- and three-dimensional cultures. </w:t>
      </w:r>
      <w:r w:rsidRPr="00582323">
        <w:rPr>
          <w:i/>
          <w:sz w:val="24"/>
          <w:szCs w:val="24"/>
        </w:rPr>
        <w:t>Stem Cell Res Ther.</w:t>
      </w:r>
      <w:r w:rsidRPr="00582323">
        <w:rPr>
          <w:sz w:val="24"/>
          <w:szCs w:val="24"/>
        </w:rPr>
        <w:t xml:space="preserve"> </w:t>
      </w:r>
      <w:r w:rsidRPr="00582323">
        <w:rPr>
          <w:b/>
          <w:sz w:val="24"/>
          <w:szCs w:val="24"/>
        </w:rPr>
        <w:t>5</w:t>
      </w:r>
      <w:r w:rsidRPr="00582323">
        <w:rPr>
          <w:sz w:val="24"/>
          <w:szCs w:val="24"/>
        </w:rPr>
        <w:t xml:space="preserve"> (2), 49, doi:10.1186/scrt437 (2014).</w:t>
      </w:r>
    </w:p>
    <w:p w:rsidR="00D1648F" w:rsidRPr="00582323" w:rsidRDefault="00D1648F" w:rsidP="00582323">
      <w:pPr>
        <w:pStyle w:val="EndNoteBibliography"/>
        <w:spacing w:after="0"/>
        <w:ind w:left="720" w:hanging="720"/>
        <w:jc w:val="both"/>
        <w:rPr>
          <w:sz w:val="24"/>
          <w:szCs w:val="24"/>
        </w:rPr>
      </w:pPr>
      <w:r w:rsidRPr="00582323">
        <w:rPr>
          <w:sz w:val="24"/>
          <w:szCs w:val="24"/>
        </w:rPr>
        <w:lastRenderedPageBreak/>
        <w:t>20</w:t>
      </w:r>
      <w:r w:rsidR="0027638C">
        <w:rPr>
          <w:sz w:val="24"/>
          <w:szCs w:val="24"/>
        </w:rPr>
        <w:t>.</w:t>
      </w:r>
      <w:r w:rsidRPr="00582323">
        <w:rPr>
          <w:sz w:val="24"/>
          <w:szCs w:val="24"/>
        </w:rPr>
        <w:tab/>
        <w:t xml:space="preserve">Ippolito, D. M. &amp; Eroglu, C. Quantifying synapses: an immunocytochemistry-based assay to quantify synapse number. </w:t>
      </w:r>
      <w:r w:rsidRPr="00582323">
        <w:rPr>
          <w:i/>
          <w:sz w:val="24"/>
          <w:szCs w:val="24"/>
        </w:rPr>
        <w:t>J Vis Exp.</w:t>
      </w:r>
      <w:r w:rsidRPr="00582323">
        <w:rPr>
          <w:sz w:val="24"/>
          <w:szCs w:val="24"/>
        </w:rPr>
        <w:t xml:space="preserve"> (45), doi:10.3791/2270 (2010).</w:t>
      </w:r>
    </w:p>
    <w:p w:rsidR="00D1648F" w:rsidRPr="00582323" w:rsidRDefault="00D1648F" w:rsidP="00582323">
      <w:pPr>
        <w:pStyle w:val="EndNoteBibliography"/>
        <w:spacing w:after="0"/>
        <w:ind w:left="720" w:hanging="720"/>
        <w:jc w:val="both"/>
        <w:rPr>
          <w:sz w:val="24"/>
          <w:szCs w:val="24"/>
        </w:rPr>
      </w:pPr>
      <w:r w:rsidRPr="00582323">
        <w:rPr>
          <w:sz w:val="24"/>
          <w:szCs w:val="24"/>
        </w:rPr>
        <w:t>21</w:t>
      </w:r>
      <w:r w:rsidR="0027638C">
        <w:rPr>
          <w:sz w:val="24"/>
          <w:szCs w:val="24"/>
        </w:rPr>
        <w:t>.</w:t>
      </w:r>
      <w:r w:rsidRPr="00582323">
        <w:rPr>
          <w:sz w:val="24"/>
          <w:szCs w:val="24"/>
        </w:rPr>
        <w:tab/>
        <w:t xml:space="preserve">Chen, K. &amp; Rajewsky, N. Natural selection on human microRNA binding sites inferred from SNP data. </w:t>
      </w:r>
      <w:r w:rsidRPr="00582323">
        <w:rPr>
          <w:i/>
          <w:sz w:val="24"/>
          <w:szCs w:val="24"/>
        </w:rPr>
        <w:t>Nat Genet.</w:t>
      </w:r>
      <w:r w:rsidRPr="00582323">
        <w:rPr>
          <w:sz w:val="24"/>
          <w:szCs w:val="24"/>
        </w:rPr>
        <w:t xml:space="preserve"> </w:t>
      </w:r>
      <w:r w:rsidRPr="00582323">
        <w:rPr>
          <w:b/>
          <w:sz w:val="24"/>
          <w:szCs w:val="24"/>
        </w:rPr>
        <w:t>38</w:t>
      </w:r>
      <w:r w:rsidRPr="00582323">
        <w:rPr>
          <w:sz w:val="24"/>
          <w:szCs w:val="24"/>
        </w:rPr>
        <w:t xml:space="preserve"> (12), 1452-1456, doi:10.1038/ng1910 (2006).</w:t>
      </w:r>
    </w:p>
    <w:p w:rsidR="00D1648F" w:rsidRPr="00582323" w:rsidRDefault="00D1648F" w:rsidP="00582323">
      <w:pPr>
        <w:pStyle w:val="EndNoteBibliography"/>
        <w:spacing w:after="0"/>
        <w:ind w:left="720" w:hanging="720"/>
        <w:jc w:val="both"/>
        <w:rPr>
          <w:sz w:val="24"/>
          <w:szCs w:val="24"/>
        </w:rPr>
      </w:pPr>
      <w:r w:rsidRPr="00582323">
        <w:rPr>
          <w:sz w:val="24"/>
          <w:szCs w:val="24"/>
        </w:rPr>
        <w:t>22</w:t>
      </w:r>
      <w:r w:rsidR="0027638C">
        <w:rPr>
          <w:sz w:val="24"/>
          <w:szCs w:val="24"/>
        </w:rPr>
        <w:t>.</w:t>
      </w:r>
      <w:r w:rsidRPr="00582323">
        <w:rPr>
          <w:sz w:val="24"/>
          <w:szCs w:val="24"/>
        </w:rPr>
        <w:tab/>
        <w:t>Krek, A.</w:t>
      </w:r>
      <w:r w:rsidRPr="00582323">
        <w:rPr>
          <w:i/>
          <w:sz w:val="24"/>
          <w:szCs w:val="24"/>
        </w:rPr>
        <w:t xml:space="preserve"> et al.</w:t>
      </w:r>
      <w:r w:rsidRPr="00582323">
        <w:rPr>
          <w:sz w:val="24"/>
          <w:szCs w:val="24"/>
        </w:rPr>
        <w:t xml:space="preserve"> Combinatorial microRNA target predictions. </w:t>
      </w:r>
      <w:r w:rsidRPr="00582323">
        <w:rPr>
          <w:i/>
          <w:sz w:val="24"/>
          <w:szCs w:val="24"/>
        </w:rPr>
        <w:t>Nat Genet.</w:t>
      </w:r>
      <w:r w:rsidRPr="00582323">
        <w:rPr>
          <w:sz w:val="24"/>
          <w:szCs w:val="24"/>
        </w:rPr>
        <w:t xml:space="preserve"> </w:t>
      </w:r>
      <w:r w:rsidRPr="00582323">
        <w:rPr>
          <w:b/>
          <w:sz w:val="24"/>
          <w:szCs w:val="24"/>
        </w:rPr>
        <w:t>37</w:t>
      </w:r>
      <w:r w:rsidRPr="00582323">
        <w:rPr>
          <w:sz w:val="24"/>
          <w:szCs w:val="24"/>
        </w:rPr>
        <w:t xml:space="preserve"> (5), 495-500, doi:10.1038/ng1536 (2005).</w:t>
      </w:r>
    </w:p>
    <w:p w:rsidR="00D1648F" w:rsidRPr="00582323" w:rsidRDefault="00D1648F" w:rsidP="00582323">
      <w:pPr>
        <w:pStyle w:val="EndNoteBibliography"/>
        <w:spacing w:after="0"/>
        <w:ind w:left="720" w:hanging="720"/>
        <w:jc w:val="both"/>
        <w:rPr>
          <w:sz w:val="24"/>
          <w:szCs w:val="24"/>
        </w:rPr>
      </w:pPr>
      <w:r w:rsidRPr="00582323">
        <w:rPr>
          <w:sz w:val="24"/>
          <w:szCs w:val="24"/>
        </w:rPr>
        <w:t>23</w:t>
      </w:r>
      <w:r w:rsidR="0027638C">
        <w:rPr>
          <w:sz w:val="24"/>
          <w:szCs w:val="24"/>
        </w:rPr>
        <w:t>.</w:t>
      </w:r>
      <w:r w:rsidRPr="00582323">
        <w:rPr>
          <w:sz w:val="24"/>
          <w:szCs w:val="24"/>
        </w:rPr>
        <w:tab/>
        <w:t>Maragkakis, M.</w:t>
      </w:r>
      <w:r w:rsidRPr="00582323">
        <w:rPr>
          <w:i/>
          <w:sz w:val="24"/>
          <w:szCs w:val="24"/>
        </w:rPr>
        <w:t xml:space="preserve"> et al.</w:t>
      </w:r>
      <w:r w:rsidRPr="00582323">
        <w:rPr>
          <w:sz w:val="24"/>
          <w:szCs w:val="24"/>
        </w:rPr>
        <w:t xml:space="preserve"> Accurate microRNA target prediction correlates with protein repression levels. </w:t>
      </w:r>
      <w:r w:rsidRPr="00582323">
        <w:rPr>
          <w:i/>
          <w:sz w:val="24"/>
          <w:szCs w:val="24"/>
        </w:rPr>
        <w:t>BMC Bioinformatics.</w:t>
      </w:r>
      <w:r w:rsidRPr="00582323">
        <w:rPr>
          <w:sz w:val="24"/>
          <w:szCs w:val="24"/>
        </w:rPr>
        <w:t xml:space="preserve"> </w:t>
      </w:r>
      <w:r w:rsidRPr="00582323">
        <w:rPr>
          <w:b/>
          <w:sz w:val="24"/>
          <w:szCs w:val="24"/>
        </w:rPr>
        <w:t>10</w:t>
      </w:r>
      <w:r w:rsidRPr="00582323">
        <w:rPr>
          <w:sz w:val="24"/>
          <w:szCs w:val="24"/>
        </w:rPr>
        <w:t xml:space="preserve"> 295, doi:10.1186/1471-2105-10-295 (2009).</w:t>
      </w:r>
    </w:p>
    <w:p w:rsidR="00D1648F" w:rsidRPr="00582323" w:rsidRDefault="00D1648F" w:rsidP="00582323">
      <w:pPr>
        <w:pStyle w:val="EndNoteBibliography"/>
        <w:spacing w:after="0"/>
        <w:ind w:left="720" w:hanging="720"/>
        <w:jc w:val="both"/>
        <w:rPr>
          <w:sz w:val="24"/>
          <w:szCs w:val="24"/>
        </w:rPr>
      </w:pPr>
      <w:r w:rsidRPr="00582323">
        <w:rPr>
          <w:sz w:val="24"/>
          <w:szCs w:val="24"/>
        </w:rPr>
        <w:t>24</w:t>
      </w:r>
      <w:r w:rsidR="0027638C">
        <w:rPr>
          <w:sz w:val="24"/>
          <w:szCs w:val="24"/>
        </w:rPr>
        <w:t>.</w:t>
      </w:r>
      <w:r w:rsidRPr="00582323">
        <w:rPr>
          <w:sz w:val="24"/>
          <w:szCs w:val="24"/>
        </w:rPr>
        <w:tab/>
        <w:t xml:space="preserve">Lewis, B. P., Burge, C. B. &amp; Bartel, D. P. Conserved seed pairing, often flanked by adenosines, indicates that thousands of human genes are microRNA targets. </w:t>
      </w:r>
      <w:r w:rsidRPr="00582323">
        <w:rPr>
          <w:i/>
          <w:sz w:val="24"/>
          <w:szCs w:val="24"/>
        </w:rPr>
        <w:t>Cell.</w:t>
      </w:r>
      <w:r w:rsidRPr="00582323">
        <w:rPr>
          <w:sz w:val="24"/>
          <w:szCs w:val="24"/>
        </w:rPr>
        <w:t xml:space="preserve"> </w:t>
      </w:r>
      <w:r w:rsidRPr="00582323">
        <w:rPr>
          <w:b/>
          <w:sz w:val="24"/>
          <w:szCs w:val="24"/>
        </w:rPr>
        <w:t>120</w:t>
      </w:r>
      <w:r w:rsidRPr="00582323">
        <w:rPr>
          <w:sz w:val="24"/>
          <w:szCs w:val="24"/>
        </w:rPr>
        <w:t xml:space="preserve"> (1), 15-20, doi:10.1016/j.cell.2004.12.035 (2005).</w:t>
      </w:r>
    </w:p>
    <w:p w:rsidR="00D1648F" w:rsidRPr="00582323" w:rsidRDefault="00D1648F" w:rsidP="00582323">
      <w:pPr>
        <w:pStyle w:val="EndNoteBibliography"/>
        <w:spacing w:after="0"/>
        <w:ind w:left="720" w:hanging="720"/>
        <w:jc w:val="both"/>
        <w:rPr>
          <w:sz w:val="24"/>
          <w:szCs w:val="24"/>
        </w:rPr>
      </w:pPr>
      <w:r w:rsidRPr="00582323">
        <w:rPr>
          <w:sz w:val="24"/>
          <w:szCs w:val="24"/>
        </w:rPr>
        <w:t>25</w:t>
      </w:r>
      <w:r w:rsidR="0027638C">
        <w:rPr>
          <w:sz w:val="24"/>
          <w:szCs w:val="24"/>
        </w:rPr>
        <w:t>.</w:t>
      </w:r>
      <w:r w:rsidRPr="00582323">
        <w:rPr>
          <w:sz w:val="24"/>
          <w:szCs w:val="24"/>
        </w:rPr>
        <w:tab/>
        <w:t xml:space="preserve">Aldred, S. F., Collins, P. &amp; Trinklein, N. Identifying targets of human micrornas with the LightSwitch Luciferase Assay System using 3'UTR-reporter constructs and a microRNA mimic in adherent cells. </w:t>
      </w:r>
      <w:r w:rsidRPr="00582323">
        <w:rPr>
          <w:i/>
          <w:sz w:val="24"/>
          <w:szCs w:val="24"/>
        </w:rPr>
        <w:t>J Vis Exp.</w:t>
      </w:r>
      <w:r w:rsidRPr="00582323">
        <w:rPr>
          <w:sz w:val="24"/>
          <w:szCs w:val="24"/>
        </w:rPr>
        <w:t xml:space="preserve"> (55), doi:10.3791/3343 (2011).</w:t>
      </w:r>
    </w:p>
    <w:p w:rsidR="00D1648F" w:rsidRPr="00582323" w:rsidRDefault="00D1648F" w:rsidP="00582323">
      <w:pPr>
        <w:pStyle w:val="EndNoteBibliography"/>
        <w:spacing w:after="0"/>
        <w:ind w:left="720" w:hanging="720"/>
        <w:jc w:val="both"/>
        <w:rPr>
          <w:sz w:val="24"/>
          <w:szCs w:val="24"/>
        </w:rPr>
      </w:pPr>
      <w:r w:rsidRPr="00582323">
        <w:rPr>
          <w:sz w:val="24"/>
          <w:szCs w:val="24"/>
        </w:rPr>
        <w:t>26</w:t>
      </w:r>
      <w:r w:rsidR="0027638C">
        <w:rPr>
          <w:sz w:val="24"/>
          <w:szCs w:val="24"/>
        </w:rPr>
        <w:t>.</w:t>
      </w:r>
      <w:r w:rsidRPr="00582323">
        <w:rPr>
          <w:sz w:val="24"/>
          <w:szCs w:val="24"/>
        </w:rPr>
        <w:tab/>
        <w:t xml:space="preserve">Ponnio, T. &amp; Conneely, O. M. nor-1 regulates hippocampal axon guidance, pyramidal cell survival, and seizure susceptibility. </w:t>
      </w:r>
      <w:r w:rsidRPr="00582323">
        <w:rPr>
          <w:i/>
          <w:sz w:val="24"/>
          <w:szCs w:val="24"/>
        </w:rPr>
        <w:t>Mol Cell Biol.</w:t>
      </w:r>
      <w:r w:rsidRPr="00582323">
        <w:rPr>
          <w:sz w:val="24"/>
          <w:szCs w:val="24"/>
        </w:rPr>
        <w:t xml:space="preserve"> </w:t>
      </w:r>
      <w:r w:rsidRPr="00582323">
        <w:rPr>
          <w:b/>
          <w:sz w:val="24"/>
          <w:szCs w:val="24"/>
        </w:rPr>
        <w:t>24</w:t>
      </w:r>
      <w:r w:rsidRPr="00582323">
        <w:rPr>
          <w:sz w:val="24"/>
          <w:szCs w:val="24"/>
        </w:rPr>
        <w:t xml:space="preserve"> (20), 9070-9078, doi:10.1128/MCB.24.20.9070-9078.2004 (2004).</w:t>
      </w:r>
    </w:p>
    <w:p w:rsidR="00D1648F" w:rsidRPr="00582323" w:rsidRDefault="00D1648F" w:rsidP="00582323">
      <w:pPr>
        <w:pStyle w:val="EndNoteBibliography"/>
        <w:spacing w:after="0"/>
        <w:ind w:left="720" w:hanging="720"/>
        <w:jc w:val="both"/>
        <w:rPr>
          <w:sz w:val="24"/>
          <w:szCs w:val="24"/>
        </w:rPr>
      </w:pPr>
      <w:r w:rsidRPr="00582323">
        <w:rPr>
          <w:sz w:val="24"/>
          <w:szCs w:val="24"/>
        </w:rPr>
        <w:t>27</w:t>
      </w:r>
      <w:r w:rsidR="0027638C">
        <w:rPr>
          <w:sz w:val="24"/>
          <w:szCs w:val="24"/>
        </w:rPr>
        <w:t>.</w:t>
      </w:r>
      <w:r w:rsidRPr="00582323">
        <w:rPr>
          <w:sz w:val="24"/>
          <w:szCs w:val="24"/>
        </w:rPr>
        <w:tab/>
        <w:t xml:space="preserve">Martinez-Morales, P. L., Quiroga, A. C., Barbas, J. A. &amp; Morales, A. V. SOX5 controls cell cycle progression in neural progenitors by interfering with the WNT-beta-catenin pathway. </w:t>
      </w:r>
      <w:r w:rsidRPr="00582323">
        <w:rPr>
          <w:i/>
          <w:sz w:val="24"/>
          <w:szCs w:val="24"/>
        </w:rPr>
        <w:t>EMBO Rep.</w:t>
      </w:r>
      <w:r w:rsidRPr="00582323">
        <w:rPr>
          <w:sz w:val="24"/>
          <w:szCs w:val="24"/>
        </w:rPr>
        <w:t xml:space="preserve"> </w:t>
      </w:r>
      <w:r w:rsidRPr="00582323">
        <w:rPr>
          <w:b/>
          <w:sz w:val="24"/>
          <w:szCs w:val="24"/>
        </w:rPr>
        <w:t>11</w:t>
      </w:r>
      <w:r w:rsidRPr="00582323">
        <w:rPr>
          <w:sz w:val="24"/>
          <w:szCs w:val="24"/>
        </w:rPr>
        <w:t xml:space="preserve"> (6), 466-472, doi:10.1038/embor.2010.61 (2010).</w:t>
      </w:r>
    </w:p>
    <w:p w:rsidR="00D1648F" w:rsidRPr="00582323" w:rsidRDefault="00D1648F" w:rsidP="00582323">
      <w:pPr>
        <w:pStyle w:val="EndNoteBibliography"/>
        <w:spacing w:after="0"/>
        <w:ind w:left="720" w:hanging="720"/>
        <w:jc w:val="both"/>
        <w:rPr>
          <w:sz w:val="24"/>
          <w:szCs w:val="24"/>
        </w:rPr>
      </w:pPr>
      <w:r w:rsidRPr="00582323">
        <w:rPr>
          <w:sz w:val="24"/>
          <w:szCs w:val="24"/>
        </w:rPr>
        <w:t>28</w:t>
      </w:r>
      <w:r w:rsidR="0027638C">
        <w:rPr>
          <w:sz w:val="24"/>
          <w:szCs w:val="24"/>
        </w:rPr>
        <w:t>.</w:t>
      </w:r>
      <w:r w:rsidRPr="00582323">
        <w:rPr>
          <w:sz w:val="24"/>
          <w:szCs w:val="24"/>
        </w:rPr>
        <w:tab/>
        <w:t>Kwan, K. Y.</w:t>
      </w:r>
      <w:r w:rsidRPr="00582323">
        <w:rPr>
          <w:i/>
          <w:sz w:val="24"/>
          <w:szCs w:val="24"/>
        </w:rPr>
        <w:t xml:space="preserve"> et al.</w:t>
      </w:r>
      <w:r w:rsidRPr="00582323">
        <w:rPr>
          <w:sz w:val="24"/>
          <w:szCs w:val="24"/>
        </w:rPr>
        <w:t xml:space="preserve"> SOX5 postmitotically regulates migration, postmigratory differentiation, and projections of subplate and deep-layer neocortical neurons. </w:t>
      </w:r>
      <w:r w:rsidRPr="00582323">
        <w:rPr>
          <w:i/>
          <w:sz w:val="24"/>
          <w:szCs w:val="24"/>
        </w:rPr>
        <w:t>Proc Natl Acad Sci U S A.</w:t>
      </w:r>
      <w:r w:rsidRPr="00582323">
        <w:rPr>
          <w:sz w:val="24"/>
          <w:szCs w:val="24"/>
        </w:rPr>
        <w:t xml:space="preserve"> </w:t>
      </w:r>
      <w:r w:rsidRPr="00582323">
        <w:rPr>
          <w:b/>
          <w:sz w:val="24"/>
          <w:szCs w:val="24"/>
        </w:rPr>
        <w:t>105</w:t>
      </w:r>
      <w:r w:rsidRPr="00582323">
        <w:rPr>
          <w:sz w:val="24"/>
          <w:szCs w:val="24"/>
        </w:rPr>
        <w:t xml:space="preserve"> (41), 16021-16026, doi:10.1073/pnas.0806791105 (2008).</w:t>
      </w:r>
    </w:p>
    <w:p w:rsidR="00E025D2" w:rsidRPr="0027638C" w:rsidRDefault="00D1648F" w:rsidP="0027638C">
      <w:pPr>
        <w:pStyle w:val="EndNoteBibliography"/>
        <w:ind w:left="720" w:hanging="720"/>
        <w:jc w:val="both"/>
        <w:rPr>
          <w:sz w:val="24"/>
          <w:szCs w:val="24"/>
        </w:rPr>
      </w:pPr>
      <w:r w:rsidRPr="00582323">
        <w:rPr>
          <w:sz w:val="24"/>
          <w:szCs w:val="24"/>
        </w:rPr>
        <w:t>29</w:t>
      </w:r>
      <w:r w:rsidR="0027638C">
        <w:rPr>
          <w:sz w:val="24"/>
          <w:szCs w:val="24"/>
        </w:rPr>
        <w:t>.</w:t>
      </w:r>
      <w:r w:rsidRPr="00582323">
        <w:rPr>
          <w:sz w:val="24"/>
          <w:szCs w:val="24"/>
        </w:rPr>
        <w:tab/>
        <w:t>Lai, T.</w:t>
      </w:r>
      <w:r w:rsidRPr="00582323">
        <w:rPr>
          <w:i/>
          <w:sz w:val="24"/>
          <w:szCs w:val="24"/>
        </w:rPr>
        <w:t xml:space="preserve"> et al.</w:t>
      </w:r>
      <w:r w:rsidRPr="00582323">
        <w:rPr>
          <w:sz w:val="24"/>
          <w:szCs w:val="24"/>
        </w:rPr>
        <w:t xml:space="preserve"> SOX5 controls the sequential generation of distinct corticofugal neuron subtypes. </w:t>
      </w:r>
      <w:r w:rsidRPr="00582323">
        <w:rPr>
          <w:i/>
          <w:sz w:val="24"/>
          <w:szCs w:val="24"/>
        </w:rPr>
        <w:t>Neuron.</w:t>
      </w:r>
      <w:r w:rsidRPr="00582323">
        <w:rPr>
          <w:sz w:val="24"/>
          <w:szCs w:val="24"/>
        </w:rPr>
        <w:t xml:space="preserve"> </w:t>
      </w:r>
      <w:r w:rsidRPr="00582323">
        <w:rPr>
          <w:b/>
          <w:sz w:val="24"/>
          <w:szCs w:val="24"/>
        </w:rPr>
        <w:t>57</w:t>
      </w:r>
      <w:r w:rsidRPr="00582323">
        <w:rPr>
          <w:sz w:val="24"/>
          <w:szCs w:val="24"/>
        </w:rPr>
        <w:t xml:space="preserve"> (2), 232-247, doi:10.1016/j.neuron.2007.12.023 (2008).</w:t>
      </w:r>
    </w:p>
    <w:sectPr w:rsidR="00E025D2" w:rsidRPr="0027638C" w:rsidSect="00716A27">
      <w:headerReference w:type="firs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2494" w:rsidRPr="006F06E4" w:rsidRDefault="002C1016" w:rsidP="000F1B0E">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682"/>
    <w:multiLevelType w:val="hybridMultilevel"/>
    <w:tmpl w:val="A97468E8"/>
    <w:lvl w:ilvl="0" w:tplc="0944B7F6">
      <w:start w:val="1"/>
      <w:numFmt w:val="decimal"/>
      <w:lvlText w:val="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6E5907"/>
    <w:multiLevelType w:val="hybridMultilevel"/>
    <w:tmpl w:val="49EEACD6"/>
    <w:lvl w:ilvl="0" w:tplc="E978557A">
      <w:start w:val="1"/>
      <w:numFmt w:val="decimal"/>
      <w:lvlText w:val="%1."/>
      <w:lvlJc w:val="left"/>
      <w:pPr>
        <w:ind w:left="1146" w:hanging="360"/>
      </w:pPr>
      <w:rPr>
        <w:b w:val="0"/>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nsid w:val="05A94D79"/>
    <w:multiLevelType w:val="hybridMultilevel"/>
    <w:tmpl w:val="C5E0B204"/>
    <w:lvl w:ilvl="0" w:tplc="D6201D00">
      <w:start w:val="1"/>
      <w:numFmt w:val="decimal"/>
      <w:lvlText w:val="2.3.%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8D20CB3"/>
    <w:multiLevelType w:val="multilevel"/>
    <w:tmpl w:val="BEE03368"/>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0CC51A31"/>
    <w:multiLevelType w:val="multilevel"/>
    <w:tmpl w:val="F830ED5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DFB08BA"/>
    <w:multiLevelType w:val="hybridMultilevel"/>
    <w:tmpl w:val="F5B26158"/>
    <w:lvl w:ilvl="0" w:tplc="153E6BEA">
      <w:start w:val="1"/>
      <w:numFmt w:val="decimal"/>
      <w:lvlText w:val="3.2.2.%1)"/>
      <w:lvlJc w:val="left"/>
      <w:pPr>
        <w:ind w:left="220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665C8D"/>
    <w:multiLevelType w:val="hybridMultilevel"/>
    <w:tmpl w:val="ABD0C652"/>
    <w:lvl w:ilvl="0" w:tplc="E978557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E4A3804"/>
    <w:multiLevelType w:val="hybridMultilevel"/>
    <w:tmpl w:val="5164E228"/>
    <w:lvl w:ilvl="0" w:tplc="00A4CFBA">
      <w:start w:val="1"/>
      <w:numFmt w:val="decimal"/>
      <w:lvlText w:val="3.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23646BFF"/>
    <w:multiLevelType w:val="multilevel"/>
    <w:tmpl w:val="DEA04372"/>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9DA5C1C"/>
    <w:multiLevelType w:val="multilevel"/>
    <w:tmpl w:val="F830ED5C"/>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AFF21F1"/>
    <w:multiLevelType w:val="multilevel"/>
    <w:tmpl w:val="BEE03368"/>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2E89777F"/>
    <w:multiLevelType w:val="hybridMultilevel"/>
    <w:tmpl w:val="3320BE72"/>
    <w:lvl w:ilvl="0" w:tplc="890AD04E">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F6B554C"/>
    <w:multiLevelType w:val="hybridMultilevel"/>
    <w:tmpl w:val="1A465D52"/>
    <w:lvl w:ilvl="0" w:tplc="AC92CD78">
      <w:start w:val="1"/>
      <w:numFmt w:val="decimal"/>
      <w:lvlText w:val="1.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9C089B"/>
    <w:multiLevelType w:val="multilevel"/>
    <w:tmpl w:val="AFCE036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E2605"/>
    <w:multiLevelType w:val="hybridMultilevel"/>
    <w:tmpl w:val="B3CA031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38D042ED"/>
    <w:multiLevelType w:val="multilevel"/>
    <w:tmpl w:val="98601AF0"/>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3E214867"/>
    <w:multiLevelType w:val="multilevel"/>
    <w:tmpl w:val="7BF4D55C"/>
    <w:lvl w:ilvl="0">
      <w:start w:val="1"/>
      <w:numFmt w:val="decimal"/>
      <w:lvlText w:val="%1."/>
      <w:lvlJc w:val="left"/>
      <w:pPr>
        <w:ind w:left="720" w:hanging="360"/>
      </w:pPr>
      <w:rPr>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3F893334"/>
    <w:multiLevelType w:val="multilevel"/>
    <w:tmpl w:val="323EDB74"/>
    <w:lvl w:ilvl="0">
      <w:start w:val="1"/>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40FB30C1"/>
    <w:multiLevelType w:val="hybridMultilevel"/>
    <w:tmpl w:val="0C0A4684"/>
    <w:lvl w:ilvl="0" w:tplc="414A02D2">
      <w:start w:val="1"/>
      <w:numFmt w:val="decimal"/>
      <w:lvlText w:val="3.2.1.%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nsid w:val="422F45B6"/>
    <w:multiLevelType w:val="hybridMultilevel"/>
    <w:tmpl w:val="2F7AAFC4"/>
    <w:lvl w:ilvl="0" w:tplc="414A02D2">
      <w:start w:val="1"/>
      <w:numFmt w:val="decimal"/>
      <w:lvlText w:val="3.2.1.%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546F5EC9"/>
    <w:multiLevelType w:val="hybridMultilevel"/>
    <w:tmpl w:val="214CDC66"/>
    <w:lvl w:ilvl="0" w:tplc="E978557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58516E1C"/>
    <w:multiLevelType w:val="hybridMultilevel"/>
    <w:tmpl w:val="F2BCB0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8B25AC4"/>
    <w:multiLevelType w:val="hybridMultilevel"/>
    <w:tmpl w:val="BE08D3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A681E13"/>
    <w:multiLevelType w:val="hybridMultilevel"/>
    <w:tmpl w:val="E45AFFDA"/>
    <w:lvl w:ilvl="0" w:tplc="E978557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C987B04"/>
    <w:multiLevelType w:val="multilevel"/>
    <w:tmpl w:val="835E3F3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0770E51"/>
    <w:multiLevelType w:val="multilevel"/>
    <w:tmpl w:val="BEE03368"/>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1CF7DB9"/>
    <w:multiLevelType w:val="hybridMultilevel"/>
    <w:tmpl w:val="E5B633A6"/>
    <w:lvl w:ilvl="0" w:tplc="00A4CFBA">
      <w:start w:val="1"/>
      <w:numFmt w:val="decimal"/>
      <w:lvlText w:val="3.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ED3970"/>
    <w:multiLevelType w:val="multilevel"/>
    <w:tmpl w:val="8CD413D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nsid w:val="657A5225"/>
    <w:multiLevelType w:val="multilevel"/>
    <w:tmpl w:val="5AAAC0A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nsid w:val="66342763"/>
    <w:multiLevelType w:val="hybridMultilevel"/>
    <w:tmpl w:val="99388164"/>
    <w:lvl w:ilvl="0" w:tplc="153E6BEA">
      <w:start w:val="1"/>
      <w:numFmt w:val="decimal"/>
      <w:lvlText w:val="3.2.2.%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69D608BA"/>
    <w:multiLevelType w:val="hybridMultilevel"/>
    <w:tmpl w:val="1596955A"/>
    <w:lvl w:ilvl="0" w:tplc="E978557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BC65466"/>
    <w:multiLevelType w:val="multilevel"/>
    <w:tmpl w:val="0AD007F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6C4841E7"/>
    <w:multiLevelType w:val="hybridMultilevel"/>
    <w:tmpl w:val="C7EAFCBE"/>
    <w:lvl w:ilvl="0" w:tplc="E978557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17F6B69"/>
    <w:multiLevelType w:val="hybridMultilevel"/>
    <w:tmpl w:val="C3447E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1CD1B94"/>
    <w:multiLevelType w:val="hybridMultilevel"/>
    <w:tmpl w:val="8184351C"/>
    <w:lvl w:ilvl="0" w:tplc="734C843E">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72FC7007"/>
    <w:multiLevelType w:val="multilevel"/>
    <w:tmpl w:val="F58CC83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8662A69"/>
    <w:multiLevelType w:val="multilevel"/>
    <w:tmpl w:val="85C076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7A4F0E65"/>
    <w:multiLevelType w:val="hybridMultilevel"/>
    <w:tmpl w:val="B81C88B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7B041A4C"/>
    <w:multiLevelType w:val="hybridMultilevel"/>
    <w:tmpl w:val="F89C25E8"/>
    <w:lvl w:ilvl="0" w:tplc="E978557A">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DDE0F5F"/>
    <w:multiLevelType w:val="multilevel"/>
    <w:tmpl w:val="C19040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6"/>
  </w:num>
  <w:num w:numId="2">
    <w:abstractNumId w:val="33"/>
  </w:num>
  <w:num w:numId="3">
    <w:abstractNumId w:val="17"/>
  </w:num>
  <w:num w:numId="4">
    <w:abstractNumId w:val="4"/>
  </w:num>
  <w:num w:numId="5">
    <w:abstractNumId w:val="3"/>
  </w:num>
  <w:num w:numId="6">
    <w:abstractNumId w:val="10"/>
  </w:num>
  <w:num w:numId="7">
    <w:abstractNumId w:val="25"/>
  </w:num>
  <w:num w:numId="8">
    <w:abstractNumId w:val="22"/>
  </w:num>
  <w:num w:numId="9">
    <w:abstractNumId w:val="15"/>
  </w:num>
  <w:num w:numId="10">
    <w:abstractNumId w:val="9"/>
  </w:num>
  <w:num w:numId="11">
    <w:abstractNumId w:val="24"/>
  </w:num>
  <w:num w:numId="12">
    <w:abstractNumId w:val="6"/>
  </w:num>
  <w:num w:numId="13">
    <w:abstractNumId w:val="39"/>
  </w:num>
  <w:num w:numId="14">
    <w:abstractNumId w:val="37"/>
  </w:num>
  <w:num w:numId="15">
    <w:abstractNumId w:val="14"/>
  </w:num>
  <w:num w:numId="16">
    <w:abstractNumId w:val="38"/>
  </w:num>
  <w:num w:numId="17">
    <w:abstractNumId w:val="13"/>
  </w:num>
  <w:num w:numId="18">
    <w:abstractNumId w:val="28"/>
  </w:num>
  <w:num w:numId="19">
    <w:abstractNumId w:val="23"/>
  </w:num>
  <w:num w:numId="20">
    <w:abstractNumId w:val="30"/>
  </w:num>
  <w:num w:numId="21">
    <w:abstractNumId w:val="16"/>
  </w:num>
  <w:num w:numId="22">
    <w:abstractNumId w:val="27"/>
  </w:num>
  <w:num w:numId="23">
    <w:abstractNumId w:val="8"/>
  </w:num>
  <w:num w:numId="24">
    <w:abstractNumId w:val="20"/>
  </w:num>
  <w:num w:numId="25">
    <w:abstractNumId w:val="35"/>
  </w:num>
  <w:num w:numId="26">
    <w:abstractNumId w:val="31"/>
  </w:num>
  <w:num w:numId="27">
    <w:abstractNumId w:val="1"/>
  </w:num>
  <w:num w:numId="28">
    <w:abstractNumId w:val="32"/>
  </w:num>
  <w:num w:numId="29">
    <w:abstractNumId w:val="21"/>
  </w:num>
  <w:num w:numId="30">
    <w:abstractNumId w:val="40"/>
  </w:num>
  <w:num w:numId="31">
    <w:abstractNumId w:val="11"/>
  </w:num>
  <w:num w:numId="32">
    <w:abstractNumId w:val="12"/>
  </w:num>
  <w:num w:numId="33">
    <w:abstractNumId w:val="34"/>
  </w:num>
  <w:num w:numId="34">
    <w:abstractNumId w:val="0"/>
  </w:num>
  <w:num w:numId="35">
    <w:abstractNumId w:val="2"/>
  </w:num>
  <w:num w:numId="36">
    <w:abstractNumId w:val="18"/>
  </w:num>
  <w:num w:numId="37">
    <w:abstractNumId w:val="29"/>
  </w:num>
  <w:num w:numId="38">
    <w:abstractNumId w:val="26"/>
  </w:num>
  <w:num w:numId="39">
    <w:abstractNumId w:val="7"/>
  </w:num>
  <w:num w:numId="40">
    <w:abstractNumId w:val="19"/>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D1648F"/>
    <w:rsid w:val="0027638C"/>
    <w:rsid w:val="002C1016"/>
    <w:rsid w:val="00D1648F"/>
    <w:rsid w:val="00E025D2"/>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26C00C-7B5F-4435-AF2D-9022B56B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48F"/>
    <w:pPr>
      <w:spacing w:after="200" w:line="276" w:lineRule="auto"/>
    </w:pPr>
    <w:rPr>
      <w:lang w:val="en-GB"/>
    </w:rPr>
  </w:style>
  <w:style w:type="character" w:default="1" w:styleId="DefaultParagraphFont">
    <w:name w:val="Default Paragraph Font"/>
    <w:uiPriority w:val="1"/>
    <w:semiHidden/>
    <w:unhideWhenUsed/>
    <w:rsid w:val="00D1648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1648F"/>
  </w:style>
  <w:style w:type="paragraph" w:styleId="Header">
    <w:name w:val="header"/>
    <w:basedOn w:val="Normal"/>
    <w:link w:val="HeaderChar"/>
    <w:uiPriority w:val="99"/>
    <w:unhideWhenUsed/>
    <w:rsid w:val="00D164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648F"/>
    <w:rPr>
      <w:lang w:val="en-GB"/>
    </w:rPr>
  </w:style>
  <w:style w:type="paragraph" w:styleId="Footer">
    <w:name w:val="footer"/>
    <w:basedOn w:val="Normal"/>
    <w:link w:val="FooterChar"/>
    <w:uiPriority w:val="99"/>
    <w:unhideWhenUsed/>
    <w:rsid w:val="00D164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648F"/>
    <w:rPr>
      <w:lang w:val="en-GB"/>
    </w:rPr>
  </w:style>
  <w:style w:type="character" w:styleId="Hyperlink">
    <w:name w:val="Hyperlink"/>
    <w:basedOn w:val="DefaultParagraphFont"/>
    <w:uiPriority w:val="99"/>
    <w:unhideWhenUsed/>
    <w:rsid w:val="00D1648F"/>
    <w:rPr>
      <w:color w:val="0563C1" w:themeColor="hyperlink"/>
      <w:u w:val="single"/>
    </w:rPr>
  </w:style>
  <w:style w:type="paragraph" w:customStyle="1" w:styleId="EndNoteBibliographyTitle">
    <w:name w:val="EndNote Bibliography Title"/>
    <w:basedOn w:val="Normal"/>
    <w:link w:val="EndNoteBibliographyTitleChar"/>
    <w:rsid w:val="00D1648F"/>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D1648F"/>
    <w:rPr>
      <w:rFonts w:ascii="Calibri" w:hAnsi="Calibri"/>
      <w:noProof/>
    </w:rPr>
  </w:style>
  <w:style w:type="paragraph" w:customStyle="1" w:styleId="EndNoteBibliography">
    <w:name w:val="EndNote Bibliography"/>
    <w:basedOn w:val="Normal"/>
    <w:link w:val="EndNoteBibliographyChar"/>
    <w:rsid w:val="00D1648F"/>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D1648F"/>
    <w:rPr>
      <w:rFonts w:ascii="Calibri" w:hAnsi="Calibri"/>
      <w:noProof/>
    </w:rPr>
  </w:style>
  <w:style w:type="paragraph" w:styleId="ListParagraph">
    <w:name w:val="List Paragraph"/>
    <w:basedOn w:val="Normal"/>
    <w:uiPriority w:val="34"/>
    <w:qFormat/>
    <w:rsid w:val="00D1648F"/>
    <w:pPr>
      <w:ind w:left="720"/>
      <w:contextualSpacing/>
    </w:pPr>
  </w:style>
  <w:style w:type="paragraph" w:styleId="BalloonText">
    <w:name w:val="Balloon Text"/>
    <w:basedOn w:val="Normal"/>
    <w:link w:val="BalloonTextChar"/>
    <w:uiPriority w:val="99"/>
    <w:semiHidden/>
    <w:unhideWhenUsed/>
    <w:rsid w:val="00D164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48F"/>
    <w:rPr>
      <w:rFonts w:ascii="Tahoma" w:hAnsi="Tahoma" w:cs="Tahoma"/>
      <w:sz w:val="16"/>
      <w:szCs w:val="16"/>
      <w:lang w:val="en-GB"/>
    </w:rPr>
  </w:style>
  <w:style w:type="character" w:styleId="FollowedHyperlink">
    <w:name w:val="FollowedHyperlink"/>
    <w:basedOn w:val="DefaultParagraphFont"/>
    <w:uiPriority w:val="99"/>
    <w:semiHidden/>
    <w:unhideWhenUsed/>
    <w:rsid w:val="00D1648F"/>
    <w:rPr>
      <w:color w:val="954F72" w:themeColor="followedHyperlink"/>
      <w:u w:val="single"/>
    </w:rPr>
  </w:style>
  <w:style w:type="character" w:styleId="CommentReference">
    <w:name w:val="annotation reference"/>
    <w:basedOn w:val="DefaultParagraphFont"/>
    <w:uiPriority w:val="99"/>
    <w:semiHidden/>
    <w:unhideWhenUsed/>
    <w:rsid w:val="00D1648F"/>
    <w:rPr>
      <w:sz w:val="16"/>
      <w:szCs w:val="16"/>
    </w:rPr>
  </w:style>
  <w:style w:type="paragraph" w:styleId="CommentText">
    <w:name w:val="annotation text"/>
    <w:basedOn w:val="Normal"/>
    <w:link w:val="CommentTextChar"/>
    <w:uiPriority w:val="99"/>
    <w:semiHidden/>
    <w:unhideWhenUsed/>
    <w:rsid w:val="00D1648F"/>
    <w:pPr>
      <w:spacing w:line="240" w:lineRule="auto"/>
    </w:pPr>
    <w:rPr>
      <w:sz w:val="20"/>
      <w:szCs w:val="20"/>
    </w:rPr>
  </w:style>
  <w:style w:type="character" w:customStyle="1" w:styleId="CommentTextChar">
    <w:name w:val="Comment Text Char"/>
    <w:basedOn w:val="DefaultParagraphFont"/>
    <w:link w:val="CommentText"/>
    <w:uiPriority w:val="99"/>
    <w:semiHidden/>
    <w:rsid w:val="00D1648F"/>
    <w:rPr>
      <w:sz w:val="20"/>
      <w:szCs w:val="20"/>
      <w:lang w:val="en-GB"/>
    </w:rPr>
  </w:style>
  <w:style w:type="paragraph" w:styleId="CommentSubject">
    <w:name w:val="annotation subject"/>
    <w:basedOn w:val="CommentText"/>
    <w:next w:val="CommentText"/>
    <w:link w:val="CommentSubjectChar"/>
    <w:uiPriority w:val="99"/>
    <w:semiHidden/>
    <w:unhideWhenUsed/>
    <w:rsid w:val="00D1648F"/>
    <w:rPr>
      <w:b/>
      <w:bCs/>
    </w:rPr>
  </w:style>
  <w:style w:type="character" w:customStyle="1" w:styleId="CommentSubjectChar">
    <w:name w:val="Comment Subject Char"/>
    <w:basedOn w:val="CommentTextChar"/>
    <w:link w:val="CommentSubject"/>
    <w:uiPriority w:val="99"/>
    <w:semiHidden/>
    <w:rsid w:val="00D1648F"/>
    <w:rPr>
      <w:b/>
      <w:bCs/>
      <w:sz w:val="20"/>
      <w:szCs w:val="20"/>
      <w:lang w:val="en-GB"/>
    </w:rPr>
  </w:style>
  <w:style w:type="paragraph" w:styleId="Revision">
    <w:name w:val="Revision"/>
    <w:hidden/>
    <w:uiPriority w:val="99"/>
    <w:semiHidden/>
    <w:rsid w:val="00D1648F"/>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Biosciences.com/pcrarraydataanalysis.php" TargetMode="External"/><Relationship Id="rId3" Type="http://schemas.openxmlformats.org/officeDocument/2006/relationships/settings" Target="settings.xml"/><Relationship Id="rId7" Type="http://schemas.openxmlformats.org/officeDocument/2006/relationships/hyperlink" Target="http://diana.cslab.ece.ntua.gr/micr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ctar.mdc-berlin.de/" TargetMode="External"/><Relationship Id="rId11" Type="http://schemas.openxmlformats.org/officeDocument/2006/relationships/theme" Target="theme/theme1.xml"/><Relationship Id="rId5" Type="http://schemas.openxmlformats.org/officeDocument/2006/relationships/hyperlink" Target="http://www.SABiosciences.com/pcrarraydataanalysis.ph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4131</Words>
  <Characters>23551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Erdman</dc:creator>
  <cp:keywords/>
  <dc:description/>
  <cp:lastModifiedBy>Jill Erdman</cp:lastModifiedBy>
  <cp:revision>2</cp:revision>
  <dcterms:created xsi:type="dcterms:W3CDTF">2014-11-25T16:24:00Z</dcterms:created>
  <dcterms:modified xsi:type="dcterms:W3CDTF">2014-11-25T16:37:00Z</dcterms:modified>
</cp:coreProperties>
</file>