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3C3" w:rsidRPr="000B1D91" w:rsidRDefault="00E933C3" w:rsidP="00E933C3">
      <w:pPr>
        <w:rPr>
          <w:u w:val="single"/>
        </w:rPr>
      </w:pPr>
      <w:proofErr w:type="spellStart"/>
      <w:r w:rsidRPr="000B1D91">
        <w:rPr>
          <w:u w:val="single"/>
        </w:rPr>
        <w:t>Arimilli</w:t>
      </w:r>
      <w:proofErr w:type="spellEnd"/>
      <w:r w:rsidRPr="000B1D91">
        <w:rPr>
          <w:u w:val="single"/>
        </w:rPr>
        <w:t xml:space="preserve"> 52351 </w:t>
      </w:r>
      <w:proofErr w:type="spellStart"/>
      <w:r w:rsidRPr="000B1D91">
        <w:rPr>
          <w:u w:val="single"/>
        </w:rPr>
        <w:t>redos</w:t>
      </w:r>
      <w:proofErr w:type="spellEnd"/>
      <w:r w:rsidRPr="000B1D91">
        <w:rPr>
          <w:u w:val="single"/>
        </w:rPr>
        <w:t xml:space="preserve"> (3)</w:t>
      </w:r>
    </w:p>
    <w:p w:rsidR="00E933C3" w:rsidRPr="000B1D91" w:rsidRDefault="00E933C3" w:rsidP="00E933C3">
      <w:pPr>
        <w:rPr>
          <w:rFonts w:ascii="Times New Roman" w:hAnsi="Times New Roman"/>
          <w:lang w:bidi="ar-SA"/>
        </w:rPr>
      </w:pPr>
      <w:r w:rsidRPr="000B1D91">
        <w:rPr>
          <w:rFonts w:ascii="Times New Roman" w:hAnsi="Times New Roman"/>
          <w:lang w:bidi="ar-SA"/>
        </w:rPr>
        <w:t xml:space="preserve">Intro The overall goal of this procedure is to evaluate the effects of tobacco product </w:t>
      </w:r>
      <w:r w:rsidRPr="000B1D91">
        <w:rPr>
          <w:rFonts w:ascii="Times New Roman" w:hAnsi="Times New Roman"/>
          <w:b/>
          <w:bCs/>
          <w:lang w:bidi="ar-SA"/>
        </w:rPr>
        <w:t>preparation</w:t>
      </w:r>
      <w:r w:rsidRPr="000B1D91">
        <w:rPr>
          <w:rFonts w:ascii="Times New Roman" w:hAnsi="Times New Roman"/>
          <w:lang w:bidi="ar-SA"/>
        </w:rPr>
        <w:t xml:space="preserve"> on cytokine secretion and target cell killing by PBMCs. (0:07, rewrite)</w:t>
      </w:r>
    </w:p>
    <w:p w:rsidR="00E933C3" w:rsidRPr="000B1D91" w:rsidRDefault="00E933C3" w:rsidP="00E933C3">
      <w:pPr>
        <w:rPr>
          <w:rFonts w:ascii="Times New Roman" w:hAnsi="Times New Roman"/>
          <w:lang w:bidi="ar-SA"/>
        </w:rPr>
      </w:pPr>
    </w:p>
    <w:p w:rsidR="00E933C3" w:rsidRDefault="00E933C3" w:rsidP="00E933C3">
      <w:pPr>
        <w:rPr>
          <w:rFonts w:ascii="Times New Roman" w:hAnsi="Times New Roman"/>
          <w:lang w:bidi="ar-SA"/>
        </w:rPr>
      </w:pPr>
      <w:r>
        <w:rPr>
          <w:rFonts w:ascii="Helvetica" w:hAnsi="Helvetica" w:cs="Helvetica"/>
          <w:sz w:val="22"/>
          <w:szCs w:val="22"/>
        </w:rPr>
        <w:t xml:space="preserve">This is accomplished by first treating cultured PBMCs with whole smoke-conditioned medium or nicotine, </w:t>
      </w:r>
      <w:r>
        <w:rPr>
          <w:rFonts w:ascii="Helvetica" w:hAnsi="Helvetica" w:cs="Helvetica"/>
          <w:b/>
          <w:bCs/>
          <w:sz w:val="22"/>
          <w:szCs w:val="22"/>
        </w:rPr>
        <w:t>(P1)</w:t>
      </w:r>
      <w:r>
        <w:rPr>
          <w:rFonts w:ascii="Helvetica" w:hAnsi="Helvetica" w:cs="Helvetica"/>
          <w:sz w:val="22"/>
          <w:szCs w:val="22"/>
        </w:rPr>
        <w:t xml:space="preserve"> and then intracellular staining of the treated </w:t>
      </w:r>
      <w:r>
        <w:rPr>
          <w:rFonts w:ascii="Helvetica" w:hAnsi="Helvetica" w:cs="Helvetica"/>
          <w:b/>
          <w:bCs/>
          <w:sz w:val="22"/>
          <w:szCs w:val="22"/>
        </w:rPr>
        <w:t xml:space="preserve">PBMCs </w:t>
      </w:r>
      <w:r>
        <w:rPr>
          <w:rFonts w:ascii="Helvetica" w:hAnsi="Helvetica" w:cs="Helvetica"/>
          <w:sz w:val="22"/>
          <w:szCs w:val="22"/>
        </w:rPr>
        <w:t xml:space="preserve">is performed to determine their cytokine production. </w:t>
      </w:r>
      <w:r>
        <w:rPr>
          <w:rFonts w:ascii="Helvetica" w:hAnsi="Helvetica" w:cs="Helvetica"/>
          <w:b/>
          <w:bCs/>
          <w:sz w:val="22"/>
          <w:szCs w:val="22"/>
        </w:rPr>
        <w:t>(P2)</w:t>
      </w:r>
      <w:r w:rsidRPr="000B1D91">
        <w:rPr>
          <w:rFonts w:ascii="Times New Roman" w:hAnsi="Times New Roman"/>
          <w:lang w:bidi="ar-SA"/>
        </w:rPr>
        <w:t> (</w:t>
      </w:r>
      <w:proofErr w:type="gramStart"/>
      <w:r w:rsidRPr="000B1D91">
        <w:rPr>
          <w:rFonts w:ascii="Times New Roman" w:hAnsi="Times New Roman"/>
          <w:lang w:bidi="ar-SA"/>
        </w:rPr>
        <w:t>0:25,</w:t>
      </w:r>
      <w:proofErr w:type="gramEnd"/>
      <w:r w:rsidRPr="000B1D91">
        <w:rPr>
          <w:rFonts w:ascii="Times New Roman" w:hAnsi="Times New Roman"/>
          <w:lang w:bidi="ar-SA"/>
        </w:rPr>
        <w:t xml:space="preserve"> rewrite)</w:t>
      </w:r>
    </w:p>
    <w:p w:rsidR="00E933C3" w:rsidRPr="000B1D91" w:rsidRDefault="00E933C3" w:rsidP="00E933C3">
      <w:pPr>
        <w:rPr>
          <w:rFonts w:ascii="Times New Roman" w:hAnsi="Times New Roman"/>
          <w:lang w:bidi="ar-SA"/>
        </w:rPr>
      </w:pPr>
    </w:p>
    <w:p w:rsidR="00E933C3" w:rsidRDefault="00E933C3" w:rsidP="00E933C3">
      <w:r>
        <w:t>P3 </w:t>
      </w:r>
      <w:r>
        <w:rPr>
          <w:rFonts w:ascii="Arial" w:hAnsi="Arial" w:cs="Arial"/>
          <w:b/>
          <w:bCs/>
          <w:sz w:val="20"/>
          <w:szCs w:val="20"/>
        </w:rPr>
        <w:t>CFSE-labeled K562 cells are co-cultured with whole smoke-conditioned medium-treated PBMC effector cells,</w:t>
      </w:r>
      <w:r>
        <w:rPr>
          <w:rFonts w:ascii="Arial" w:hAnsi="Arial" w:cs="Arial"/>
          <w:sz w:val="20"/>
          <w:szCs w:val="20"/>
        </w:rPr>
        <w:t> and the viability of the K562 cells is qualified by 7-AAD staining. (</w:t>
      </w:r>
      <w:proofErr w:type="gramStart"/>
      <w:r>
        <w:rPr>
          <w:rStyle w:val="aqj"/>
          <w:rFonts w:ascii="Arial" w:hAnsi="Arial" w:cs="Arial"/>
          <w:sz w:val="20"/>
          <w:szCs w:val="20"/>
        </w:rPr>
        <w:t>0:31</w:t>
      </w:r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C3"/>
    <w:rsid w:val="001E1FAD"/>
    <w:rsid w:val="001E64BF"/>
    <w:rsid w:val="00490A02"/>
    <w:rsid w:val="00E9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3C3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E933C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3C3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E93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Macintosh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2014-11-03T01:40:00Z</dcterms:created>
  <dcterms:modified xsi:type="dcterms:W3CDTF">2014-11-03T01:41:00Z</dcterms:modified>
</cp:coreProperties>
</file>