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1F247" w14:textId="4CCB3E95" w:rsidR="005B5384" w:rsidRPr="00286979" w:rsidRDefault="005B5384" w:rsidP="005B5384">
      <w:pPr>
        <w:pStyle w:val="Normal1"/>
        <w:widowControl w:val="0"/>
        <w:spacing w:line="240" w:lineRule="auto"/>
        <w:rPr>
          <w:rFonts w:eastAsia="Cambria"/>
          <w:color w:val="auto"/>
          <w:sz w:val="24"/>
        </w:rPr>
      </w:pPr>
      <w:r w:rsidRPr="00286979">
        <w:rPr>
          <w:rFonts w:eastAsia="Cambria"/>
          <w:color w:val="auto"/>
          <w:sz w:val="24"/>
        </w:rPr>
        <w:t>Protocol adaptation for multiplexed sequencing</w:t>
      </w:r>
    </w:p>
    <w:p w14:paraId="1D489A70" w14:textId="77777777" w:rsidR="005B5384" w:rsidRPr="00286979" w:rsidRDefault="005B5384" w:rsidP="005B5384">
      <w:pPr>
        <w:pStyle w:val="Normal1"/>
        <w:widowControl w:val="0"/>
        <w:spacing w:line="240" w:lineRule="auto"/>
        <w:rPr>
          <w:rFonts w:eastAsia="Cambria"/>
          <w:color w:val="auto"/>
          <w:sz w:val="24"/>
        </w:rPr>
      </w:pPr>
    </w:p>
    <w:p w14:paraId="05596BEB" w14:textId="0687F31F" w:rsidR="005B5384" w:rsidRPr="00286979" w:rsidRDefault="005B5384" w:rsidP="005B5384">
      <w:pPr>
        <w:pStyle w:val="Normal1"/>
        <w:widowControl w:val="0"/>
        <w:spacing w:line="240" w:lineRule="auto"/>
        <w:rPr>
          <w:rFonts w:eastAsia="Cambria"/>
          <w:color w:val="auto"/>
          <w:sz w:val="24"/>
        </w:rPr>
      </w:pPr>
      <w:r w:rsidRPr="00286979">
        <w:rPr>
          <w:rFonts w:eastAsia="Cambria"/>
          <w:color w:val="auto"/>
          <w:sz w:val="24"/>
        </w:rPr>
        <w:t xml:space="preserve">The following steps can be integrated into the </w:t>
      </w:r>
      <w:r w:rsidR="00A779C4" w:rsidRPr="00286979">
        <w:rPr>
          <w:rFonts w:eastAsia="Cambria"/>
          <w:color w:val="auto"/>
          <w:sz w:val="24"/>
        </w:rPr>
        <w:t xml:space="preserve">ERRBS </w:t>
      </w:r>
      <w:r w:rsidRPr="00286979">
        <w:rPr>
          <w:rFonts w:eastAsia="Cambria"/>
          <w:color w:val="auto"/>
          <w:sz w:val="24"/>
        </w:rPr>
        <w:t>protocol for preparing libraries for multiplexed sequencing:</w:t>
      </w:r>
    </w:p>
    <w:p w14:paraId="528DD6CF" w14:textId="77777777" w:rsidR="005B5384" w:rsidRPr="00286979" w:rsidRDefault="005B5384" w:rsidP="005B5384">
      <w:pPr>
        <w:rPr>
          <w:rFonts w:ascii="Arial" w:hAnsi="Arial" w:cs="Arial"/>
        </w:rPr>
      </w:pPr>
    </w:p>
    <w:p w14:paraId="2676A522" w14:textId="2C2CC295" w:rsidR="005B5384" w:rsidRPr="00286979" w:rsidRDefault="005B5384" w:rsidP="005B5384">
      <w:pPr>
        <w:rPr>
          <w:rFonts w:ascii="Arial" w:hAnsi="Arial" w:cs="Arial"/>
        </w:rPr>
      </w:pPr>
      <w:r w:rsidRPr="00286979">
        <w:rPr>
          <w:rFonts w:ascii="Arial" w:hAnsi="Arial" w:cs="Arial"/>
        </w:rPr>
        <w:t xml:space="preserve">1) </w:t>
      </w:r>
      <w:r w:rsidRPr="00286979">
        <w:rPr>
          <w:rFonts w:ascii="Arial" w:hAnsi="Arial" w:cs="Arial"/>
        </w:rPr>
        <w:tab/>
        <w:t>Follow step 1, with the following modification: at step 1.1 prepare 75 ng of high quality DNA. This protocol has not been optimized for less starting material.</w:t>
      </w:r>
    </w:p>
    <w:p w14:paraId="182F96FC" w14:textId="77777777" w:rsidR="00E95EF9" w:rsidRPr="00286979" w:rsidRDefault="00E95EF9" w:rsidP="005B5384">
      <w:pPr>
        <w:rPr>
          <w:rFonts w:ascii="Arial" w:hAnsi="Arial" w:cs="Arial"/>
        </w:rPr>
      </w:pPr>
    </w:p>
    <w:p w14:paraId="7D10E7EA" w14:textId="23769B46" w:rsidR="005B5384" w:rsidRPr="00286979" w:rsidRDefault="005B5384" w:rsidP="005B5384">
      <w:pPr>
        <w:rPr>
          <w:rFonts w:ascii="Arial" w:hAnsi="Arial" w:cs="Arial"/>
        </w:rPr>
      </w:pPr>
      <w:r w:rsidRPr="00286979">
        <w:rPr>
          <w:rFonts w:ascii="Arial" w:hAnsi="Arial" w:cs="Arial"/>
        </w:rPr>
        <w:t>2)</w:t>
      </w:r>
      <w:r w:rsidRPr="00286979">
        <w:rPr>
          <w:rFonts w:ascii="Arial" w:hAnsi="Arial" w:cs="Arial"/>
        </w:rPr>
        <w:tab/>
        <w:t>Proceed with step 2 as detailed.</w:t>
      </w:r>
    </w:p>
    <w:p w14:paraId="0C9DF2B3" w14:textId="77777777" w:rsidR="005B5384" w:rsidRPr="00286979" w:rsidRDefault="005B5384" w:rsidP="005B5384">
      <w:pPr>
        <w:rPr>
          <w:rFonts w:ascii="Arial" w:hAnsi="Arial" w:cs="Arial"/>
        </w:rPr>
      </w:pPr>
    </w:p>
    <w:p w14:paraId="227465B7" w14:textId="74C0111E" w:rsidR="005B5384" w:rsidRPr="00286979" w:rsidRDefault="005B5384" w:rsidP="005B5384">
      <w:pPr>
        <w:rPr>
          <w:rFonts w:ascii="Arial" w:hAnsi="Arial" w:cs="Arial"/>
        </w:rPr>
      </w:pPr>
      <w:r w:rsidRPr="00286979">
        <w:rPr>
          <w:rFonts w:ascii="Arial" w:hAnsi="Arial" w:cs="Arial"/>
        </w:rPr>
        <w:t>3)</w:t>
      </w:r>
      <w:r w:rsidRPr="00286979">
        <w:rPr>
          <w:rFonts w:ascii="Arial" w:hAnsi="Arial" w:cs="Arial"/>
        </w:rPr>
        <w:tab/>
        <w:t>Proceed with step 3 as detailed.</w:t>
      </w:r>
    </w:p>
    <w:p w14:paraId="666EE928" w14:textId="77777777" w:rsidR="005B5384" w:rsidRPr="00286979" w:rsidRDefault="005B5384" w:rsidP="005B5384">
      <w:pPr>
        <w:rPr>
          <w:rFonts w:ascii="Arial" w:hAnsi="Arial" w:cs="Arial"/>
        </w:rPr>
      </w:pPr>
    </w:p>
    <w:p w14:paraId="47F38EE7" w14:textId="19943313" w:rsidR="005B5384" w:rsidRPr="00286979" w:rsidRDefault="00580788" w:rsidP="005B5384">
      <w:pPr>
        <w:rPr>
          <w:rFonts w:ascii="Arial" w:hAnsi="Arial" w:cs="Arial"/>
        </w:rPr>
      </w:pPr>
      <w:r>
        <w:rPr>
          <w:rFonts w:ascii="Arial" w:hAnsi="Arial" w:cs="Arial"/>
        </w:rPr>
        <w:t xml:space="preserve">4)  </w:t>
      </w:r>
      <w:r>
        <w:rPr>
          <w:rFonts w:ascii="Arial" w:hAnsi="Arial" w:cs="Arial"/>
        </w:rPr>
        <w:tab/>
      </w:r>
      <w:bookmarkStart w:id="0" w:name="_GoBack"/>
      <w:bookmarkEnd w:id="0"/>
      <w:r w:rsidR="005B5384" w:rsidRPr="00286979">
        <w:rPr>
          <w:rFonts w:ascii="Arial" w:hAnsi="Arial" w:cs="Arial"/>
        </w:rPr>
        <w:t>Proceed with step 4 as follows:</w:t>
      </w:r>
    </w:p>
    <w:p w14:paraId="65BE18EB" w14:textId="77777777" w:rsidR="005B5384" w:rsidRPr="00286979" w:rsidRDefault="005B5384" w:rsidP="005B5384">
      <w:pPr>
        <w:rPr>
          <w:rFonts w:ascii="Arial" w:hAnsi="Arial" w:cs="Arial"/>
        </w:rPr>
      </w:pPr>
    </w:p>
    <w:p w14:paraId="48CEE9E1" w14:textId="2F1079A9" w:rsidR="005B5384" w:rsidRPr="00286979" w:rsidRDefault="005B5384" w:rsidP="005B5384">
      <w:pPr>
        <w:rPr>
          <w:rFonts w:ascii="Arial" w:hAnsi="Arial" w:cs="Arial"/>
        </w:rPr>
      </w:pPr>
      <w:r w:rsidRPr="00286979">
        <w:rPr>
          <w:rFonts w:ascii="Arial" w:hAnsi="Arial" w:cs="Arial"/>
        </w:rPr>
        <w:t>4.1) Proceed with step 4.1 as detailed.</w:t>
      </w:r>
    </w:p>
    <w:p w14:paraId="44EF35E7" w14:textId="77777777" w:rsidR="005B5384" w:rsidRPr="00286979" w:rsidRDefault="005B5384" w:rsidP="005B5384">
      <w:pPr>
        <w:rPr>
          <w:rFonts w:ascii="Arial" w:hAnsi="Arial" w:cs="Arial"/>
        </w:rPr>
      </w:pPr>
    </w:p>
    <w:p w14:paraId="27F3BE9A" w14:textId="6EAB878C" w:rsidR="005B5384" w:rsidRPr="00286979" w:rsidRDefault="005B5384" w:rsidP="005B5384">
      <w:pPr>
        <w:rPr>
          <w:rFonts w:ascii="Arial" w:hAnsi="Arial" w:cs="Arial"/>
        </w:rPr>
      </w:pPr>
      <w:r w:rsidRPr="00286979">
        <w:rPr>
          <w:rFonts w:ascii="Arial" w:hAnsi="Arial" w:cs="Arial"/>
        </w:rPr>
        <w:t>4.2) Proceed with step 4.2 as follows: prepare the ligation mix using barcoded methylated adapters compatible with Illumina sequencing (for example: 2 µl of TruSeq RNA Adapters) and adjust the volume of the ligation reaction mixture with water per manufacturer’s recommendations.</w:t>
      </w:r>
    </w:p>
    <w:p w14:paraId="4CE3F20F" w14:textId="77777777" w:rsidR="005B5384" w:rsidRPr="00286979" w:rsidRDefault="005B5384" w:rsidP="005B5384">
      <w:pPr>
        <w:rPr>
          <w:rFonts w:ascii="Arial" w:hAnsi="Arial" w:cs="Arial"/>
        </w:rPr>
      </w:pPr>
    </w:p>
    <w:p w14:paraId="5FCA1AAA" w14:textId="77777777" w:rsidR="005B5384" w:rsidRPr="00286979" w:rsidRDefault="005B5384" w:rsidP="005B5384">
      <w:pPr>
        <w:rPr>
          <w:rFonts w:ascii="Arial" w:hAnsi="Arial" w:cs="Arial"/>
        </w:rPr>
      </w:pPr>
      <w:r w:rsidRPr="00286979">
        <w:rPr>
          <w:rFonts w:ascii="Arial" w:hAnsi="Arial" w:cs="Arial"/>
        </w:rPr>
        <w:t>Note: It is critical that the barcoded adapters are methylated so they will not be converted during bisulfite treatment. It is also important to ensure that the barcoded adapters chosen for the ligation reaction in any given library are compatible with other barcoded adapters chosen for libraries planned for sequencing in the same lane. The reader is advised to carefully review the manufacturer’s guidelines for index combinations for use in the downstream sequencing planned.</w:t>
      </w:r>
    </w:p>
    <w:p w14:paraId="676DD734" w14:textId="77777777" w:rsidR="005B5384" w:rsidRPr="00286979" w:rsidRDefault="005B5384" w:rsidP="005B5384">
      <w:pPr>
        <w:rPr>
          <w:rFonts w:ascii="Arial" w:hAnsi="Arial" w:cs="Arial"/>
        </w:rPr>
      </w:pPr>
    </w:p>
    <w:p w14:paraId="7BE5D1DC" w14:textId="0442A7DD" w:rsidR="005B5384" w:rsidRPr="00286979" w:rsidRDefault="005B5384" w:rsidP="005B5384">
      <w:pPr>
        <w:rPr>
          <w:rFonts w:ascii="Arial" w:hAnsi="Arial" w:cs="Arial"/>
        </w:rPr>
      </w:pPr>
      <w:r w:rsidRPr="00286979">
        <w:rPr>
          <w:rFonts w:ascii="Arial" w:hAnsi="Arial" w:cs="Arial"/>
        </w:rPr>
        <w:t>4.3) Proceed with step 4.3 as detailed.</w:t>
      </w:r>
    </w:p>
    <w:p w14:paraId="3AB0DB4F" w14:textId="77777777" w:rsidR="005B5384" w:rsidRPr="00286979" w:rsidRDefault="005B5384" w:rsidP="005B5384">
      <w:pPr>
        <w:rPr>
          <w:rFonts w:ascii="Arial" w:hAnsi="Arial" w:cs="Arial"/>
        </w:rPr>
      </w:pPr>
    </w:p>
    <w:p w14:paraId="2DDA3F3D" w14:textId="3309F841" w:rsidR="005B5384" w:rsidRPr="00286979" w:rsidRDefault="005B5384" w:rsidP="005B5384">
      <w:pPr>
        <w:rPr>
          <w:rFonts w:ascii="Arial" w:hAnsi="Arial" w:cs="Arial"/>
        </w:rPr>
      </w:pPr>
      <w:r w:rsidRPr="00286979">
        <w:rPr>
          <w:rFonts w:ascii="Arial" w:hAnsi="Arial" w:cs="Arial"/>
        </w:rPr>
        <w:t xml:space="preserve">4.4) Proceed with step 4.4 as follows: purify the ligation products using </w:t>
      </w:r>
      <w:r w:rsidRPr="00286979">
        <w:rPr>
          <w:rFonts w:ascii="Arial" w:eastAsia="Cambria" w:hAnsi="Arial" w:cs="Arial"/>
        </w:rPr>
        <w:t>a SPRI bead isolation protocol per manufacturer’s recommendations using a 1X ratio of bead volume to sample volume (50 µl of beads for the 50 µl ligation reaction).</w:t>
      </w:r>
      <w:r w:rsidRPr="00286979">
        <w:rPr>
          <w:rFonts w:ascii="Arial" w:hAnsi="Arial" w:cs="Arial"/>
        </w:rPr>
        <w:t xml:space="preserve"> Elute into 20 µl of DNAse-free water.</w:t>
      </w:r>
    </w:p>
    <w:p w14:paraId="28B8E353" w14:textId="77777777" w:rsidR="005B5384" w:rsidRPr="00286979" w:rsidRDefault="005B5384" w:rsidP="005B5384">
      <w:pPr>
        <w:rPr>
          <w:rFonts w:ascii="Arial" w:hAnsi="Arial" w:cs="Arial"/>
        </w:rPr>
      </w:pPr>
    </w:p>
    <w:p w14:paraId="57F5AAA9" w14:textId="20859501" w:rsidR="005B5384" w:rsidRPr="00286979" w:rsidRDefault="005B5384" w:rsidP="005B5384">
      <w:pPr>
        <w:rPr>
          <w:rFonts w:ascii="Arial" w:hAnsi="Arial" w:cs="Arial"/>
        </w:rPr>
      </w:pPr>
      <w:r w:rsidRPr="00286979">
        <w:rPr>
          <w:rFonts w:ascii="Arial" w:hAnsi="Arial" w:cs="Arial"/>
        </w:rPr>
        <w:t>5) Follow protocol 5.2 for size selection, with the following modifications:</w:t>
      </w:r>
    </w:p>
    <w:p w14:paraId="06A1087D" w14:textId="77777777" w:rsidR="005B5384" w:rsidRPr="00286979" w:rsidRDefault="005B5384" w:rsidP="005B5384">
      <w:pPr>
        <w:rPr>
          <w:rFonts w:ascii="Arial" w:hAnsi="Arial" w:cs="Arial"/>
        </w:rPr>
      </w:pPr>
    </w:p>
    <w:p w14:paraId="6ACF56E2" w14:textId="77777777" w:rsidR="005B5384" w:rsidRPr="00286979" w:rsidRDefault="005B5384" w:rsidP="005B5384">
      <w:pPr>
        <w:rPr>
          <w:rFonts w:ascii="Arial" w:hAnsi="Arial" w:cs="Arial"/>
        </w:rPr>
      </w:pPr>
      <w:r w:rsidRPr="00286979">
        <w:rPr>
          <w:rFonts w:ascii="Arial" w:hAnsi="Arial" w:cs="Arial"/>
        </w:rPr>
        <w:t xml:space="preserve">Note: Adapters allowing for multiplexed sequencing may migrate differently from the adapters used in protocol step 5.2, and due to their structure may lead to migrations different than expected from size alone. The information below is optimized for the TruSeq adapters. The user is advised to optimize size selection parameters for the specific adapters used with the goal of obtaining insert of sizes ranging from </w:t>
      </w:r>
      <w:r w:rsidRPr="00286979">
        <w:rPr>
          <w:rFonts w:ascii="Arial" w:hAnsi="Arial" w:cs="Arial"/>
          <w:color w:val="262626"/>
        </w:rPr>
        <w:t>70 to 320 bp.</w:t>
      </w:r>
    </w:p>
    <w:p w14:paraId="2F451423" w14:textId="77777777" w:rsidR="005B5384" w:rsidRPr="00286979" w:rsidRDefault="005B5384" w:rsidP="005B5384">
      <w:pPr>
        <w:rPr>
          <w:rFonts w:ascii="Arial" w:hAnsi="Arial" w:cs="Arial"/>
        </w:rPr>
      </w:pPr>
    </w:p>
    <w:p w14:paraId="08225C42" w14:textId="3FB21477" w:rsidR="005B5384" w:rsidRPr="00286979" w:rsidRDefault="005B5384" w:rsidP="005B5384">
      <w:pPr>
        <w:rPr>
          <w:rFonts w:ascii="Arial" w:hAnsi="Arial" w:cs="Arial"/>
        </w:rPr>
      </w:pPr>
      <w:r w:rsidRPr="00286979">
        <w:rPr>
          <w:rFonts w:ascii="Arial" w:hAnsi="Arial" w:cs="Arial"/>
        </w:rPr>
        <w:lastRenderedPageBreak/>
        <w:t>5.1) Proceed with step 5.2.5 as follows: Mark the 200 bp, 300 bp and 400 bp bands of the ladders using a razor blade or pipette tips.</w:t>
      </w:r>
    </w:p>
    <w:p w14:paraId="293A05C7" w14:textId="77777777" w:rsidR="005B5384" w:rsidRPr="00286979" w:rsidRDefault="005B5384" w:rsidP="005B5384">
      <w:pPr>
        <w:rPr>
          <w:rFonts w:ascii="Arial" w:hAnsi="Arial" w:cs="Arial"/>
        </w:rPr>
      </w:pPr>
    </w:p>
    <w:p w14:paraId="31FC66CE" w14:textId="2DC7EF8D" w:rsidR="005B5384" w:rsidRPr="00286979" w:rsidRDefault="005B5384" w:rsidP="005B5384">
      <w:pPr>
        <w:rPr>
          <w:rFonts w:ascii="Arial" w:hAnsi="Arial" w:cs="Arial"/>
        </w:rPr>
      </w:pPr>
      <w:r w:rsidRPr="00286979">
        <w:rPr>
          <w:rFonts w:ascii="Arial" w:hAnsi="Arial" w:cs="Arial"/>
        </w:rPr>
        <w:t>5.2) Proceed with step 5.2.6 as follows: excise one slice containing the 200-300 bp and another slice containing the 300-400bp section using the marked bands as a reference. Place each of the two slices into different tubes.</w:t>
      </w:r>
    </w:p>
    <w:p w14:paraId="3B00B990" w14:textId="77777777" w:rsidR="005B5384" w:rsidRPr="00286979" w:rsidRDefault="005B5384" w:rsidP="005B5384">
      <w:pPr>
        <w:rPr>
          <w:rFonts w:ascii="Arial" w:hAnsi="Arial" w:cs="Arial"/>
        </w:rPr>
      </w:pPr>
    </w:p>
    <w:p w14:paraId="25DBA327" w14:textId="6A3DB149" w:rsidR="005B5384" w:rsidRPr="00286979" w:rsidRDefault="005B5384" w:rsidP="005B5384">
      <w:pPr>
        <w:rPr>
          <w:rFonts w:ascii="Arial" w:hAnsi="Arial" w:cs="Arial"/>
        </w:rPr>
      </w:pPr>
      <w:r w:rsidRPr="00286979">
        <w:rPr>
          <w:rFonts w:ascii="Arial" w:hAnsi="Arial" w:cs="Arial"/>
        </w:rPr>
        <w:t>6)</w:t>
      </w:r>
      <w:r w:rsidRPr="00286979">
        <w:rPr>
          <w:rFonts w:ascii="Arial" w:hAnsi="Arial" w:cs="Arial"/>
        </w:rPr>
        <w:tab/>
        <w:t>Proceed with step 6 as detailed.</w:t>
      </w:r>
    </w:p>
    <w:p w14:paraId="760EE0D6" w14:textId="77777777" w:rsidR="005B5384" w:rsidRPr="00286979" w:rsidRDefault="005B5384" w:rsidP="005B5384">
      <w:pPr>
        <w:rPr>
          <w:rFonts w:ascii="Arial" w:hAnsi="Arial" w:cs="Arial"/>
        </w:rPr>
      </w:pPr>
    </w:p>
    <w:p w14:paraId="33D4717F" w14:textId="5BC73F25" w:rsidR="005B5384" w:rsidRPr="00286979" w:rsidRDefault="005B5384" w:rsidP="005B5384">
      <w:pPr>
        <w:rPr>
          <w:rFonts w:ascii="Arial" w:hAnsi="Arial" w:cs="Arial"/>
        </w:rPr>
      </w:pPr>
      <w:r w:rsidRPr="00286979">
        <w:rPr>
          <w:rFonts w:ascii="Arial" w:hAnsi="Arial" w:cs="Arial"/>
        </w:rPr>
        <w:t>7)</w:t>
      </w:r>
      <w:r w:rsidRPr="00286979">
        <w:rPr>
          <w:rFonts w:ascii="Arial" w:hAnsi="Arial" w:cs="Arial"/>
        </w:rPr>
        <w:tab/>
        <w:t>Perform enrichment PCR with the following modifications:</w:t>
      </w:r>
    </w:p>
    <w:p w14:paraId="7812E36F" w14:textId="77777777" w:rsidR="005B5384" w:rsidRPr="00286979" w:rsidRDefault="005B5384" w:rsidP="005B5384">
      <w:pPr>
        <w:rPr>
          <w:rFonts w:ascii="Arial" w:hAnsi="Arial" w:cs="Arial"/>
        </w:rPr>
      </w:pPr>
      <w:r w:rsidRPr="00286979">
        <w:rPr>
          <w:rFonts w:ascii="Arial" w:hAnsi="Arial" w:cs="Arial"/>
        </w:rPr>
        <w:tab/>
      </w:r>
    </w:p>
    <w:p w14:paraId="07AC1269" w14:textId="05CE516D" w:rsidR="005B5384" w:rsidRPr="00286979" w:rsidRDefault="005B5384" w:rsidP="005B5384">
      <w:pPr>
        <w:pStyle w:val="Normal1"/>
        <w:widowControl w:val="0"/>
        <w:spacing w:line="240" w:lineRule="auto"/>
        <w:rPr>
          <w:rFonts w:eastAsia="Cambria"/>
          <w:color w:val="auto"/>
          <w:sz w:val="24"/>
        </w:rPr>
      </w:pPr>
      <w:r w:rsidRPr="00286979">
        <w:rPr>
          <w:sz w:val="24"/>
        </w:rPr>
        <w:t xml:space="preserve">7.1) Proceed with step 7.1.1 as follows: </w:t>
      </w:r>
      <w:r w:rsidRPr="00286979">
        <w:rPr>
          <w:rFonts w:eastAsia="Cambria"/>
          <w:color w:val="auto"/>
          <w:sz w:val="24"/>
        </w:rPr>
        <w:t>prepare a PCR master mix containing the reagents from the table below for each 100 µl PCR reaction.</w:t>
      </w:r>
    </w:p>
    <w:p w14:paraId="6F4B0E00" w14:textId="77777777" w:rsidR="005B5384" w:rsidRPr="00286979" w:rsidRDefault="005B5384" w:rsidP="005B5384">
      <w:pPr>
        <w:pStyle w:val="Normal1"/>
        <w:widowControl w:val="0"/>
        <w:spacing w:line="240" w:lineRule="auto"/>
        <w:rPr>
          <w:rFonts w:eastAsia="Cambria"/>
          <w:color w:val="auto"/>
          <w:sz w:val="24"/>
        </w:rPr>
      </w:pPr>
    </w:p>
    <w:tbl>
      <w:tblPr>
        <w:tblStyle w:val="TableGrid"/>
        <w:tblW w:w="0" w:type="auto"/>
        <w:tblLayout w:type="fixed"/>
        <w:tblLook w:val="00A0" w:firstRow="1" w:lastRow="0" w:firstColumn="1" w:lastColumn="0" w:noHBand="0" w:noVBand="0"/>
      </w:tblPr>
      <w:tblGrid>
        <w:gridCol w:w="2358"/>
        <w:gridCol w:w="1080"/>
        <w:gridCol w:w="5418"/>
      </w:tblGrid>
      <w:tr w:rsidR="00286979" w:rsidRPr="00286979" w14:paraId="79CABAA7" w14:textId="77777777" w:rsidTr="00286979">
        <w:tc>
          <w:tcPr>
            <w:tcW w:w="2358" w:type="dxa"/>
          </w:tcPr>
          <w:p w14:paraId="2D64F742" w14:textId="77777777" w:rsidR="005B5384" w:rsidRPr="00286979" w:rsidRDefault="005B5384" w:rsidP="003D37ED">
            <w:pPr>
              <w:pStyle w:val="Normal1"/>
              <w:widowControl w:val="0"/>
              <w:spacing w:line="240" w:lineRule="auto"/>
              <w:rPr>
                <w:rFonts w:eastAsia="Cambria"/>
                <w:color w:val="auto"/>
                <w:sz w:val="24"/>
                <w:szCs w:val="24"/>
              </w:rPr>
            </w:pPr>
            <w:r w:rsidRPr="00286979">
              <w:rPr>
                <w:rFonts w:eastAsia="Cambria"/>
                <w:color w:val="auto"/>
                <w:sz w:val="24"/>
                <w:szCs w:val="24"/>
              </w:rPr>
              <w:t>Reagent</w:t>
            </w:r>
          </w:p>
        </w:tc>
        <w:tc>
          <w:tcPr>
            <w:tcW w:w="1080" w:type="dxa"/>
          </w:tcPr>
          <w:p w14:paraId="156E7020" w14:textId="77777777" w:rsidR="005B5384" w:rsidRPr="00286979" w:rsidRDefault="005B5384" w:rsidP="003D37ED">
            <w:pPr>
              <w:pStyle w:val="Normal1"/>
              <w:widowControl w:val="0"/>
              <w:spacing w:line="240" w:lineRule="auto"/>
              <w:rPr>
                <w:rFonts w:eastAsia="Cambria"/>
                <w:color w:val="auto"/>
                <w:sz w:val="24"/>
                <w:szCs w:val="24"/>
              </w:rPr>
            </w:pPr>
            <w:r w:rsidRPr="00286979">
              <w:rPr>
                <w:rFonts w:eastAsia="Cambria"/>
                <w:color w:val="auto"/>
                <w:sz w:val="24"/>
                <w:szCs w:val="24"/>
              </w:rPr>
              <w:t>Volume</w:t>
            </w:r>
          </w:p>
        </w:tc>
        <w:tc>
          <w:tcPr>
            <w:tcW w:w="5418" w:type="dxa"/>
          </w:tcPr>
          <w:p w14:paraId="48D04A99" w14:textId="77777777" w:rsidR="005B5384" w:rsidRPr="00286979" w:rsidRDefault="005B5384" w:rsidP="003D37ED">
            <w:pPr>
              <w:pStyle w:val="Normal1"/>
              <w:widowControl w:val="0"/>
              <w:spacing w:line="240" w:lineRule="auto"/>
              <w:rPr>
                <w:rFonts w:eastAsia="Cambria"/>
                <w:color w:val="auto"/>
                <w:sz w:val="24"/>
                <w:szCs w:val="24"/>
              </w:rPr>
            </w:pPr>
            <w:r w:rsidRPr="00286979">
              <w:rPr>
                <w:rFonts w:eastAsia="Cambria"/>
                <w:color w:val="auto"/>
                <w:sz w:val="24"/>
                <w:szCs w:val="24"/>
              </w:rPr>
              <w:t>Comment</w:t>
            </w:r>
          </w:p>
        </w:tc>
      </w:tr>
      <w:tr w:rsidR="00286979" w:rsidRPr="00286979" w14:paraId="10F7729D" w14:textId="77777777" w:rsidTr="00286979">
        <w:tc>
          <w:tcPr>
            <w:tcW w:w="2358" w:type="dxa"/>
          </w:tcPr>
          <w:p w14:paraId="71678829" w14:textId="77777777" w:rsidR="005B5384" w:rsidRPr="00286979" w:rsidRDefault="005B5384" w:rsidP="003D37ED">
            <w:pPr>
              <w:pStyle w:val="Normal1"/>
              <w:widowControl w:val="0"/>
              <w:spacing w:line="240" w:lineRule="auto"/>
              <w:rPr>
                <w:rFonts w:eastAsia="Cambria"/>
                <w:color w:val="auto"/>
                <w:sz w:val="24"/>
                <w:szCs w:val="24"/>
              </w:rPr>
            </w:pPr>
            <w:r w:rsidRPr="00286979">
              <w:rPr>
                <w:rFonts w:eastAsia="Cambria"/>
                <w:color w:val="auto"/>
                <w:sz w:val="24"/>
                <w:szCs w:val="24"/>
              </w:rPr>
              <w:t>10X FastStart High Fidelity Reaction Buffer with 18 mM magnesium chloride</w:t>
            </w:r>
          </w:p>
        </w:tc>
        <w:tc>
          <w:tcPr>
            <w:tcW w:w="1080" w:type="dxa"/>
          </w:tcPr>
          <w:p w14:paraId="2BDF7186" w14:textId="77777777" w:rsidR="005B5384" w:rsidRPr="00286979" w:rsidRDefault="005B5384" w:rsidP="003D37ED">
            <w:pPr>
              <w:pStyle w:val="Normal1"/>
              <w:widowControl w:val="0"/>
              <w:spacing w:line="240" w:lineRule="auto"/>
              <w:rPr>
                <w:rFonts w:eastAsia="Cambria"/>
                <w:color w:val="auto"/>
                <w:sz w:val="24"/>
                <w:szCs w:val="24"/>
              </w:rPr>
            </w:pPr>
            <w:r w:rsidRPr="00286979">
              <w:rPr>
                <w:rFonts w:eastAsia="Cambria"/>
                <w:color w:val="auto"/>
                <w:sz w:val="24"/>
                <w:szCs w:val="24"/>
              </w:rPr>
              <w:t>10 µl</w:t>
            </w:r>
          </w:p>
        </w:tc>
        <w:tc>
          <w:tcPr>
            <w:tcW w:w="5418" w:type="dxa"/>
          </w:tcPr>
          <w:p w14:paraId="3612F96C" w14:textId="77777777" w:rsidR="005B5384" w:rsidRPr="00286979" w:rsidRDefault="005B5384" w:rsidP="003D37ED">
            <w:pPr>
              <w:pStyle w:val="Normal1"/>
              <w:widowControl w:val="0"/>
              <w:spacing w:line="240" w:lineRule="auto"/>
              <w:rPr>
                <w:rFonts w:eastAsia="Cambria"/>
                <w:color w:val="auto"/>
                <w:sz w:val="24"/>
                <w:szCs w:val="24"/>
              </w:rPr>
            </w:pPr>
          </w:p>
        </w:tc>
      </w:tr>
      <w:tr w:rsidR="00286979" w:rsidRPr="00286979" w14:paraId="2BDB29C1" w14:textId="77777777" w:rsidTr="00286979">
        <w:tc>
          <w:tcPr>
            <w:tcW w:w="2358" w:type="dxa"/>
          </w:tcPr>
          <w:p w14:paraId="7FF4A45C" w14:textId="77777777" w:rsidR="005B5384" w:rsidRPr="00286979" w:rsidRDefault="005B5384" w:rsidP="003D37ED">
            <w:pPr>
              <w:pStyle w:val="Normal1"/>
              <w:widowControl w:val="0"/>
              <w:spacing w:line="240" w:lineRule="auto"/>
              <w:rPr>
                <w:rFonts w:eastAsia="Cambria"/>
                <w:color w:val="auto"/>
                <w:sz w:val="24"/>
                <w:szCs w:val="24"/>
              </w:rPr>
            </w:pPr>
            <w:r w:rsidRPr="00286979">
              <w:rPr>
                <w:rFonts w:eastAsia="Cambria"/>
                <w:color w:val="auto"/>
                <w:sz w:val="24"/>
                <w:szCs w:val="24"/>
              </w:rPr>
              <w:t>10 mM dNTP Solution Mix</w:t>
            </w:r>
          </w:p>
        </w:tc>
        <w:tc>
          <w:tcPr>
            <w:tcW w:w="1080" w:type="dxa"/>
          </w:tcPr>
          <w:p w14:paraId="67524785" w14:textId="77777777" w:rsidR="005B5384" w:rsidRPr="00286979" w:rsidRDefault="005B5384" w:rsidP="003D37ED">
            <w:pPr>
              <w:pStyle w:val="Normal1"/>
              <w:widowControl w:val="0"/>
              <w:spacing w:line="240" w:lineRule="auto"/>
              <w:rPr>
                <w:rFonts w:eastAsia="Cambria"/>
                <w:color w:val="auto"/>
                <w:sz w:val="24"/>
                <w:szCs w:val="24"/>
              </w:rPr>
            </w:pPr>
            <w:r w:rsidRPr="00286979">
              <w:rPr>
                <w:rFonts w:eastAsia="Cambria"/>
                <w:color w:val="auto"/>
                <w:sz w:val="24"/>
                <w:szCs w:val="24"/>
              </w:rPr>
              <w:t>2.5 µl</w:t>
            </w:r>
          </w:p>
        </w:tc>
        <w:tc>
          <w:tcPr>
            <w:tcW w:w="5418" w:type="dxa"/>
          </w:tcPr>
          <w:p w14:paraId="5A8E9AF2" w14:textId="77777777" w:rsidR="005B5384" w:rsidRPr="00286979" w:rsidRDefault="005B5384" w:rsidP="003D37ED">
            <w:pPr>
              <w:pStyle w:val="Normal1"/>
              <w:widowControl w:val="0"/>
              <w:spacing w:line="240" w:lineRule="auto"/>
              <w:rPr>
                <w:rFonts w:eastAsia="Cambria"/>
                <w:color w:val="auto"/>
                <w:sz w:val="24"/>
                <w:szCs w:val="24"/>
              </w:rPr>
            </w:pPr>
          </w:p>
        </w:tc>
      </w:tr>
      <w:tr w:rsidR="00286979" w:rsidRPr="00286979" w14:paraId="7E26BF61" w14:textId="77777777" w:rsidTr="00286979">
        <w:tc>
          <w:tcPr>
            <w:tcW w:w="2358" w:type="dxa"/>
          </w:tcPr>
          <w:p w14:paraId="11DDA3EA" w14:textId="77777777" w:rsidR="005B5384" w:rsidRPr="00286979" w:rsidRDefault="005B5384" w:rsidP="003D37ED">
            <w:pPr>
              <w:pStyle w:val="Normal1"/>
              <w:widowControl w:val="0"/>
              <w:spacing w:line="240" w:lineRule="auto"/>
              <w:rPr>
                <w:rFonts w:eastAsia="Cambria"/>
                <w:color w:val="auto"/>
                <w:sz w:val="24"/>
                <w:szCs w:val="24"/>
              </w:rPr>
            </w:pPr>
            <w:r w:rsidRPr="00286979">
              <w:rPr>
                <w:rFonts w:eastAsia="Cambria"/>
                <w:color w:val="auto"/>
                <w:sz w:val="24"/>
                <w:szCs w:val="24"/>
              </w:rPr>
              <w:t>25 µM PCR PE primer 1.0</w:t>
            </w:r>
          </w:p>
        </w:tc>
        <w:tc>
          <w:tcPr>
            <w:tcW w:w="1080" w:type="dxa"/>
          </w:tcPr>
          <w:p w14:paraId="7EE5F077" w14:textId="77777777" w:rsidR="005B5384" w:rsidRPr="00286979" w:rsidRDefault="005B5384" w:rsidP="003D37ED">
            <w:pPr>
              <w:pStyle w:val="Normal1"/>
              <w:widowControl w:val="0"/>
              <w:spacing w:line="240" w:lineRule="auto"/>
              <w:rPr>
                <w:rFonts w:eastAsia="Cambria"/>
                <w:color w:val="auto"/>
                <w:sz w:val="24"/>
                <w:szCs w:val="24"/>
              </w:rPr>
            </w:pPr>
            <w:r w:rsidRPr="00286979">
              <w:rPr>
                <w:rFonts w:eastAsia="Cambria"/>
                <w:color w:val="auto"/>
                <w:sz w:val="24"/>
                <w:szCs w:val="24"/>
              </w:rPr>
              <w:t>2 µl</w:t>
            </w:r>
          </w:p>
        </w:tc>
        <w:tc>
          <w:tcPr>
            <w:tcW w:w="5418" w:type="dxa"/>
          </w:tcPr>
          <w:p w14:paraId="65CBC302" w14:textId="77777777" w:rsidR="005B5384" w:rsidRPr="00286979" w:rsidRDefault="00286979" w:rsidP="00286979">
            <w:pPr>
              <w:pStyle w:val="Normal1"/>
              <w:widowControl w:val="0"/>
              <w:spacing w:line="240" w:lineRule="auto"/>
              <w:rPr>
                <w:sz w:val="24"/>
                <w:szCs w:val="24"/>
              </w:rPr>
            </w:pPr>
            <w:r w:rsidRPr="00286979">
              <w:rPr>
                <w:rFonts w:eastAsia="Cambria"/>
                <w:color w:val="auto"/>
                <w:sz w:val="24"/>
                <w:szCs w:val="24"/>
              </w:rPr>
              <w:t xml:space="preserve">PCR PE primer 1.0: </w:t>
            </w:r>
            <w:r w:rsidRPr="00286979">
              <w:rPr>
                <w:sz w:val="24"/>
                <w:szCs w:val="24"/>
              </w:rPr>
              <w:t>AATGATACGGCGACCACCGAGATCTACACTCTTTCCCTACACGACGCTCTTCCGATC*T</w:t>
            </w:r>
          </w:p>
          <w:p w14:paraId="564708BB" w14:textId="3A533429" w:rsidR="00286979" w:rsidRPr="00286979" w:rsidRDefault="00286979" w:rsidP="00286979">
            <w:pPr>
              <w:pStyle w:val="Normal1"/>
              <w:widowControl w:val="0"/>
              <w:spacing w:line="240" w:lineRule="auto"/>
              <w:rPr>
                <w:rFonts w:eastAsia="Cambria"/>
                <w:color w:val="auto"/>
                <w:sz w:val="24"/>
                <w:szCs w:val="24"/>
              </w:rPr>
            </w:pPr>
            <w:r w:rsidRPr="00286979">
              <w:rPr>
                <w:sz w:val="24"/>
                <w:szCs w:val="24"/>
              </w:rPr>
              <w:t>* = Phosphorothioate Bond</w:t>
            </w:r>
          </w:p>
        </w:tc>
      </w:tr>
      <w:tr w:rsidR="00286979" w:rsidRPr="00286979" w14:paraId="1A4CABCD" w14:textId="77777777" w:rsidTr="00286979">
        <w:tc>
          <w:tcPr>
            <w:tcW w:w="2358" w:type="dxa"/>
          </w:tcPr>
          <w:p w14:paraId="2F88D716" w14:textId="77777777" w:rsidR="005B5384" w:rsidRPr="00286979" w:rsidRDefault="005B5384" w:rsidP="003D37ED">
            <w:pPr>
              <w:pStyle w:val="Normal1"/>
              <w:widowControl w:val="0"/>
              <w:spacing w:line="240" w:lineRule="auto"/>
              <w:rPr>
                <w:rFonts w:eastAsia="Cambria"/>
                <w:color w:val="auto"/>
                <w:sz w:val="24"/>
                <w:szCs w:val="24"/>
              </w:rPr>
            </w:pPr>
            <w:r w:rsidRPr="00286979">
              <w:rPr>
                <w:rFonts w:eastAsia="Cambria"/>
                <w:color w:val="auto"/>
                <w:sz w:val="24"/>
                <w:szCs w:val="24"/>
              </w:rPr>
              <w:t>25 µM PCR primer 3.0</w:t>
            </w:r>
          </w:p>
        </w:tc>
        <w:tc>
          <w:tcPr>
            <w:tcW w:w="1080" w:type="dxa"/>
          </w:tcPr>
          <w:p w14:paraId="2FB041BB" w14:textId="77777777" w:rsidR="005B5384" w:rsidRPr="00286979" w:rsidRDefault="005B5384" w:rsidP="003D37ED">
            <w:pPr>
              <w:pStyle w:val="Normal1"/>
              <w:widowControl w:val="0"/>
              <w:spacing w:line="240" w:lineRule="auto"/>
              <w:rPr>
                <w:rFonts w:eastAsia="Cambria"/>
                <w:color w:val="auto"/>
                <w:sz w:val="24"/>
                <w:szCs w:val="24"/>
              </w:rPr>
            </w:pPr>
            <w:r w:rsidRPr="00286979">
              <w:rPr>
                <w:rFonts w:eastAsia="Cambria"/>
                <w:color w:val="auto"/>
                <w:sz w:val="24"/>
                <w:szCs w:val="24"/>
              </w:rPr>
              <w:t>2 µl</w:t>
            </w:r>
          </w:p>
        </w:tc>
        <w:tc>
          <w:tcPr>
            <w:tcW w:w="5418" w:type="dxa"/>
          </w:tcPr>
          <w:p w14:paraId="7C929684" w14:textId="77777777" w:rsidR="005B5384" w:rsidRPr="00286979" w:rsidRDefault="00286979" w:rsidP="003D37ED">
            <w:pPr>
              <w:pStyle w:val="Normal1"/>
              <w:widowControl w:val="0"/>
              <w:spacing w:line="240" w:lineRule="auto"/>
              <w:rPr>
                <w:sz w:val="24"/>
                <w:szCs w:val="24"/>
              </w:rPr>
            </w:pPr>
            <w:r w:rsidRPr="00286979">
              <w:rPr>
                <w:rFonts w:eastAsia="Cambria"/>
                <w:color w:val="auto"/>
                <w:sz w:val="24"/>
                <w:szCs w:val="24"/>
              </w:rPr>
              <w:t xml:space="preserve">PCR primer 3.0: </w:t>
            </w:r>
            <w:r w:rsidRPr="00286979">
              <w:rPr>
                <w:sz w:val="24"/>
                <w:szCs w:val="24"/>
              </w:rPr>
              <w:t>CAAGCAGAAGACGGCATACGAGA*T</w:t>
            </w:r>
          </w:p>
          <w:p w14:paraId="17D67B80" w14:textId="5B464850" w:rsidR="00286979" w:rsidRPr="00286979" w:rsidRDefault="00286979" w:rsidP="003D37ED">
            <w:pPr>
              <w:pStyle w:val="Normal1"/>
              <w:widowControl w:val="0"/>
              <w:spacing w:line="240" w:lineRule="auto"/>
              <w:rPr>
                <w:rFonts w:eastAsia="Cambria"/>
                <w:color w:val="auto"/>
                <w:sz w:val="24"/>
                <w:szCs w:val="24"/>
              </w:rPr>
            </w:pPr>
            <w:r w:rsidRPr="00286979">
              <w:rPr>
                <w:sz w:val="24"/>
                <w:szCs w:val="24"/>
              </w:rPr>
              <w:t>* = Phosphorothioate Bond</w:t>
            </w:r>
          </w:p>
        </w:tc>
      </w:tr>
      <w:tr w:rsidR="00286979" w:rsidRPr="00286979" w14:paraId="38586EE7" w14:textId="77777777" w:rsidTr="00286979">
        <w:tc>
          <w:tcPr>
            <w:tcW w:w="2358" w:type="dxa"/>
          </w:tcPr>
          <w:p w14:paraId="0A67AA32" w14:textId="77777777" w:rsidR="005B5384" w:rsidRPr="00286979" w:rsidRDefault="005B5384" w:rsidP="003D37ED">
            <w:pPr>
              <w:pStyle w:val="Normal1"/>
              <w:widowControl w:val="0"/>
              <w:spacing w:line="240" w:lineRule="auto"/>
              <w:rPr>
                <w:rFonts w:eastAsia="Cambria"/>
                <w:color w:val="auto"/>
                <w:sz w:val="24"/>
                <w:szCs w:val="24"/>
              </w:rPr>
            </w:pPr>
            <w:r w:rsidRPr="00286979">
              <w:rPr>
                <w:rFonts w:eastAsia="Cambria"/>
                <w:color w:val="auto"/>
                <w:sz w:val="24"/>
                <w:szCs w:val="24"/>
              </w:rPr>
              <w:t>FastStart High Fidelity Enzyme</w:t>
            </w:r>
          </w:p>
        </w:tc>
        <w:tc>
          <w:tcPr>
            <w:tcW w:w="1080" w:type="dxa"/>
          </w:tcPr>
          <w:p w14:paraId="45F90805" w14:textId="77777777" w:rsidR="005B5384" w:rsidRPr="00286979" w:rsidRDefault="005B5384" w:rsidP="003D37ED">
            <w:pPr>
              <w:pStyle w:val="Normal1"/>
              <w:widowControl w:val="0"/>
              <w:spacing w:line="240" w:lineRule="auto"/>
              <w:rPr>
                <w:rFonts w:eastAsia="Cambria"/>
                <w:color w:val="auto"/>
                <w:sz w:val="24"/>
                <w:szCs w:val="24"/>
              </w:rPr>
            </w:pPr>
            <w:r w:rsidRPr="00286979">
              <w:rPr>
                <w:rFonts w:eastAsia="Cambria"/>
                <w:color w:val="auto"/>
                <w:sz w:val="24"/>
                <w:szCs w:val="24"/>
              </w:rPr>
              <w:t>1 µl</w:t>
            </w:r>
          </w:p>
        </w:tc>
        <w:tc>
          <w:tcPr>
            <w:tcW w:w="5418" w:type="dxa"/>
          </w:tcPr>
          <w:p w14:paraId="7DB58912" w14:textId="77777777" w:rsidR="005B5384" w:rsidRPr="00286979" w:rsidRDefault="005B5384" w:rsidP="003D37ED">
            <w:pPr>
              <w:pStyle w:val="Normal1"/>
              <w:widowControl w:val="0"/>
              <w:spacing w:line="240" w:lineRule="auto"/>
              <w:rPr>
                <w:rFonts w:eastAsia="Cambria"/>
                <w:color w:val="auto"/>
                <w:sz w:val="24"/>
                <w:szCs w:val="24"/>
              </w:rPr>
            </w:pPr>
            <w:r w:rsidRPr="00286979">
              <w:rPr>
                <w:color w:val="auto"/>
                <w:sz w:val="24"/>
                <w:szCs w:val="24"/>
                <w:lang w:eastAsia="en-US"/>
              </w:rPr>
              <w:t xml:space="preserve">5 units/µl </w:t>
            </w:r>
            <w:r w:rsidRPr="00286979">
              <w:rPr>
                <w:rFonts w:eastAsia="Cambria"/>
                <w:color w:val="auto"/>
                <w:sz w:val="24"/>
                <w:szCs w:val="24"/>
              </w:rPr>
              <w:t>FastStart Taq DNA Polymerase</w:t>
            </w:r>
          </w:p>
        </w:tc>
      </w:tr>
      <w:tr w:rsidR="00286979" w:rsidRPr="00286979" w14:paraId="54A48D7A" w14:textId="77777777" w:rsidTr="00286979">
        <w:tc>
          <w:tcPr>
            <w:tcW w:w="2358" w:type="dxa"/>
          </w:tcPr>
          <w:p w14:paraId="33A35508" w14:textId="77777777" w:rsidR="005B5384" w:rsidRPr="00286979" w:rsidRDefault="005B5384" w:rsidP="003D37ED">
            <w:pPr>
              <w:pStyle w:val="Normal1"/>
              <w:widowControl w:val="0"/>
              <w:spacing w:line="240" w:lineRule="auto"/>
              <w:rPr>
                <w:rFonts w:eastAsia="Cambria"/>
                <w:color w:val="auto"/>
                <w:sz w:val="24"/>
                <w:szCs w:val="24"/>
              </w:rPr>
            </w:pPr>
            <w:r w:rsidRPr="00286979">
              <w:rPr>
                <w:rFonts w:eastAsia="Cambria"/>
                <w:color w:val="auto"/>
                <w:sz w:val="24"/>
                <w:szCs w:val="24"/>
              </w:rPr>
              <w:t>DNase-free water</w:t>
            </w:r>
          </w:p>
        </w:tc>
        <w:tc>
          <w:tcPr>
            <w:tcW w:w="1080" w:type="dxa"/>
          </w:tcPr>
          <w:p w14:paraId="1C01E7D4" w14:textId="77777777" w:rsidR="005B5384" w:rsidRPr="00286979" w:rsidRDefault="005B5384" w:rsidP="003D37ED">
            <w:pPr>
              <w:pStyle w:val="Normal1"/>
              <w:widowControl w:val="0"/>
              <w:spacing w:line="240" w:lineRule="auto"/>
              <w:rPr>
                <w:rFonts w:eastAsia="Cambria"/>
                <w:color w:val="auto"/>
                <w:sz w:val="24"/>
                <w:szCs w:val="24"/>
              </w:rPr>
            </w:pPr>
            <w:r w:rsidRPr="00286979">
              <w:rPr>
                <w:rFonts w:eastAsia="Cambria"/>
                <w:color w:val="auto"/>
                <w:sz w:val="24"/>
                <w:szCs w:val="24"/>
              </w:rPr>
              <w:t>42.5 µl</w:t>
            </w:r>
          </w:p>
        </w:tc>
        <w:tc>
          <w:tcPr>
            <w:tcW w:w="5418" w:type="dxa"/>
          </w:tcPr>
          <w:p w14:paraId="10277447" w14:textId="77777777" w:rsidR="005B5384" w:rsidRPr="00286979" w:rsidRDefault="005B5384" w:rsidP="003D37ED">
            <w:pPr>
              <w:pStyle w:val="Normal1"/>
              <w:widowControl w:val="0"/>
              <w:spacing w:line="240" w:lineRule="auto"/>
              <w:rPr>
                <w:rFonts w:eastAsia="Cambria"/>
                <w:color w:val="auto"/>
                <w:sz w:val="24"/>
                <w:szCs w:val="24"/>
              </w:rPr>
            </w:pPr>
          </w:p>
        </w:tc>
      </w:tr>
    </w:tbl>
    <w:p w14:paraId="47D45850" w14:textId="77777777" w:rsidR="005B5384" w:rsidRPr="00286979" w:rsidRDefault="005B5384" w:rsidP="005B5384">
      <w:pPr>
        <w:rPr>
          <w:rFonts w:ascii="Arial" w:hAnsi="Arial" w:cs="Arial"/>
        </w:rPr>
      </w:pPr>
      <w:r w:rsidRPr="00286979">
        <w:rPr>
          <w:rFonts w:ascii="Arial" w:hAnsi="Arial" w:cs="Arial"/>
        </w:rPr>
        <w:tab/>
      </w:r>
    </w:p>
    <w:p w14:paraId="384CCA7B" w14:textId="5716740D" w:rsidR="005B5384" w:rsidRPr="00286979" w:rsidRDefault="005B5384" w:rsidP="005B5384">
      <w:pPr>
        <w:rPr>
          <w:rFonts w:ascii="Arial" w:hAnsi="Arial" w:cs="Arial"/>
        </w:rPr>
      </w:pPr>
      <w:r w:rsidRPr="00286979">
        <w:rPr>
          <w:rFonts w:ascii="Arial" w:hAnsi="Arial" w:cs="Arial"/>
        </w:rPr>
        <w:t>7.2)  Proceed with step 7.1.2 as follows: Add 60 µl of the PCR master mix to each 40 µl library fraction from step 6.3. Mix by pipetting and divide into two 50 µl PCR reactions.</w:t>
      </w:r>
    </w:p>
    <w:p w14:paraId="7500AD38" w14:textId="77777777" w:rsidR="005B5384" w:rsidRPr="00286979" w:rsidRDefault="005B5384" w:rsidP="005B5384">
      <w:pPr>
        <w:rPr>
          <w:rFonts w:ascii="Arial" w:hAnsi="Arial" w:cs="Arial"/>
        </w:rPr>
      </w:pPr>
    </w:p>
    <w:p w14:paraId="360223B2" w14:textId="136EEC12" w:rsidR="005B5384" w:rsidRPr="00286979" w:rsidRDefault="005B5384" w:rsidP="005B5384">
      <w:pPr>
        <w:rPr>
          <w:rFonts w:ascii="Arial" w:hAnsi="Arial" w:cs="Arial"/>
        </w:rPr>
      </w:pPr>
      <w:r w:rsidRPr="00286979">
        <w:rPr>
          <w:rFonts w:ascii="Arial" w:hAnsi="Arial" w:cs="Arial"/>
        </w:rPr>
        <w:t xml:space="preserve">7.3) Proceed with step 7.1.3 as follows: Amplify the reactions in a thermal cycler with the following protocol: Set the heat lid to 100 </w:t>
      </w:r>
      <w:r w:rsidRPr="00286979">
        <w:rPr>
          <w:rFonts w:ascii="Arial" w:hAnsi="Arial" w:cs="Arial"/>
          <w:vertAlign w:val="superscript"/>
        </w:rPr>
        <w:t>o</w:t>
      </w:r>
      <w:r w:rsidRPr="00286979">
        <w:rPr>
          <w:rFonts w:ascii="Arial" w:hAnsi="Arial" w:cs="Arial"/>
        </w:rPr>
        <w:t xml:space="preserve">C. Initialize with a step of 94 </w:t>
      </w:r>
      <w:r w:rsidRPr="00286979">
        <w:rPr>
          <w:rFonts w:ascii="Arial" w:hAnsi="Arial" w:cs="Arial"/>
          <w:vertAlign w:val="superscript"/>
        </w:rPr>
        <w:t>o</w:t>
      </w:r>
      <w:r w:rsidRPr="00286979">
        <w:rPr>
          <w:rFonts w:ascii="Arial" w:hAnsi="Arial" w:cs="Arial"/>
        </w:rPr>
        <w:t xml:space="preserve">C for 5 min. Run 18 cycles of denaturing, annealing and extension/elongation steps: 94 </w:t>
      </w:r>
      <w:r w:rsidRPr="00286979">
        <w:rPr>
          <w:rFonts w:ascii="Arial" w:hAnsi="Arial" w:cs="Arial"/>
          <w:vertAlign w:val="superscript"/>
        </w:rPr>
        <w:t>o</w:t>
      </w:r>
      <w:r w:rsidRPr="00286979">
        <w:rPr>
          <w:rFonts w:ascii="Arial" w:hAnsi="Arial" w:cs="Arial"/>
        </w:rPr>
        <w:t xml:space="preserve">C for 20 seconds followed by 60 </w:t>
      </w:r>
      <w:r w:rsidRPr="00286979">
        <w:rPr>
          <w:rFonts w:ascii="Arial" w:hAnsi="Arial" w:cs="Arial"/>
          <w:vertAlign w:val="superscript"/>
        </w:rPr>
        <w:t>o</w:t>
      </w:r>
      <w:r w:rsidRPr="00286979">
        <w:rPr>
          <w:rFonts w:ascii="Arial" w:hAnsi="Arial" w:cs="Arial"/>
        </w:rPr>
        <w:t xml:space="preserve">C for 30 seconds followed by 72 </w:t>
      </w:r>
      <w:r w:rsidRPr="00286979">
        <w:rPr>
          <w:rFonts w:ascii="Arial" w:hAnsi="Arial" w:cs="Arial"/>
          <w:vertAlign w:val="superscript"/>
        </w:rPr>
        <w:t>o</w:t>
      </w:r>
      <w:r w:rsidRPr="00286979">
        <w:rPr>
          <w:rFonts w:ascii="Arial" w:hAnsi="Arial" w:cs="Arial"/>
        </w:rPr>
        <w:t xml:space="preserve">C for 30 seconds. Run a final extension/elongation step of 72 </w:t>
      </w:r>
      <w:r w:rsidRPr="00286979">
        <w:rPr>
          <w:rFonts w:ascii="Arial" w:hAnsi="Arial" w:cs="Arial"/>
          <w:vertAlign w:val="superscript"/>
        </w:rPr>
        <w:t>o</w:t>
      </w:r>
      <w:r w:rsidRPr="00286979">
        <w:rPr>
          <w:rFonts w:ascii="Arial" w:hAnsi="Arial" w:cs="Arial"/>
        </w:rPr>
        <w:t xml:space="preserve">C for 5 min. Hold at 4 </w:t>
      </w:r>
      <w:r w:rsidRPr="00286979">
        <w:rPr>
          <w:rFonts w:ascii="Arial" w:hAnsi="Arial" w:cs="Arial"/>
          <w:vertAlign w:val="superscript"/>
        </w:rPr>
        <w:t>o</w:t>
      </w:r>
      <w:r w:rsidRPr="00286979">
        <w:rPr>
          <w:rFonts w:ascii="Arial" w:hAnsi="Arial" w:cs="Arial"/>
        </w:rPr>
        <w:t>C.</w:t>
      </w:r>
    </w:p>
    <w:p w14:paraId="0B20424D" w14:textId="77777777" w:rsidR="005B5384" w:rsidRPr="00286979" w:rsidRDefault="005B5384" w:rsidP="005B5384">
      <w:pPr>
        <w:rPr>
          <w:rFonts w:ascii="Arial" w:hAnsi="Arial" w:cs="Arial"/>
        </w:rPr>
      </w:pPr>
    </w:p>
    <w:p w14:paraId="6F9C4741" w14:textId="77777777" w:rsidR="005B5384" w:rsidRPr="00286979" w:rsidRDefault="005B5384" w:rsidP="005B5384">
      <w:pPr>
        <w:pStyle w:val="Normal1"/>
        <w:widowControl w:val="0"/>
        <w:spacing w:line="240" w:lineRule="auto"/>
        <w:rPr>
          <w:rFonts w:eastAsia="Cambria"/>
          <w:color w:val="auto"/>
          <w:sz w:val="24"/>
        </w:rPr>
      </w:pPr>
      <w:r w:rsidRPr="00286979">
        <w:rPr>
          <w:rFonts w:eastAsia="Cambria"/>
          <w:color w:val="auto"/>
          <w:sz w:val="24"/>
        </w:rPr>
        <w:t>Note</w:t>
      </w:r>
      <w:r w:rsidR="00466DAB" w:rsidRPr="00286979">
        <w:rPr>
          <w:rFonts w:eastAsia="Cambria"/>
          <w:color w:val="auto"/>
          <w:sz w:val="24"/>
        </w:rPr>
        <w:t>:</w:t>
      </w:r>
      <w:r w:rsidRPr="00286979">
        <w:rPr>
          <w:rFonts w:eastAsia="Cambria"/>
          <w:color w:val="auto"/>
          <w:sz w:val="24"/>
        </w:rPr>
        <w:t xml:space="preserve"> 18 cycles of PCR </w:t>
      </w:r>
      <w:r w:rsidR="00466DAB" w:rsidRPr="00286979">
        <w:rPr>
          <w:rFonts w:eastAsia="Cambria"/>
          <w:color w:val="auto"/>
          <w:sz w:val="24"/>
        </w:rPr>
        <w:t xml:space="preserve">are recommended </w:t>
      </w:r>
      <w:r w:rsidRPr="00286979">
        <w:rPr>
          <w:rFonts w:eastAsia="Cambria"/>
          <w:color w:val="auto"/>
          <w:sz w:val="24"/>
        </w:rPr>
        <w:t xml:space="preserve">for first time users of the protocol. The protocol can be optimized for fewer amplification cycles and the user is encouraged to optimize this step if interested. </w:t>
      </w:r>
    </w:p>
    <w:p w14:paraId="59668D29" w14:textId="77777777" w:rsidR="005B5384" w:rsidRPr="00286979" w:rsidRDefault="005B5384" w:rsidP="005B5384">
      <w:pPr>
        <w:rPr>
          <w:rFonts w:ascii="Arial" w:hAnsi="Arial" w:cs="Arial"/>
        </w:rPr>
      </w:pPr>
    </w:p>
    <w:p w14:paraId="4E42442C" w14:textId="7278EC7E" w:rsidR="005B5384" w:rsidRPr="00286979" w:rsidRDefault="005B5384" w:rsidP="005B5384">
      <w:pPr>
        <w:rPr>
          <w:rFonts w:ascii="Arial" w:hAnsi="Arial" w:cs="Arial"/>
        </w:rPr>
      </w:pPr>
      <w:r w:rsidRPr="00286979">
        <w:rPr>
          <w:rFonts w:ascii="Arial" w:hAnsi="Arial" w:cs="Arial"/>
        </w:rPr>
        <w:t xml:space="preserve">8) Proceed with step 8 with the following modifications: </w:t>
      </w:r>
    </w:p>
    <w:p w14:paraId="5F3E2380" w14:textId="77777777" w:rsidR="005B5384" w:rsidRPr="00286979" w:rsidRDefault="005B5384" w:rsidP="005B5384">
      <w:pPr>
        <w:rPr>
          <w:rFonts w:ascii="Arial" w:hAnsi="Arial" w:cs="Arial"/>
        </w:rPr>
      </w:pPr>
    </w:p>
    <w:p w14:paraId="6DE4C555" w14:textId="2415A240" w:rsidR="005B5384" w:rsidRPr="00286979" w:rsidRDefault="005B5384" w:rsidP="005B5384">
      <w:pPr>
        <w:rPr>
          <w:rFonts w:ascii="Arial" w:hAnsi="Arial" w:cs="Arial"/>
        </w:rPr>
      </w:pPr>
      <w:r w:rsidRPr="00286979">
        <w:rPr>
          <w:rFonts w:ascii="Arial" w:hAnsi="Arial" w:cs="Arial"/>
        </w:rPr>
        <w:t>8.1) Proceed with step 8.1 as follows: Combine each 2-reaction set (per library fraction).</w:t>
      </w:r>
    </w:p>
    <w:p w14:paraId="7C7333EE" w14:textId="77777777" w:rsidR="005B5384" w:rsidRPr="00286979" w:rsidRDefault="005B5384" w:rsidP="005B5384">
      <w:pPr>
        <w:rPr>
          <w:rFonts w:ascii="Arial" w:hAnsi="Arial" w:cs="Arial"/>
        </w:rPr>
      </w:pPr>
      <w:r w:rsidRPr="00286979">
        <w:rPr>
          <w:rFonts w:ascii="Arial" w:hAnsi="Arial" w:cs="Arial"/>
        </w:rPr>
        <w:tab/>
      </w:r>
    </w:p>
    <w:p w14:paraId="6A9C1A95" w14:textId="6CFE2A1E" w:rsidR="005B5384" w:rsidRPr="00286979" w:rsidRDefault="005B5384" w:rsidP="005B5384">
      <w:pPr>
        <w:rPr>
          <w:rFonts w:ascii="Arial" w:hAnsi="Arial" w:cs="Arial"/>
        </w:rPr>
      </w:pPr>
      <w:r w:rsidRPr="00286979">
        <w:rPr>
          <w:rFonts w:ascii="Arial" w:hAnsi="Arial" w:cs="Arial"/>
        </w:rPr>
        <w:t>8.2) Proceed with step 8.2.1 as follows: Add 1.2X volume of SPRI beads (120 µl for 100 µl of PCR product) to the 200-300 bp reaction.</w:t>
      </w:r>
    </w:p>
    <w:p w14:paraId="01B4C057" w14:textId="77777777" w:rsidR="005B5384" w:rsidRPr="00286979" w:rsidRDefault="005B5384" w:rsidP="005B5384">
      <w:pPr>
        <w:rPr>
          <w:rFonts w:ascii="Arial" w:hAnsi="Arial" w:cs="Arial"/>
        </w:rPr>
      </w:pPr>
      <w:r w:rsidRPr="00286979">
        <w:rPr>
          <w:rFonts w:ascii="Arial" w:hAnsi="Arial" w:cs="Arial"/>
        </w:rPr>
        <w:tab/>
      </w:r>
    </w:p>
    <w:p w14:paraId="0E4386E6" w14:textId="6DA2BBEE" w:rsidR="005B5384" w:rsidRPr="00286979" w:rsidRDefault="005B5384" w:rsidP="005B5384">
      <w:pPr>
        <w:rPr>
          <w:rFonts w:ascii="Arial" w:hAnsi="Arial" w:cs="Arial"/>
        </w:rPr>
      </w:pPr>
      <w:r w:rsidRPr="00286979">
        <w:rPr>
          <w:rFonts w:ascii="Arial" w:hAnsi="Arial" w:cs="Arial"/>
        </w:rPr>
        <w:t>8.3) Proceed with step 8.2.2 as follows: Add 1.1X volume of SPRI beads (100 µl for 100 µl of PCR product) to the 300-400 bp reaction.</w:t>
      </w:r>
    </w:p>
    <w:p w14:paraId="4F9AEF5C" w14:textId="77777777" w:rsidR="005B5384" w:rsidRPr="00286979" w:rsidRDefault="005B5384" w:rsidP="005B5384">
      <w:pPr>
        <w:rPr>
          <w:rFonts w:ascii="Arial" w:hAnsi="Arial" w:cs="Arial"/>
        </w:rPr>
      </w:pPr>
    </w:p>
    <w:p w14:paraId="05DD8A0C" w14:textId="17107D31" w:rsidR="005B5384" w:rsidRPr="00286979" w:rsidRDefault="005B5384" w:rsidP="005B5384">
      <w:pPr>
        <w:rPr>
          <w:rFonts w:ascii="Arial" w:hAnsi="Arial" w:cs="Arial"/>
        </w:rPr>
      </w:pPr>
      <w:r w:rsidRPr="00286979">
        <w:rPr>
          <w:rFonts w:ascii="Arial" w:hAnsi="Arial" w:cs="Arial"/>
        </w:rPr>
        <w:t>8.4) Proceed with protocol steps 8.2.3, 8.2.4 and 8.3 as detailed.</w:t>
      </w:r>
    </w:p>
    <w:p w14:paraId="1F0597DF" w14:textId="77777777" w:rsidR="005B5384" w:rsidRPr="00286979" w:rsidRDefault="005B5384" w:rsidP="005B5384">
      <w:pPr>
        <w:rPr>
          <w:rFonts w:ascii="Arial" w:hAnsi="Arial" w:cs="Arial"/>
        </w:rPr>
      </w:pPr>
    </w:p>
    <w:p w14:paraId="34A0119E" w14:textId="6E9F91A5" w:rsidR="005B5384" w:rsidRPr="00286979" w:rsidRDefault="005B5384" w:rsidP="005B5384">
      <w:pPr>
        <w:rPr>
          <w:rFonts w:ascii="Arial" w:hAnsi="Arial" w:cs="Arial"/>
        </w:rPr>
      </w:pPr>
      <w:r w:rsidRPr="00286979">
        <w:rPr>
          <w:rFonts w:ascii="Arial" w:hAnsi="Arial" w:cs="Arial"/>
        </w:rPr>
        <w:t xml:space="preserve">9) Proceed with Library Quality control as detailed in step 9. </w:t>
      </w:r>
    </w:p>
    <w:p w14:paraId="7BD09870" w14:textId="77777777" w:rsidR="005B5384" w:rsidRPr="00286979" w:rsidRDefault="005B5384" w:rsidP="005B5384">
      <w:pPr>
        <w:rPr>
          <w:rFonts w:ascii="Arial" w:hAnsi="Arial" w:cs="Arial"/>
        </w:rPr>
      </w:pPr>
    </w:p>
    <w:p w14:paraId="0C74E9D1" w14:textId="77777777" w:rsidR="005B5384" w:rsidRPr="00286979" w:rsidRDefault="005B5384" w:rsidP="005B5384">
      <w:pPr>
        <w:rPr>
          <w:rFonts w:ascii="Arial" w:hAnsi="Arial" w:cs="Arial"/>
        </w:rPr>
      </w:pPr>
      <w:r w:rsidRPr="00286979">
        <w:rPr>
          <w:rFonts w:ascii="Arial" w:hAnsi="Arial" w:cs="Arial"/>
        </w:rPr>
        <w:t>Note: Expected concentrations are 15.9 ng/µl+-3.9 for the 200-300 bp fraction and 19.1 ng/µl +-4.3 for the 300-400 bp fraction (n=81). The average size of the libraries are 210+/-9 bp and 275+/-22 bp (n=81).</w:t>
      </w:r>
    </w:p>
    <w:p w14:paraId="7C3AA467" w14:textId="77777777" w:rsidR="005B5384" w:rsidRPr="00286979" w:rsidRDefault="005B5384" w:rsidP="005B5384">
      <w:pPr>
        <w:rPr>
          <w:rFonts w:ascii="Arial" w:hAnsi="Arial" w:cs="Arial"/>
        </w:rPr>
      </w:pPr>
    </w:p>
    <w:p w14:paraId="70C20D6F" w14:textId="7AA366C4" w:rsidR="005B5384" w:rsidRPr="00286979" w:rsidRDefault="005B5384" w:rsidP="005B5384">
      <w:pPr>
        <w:rPr>
          <w:rFonts w:ascii="Arial" w:hAnsi="Arial" w:cs="Arial"/>
        </w:rPr>
      </w:pPr>
      <w:r w:rsidRPr="00286979">
        <w:rPr>
          <w:rFonts w:ascii="Arial" w:hAnsi="Arial" w:cs="Arial"/>
        </w:rPr>
        <w:t>10) Prepare libraries for sequencing as specified in steps 10 through 10.3  then prepare a pool of multiplexed libraries as follows: combine the 20 µl from each barcoded 2 nM ERRBS libraries, at the desired multiplexed ratio, to obtain one multiplexed sequencing pool.</w:t>
      </w:r>
    </w:p>
    <w:p w14:paraId="5F8A4BA4" w14:textId="77777777" w:rsidR="005B5384" w:rsidRPr="00286979" w:rsidRDefault="005B5384" w:rsidP="005B5384">
      <w:pPr>
        <w:rPr>
          <w:rFonts w:ascii="Arial" w:hAnsi="Arial" w:cs="Arial"/>
        </w:rPr>
      </w:pPr>
    </w:p>
    <w:p w14:paraId="5784B735" w14:textId="69AA68E8" w:rsidR="005B5384" w:rsidRPr="00286979" w:rsidRDefault="005B5384" w:rsidP="005B5384">
      <w:pPr>
        <w:rPr>
          <w:rFonts w:ascii="Arial" w:hAnsi="Arial" w:cs="Arial"/>
        </w:rPr>
      </w:pPr>
      <w:r w:rsidRPr="00286979">
        <w:rPr>
          <w:rFonts w:ascii="Arial" w:hAnsi="Arial" w:cs="Arial"/>
        </w:rPr>
        <w:t>11) Proceed with protocol step 10.4 as detailed.</w:t>
      </w:r>
    </w:p>
    <w:p w14:paraId="197543EC" w14:textId="77777777" w:rsidR="005B5384" w:rsidRPr="00286979" w:rsidRDefault="005B5384" w:rsidP="005B5384">
      <w:pPr>
        <w:rPr>
          <w:rFonts w:ascii="Arial" w:hAnsi="Arial" w:cs="Arial"/>
        </w:rPr>
      </w:pPr>
    </w:p>
    <w:p w14:paraId="42BB7C24" w14:textId="4987884A" w:rsidR="005B5384" w:rsidRPr="00286979" w:rsidRDefault="005B5384" w:rsidP="005B5384">
      <w:pPr>
        <w:rPr>
          <w:rFonts w:ascii="Arial" w:hAnsi="Arial" w:cs="Arial"/>
        </w:rPr>
      </w:pPr>
      <w:r w:rsidRPr="00286979">
        <w:rPr>
          <w:rFonts w:ascii="Arial" w:hAnsi="Arial" w:cs="Arial"/>
        </w:rPr>
        <w:t>12) Proceed with data alignment as detailed in step 11.</w:t>
      </w:r>
    </w:p>
    <w:p w14:paraId="2D964EE4" w14:textId="77777777" w:rsidR="00824C6D" w:rsidRPr="00286979" w:rsidRDefault="00824C6D">
      <w:pPr>
        <w:rPr>
          <w:rFonts w:ascii="Arial" w:hAnsi="Arial" w:cs="Arial"/>
        </w:rPr>
      </w:pPr>
    </w:p>
    <w:sectPr w:rsidR="00824C6D" w:rsidRPr="00286979" w:rsidSect="00E25A3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384"/>
    <w:rsid w:val="00252953"/>
    <w:rsid w:val="00286979"/>
    <w:rsid w:val="00466DAB"/>
    <w:rsid w:val="00580788"/>
    <w:rsid w:val="005B5384"/>
    <w:rsid w:val="00824C6D"/>
    <w:rsid w:val="00A779C4"/>
    <w:rsid w:val="00E25A32"/>
    <w:rsid w:val="00E95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0DCA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384"/>
    <w:rPr>
      <w:rFonts w:ascii="Cambria" w:eastAsia="MS Mincho" w:hAnsi="Cambria"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B5384"/>
    <w:pPr>
      <w:spacing w:line="276" w:lineRule="auto"/>
    </w:pPr>
    <w:rPr>
      <w:rFonts w:ascii="Arial" w:eastAsia="Arial" w:hAnsi="Arial" w:cs="Arial"/>
      <w:color w:val="000000"/>
      <w:sz w:val="22"/>
      <w:lang w:eastAsia="ja-JP"/>
    </w:rPr>
  </w:style>
  <w:style w:type="table" w:styleId="TableGrid">
    <w:name w:val="Table Grid"/>
    <w:basedOn w:val="TableNormal"/>
    <w:rsid w:val="005B5384"/>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384"/>
    <w:rPr>
      <w:rFonts w:ascii="Cambria" w:eastAsia="MS Mincho" w:hAnsi="Cambria"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B5384"/>
    <w:pPr>
      <w:spacing w:line="276" w:lineRule="auto"/>
    </w:pPr>
    <w:rPr>
      <w:rFonts w:ascii="Arial" w:eastAsia="Arial" w:hAnsi="Arial" w:cs="Arial"/>
      <w:color w:val="000000"/>
      <w:sz w:val="22"/>
      <w:lang w:eastAsia="ja-JP"/>
    </w:rPr>
  </w:style>
  <w:style w:type="table" w:styleId="TableGrid">
    <w:name w:val="Table Grid"/>
    <w:basedOn w:val="TableNormal"/>
    <w:rsid w:val="005B5384"/>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7962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759</Words>
  <Characters>4329</Characters>
  <Application>Microsoft Macintosh Word</Application>
  <DocSecurity>0</DocSecurity>
  <Lines>36</Lines>
  <Paragraphs>10</Paragraphs>
  <ScaleCrop>false</ScaleCrop>
  <Company/>
  <LinksUpToDate>false</LinksUpToDate>
  <CharactersWithSpaces>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Garrett-Bakelman</dc:creator>
  <cp:keywords/>
  <dc:description/>
  <cp:lastModifiedBy>Francine Garrett-Bakelman</cp:lastModifiedBy>
  <cp:revision>7</cp:revision>
  <dcterms:created xsi:type="dcterms:W3CDTF">2014-08-25T14:13:00Z</dcterms:created>
  <dcterms:modified xsi:type="dcterms:W3CDTF">2014-08-29T19:35:00Z</dcterms:modified>
</cp:coreProperties>
</file>