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FE7" w:rsidRDefault="00491FE7" w:rsidP="00CE10F2">
      <w:pPr>
        <w:pStyle w:val="BodyText"/>
        <w:outlineLvl w:val="0"/>
        <w:rPr>
          <w:rFonts w:ascii="Helvetica" w:hAnsi="Helvetica"/>
          <w:b/>
          <w:i w:val="0"/>
          <w:sz w:val="22"/>
        </w:rPr>
      </w:pPr>
      <w:r>
        <w:rPr>
          <w:rFonts w:ascii="Helvetica" w:hAnsi="Helvetica"/>
          <w:b/>
          <w:i w:val="0"/>
          <w:sz w:val="22"/>
        </w:rPr>
        <w:t>Submission ID #: 52161</w:t>
      </w:r>
    </w:p>
    <w:p w:rsidR="00491FE7" w:rsidRPr="00FB038C" w:rsidDel="00A12F8F" w:rsidRDefault="00491FE7" w:rsidP="00CE10F2">
      <w:pPr>
        <w:pStyle w:val="BodyText"/>
        <w:outlineLvl w:val="0"/>
        <w:rPr>
          <w:rFonts w:ascii="Helvetica" w:hAnsi="Helvetica"/>
          <w:b/>
          <w:i w:val="0"/>
          <w:sz w:val="22"/>
        </w:rPr>
      </w:pPr>
      <w:r>
        <w:rPr>
          <w:rFonts w:ascii="Helvetica" w:hAnsi="Helvetica"/>
          <w:b/>
          <w:i w:val="0"/>
          <w:sz w:val="22"/>
        </w:rPr>
        <w:t>Editor Name: Renee Choi</w:t>
      </w:r>
    </w:p>
    <w:p w:rsidR="00491FE7" w:rsidRPr="00FB038C" w:rsidRDefault="00491FE7" w:rsidP="00CE10F2">
      <w:pPr>
        <w:pStyle w:val="BodyText"/>
        <w:outlineLvl w:val="0"/>
        <w:rPr>
          <w:rFonts w:ascii="Helvetica" w:hAnsi="Helvetica"/>
          <w:b/>
          <w:i w:val="0"/>
          <w:sz w:val="22"/>
        </w:rPr>
      </w:pPr>
      <w:r>
        <w:rPr>
          <w:rFonts w:ascii="Helvetica" w:hAnsi="Helvetica"/>
          <w:b/>
          <w:i w:val="0"/>
          <w:sz w:val="22"/>
        </w:rPr>
        <w:t>Videographer N</w:t>
      </w:r>
      <w:r w:rsidRPr="00FB038C">
        <w:rPr>
          <w:rFonts w:ascii="Helvetica" w:hAnsi="Helvetica"/>
          <w:b/>
          <w:i w:val="0"/>
          <w:sz w:val="22"/>
        </w:rPr>
        <w:t>ame:</w:t>
      </w:r>
      <w:r>
        <w:rPr>
          <w:rFonts w:ascii="Helvetica" w:hAnsi="Helvetica"/>
          <w:b/>
          <w:i w:val="0"/>
          <w:sz w:val="22"/>
        </w:rPr>
        <w:t xml:space="preserve"> Lyt Capell</w:t>
      </w:r>
    </w:p>
    <w:p w:rsidR="00491FE7" w:rsidRDefault="00491FE7"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7/24/14</w:t>
      </w:r>
    </w:p>
    <w:p w:rsidR="00491FE7" w:rsidRPr="00FB038C" w:rsidRDefault="00491FE7" w:rsidP="00CE10F2">
      <w:pPr>
        <w:pStyle w:val="BodyText"/>
        <w:outlineLvl w:val="0"/>
        <w:rPr>
          <w:rFonts w:ascii="Helvetica" w:hAnsi="Helvetica"/>
          <w:b/>
          <w:i w:val="0"/>
          <w:sz w:val="22"/>
        </w:rPr>
      </w:pPr>
    </w:p>
    <w:p w:rsidR="00491FE7" w:rsidRPr="001D13ED" w:rsidRDefault="00491FE7" w:rsidP="001D13ED">
      <w:pPr>
        <w:pStyle w:val="CM10"/>
        <w:outlineLvl w:val="0"/>
        <w:rPr>
          <w:rFonts w:ascii="Helvetica" w:hAnsi="Helvetica" w:cs="Arial"/>
          <w:b/>
          <w:sz w:val="28"/>
          <w:vertAlign w:val="superscript"/>
        </w:rPr>
      </w:pPr>
      <w:r w:rsidRPr="000D1522">
        <w:rPr>
          <w:rFonts w:ascii="Helvetica" w:hAnsi="Helvetica"/>
          <w:b/>
          <w:sz w:val="28"/>
        </w:rPr>
        <w:t>Authors and Affiliations:</w:t>
      </w:r>
      <w:r w:rsidRPr="000D1522">
        <w:rPr>
          <w:rFonts w:ascii="Helvetica" w:hAnsi="Helvetica" w:cs="Arial"/>
          <w:b/>
          <w:sz w:val="28"/>
        </w:rPr>
        <w:t xml:space="preserve"> </w:t>
      </w:r>
      <w:r>
        <w:rPr>
          <w:rFonts w:ascii="Helvetica" w:hAnsi="Helvetica" w:cs="Arial"/>
          <w:b/>
          <w:sz w:val="28"/>
        </w:rPr>
        <w:t>Michael J. Rothrock</w:t>
      </w:r>
      <w:r w:rsidRPr="00B8105A">
        <w:rPr>
          <w:rFonts w:ascii="Helvetica" w:hAnsi="Helvetica" w:cs="Arial"/>
          <w:b/>
          <w:sz w:val="28"/>
          <w:vertAlign w:val="superscript"/>
        </w:rPr>
        <w:t>1</w:t>
      </w:r>
      <w:r>
        <w:rPr>
          <w:rFonts w:ascii="Helvetica" w:hAnsi="Helvetica" w:cs="Arial"/>
          <w:b/>
          <w:sz w:val="28"/>
        </w:rPr>
        <w:t>, Kelli L. Hiett</w:t>
      </w:r>
      <w:r>
        <w:rPr>
          <w:rFonts w:ascii="Helvetica" w:hAnsi="Helvetica" w:cs="Arial"/>
          <w:b/>
          <w:sz w:val="28"/>
          <w:vertAlign w:val="superscript"/>
        </w:rPr>
        <w:t>2</w:t>
      </w:r>
      <w:r>
        <w:rPr>
          <w:rFonts w:ascii="Helvetica" w:hAnsi="Helvetica" w:cs="Arial"/>
          <w:b/>
          <w:sz w:val="28"/>
        </w:rPr>
        <w:t>, John Gamble</w:t>
      </w:r>
      <w:r>
        <w:rPr>
          <w:rFonts w:ascii="Helvetica" w:hAnsi="Helvetica" w:cs="Arial"/>
          <w:b/>
          <w:sz w:val="28"/>
          <w:vertAlign w:val="superscript"/>
        </w:rPr>
        <w:t>3</w:t>
      </w:r>
      <w:r>
        <w:rPr>
          <w:rFonts w:ascii="Helvetica" w:hAnsi="Helvetica" w:cs="Arial"/>
          <w:b/>
          <w:sz w:val="28"/>
        </w:rPr>
        <w:t>, Andrew C. Caudill</w:t>
      </w:r>
      <w:r>
        <w:rPr>
          <w:rFonts w:ascii="Helvetica" w:hAnsi="Helvetica" w:cs="Arial"/>
          <w:b/>
          <w:sz w:val="28"/>
          <w:vertAlign w:val="superscript"/>
        </w:rPr>
        <w:t>4</w:t>
      </w:r>
      <w:r>
        <w:rPr>
          <w:rFonts w:ascii="Helvetica" w:hAnsi="Helvetica" w:cs="Arial"/>
          <w:b/>
          <w:sz w:val="28"/>
        </w:rPr>
        <w:t>, Kellie M. Cicconi-Hogan</w:t>
      </w:r>
      <w:r>
        <w:rPr>
          <w:rFonts w:ascii="Helvetica" w:hAnsi="Helvetica" w:cs="Arial"/>
          <w:b/>
          <w:sz w:val="28"/>
          <w:vertAlign w:val="superscript"/>
        </w:rPr>
        <w:t>1</w:t>
      </w:r>
      <w:r>
        <w:rPr>
          <w:rFonts w:ascii="Helvetica" w:hAnsi="Helvetica" w:cs="Arial"/>
          <w:b/>
          <w:sz w:val="28"/>
        </w:rPr>
        <w:t>, J. Gregory Caporaso</w:t>
      </w:r>
      <w:r>
        <w:rPr>
          <w:rFonts w:ascii="Helvetica" w:hAnsi="Helvetica" w:cs="Arial"/>
          <w:b/>
          <w:sz w:val="28"/>
          <w:vertAlign w:val="superscript"/>
        </w:rPr>
        <w:t>5</w:t>
      </w:r>
    </w:p>
    <w:p w:rsidR="00491FE7" w:rsidRPr="001D13ED" w:rsidRDefault="00491FE7" w:rsidP="00565757">
      <w:pPr>
        <w:pStyle w:val="Default"/>
        <w:rPr>
          <w:rFonts w:ascii="Helvetica" w:hAnsi="Helvetica"/>
          <w:b/>
          <w:sz w:val="28"/>
        </w:rPr>
      </w:pPr>
      <w:r>
        <w:rPr>
          <w:rFonts w:ascii="Helvetica" w:hAnsi="Helvetica"/>
          <w:b/>
          <w:sz w:val="28"/>
          <w:vertAlign w:val="superscript"/>
        </w:rPr>
        <w:t>1</w:t>
      </w:r>
      <w:r w:rsidRPr="001D13ED">
        <w:rPr>
          <w:rFonts w:ascii="Helvetica" w:hAnsi="Helvetica"/>
          <w:b/>
          <w:sz w:val="28"/>
        </w:rPr>
        <w:t xml:space="preserve">Egg Safety and Quality Research Unit, USDA-Agricultural, Research Service, Athens, GA, USA; </w:t>
      </w:r>
      <w:r>
        <w:rPr>
          <w:rFonts w:ascii="Helvetica" w:hAnsi="Helvetica"/>
          <w:b/>
          <w:sz w:val="28"/>
          <w:vertAlign w:val="superscript"/>
        </w:rPr>
        <w:t>2</w:t>
      </w:r>
      <w:r w:rsidRPr="001D13ED">
        <w:rPr>
          <w:rFonts w:ascii="Helvetica" w:hAnsi="Helvetica"/>
          <w:b/>
          <w:sz w:val="28"/>
        </w:rPr>
        <w:t xml:space="preserve">Poultry Microbiological Safety &amp; Processing Research Unit, USDA-Agricultural Research Service; </w:t>
      </w:r>
      <w:r>
        <w:rPr>
          <w:rFonts w:ascii="Helvetica" w:hAnsi="Helvetica"/>
          <w:b/>
          <w:sz w:val="28"/>
          <w:vertAlign w:val="superscript"/>
        </w:rPr>
        <w:t>3</w:t>
      </w:r>
      <w:r w:rsidRPr="001D13ED">
        <w:rPr>
          <w:rFonts w:ascii="Helvetica" w:hAnsi="Helvetica"/>
          <w:b/>
          <w:sz w:val="28"/>
        </w:rPr>
        <w:t xml:space="preserve">Department of Biochemistry and Biophysics, Oregon State University, Corvallis, OR, USA; </w:t>
      </w:r>
      <w:r>
        <w:rPr>
          <w:rFonts w:ascii="Helvetica" w:hAnsi="Helvetica"/>
          <w:b/>
          <w:sz w:val="28"/>
          <w:vertAlign w:val="superscript"/>
        </w:rPr>
        <w:t>4</w:t>
      </w:r>
      <w:r w:rsidRPr="001D13ED">
        <w:rPr>
          <w:rFonts w:ascii="Helvetica" w:hAnsi="Helvetica"/>
          <w:b/>
          <w:sz w:val="28"/>
        </w:rPr>
        <w:t xml:space="preserve">College of Public Health, University of Georgia, Athens, GA, USA; </w:t>
      </w:r>
      <w:r>
        <w:rPr>
          <w:rFonts w:ascii="Helvetica" w:hAnsi="Helvetica"/>
          <w:b/>
          <w:sz w:val="28"/>
          <w:vertAlign w:val="superscript"/>
        </w:rPr>
        <w:t>5</w:t>
      </w:r>
      <w:r w:rsidRPr="001D13ED">
        <w:rPr>
          <w:rFonts w:ascii="Helvetica" w:hAnsi="Helvetica"/>
          <w:b/>
          <w:sz w:val="28"/>
        </w:rPr>
        <w:t>Department of Biological Genetics and Genomics, Northern Arizona University, Flagstaff, AZ, USA</w:t>
      </w:r>
    </w:p>
    <w:p w:rsidR="00491FE7" w:rsidRPr="00565757" w:rsidRDefault="00491FE7" w:rsidP="00565757">
      <w:pPr>
        <w:pStyle w:val="Default"/>
      </w:pPr>
    </w:p>
    <w:p w:rsidR="00491FE7" w:rsidRPr="001D13ED" w:rsidRDefault="00491FE7" w:rsidP="00CE10F2">
      <w:pPr>
        <w:outlineLvl w:val="0"/>
        <w:rPr>
          <w:rFonts w:ascii="Helvetica" w:hAnsi="Helvetica" w:cs="Arial"/>
          <w:b/>
          <w:sz w:val="28"/>
        </w:rPr>
      </w:pPr>
      <w:r w:rsidRPr="000D1522">
        <w:rPr>
          <w:rFonts w:ascii="Helvetica" w:hAnsi="Helvetica"/>
          <w:b/>
          <w:sz w:val="28"/>
        </w:rPr>
        <w:t>Title:</w:t>
      </w:r>
      <w:r w:rsidRPr="000D1522">
        <w:rPr>
          <w:rFonts w:ascii="Helvetica" w:hAnsi="Helvetica" w:cs="Arial"/>
          <w:b/>
          <w:sz w:val="28"/>
        </w:rPr>
        <w:t xml:space="preserve"> </w:t>
      </w:r>
      <w:r>
        <w:rPr>
          <w:rFonts w:ascii="Helvetica" w:hAnsi="Helvetica" w:cs="Arial"/>
          <w:b/>
          <w:sz w:val="28"/>
        </w:rPr>
        <w:t>A Hybrid DNA Extraction Method for the Qualitative and Quantitative Assessment of Bacterial Communities from Poultry Production Samples</w:t>
      </w:r>
    </w:p>
    <w:p w:rsidR="00491FE7" w:rsidRDefault="00491FE7" w:rsidP="00CE10F2">
      <w:pPr>
        <w:outlineLvl w:val="0"/>
        <w:rPr>
          <w:rFonts w:ascii="Helvetica" w:hAnsi="Helvetica"/>
          <w:b/>
          <w:sz w:val="22"/>
        </w:rPr>
      </w:pPr>
    </w:p>
    <w:p w:rsidR="00491FE7" w:rsidRDefault="00491FE7"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491FE7" w:rsidRDefault="00491FE7" w:rsidP="00CE10F2">
      <w:pPr>
        <w:outlineLvl w:val="0"/>
        <w:rPr>
          <w:rFonts w:ascii="Helvetica" w:hAnsi="Helvetica"/>
          <w:b/>
          <w:sz w:val="22"/>
        </w:rPr>
      </w:pPr>
      <w:r>
        <w:rPr>
          <w:rFonts w:ascii="Helvetica" w:hAnsi="Helvetica"/>
          <w:b/>
          <w:sz w:val="22"/>
        </w:rPr>
        <w:t xml:space="preserve">Michael J. Rothrock, Jr. </w:t>
      </w:r>
    </w:p>
    <w:p w:rsidR="00491FE7" w:rsidRDefault="00491FE7" w:rsidP="00CE10F2">
      <w:pPr>
        <w:outlineLvl w:val="0"/>
        <w:rPr>
          <w:rFonts w:ascii="Helvetica" w:hAnsi="Helvetica"/>
          <w:b/>
          <w:sz w:val="22"/>
        </w:rPr>
      </w:pPr>
      <w:r>
        <w:rPr>
          <w:rFonts w:ascii="Helvetica" w:hAnsi="Helvetica"/>
          <w:b/>
          <w:sz w:val="22"/>
        </w:rPr>
        <w:t>Egg Safety and Quality Research Unit</w:t>
      </w:r>
    </w:p>
    <w:p w:rsidR="00491FE7" w:rsidRDefault="00491FE7" w:rsidP="00CE10F2">
      <w:pPr>
        <w:outlineLvl w:val="0"/>
        <w:rPr>
          <w:rFonts w:ascii="Helvetica" w:hAnsi="Helvetica"/>
          <w:b/>
          <w:sz w:val="22"/>
        </w:rPr>
      </w:pPr>
      <w:r>
        <w:rPr>
          <w:rFonts w:ascii="Helvetica" w:hAnsi="Helvetica"/>
          <w:b/>
          <w:sz w:val="22"/>
        </w:rPr>
        <w:t>USDA-Agricultural Research Service</w:t>
      </w:r>
    </w:p>
    <w:p w:rsidR="00491FE7" w:rsidRDefault="00491FE7" w:rsidP="00CE10F2">
      <w:pPr>
        <w:outlineLvl w:val="0"/>
        <w:rPr>
          <w:rFonts w:ascii="Helvetica" w:hAnsi="Helvetica"/>
          <w:b/>
          <w:sz w:val="22"/>
        </w:rPr>
      </w:pPr>
      <w:smartTag w:uri="urn:schemas-microsoft-com:office:smarttags" w:element="address">
        <w:smartTag w:uri="urn:schemas-microsoft-com:office:smarttags" w:element="Street">
          <w:r>
            <w:rPr>
              <w:rFonts w:ascii="Helvetica" w:hAnsi="Helvetica"/>
              <w:b/>
              <w:sz w:val="22"/>
            </w:rPr>
            <w:t>950 College Station Road</w:t>
          </w:r>
        </w:smartTag>
      </w:smartTag>
    </w:p>
    <w:p w:rsidR="00491FE7" w:rsidRDefault="00491FE7" w:rsidP="00CE10F2">
      <w:pPr>
        <w:outlineLvl w:val="0"/>
        <w:rPr>
          <w:rFonts w:ascii="Helvetica" w:hAnsi="Helvetica"/>
          <w:b/>
          <w:sz w:val="22"/>
        </w:rPr>
      </w:pPr>
      <w:smartTag w:uri="urn:schemas-microsoft-com:office:smarttags" w:element="place">
        <w:smartTag w:uri="urn:schemas-microsoft-com:office:smarttags" w:element="City">
          <w:r>
            <w:rPr>
              <w:rFonts w:ascii="Helvetica" w:hAnsi="Helvetica"/>
              <w:b/>
              <w:sz w:val="22"/>
            </w:rPr>
            <w:t>Athens</w:t>
          </w:r>
        </w:smartTag>
        <w:r>
          <w:rPr>
            <w:rFonts w:ascii="Helvetica" w:hAnsi="Helvetica"/>
            <w:b/>
            <w:sz w:val="22"/>
          </w:rPr>
          <w:t xml:space="preserve">, </w:t>
        </w:r>
        <w:smartTag w:uri="urn:schemas-microsoft-com:office:smarttags" w:element="country-region">
          <w:smartTag w:uri="urn:schemas-microsoft-com:office:smarttags" w:element="State">
            <w:r>
              <w:rPr>
                <w:rFonts w:ascii="Helvetica" w:hAnsi="Helvetica"/>
                <w:b/>
                <w:sz w:val="22"/>
              </w:rPr>
              <w:t>GA</w:t>
            </w:r>
          </w:smartTag>
        </w:smartTag>
        <w:r>
          <w:rPr>
            <w:rFonts w:ascii="Helvetica" w:hAnsi="Helvetica"/>
            <w:b/>
            <w:sz w:val="22"/>
          </w:rPr>
          <w:t xml:space="preserve">, </w:t>
        </w:r>
        <w:smartTag w:uri="urn:schemas-microsoft-com:office:smarttags" w:element="place">
          <w:r>
            <w:rPr>
              <w:rFonts w:ascii="Helvetica" w:hAnsi="Helvetica"/>
              <w:b/>
              <w:sz w:val="22"/>
            </w:rPr>
            <w:t>USA</w:t>
          </w:r>
        </w:smartTag>
      </w:smartTag>
      <w:r>
        <w:rPr>
          <w:rFonts w:ascii="Helvetica" w:hAnsi="Helvetica"/>
          <w:b/>
          <w:sz w:val="22"/>
        </w:rPr>
        <w:t xml:space="preserve"> </w:t>
      </w:r>
    </w:p>
    <w:p w:rsidR="00491FE7" w:rsidRDefault="00491FE7" w:rsidP="00CE10F2">
      <w:pPr>
        <w:outlineLvl w:val="0"/>
        <w:rPr>
          <w:rFonts w:ascii="Helvetica" w:hAnsi="Helvetica"/>
          <w:b/>
          <w:sz w:val="22"/>
        </w:rPr>
      </w:pPr>
      <w:r>
        <w:rPr>
          <w:rFonts w:ascii="Helvetica" w:hAnsi="Helvetica"/>
          <w:b/>
          <w:sz w:val="22"/>
        </w:rPr>
        <w:t>706-546-3072 (phone)</w:t>
      </w:r>
    </w:p>
    <w:p w:rsidR="00491FE7" w:rsidRDefault="00491FE7" w:rsidP="00CE10F2">
      <w:pPr>
        <w:outlineLvl w:val="0"/>
        <w:rPr>
          <w:rFonts w:ascii="Helvetica" w:hAnsi="Helvetica"/>
          <w:b/>
          <w:sz w:val="22"/>
        </w:rPr>
      </w:pPr>
      <w:r>
        <w:rPr>
          <w:rFonts w:ascii="Helvetica" w:hAnsi="Helvetica"/>
          <w:b/>
          <w:sz w:val="22"/>
        </w:rPr>
        <w:t xml:space="preserve">706-546-3633 (fax) </w:t>
      </w:r>
    </w:p>
    <w:p w:rsidR="00491FE7" w:rsidRDefault="00491FE7" w:rsidP="00CE10F2">
      <w:pPr>
        <w:outlineLvl w:val="0"/>
        <w:rPr>
          <w:rFonts w:ascii="Helvetica" w:hAnsi="Helvetica"/>
          <w:b/>
          <w:sz w:val="22"/>
        </w:rPr>
      </w:pPr>
      <w:hyperlink r:id="rId7" w:history="1">
        <w:r w:rsidRPr="00103BFD">
          <w:rPr>
            <w:rStyle w:val="Hyperlink"/>
            <w:rFonts w:ascii="Helvetica" w:hAnsi="Helvetica"/>
            <w:b/>
            <w:sz w:val="22"/>
          </w:rPr>
          <w:t>Michael.rothrock@ars.usda.gov</w:t>
        </w:r>
      </w:hyperlink>
    </w:p>
    <w:p w:rsidR="00491FE7" w:rsidRDefault="00491FE7" w:rsidP="00CE10F2">
      <w:pPr>
        <w:outlineLvl w:val="0"/>
        <w:rPr>
          <w:rFonts w:ascii="Helvetica" w:hAnsi="Helvetica"/>
          <w:b/>
          <w:sz w:val="22"/>
        </w:rPr>
      </w:pPr>
    </w:p>
    <w:p w:rsidR="00491FE7" w:rsidRPr="00F37874" w:rsidRDefault="00491FE7" w:rsidP="00F37874">
      <w:pPr>
        <w:outlineLvl w:val="0"/>
        <w:rPr>
          <w:rFonts w:ascii="Helvetica" w:hAnsi="Helvetica"/>
          <w:b/>
          <w:sz w:val="22"/>
        </w:rPr>
      </w:pPr>
      <w:r>
        <w:rPr>
          <w:rFonts w:ascii="Helvetica" w:hAnsi="Helvetica"/>
          <w:b/>
          <w:sz w:val="22"/>
        </w:rPr>
        <w:t xml:space="preserve">Co-authors: Kelli L. Hiett: </w:t>
      </w:r>
      <w:hyperlink r:id="rId8" w:history="1">
        <w:r w:rsidRPr="00103BFD">
          <w:rPr>
            <w:rStyle w:val="Hyperlink"/>
            <w:rFonts w:ascii="Helvetica" w:hAnsi="Helvetica"/>
            <w:b/>
            <w:sz w:val="22"/>
          </w:rPr>
          <w:t>kelli.hiett@ars.usda.gov</w:t>
        </w:r>
      </w:hyperlink>
      <w:r>
        <w:rPr>
          <w:rFonts w:ascii="Helvetica" w:hAnsi="Helvetica"/>
          <w:b/>
          <w:sz w:val="22"/>
        </w:rPr>
        <w:t xml:space="preserve">; John Gamble: </w:t>
      </w:r>
      <w:hyperlink r:id="rId9" w:history="1">
        <w:r w:rsidRPr="00103BFD">
          <w:rPr>
            <w:rStyle w:val="Hyperlink"/>
            <w:rFonts w:ascii="Helvetica" w:hAnsi="Helvetica"/>
            <w:b/>
            <w:sz w:val="22"/>
          </w:rPr>
          <w:t>gamblej@onid.oregonstate.edu</w:t>
        </w:r>
      </w:hyperlink>
      <w:r>
        <w:rPr>
          <w:rFonts w:ascii="Helvetica" w:hAnsi="Helvetica"/>
          <w:b/>
          <w:sz w:val="22"/>
        </w:rPr>
        <w:t xml:space="preserve">; Andrew C. Caudill: </w:t>
      </w:r>
      <w:hyperlink r:id="rId10" w:history="1">
        <w:r w:rsidRPr="00103BFD">
          <w:rPr>
            <w:rStyle w:val="Hyperlink"/>
            <w:rFonts w:ascii="Helvetica" w:hAnsi="Helvetica"/>
            <w:b/>
            <w:sz w:val="22"/>
          </w:rPr>
          <w:t>acaudill@uga.edu</w:t>
        </w:r>
      </w:hyperlink>
      <w:r>
        <w:rPr>
          <w:rFonts w:ascii="Helvetica" w:hAnsi="Helvetica"/>
          <w:b/>
          <w:sz w:val="22"/>
        </w:rPr>
        <w:t xml:space="preserve">; Kellie M. Cicconi-Hogan: </w:t>
      </w:r>
      <w:hyperlink r:id="rId11" w:history="1">
        <w:r w:rsidRPr="00103BFD">
          <w:rPr>
            <w:rStyle w:val="Hyperlink"/>
            <w:rFonts w:ascii="Helvetica" w:hAnsi="Helvetica"/>
            <w:b/>
            <w:sz w:val="22"/>
          </w:rPr>
          <w:t>kellie.hogan@ars.usda.gov</w:t>
        </w:r>
      </w:hyperlink>
      <w:r>
        <w:rPr>
          <w:rFonts w:ascii="Helvetica" w:hAnsi="Helvetica"/>
          <w:b/>
          <w:sz w:val="22"/>
        </w:rPr>
        <w:t xml:space="preserve">; Gregory J. Caporaso: </w:t>
      </w:r>
      <w:hyperlink r:id="rId12" w:history="1">
        <w:r w:rsidRPr="00103BFD">
          <w:rPr>
            <w:rStyle w:val="Hyperlink"/>
            <w:rFonts w:ascii="Helvetica" w:hAnsi="Helvetica"/>
            <w:b/>
            <w:sz w:val="22"/>
          </w:rPr>
          <w:t>gregcaporaso@gmail.com</w:t>
        </w:r>
      </w:hyperlink>
      <w:r>
        <w:rPr>
          <w:rFonts w:ascii="Helvetica" w:hAnsi="Helvetica"/>
          <w:b/>
          <w:sz w:val="22"/>
        </w:rPr>
        <w:t xml:space="preserve">  </w:t>
      </w:r>
    </w:p>
    <w:p w:rsidR="00491FE7" w:rsidRPr="00FB038C" w:rsidRDefault="00491FE7" w:rsidP="00CE10F2">
      <w:pPr>
        <w:rPr>
          <w:rFonts w:ascii="Helvetica" w:hAnsi="Helvetica"/>
          <w:sz w:val="22"/>
        </w:rPr>
      </w:pPr>
    </w:p>
    <w:p w:rsidR="00491FE7" w:rsidRPr="00AD7700" w:rsidRDefault="00491FE7" w:rsidP="00F37874">
      <w:pPr>
        <w:spacing w:before="120"/>
        <w:rPr>
          <w:rFonts w:ascii="Helvetica" w:hAnsi="Helvetica"/>
          <w:b/>
        </w:rPr>
      </w:pPr>
      <w:r>
        <w:rPr>
          <w:rFonts w:ascii="Helvetica" w:hAnsi="Helvetica"/>
          <w:b/>
        </w:rPr>
        <w:t xml:space="preserve">1. </w:t>
      </w:r>
      <w:r w:rsidRPr="00AD7700">
        <w:rPr>
          <w:rFonts w:ascii="Helvetica" w:hAnsi="Helvetica"/>
          <w:b/>
        </w:rPr>
        <w:t>Brief Questionnaire:</w:t>
      </w:r>
    </w:p>
    <w:p w:rsidR="00491FE7" w:rsidRPr="002B61B3" w:rsidRDefault="00491FE7" w:rsidP="00F37874">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)__No_______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491FE7" w:rsidRPr="00FB038C" w:rsidRDefault="00491FE7" w:rsidP="00F37874">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)___No_____ If yes, we will need you to record using </w:t>
      </w:r>
      <w:hyperlink r:id="rId13"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4"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491FE7" w:rsidRDefault="00491FE7" w:rsidP="00F37874">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 </w:t>
      </w:r>
      <w:r w:rsidRPr="00FB038C">
        <w:rPr>
          <w:rFonts w:ascii="Helvetica" w:hAnsi="Helvetica"/>
          <w:sz w:val="22"/>
        </w:rPr>
        <w:t>______</w:t>
      </w:r>
      <w:r>
        <w:rPr>
          <w:rFonts w:ascii="Helvetica" w:hAnsi="Helvetica"/>
          <w:sz w:val="22"/>
        </w:rPr>
        <w:t>_1.4 – 2.6 ___________________________________</w:t>
      </w:r>
    </w:p>
    <w:p w:rsidR="00491FE7" w:rsidRDefault="00491FE7" w:rsidP="00F37874">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 by its protocol number.</w:t>
      </w:r>
      <w:r w:rsidRPr="00FB038C">
        <w:rPr>
          <w:rFonts w:ascii="Helvetica" w:hAnsi="Helvetica"/>
          <w:sz w:val="22"/>
        </w:rPr>
        <w:t>___</w:t>
      </w:r>
      <w:r>
        <w:rPr>
          <w:rFonts w:ascii="Helvetica" w:hAnsi="Helvetica"/>
          <w:sz w:val="22"/>
        </w:rPr>
        <w:t xml:space="preserve">1.5-1.7 </w:t>
      </w:r>
      <w:r w:rsidRPr="00FB038C">
        <w:rPr>
          <w:rFonts w:ascii="Helvetica" w:hAnsi="Helvetica"/>
          <w:sz w:val="22"/>
        </w:rPr>
        <w:t>__</w:t>
      </w:r>
      <w:r>
        <w:rPr>
          <w:rFonts w:ascii="Helvetica" w:hAnsi="Helvetica"/>
          <w:sz w:val="22"/>
        </w:rPr>
        <w:t>_________________</w:t>
      </w:r>
    </w:p>
    <w:p w:rsidR="00491FE7" w:rsidRDefault="00491FE7" w:rsidP="00F37874">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___No____ If yes, how far apart are the locations? ___________________________________________________</w:t>
      </w:r>
    </w:p>
    <w:p w:rsidR="00491FE7" w:rsidRDefault="00491FE7" w:rsidP="00F37874">
      <w:pPr>
        <w:spacing w:before="120"/>
        <w:rPr>
          <w:rFonts w:ascii="Helvetica" w:hAnsi="Helvetica"/>
          <w:sz w:val="22"/>
        </w:rPr>
      </w:pPr>
    </w:p>
    <w:p w:rsidR="00491FE7" w:rsidRPr="000D1522" w:rsidRDefault="00491FE7"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491FE7" w:rsidRDefault="00491FE7" w:rsidP="00CE10F2">
      <w:pPr>
        <w:rPr>
          <w:rFonts w:ascii="Helvetica" w:hAnsi="Helvetica"/>
          <w:b/>
          <w:sz w:val="22"/>
        </w:rPr>
      </w:pPr>
    </w:p>
    <w:p w:rsidR="00491FE7" w:rsidRPr="00FB038C" w:rsidRDefault="00491FE7"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491FE7" w:rsidRPr="00FB038C" w:rsidRDefault="00491FE7" w:rsidP="005A09D8">
      <w:pPr>
        <w:rPr>
          <w:rFonts w:ascii="Helvetica" w:hAnsi="Helvetica"/>
          <w:b/>
          <w:sz w:val="22"/>
          <w:u w:val="single"/>
        </w:rPr>
      </w:pPr>
    </w:p>
    <w:p w:rsidR="00491FE7" w:rsidRPr="00FB038C" w:rsidRDefault="00491FE7"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491FE7" w:rsidRPr="00957564" w:rsidRDefault="00491FE7" w:rsidP="00971E1F">
      <w:pPr>
        <w:rPr>
          <w:rFonts w:ascii="Helvetica" w:hAnsi="Helvetica"/>
          <w:sz w:val="22"/>
          <w:szCs w:val="22"/>
        </w:rPr>
      </w:pPr>
      <w:r w:rsidRPr="00957564">
        <w:rPr>
          <w:rFonts w:ascii="Helvetica" w:hAnsi="Helvetica"/>
          <w:sz w:val="22"/>
          <w:szCs w:val="22"/>
        </w:rPr>
        <w:t>T</w:t>
      </w:r>
      <w:r w:rsidRPr="00957564">
        <w:rPr>
          <w:rFonts w:ascii="Arial" w:hAnsi="Arial"/>
          <w:sz w:val="22"/>
          <w:szCs w:val="22"/>
        </w:rPr>
        <w:t xml:space="preserve">he overall goal of the following experiment is to develop a novel DNA extraction technique that combines </w:t>
      </w:r>
      <w:r>
        <w:rPr>
          <w:rFonts w:ascii="Arial" w:hAnsi="Arial"/>
          <w:sz w:val="22"/>
          <w:szCs w:val="22"/>
        </w:rPr>
        <w:t xml:space="preserve">mechanical DNA homogenization with </w:t>
      </w:r>
      <w:r w:rsidRPr="00957564">
        <w:rPr>
          <w:rFonts w:ascii="Arial" w:hAnsi="Arial"/>
          <w:sz w:val="22"/>
          <w:szCs w:val="22"/>
        </w:rPr>
        <w:t xml:space="preserve">PCR-inhibitor </w:t>
      </w:r>
      <w:r>
        <w:rPr>
          <w:rFonts w:ascii="Arial" w:hAnsi="Arial"/>
          <w:sz w:val="22"/>
          <w:szCs w:val="22"/>
        </w:rPr>
        <w:t>removal</w:t>
      </w:r>
      <w:r w:rsidRPr="00957564">
        <w:rPr>
          <w:rFonts w:ascii="Arial" w:hAnsi="Arial"/>
          <w:sz w:val="22"/>
          <w:szCs w:val="22"/>
        </w:rPr>
        <w:t xml:space="preserve"> and </w:t>
      </w:r>
      <w:r>
        <w:rPr>
          <w:rFonts w:ascii="Arial" w:hAnsi="Arial"/>
          <w:sz w:val="22"/>
          <w:szCs w:val="22"/>
        </w:rPr>
        <w:t>the gold standard</w:t>
      </w:r>
      <w:r w:rsidRPr="00957564">
        <w:rPr>
          <w:rFonts w:ascii="Arial" w:hAnsi="Arial"/>
          <w:sz w:val="22"/>
          <w:szCs w:val="22"/>
        </w:rPr>
        <w:t xml:space="preserve"> enzymatic extraction </w:t>
      </w:r>
      <w:r>
        <w:rPr>
          <w:rFonts w:ascii="Arial" w:hAnsi="Arial"/>
          <w:sz w:val="22"/>
          <w:szCs w:val="22"/>
        </w:rPr>
        <w:t xml:space="preserve">method to </w:t>
      </w:r>
      <w:r w:rsidRPr="00957564">
        <w:rPr>
          <w:rFonts w:ascii="Arial" w:hAnsi="Arial"/>
          <w:sz w:val="22"/>
          <w:szCs w:val="22"/>
        </w:rPr>
        <w:t xml:space="preserve">environmental samples along the poultry production continuum. </w:t>
      </w:r>
      <w:r w:rsidRPr="00957564">
        <w:rPr>
          <w:rFonts w:ascii="Helvetica" w:hAnsi="Helvetica"/>
          <w:b/>
          <w:sz w:val="22"/>
          <w:szCs w:val="22"/>
        </w:rPr>
        <w:t>(Intro)</w:t>
      </w:r>
    </w:p>
    <w:p w:rsidR="00491FE7" w:rsidRPr="00957564" w:rsidRDefault="00491FE7" w:rsidP="00971E1F">
      <w:pPr>
        <w:rPr>
          <w:rFonts w:ascii="Helvetica" w:hAnsi="Helvetica"/>
          <w:b/>
          <w:sz w:val="22"/>
          <w:szCs w:val="22"/>
        </w:rPr>
      </w:pPr>
    </w:p>
    <w:p w:rsidR="00491FE7" w:rsidRPr="00957564" w:rsidRDefault="00491FE7" w:rsidP="00971E1F">
      <w:pPr>
        <w:rPr>
          <w:rFonts w:ascii="Helvetica" w:hAnsi="Helvetica"/>
          <w:sz w:val="22"/>
          <w:szCs w:val="22"/>
        </w:rPr>
      </w:pPr>
      <w:r w:rsidRPr="00957564">
        <w:rPr>
          <w:rFonts w:ascii="Helvetica" w:hAnsi="Helvetica"/>
          <w:sz w:val="22"/>
          <w:szCs w:val="22"/>
        </w:rPr>
        <w:t xml:space="preserve">This is accomplished by first </w:t>
      </w:r>
      <w:r>
        <w:rPr>
          <w:rFonts w:ascii="Helvetica" w:hAnsi="Helvetica"/>
          <w:sz w:val="22"/>
          <w:szCs w:val="22"/>
        </w:rPr>
        <w:t>dividing</w:t>
      </w:r>
      <w:r w:rsidRPr="00957564">
        <w:rPr>
          <w:rFonts w:ascii="Helvetica" w:hAnsi="Helvetica"/>
          <w:sz w:val="22"/>
          <w:szCs w:val="22"/>
        </w:rPr>
        <w:t xml:space="preserve"> out </w:t>
      </w:r>
      <w:r>
        <w:rPr>
          <w:rFonts w:ascii="Helvetica" w:hAnsi="Helvetica"/>
          <w:sz w:val="22"/>
          <w:szCs w:val="22"/>
        </w:rPr>
        <w:t>an</w:t>
      </w:r>
      <w:r w:rsidRPr="00957564">
        <w:rPr>
          <w:rFonts w:ascii="Helvetica" w:hAnsi="Helvetica"/>
          <w:sz w:val="22"/>
          <w:szCs w:val="22"/>
        </w:rPr>
        <w:t xml:space="preserve"> environmental sample into microcentrifuge tubes containing a mixture of beads to effectively homogenize </w:t>
      </w:r>
      <w:r>
        <w:rPr>
          <w:rFonts w:ascii="Helvetica" w:hAnsi="Helvetica"/>
          <w:sz w:val="22"/>
          <w:szCs w:val="22"/>
        </w:rPr>
        <w:t>the</w:t>
      </w:r>
      <w:r w:rsidRPr="00957564">
        <w:rPr>
          <w:rFonts w:ascii="Helvetica" w:hAnsi="Helvetica"/>
          <w:sz w:val="22"/>
          <w:szCs w:val="22"/>
        </w:rPr>
        <w:t xml:space="preserve"> complex environmental samples. </w:t>
      </w:r>
      <w:r w:rsidRPr="00957564">
        <w:rPr>
          <w:rFonts w:ascii="Helvetica" w:hAnsi="Helvetica"/>
          <w:b/>
          <w:sz w:val="22"/>
          <w:szCs w:val="22"/>
        </w:rPr>
        <w:t>(P1</w:t>
      </w:r>
      <w:r>
        <w:rPr>
          <w:rFonts w:ascii="Helvetica" w:hAnsi="Helvetica"/>
          <w:b/>
          <w:sz w:val="22"/>
          <w:szCs w:val="22"/>
        </w:rPr>
        <w:t>: Display the image of the chickens, if possible, use a graphic image of a chicken from the image database. Add the arrow from the chicken to the two tubes (add one more tube identical the the one in P1). When you show the two tubes, if possible, have the sample (brown puzzle piece like shape) float to the bottom of the tubes, but still on top of the gray beads. Shot 2.2.1</w:t>
      </w:r>
      <w:r w:rsidRPr="00957564">
        <w:rPr>
          <w:rFonts w:ascii="Helvetica" w:hAnsi="Helvetica"/>
          <w:b/>
          <w:sz w:val="22"/>
          <w:szCs w:val="22"/>
        </w:rPr>
        <w:t>)</w:t>
      </w:r>
    </w:p>
    <w:p w:rsidR="00491FE7" w:rsidRPr="00957564" w:rsidRDefault="00491FE7" w:rsidP="00971E1F">
      <w:pPr>
        <w:ind w:left="360"/>
        <w:rPr>
          <w:rFonts w:ascii="Helvetica" w:hAnsi="Helvetica"/>
          <w:sz w:val="22"/>
          <w:szCs w:val="22"/>
        </w:rPr>
      </w:pPr>
    </w:p>
    <w:p w:rsidR="00491FE7" w:rsidRPr="00957564" w:rsidRDefault="00491FE7" w:rsidP="00971E1F">
      <w:pPr>
        <w:rPr>
          <w:rFonts w:ascii="Helvetica" w:hAnsi="Helvetica"/>
          <w:sz w:val="22"/>
          <w:szCs w:val="22"/>
        </w:rPr>
      </w:pPr>
      <w:r>
        <w:rPr>
          <w:rFonts w:ascii="Helvetica" w:hAnsi="Helvetica"/>
          <w:sz w:val="22"/>
          <w:szCs w:val="22"/>
        </w:rPr>
        <w:t>The second step is to place th</w:t>
      </w:r>
      <w:r w:rsidRPr="00957564">
        <w:rPr>
          <w:rFonts w:ascii="Helvetica" w:hAnsi="Helvetica"/>
          <w:sz w:val="22"/>
          <w:szCs w:val="22"/>
        </w:rPr>
        <w:t>e tubes i</w:t>
      </w:r>
      <w:r>
        <w:rPr>
          <w:rFonts w:ascii="Helvetica" w:hAnsi="Helvetica"/>
          <w:sz w:val="22"/>
          <w:szCs w:val="22"/>
        </w:rPr>
        <w:t xml:space="preserve">nto a high-powered homogenizer </w:t>
      </w:r>
      <w:r w:rsidRPr="00957564">
        <w:rPr>
          <w:rFonts w:ascii="Helvetica" w:hAnsi="Helvetica"/>
          <w:sz w:val="22"/>
          <w:szCs w:val="22"/>
        </w:rPr>
        <w:t xml:space="preserve">to efficiently release nucleic acids from the bacterial cells and the environmental matrix. </w:t>
      </w:r>
      <w:r w:rsidRPr="00957564">
        <w:rPr>
          <w:rFonts w:ascii="Helvetica" w:hAnsi="Helvetica"/>
          <w:b/>
          <w:sz w:val="22"/>
          <w:szCs w:val="22"/>
        </w:rPr>
        <w:t>(P2</w:t>
      </w:r>
      <w:r>
        <w:rPr>
          <w:rFonts w:ascii="Helvetica" w:hAnsi="Helvetica"/>
          <w:b/>
          <w:sz w:val="22"/>
          <w:szCs w:val="22"/>
        </w:rPr>
        <w:t>: Leave the tubes on the screen from P1 and spin them in place, if possible, or show the arrows provided to indicate the samples are homogenized, then show the tube to the right of the circular arrows, but duplicate the tube (with the beads afloat in the brown liquid). Shots 2.5.1 &amp; 2.5.2</w:t>
      </w:r>
      <w:r w:rsidRPr="00957564">
        <w:rPr>
          <w:rFonts w:ascii="Helvetica" w:hAnsi="Helvetica"/>
          <w:b/>
          <w:sz w:val="22"/>
          <w:szCs w:val="22"/>
        </w:rPr>
        <w:t>)</w:t>
      </w:r>
    </w:p>
    <w:p w:rsidR="00491FE7" w:rsidRPr="00957564" w:rsidRDefault="00491FE7" w:rsidP="00971E1F">
      <w:pPr>
        <w:rPr>
          <w:rFonts w:ascii="Helvetica" w:hAnsi="Helvetica"/>
          <w:sz w:val="22"/>
          <w:szCs w:val="22"/>
        </w:rPr>
      </w:pPr>
    </w:p>
    <w:p w:rsidR="00491FE7" w:rsidRPr="00957564" w:rsidRDefault="00491FE7" w:rsidP="00971E1F">
      <w:pPr>
        <w:rPr>
          <w:rFonts w:ascii="Helvetica" w:hAnsi="Helvetica"/>
          <w:sz w:val="22"/>
          <w:szCs w:val="22"/>
        </w:rPr>
      </w:pPr>
      <w:r w:rsidRPr="00957564">
        <w:rPr>
          <w:rFonts w:ascii="Helvetica" w:hAnsi="Helvetica"/>
          <w:sz w:val="22"/>
          <w:szCs w:val="22"/>
        </w:rPr>
        <w:t>Next, the homogenate is used as</w:t>
      </w:r>
      <w:r>
        <w:rPr>
          <w:rFonts w:ascii="Helvetica" w:hAnsi="Helvetica"/>
          <w:sz w:val="22"/>
          <w:szCs w:val="22"/>
        </w:rPr>
        <w:t xml:space="preserve"> the starting material for the </w:t>
      </w:r>
      <w:r w:rsidRPr="00957564">
        <w:rPr>
          <w:rFonts w:ascii="Helvetica" w:hAnsi="Helvetica"/>
          <w:sz w:val="22"/>
          <w:szCs w:val="22"/>
        </w:rPr>
        <w:t>g</w:t>
      </w:r>
      <w:r>
        <w:rPr>
          <w:rFonts w:ascii="Helvetica" w:hAnsi="Helvetica"/>
          <w:sz w:val="22"/>
          <w:szCs w:val="22"/>
        </w:rPr>
        <w:t>old standard</w:t>
      </w:r>
      <w:r w:rsidRPr="00957564">
        <w:rPr>
          <w:rFonts w:ascii="Helvetica" w:hAnsi="Helvetica"/>
          <w:sz w:val="22"/>
          <w:szCs w:val="22"/>
        </w:rPr>
        <w:t xml:space="preserve"> enzymatic DNA extraction method through the PCR-inhibition binding phase. </w:t>
      </w:r>
      <w:r w:rsidRPr="00957564">
        <w:rPr>
          <w:rFonts w:ascii="Helvetica" w:hAnsi="Helvetica"/>
          <w:b/>
          <w:sz w:val="22"/>
          <w:szCs w:val="22"/>
        </w:rPr>
        <w:t>(P3</w:t>
      </w:r>
      <w:r>
        <w:rPr>
          <w:rFonts w:ascii="Helvetica" w:hAnsi="Helvetica"/>
          <w:b/>
          <w:sz w:val="22"/>
          <w:szCs w:val="22"/>
        </w:rPr>
        <w:t>: Leave the two tubes on screen from P2 and add the arrow and show two tubes (light pink and brown) on the right. Shots 3.4.1 &amp; 3.4.2</w:t>
      </w:r>
      <w:r w:rsidRPr="00957564">
        <w:rPr>
          <w:rFonts w:ascii="Helvetica" w:hAnsi="Helvetica"/>
          <w:b/>
          <w:sz w:val="22"/>
          <w:szCs w:val="22"/>
        </w:rPr>
        <w:t>)</w:t>
      </w:r>
    </w:p>
    <w:p w:rsidR="00491FE7" w:rsidRPr="00957564" w:rsidRDefault="00491FE7" w:rsidP="00971E1F">
      <w:pPr>
        <w:ind w:left="360"/>
        <w:rPr>
          <w:rFonts w:ascii="Helvetica" w:hAnsi="Helvetica"/>
          <w:sz w:val="22"/>
          <w:szCs w:val="22"/>
        </w:rPr>
      </w:pPr>
    </w:p>
    <w:p w:rsidR="00491FE7" w:rsidRPr="00957564" w:rsidRDefault="00491FE7" w:rsidP="00971E1F">
      <w:pPr>
        <w:rPr>
          <w:rFonts w:ascii="Helvetica" w:hAnsi="Helvetica"/>
          <w:sz w:val="22"/>
          <w:szCs w:val="22"/>
        </w:rPr>
      </w:pPr>
      <w:r w:rsidRPr="00957564">
        <w:rPr>
          <w:rFonts w:ascii="Helvetica" w:hAnsi="Helvetica"/>
          <w:sz w:val="22"/>
          <w:szCs w:val="22"/>
        </w:rPr>
        <w:t xml:space="preserve">The final step is to place the samples into a DNA extraction robotic workstation to provide the user </w:t>
      </w:r>
      <w:r>
        <w:rPr>
          <w:rFonts w:ascii="Helvetica" w:hAnsi="Helvetica"/>
          <w:sz w:val="22"/>
          <w:szCs w:val="22"/>
        </w:rPr>
        <w:t>with</w:t>
      </w:r>
      <w:r w:rsidRPr="00957564">
        <w:rPr>
          <w:rFonts w:ascii="Helvetica" w:hAnsi="Helvetica"/>
          <w:sz w:val="22"/>
          <w:szCs w:val="22"/>
        </w:rPr>
        <w:t xml:space="preserve"> extracted DNA samples amenable to a host of downstream applications.</w:t>
      </w:r>
      <w:r w:rsidRPr="00957564">
        <w:rPr>
          <w:rFonts w:ascii="Helvetica" w:hAnsi="Helvetica"/>
          <w:b/>
          <w:sz w:val="22"/>
          <w:szCs w:val="22"/>
        </w:rPr>
        <w:t xml:space="preserve"> (P4</w:t>
      </w:r>
      <w:r>
        <w:rPr>
          <w:rFonts w:ascii="Helvetica" w:hAnsi="Helvetica"/>
          <w:b/>
          <w:sz w:val="22"/>
          <w:szCs w:val="22"/>
        </w:rPr>
        <w:t>: Duplicate the tube so there are two identical tubes (the tube on the left), then add the arrow when “DNA extraction” is said and add the rectangular image in the middle, then add the second arrow and show the tubes on the right when “DNA samples” is said. Shots 4.3.2 &amp; 4.5.1</w:t>
      </w:r>
      <w:r w:rsidRPr="00957564">
        <w:rPr>
          <w:rFonts w:ascii="Helvetica" w:hAnsi="Helvetica"/>
          <w:b/>
          <w:sz w:val="22"/>
          <w:szCs w:val="22"/>
        </w:rPr>
        <w:t>)</w:t>
      </w:r>
    </w:p>
    <w:p w:rsidR="00491FE7" w:rsidRPr="00957564" w:rsidRDefault="00491FE7" w:rsidP="00971E1F">
      <w:pPr>
        <w:ind w:left="360"/>
        <w:rPr>
          <w:rFonts w:ascii="Helvetica" w:hAnsi="Helvetica"/>
          <w:sz w:val="22"/>
          <w:szCs w:val="22"/>
        </w:rPr>
      </w:pPr>
    </w:p>
    <w:p w:rsidR="00491FE7" w:rsidRPr="00957564" w:rsidDel="004B4B64" w:rsidRDefault="00491FE7" w:rsidP="00971E1F">
      <w:pPr>
        <w:rPr>
          <w:rFonts w:ascii="Helvetica" w:hAnsi="Helvetica" w:cs="Helvetica"/>
          <w:sz w:val="22"/>
          <w:szCs w:val="22"/>
        </w:rPr>
      </w:pPr>
      <w:r w:rsidRPr="00957564">
        <w:rPr>
          <w:rFonts w:ascii="Helvetica" w:hAnsi="Helvetica"/>
          <w:sz w:val="22"/>
          <w:szCs w:val="22"/>
        </w:rPr>
        <w:t>Ultimately, quantitative PCR and microbiomic analyses using the Illumina MiSeq platform were used to show that t</w:t>
      </w:r>
      <w:r>
        <w:rPr>
          <w:rFonts w:ascii="Helvetica" w:hAnsi="Helvetica"/>
          <w:sz w:val="22"/>
          <w:szCs w:val="22"/>
        </w:rPr>
        <w:t>his novel hybrid method provides</w:t>
      </w:r>
      <w:r w:rsidRPr="00957564">
        <w:rPr>
          <w:rFonts w:ascii="Helvetica" w:hAnsi="Helvetica"/>
          <w:sz w:val="22"/>
          <w:szCs w:val="22"/>
        </w:rPr>
        <w:t xml:space="preserve"> the best combination of qualitative and quantitative assessments of total bacterial co</w:t>
      </w:r>
      <w:r>
        <w:rPr>
          <w:rFonts w:ascii="Helvetica" w:hAnsi="Helvetica"/>
          <w:sz w:val="22"/>
          <w:szCs w:val="22"/>
        </w:rPr>
        <w:t>mmunities,</w:t>
      </w:r>
      <w:r w:rsidRPr="00957564">
        <w:rPr>
          <w:rFonts w:ascii="Helvetica" w:hAnsi="Helvetica"/>
          <w:sz w:val="22"/>
          <w:szCs w:val="22"/>
        </w:rPr>
        <w:t xml:space="preserve"> compared to processing samples with the mechanical</w:t>
      </w:r>
      <w:r>
        <w:rPr>
          <w:rFonts w:ascii="Helvetica" w:hAnsi="Helvetica"/>
          <w:sz w:val="22"/>
          <w:szCs w:val="22"/>
        </w:rPr>
        <w:t xml:space="preserve"> or enzymatic extraction method</w:t>
      </w:r>
      <w:r w:rsidRPr="00957564">
        <w:rPr>
          <w:rFonts w:ascii="Helvetica" w:hAnsi="Helvetica"/>
          <w:sz w:val="22"/>
          <w:szCs w:val="22"/>
        </w:rPr>
        <w:t xml:space="preserve"> alone. </w:t>
      </w:r>
      <w:r w:rsidRPr="00957564">
        <w:rPr>
          <w:rFonts w:ascii="Helvetica" w:hAnsi="Helvetica"/>
          <w:b/>
          <w:sz w:val="22"/>
          <w:szCs w:val="22"/>
        </w:rPr>
        <w:t>(P5</w:t>
      </w:r>
      <w:r>
        <w:rPr>
          <w:rFonts w:ascii="Helvetica" w:hAnsi="Helvetica"/>
          <w:b/>
          <w:sz w:val="22"/>
          <w:szCs w:val="22"/>
        </w:rPr>
        <w:t>: LAB MEDIA: Figure 1 &amp; 2</w:t>
      </w:r>
      <w:r w:rsidRPr="00957564">
        <w:rPr>
          <w:rFonts w:ascii="Helvetica" w:hAnsi="Helvetica"/>
          <w:b/>
          <w:sz w:val="22"/>
          <w:szCs w:val="22"/>
        </w:rPr>
        <w:t>)</w:t>
      </w:r>
    </w:p>
    <w:p w:rsidR="00491FE7" w:rsidRDefault="00491FE7" w:rsidP="00CE10F2">
      <w:pPr>
        <w:rPr>
          <w:rFonts w:ascii="Helvetica" w:hAnsi="Helvetica"/>
          <w:sz w:val="22"/>
        </w:rPr>
      </w:pPr>
      <w:r w:rsidRPr="000B4D3D">
        <w:rPr>
          <w:rFonts w:ascii="Helvetica" w:hAnsi="Helvetica"/>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99pt;height:324pt;visibility:visible">
            <v:imagedata r:id="rId15" o:title="" cropbottom="6536f" cropright="9968f"/>
          </v:shape>
        </w:pict>
      </w:r>
    </w:p>
    <w:p w:rsidR="00491FE7" w:rsidRDefault="00491FE7" w:rsidP="00CE10F2">
      <w:pPr>
        <w:rPr>
          <w:rFonts w:ascii="Helvetica" w:hAnsi="Helvetica"/>
          <w:sz w:val="22"/>
        </w:rPr>
      </w:pPr>
    </w:p>
    <w:p w:rsidR="00491FE7" w:rsidRPr="000D1522" w:rsidRDefault="00491FE7"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491FE7" w:rsidRPr="00FB038C" w:rsidRDefault="00491FE7" w:rsidP="00CE10F2">
      <w:pPr>
        <w:ind w:left="360"/>
        <w:rPr>
          <w:rFonts w:ascii="Helvetica" w:hAnsi="Helvetica"/>
          <w:sz w:val="22"/>
        </w:rPr>
      </w:pPr>
    </w:p>
    <w:p w:rsidR="00491FE7" w:rsidRDefault="00491FE7" w:rsidP="00DA76F7">
      <w:pPr>
        <w:numPr>
          <w:ilvl w:val="1"/>
          <w:numId w:val="9"/>
        </w:numPr>
        <w:jc w:val="both"/>
        <w:outlineLvl w:val="0"/>
        <w:rPr>
          <w:rFonts w:ascii="Helvetica" w:hAnsi="Helvetica" w:cs="Arial"/>
          <w:sz w:val="22"/>
          <w:szCs w:val="22"/>
        </w:rPr>
      </w:pPr>
      <w:r>
        <w:rPr>
          <w:rFonts w:ascii="Helvetica" w:hAnsi="Helvetica" w:cs="Arial"/>
          <w:sz w:val="22"/>
          <w:szCs w:val="22"/>
        </w:rPr>
        <w:t>Michael Rothrock Jr.: Though this method can provide insight into microbial community analysis throughout the poultry production continuum, it can also be applied to other systems, such as swine, cattle, and crop production systems that contain similarly complex environmental samples.</w:t>
      </w:r>
    </w:p>
    <w:p w:rsidR="00491FE7" w:rsidRPr="00DA76F7" w:rsidRDefault="00491FE7" w:rsidP="00DA76F7">
      <w:pPr>
        <w:numPr>
          <w:ilvl w:val="1"/>
          <w:numId w:val="9"/>
        </w:numPr>
        <w:spacing w:before="240"/>
        <w:jc w:val="both"/>
        <w:outlineLvl w:val="0"/>
        <w:rPr>
          <w:rFonts w:ascii="Helvetica" w:hAnsi="Helvetica" w:cs="Arial"/>
          <w:sz w:val="22"/>
        </w:rPr>
      </w:pPr>
      <w:r w:rsidRPr="00DA76F7">
        <w:rPr>
          <w:rFonts w:ascii="Helvetica" w:hAnsi="Helvetica" w:cs="Arial"/>
          <w:sz w:val="22"/>
        </w:rPr>
        <w:t xml:space="preserve">Michael Rothrock Jr. Demonstrating the procedure will be Katelyn Griffin a student from my laboratory. (Add additional mention of demonstrators as necessary).  </w:t>
      </w:r>
    </w:p>
    <w:p w:rsidR="00491FE7" w:rsidRPr="00DA76F7" w:rsidRDefault="00491FE7" w:rsidP="00DA76F7">
      <w:pPr>
        <w:numPr>
          <w:ilvl w:val="2"/>
          <w:numId w:val="9"/>
        </w:numPr>
        <w:spacing w:before="240"/>
        <w:jc w:val="both"/>
        <w:outlineLvl w:val="0"/>
        <w:rPr>
          <w:rFonts w:ascii="Helvetica" w:hAnsi="Helvetica" w:cs="Arial"/>
          <w:sz w:val="22"/>
        </w:rPr>
      </w:pPr>
      <w:r w:rsidRPr="00DA76F7">
        <w:rPr>
          <w:rFonts w:ascii="Helvetica" w:hAnsi="Helvetica" w:cs="Arial"/>
          <w:sz w:val="22"/>
        </w:rPr>
        <w:t xml:space="preserve">Interview style: Author saying the above </w:t>
      </w:r>
    </w:p>
    <w:p w:rsidR="00491FE7" w:rsidRPr="00971E1F" w:rsidRDefault="00491FE7" w:rsidP="00CE10F2">
      <w:pPr>
        <w:numPr>
          <w:ilvl w:val="2"/>
          <w:numId w:val="9"/>
        </w:numPr>
        <w:spacing w:before="240"/>
        <w:jc w:val="both"/>
        <w:outlineLvl w:val="0"/>
        <w:rPr>
          <w:rFonts w:ascii="Helvetica" w:hAnsi="Helvetica" w:cs="Arial"/>
          <w:sz w:val="22"/>
        </w:rPr>
      </w:pPr>
      <w:r w:rsidRPr="00DA76F7">
        <w:rPr>
          <w:rFonts w:ascii="Helvetica" w:hAnsi="Helvetica" w:cs="Arial"/>
          <w:sz w:val="22"/>
        </w:rPr>
        <w:t>The named technician, post doc, student looks up from workbench or desk or microscope and acknowledges the camera.</w:t>
      </w:r>
    </w:p>
    <w:p w:rsidR="00491FE7" w:rsidRPr="00FB038C" w:rsidRDefault="00491FE7" w:rsidP="00CE10F2">
      <w:pPr>
        <w:ind w:left="792"/>
        <w:rPr>
          <w:rFonts w:ascii="Helvetica" w:hAnsi="Helvetica"/>
          <w:sz w:val="22"/>
        </w:rPr>
      </w:pPr>
    </w:p>
    <w:p w:rsidR="00491FE7" w:rsidRPr="00971E1F" w:rsidRDefault="00491FE7" w:rsidP="00971E1F">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491FE7" w:rsidRPr="00FB038C" w:rsidRDefault="00491FE7" w:rsidP="00CE10F2">
      <w:pPr>
        <w:numPr>
          <w:ilvl w:val="0"/>
          <w:numId w:val="12"/>
        </w:numPr>
        <w:spacing w:before="240"/>
        <w:jc w:val="both"/>
        <w:outlineLvl w:val="0"/>
        <w:rPr>
          <w:rFonts w:ascii="Helvetica" w:hAnsi="Helvetica" w:cs="Arial"/>
          <w:b/>
          <w:sz w:val="22"/>
        </w:rPr>
      </w:pPr>
      <w:r>
        <w:rPr>
          <w:rFonts w:ascii="Helvetica" w:hAnsi="Helvetica" w:cs="Arial"/>
          <w:b/>
          <w:sz w:val="22"/>
        </w:rPr>
        <w:t>Mechanical Homogenization</w:t>
      </w:r>
    </w:p>
    <w:p w:rsidR="00491FE7" w:rsidRDefault="00491FE7" w:rsidP="00126973">
      <w:pPr>
        <w:numPr>
          <w:ilvl w:val="1"/>
          <w:numId w:val="12"/>
        </w:numPr>
        <w:spacing w:before="240"/>
        <w:jc w:val="both"/>
        <w:outlineLvl w:val="0"/>
        <w:rPr>
          <w:rFonts w:ascii="Helvetica" w:hAnsi="Helvetica" w:cs="Arial"/>
          <w:sz w:val="22"/>
        </w:rPr>
      </w:pPr>
      <w:r>
        <w:rPr>
          <w:rFonts w:ascii="Helvetica" w:hAnsi="Helvetica" w:cs="Arial"/>
          <w:sz w:val="22"/>
        </w:rPr>
        <w:t xml:space="preserve">To begin the experiment, set a water bath to 95 °C. </w:t>
      </w:r>
    </w:p>
    <w:p w:rsidR="00491FE7" w:rsidRDefault="00491FE7" w:rsidP="004103A6">
      <w:pPr>
        <w:numPr>
          <w:ilvl w:val="2"/>
          <w:numId w:val="12"/>
        </w:numPr>
        <w:spacing w:before="240"/>
        <w:jc w:val="both"/>
        <w:outlineLvl w:val="0"/>
        <w:rPr>
          <w:rFonts w:ascii="Helvetica" w:hAnsi="Helvetica" w:cs="Arial"/>
          <w:sz w:val="22"/>
        </w:rPr>
      </w:pPr>
      <w:r>
        <w:rPr>
          <w:rFonts w:ascii="Helvetica" w:hAnsi="Helvetica" w:cs="Arial"/>
          <w:sz w:val="22"/>
        </w:rPr>
        <w:t xml:space="preserve">MED/WIDE: Talent approaches water bath and sets the temperature, if possible, capture the settings of the water bath as talent programs the machine. </w:t>
      </w:r>
    </w:p>
    <w:p w:rsidR="00491FE7" w:rsidRDefault="00491FE7" w:rsidP="00971E1F">
      <w:pPr>
        <w:numPr>
          <w:ilvl w:val="1"/>
          <w:numId w:val="12"/>
        </w:numPr>
        <w:spacing w:before="240"/>
        <w:jc w:val="both"/>
        <w:outlineLvl w:val="0"/>
        <w:rPr>
          <w:rFonts w:ascii="Helvetica" w:hAnsi="Helvetica" w:cs="Arial"/>
          <w:sz w:val="22"/>
        </w:rPr>
      </w:pPr>
      <w:r>
        <w:rPr>
          <w:rFonts w:ascii="Helvetica" w:hAnsi="Helvetica" w:cs="Arial"/>
          <w:sz w:val="22"/>
        </w:rPr>
        <w:t xml:space="preserve">Next, weigh out three replicates of 0.33 g to analyze a total of 1 g of room temperature soil or fecal material into a 2 mL lysing matrix E tube. </w:t>
      </w:r>
      <w:r w:rsidRPr="00D77AF6">
        <w:rPr>
          <w:rFonts w:ascii="Helvetica" w:hAnsi="Helvetica" w:cs="Arial"/>
          <w:color w:val="FF0000"/>
          <w:sz w:val="22"/>
        </w:rPr>
        <w:t>Change glove</w:t>
      </w:r>
      <w:r>
        <w:rPr>
          <w:rFonts w:ascii="Helvetica" w:hAnsi="Helvetica" w:cs="Arial"/>
          <w:color w:val="FF0000"/>
          <w:sz w:val="22"/>
        </w:rPr>
        <w:t>s</w:t>
      </w:r>
      <w:r w:rsidRPr="00D77AF6">
        <w:rPr>
          <w:rFonts w:ascii="Helvetica" w:hAnsi="Helvetica" w:cs="Arial"/>
          <w:color w:val="FF0000"/>
          <w:sz w:val="22"/>
        </w:rPr>
        <w:t xml:space="preserve"> between samples.</w:t>
      </w:r>
      <w:r>
        <w:rPr>
          <w:rFonts w:ascii="Helvetica" w:hAnsi="Helvetica" w:cs="Arial"/>
          <w:sz w:val="22"/>
        </w:rPr>
        <w:t xml:space="preserve"> </w:t>
      </w:r>
    </w:p>
    <w:p w:rsidR="00491FE7" w:rsidRDefault="00491FE7" w:rsidP="004103A6">
      <w:pPr>
        <w:numPr>
          <w:ilvl w:val="2"/>
          <w:numId w:val="12"/>
        </w:numPr>
        <w:spacing w:before="240"/>
        <w:jc w:val="both"/>
        <w:outlineLvl w:val="0"/>
        <w:rPr>
          <w:rFonts w:ascii="Helvetica" w:hAnsi="Helvetica" w:cs="Arial"/>
          <w:sz w:val="22"/>
        </w:rPr>
      </w:pPr>
      <w:r>
        <w:rPr>
          <w:rFonts w:ascii="Helvetica" w:hAnsi="Helvetica" w:cs="Arial"/>
          <w:sz w:val="22"/>
        </w:rPr>
        <w:t>MED – Over the Shoulder: Talent has three separate lysing matrix E tubes laid out, and weighs out 0.33 g into one tube.</w:t>
      </w:r>
    </w:p>
    <w:p w:rsidR="00491FE7" w:rsidRPr="00D77AF6" w:rsidRDefault="00491FE7" w:rsidP="004103A6">
      <w:pPr>
        <w:numPr>
          <w:ilvl w:val="2"/>
          <w:numId w:val="12"/>
        </w:numPr>
        <w:spacing w:before="240"/>
        <w:jc w:val="both"/>
        <w:outlineLvl w:val="0"/>
        <w:rPr>
          <w:rFonts w:ascii="Helvetica" w:hAnsi="Helvetica" w:cs="Arial"/>
          <w:sz w:val="22"/>
          <w:highlight w:val="green"/>
        </w:rPr>
      </w:pPr>
      <w:r w:rsidRPr="00D77AF6">
        <w:rPr>
          <w:rFonts w:ascii="Helvetica" w:hAnsi="Helvetica" w:cs="Arial"/>
          <w:sz w:val="22"/>
          <w:highlight w:val="green"/>
        </w:rPr>
        <w:t xml:space="preserve">Added shot: MCU- Talent changes glove and takes sample of feces. </w:t>
      </w:r>
    </w:p>
    <w:p w:rsidR="00491FE7" w:rsidRDefault="00491FE7" w:rsidP="00126973">
      <w:pPr>
        <w:numPr>
          <w:ilvl w:val="1"/>
          <w:numId w:val="12"/>
        </w:numPr>
        <w:spacing w:before="240"/>
        <w:jc w:val="both"/>
        <w:outlineLvl w:val="0"/>
        <w:rPr>
          <w:rFonts w:ascii="Helvetica" w:hAnsi="Helvetica" w:cs="Arial"/>
          <w:sz w:val="22"/>
        </w:rPr>
      </w:pPr>
      <w:r>
        <w:rPr>
          <w:rFonts w:ascii="Helvetica" w:hAnsi="Helvetica" w:cs="Arial"/>
          <w:sz w:val="22"/>
        </w:rPr>
        <w:t xml:space="preserve">Add 825 microliters of sodium phosphate buffer and 275 microliters of pre-lysis solution, or PLS, to a sample tube, then vortex the samples for 15 seconds. After mixing, centrifuge the tubes at 14,000 x g for 5 minutes. </w:t>
      </w:r>
    </w:p>
    <w:p w:rsidR="00491FE7" w:rsidRDefault="00491FE7" w:rsidP="004103A6">
      <w:pPr>
        <w:numPr>
          <w:ilvl w:val="2"/>
          <w:numId w:val="12"/>
        </w:numPr>
        <w:spacing w:before="240"/>
        <w:jc w:val="both"/>
        <w:outlineLvl w:val="0"/>
        <w:rPr>
          <w:rFonts w:ascii="Helvetica" w:hAnsi="Helvetica" w:cs="Arial"/>
          <w:sz w:val="22"/>
        </w:rPr>
      </w:pPr>
      <w:r>
        <w:rPr>
          <w:rFonts w:ascii="Helvetica" w:hAnsi="Helvetica" w:cs="Arial"/>
          <w:sz w:val="22"/>
        </w:rPr>
        <w:t xml:space="preserve">MED: Talent has previously prepared sodium phosphate buffer and PLS on bench (if they are labeled, capture the labels in the shot) and adds them one by one to the sample tube, then mixes the contents by vortexing. </w:t>
      </w:r>
    </w:p>
    <w:p w:rsidR="00491FE7" w:rsidRDefault="00491FE7" w:rsidP="004103A6">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last tube in centrifuge and enters the settings, capture the settings if possible. </w:t>
      </w:r>
    </w:p>
    <w:p w:rsidR="00491FE7" w:rsidRDefault="00491FE7" w:rsidP="00126973">
      <w:pPr>
        <w:numPr>
          <w:ilvl w:val="1"/>
          <w:numId w:val="12"/>
        </w:numPr>
        <w:spacing w:before="240"/>
        <w:jc w:val="both"/>
        <w:outlineLvl w:val="0"/>
        <w:rPr>
          <w:rFonts w:ascii="Helvetica" w:hAnsi="Helvetica" w:cs="Arial"/>
          <w:sz w:val="22"/>
        </w:rPr>
      </w:pPr>
      <w:r>
        <w:rPr>
          <w:rFonts w:ascii="Helvetica" w:hAnsi="Helvetica" w:cs="Arial"/>
          <w:sz w:val="22"/>
        </w:rPr>
        <w:t xml:space="preserve">Decant the supernatant and add 700 microliters of Buffer ASL, then vortex the tube for 5 seconds. </w:t>
      </w:r>
      <w:r w:rsidRPr="00D77AF6">
        <w:rPr>
          <w:rFonts w:ascii="Helvetica" w:hAnsi="Helvetica" w:cs="Arial"/>
          <w:color w:val="FF0000"/>
          <w:sz w:val="22"/>
        </w:rPr>
        <w:t>Open one tube at a time to prevent contamination</w:t>
      </w:r>
    </w:p>
    <w:p w:rsidR="00491FE7" w:rsidRPr="00D77AF6" w:rsidRDefault="00491FE7" w:rsidP="003A7C3C">
      <w:pPr>
        <w:numPr>
          <w:ilvl w:val="2"/>
          <w:numId w:val="12"/>
        </w:numPr>
        <w:spacing w:before="240"/>
        <w:jc w:val="both"/>
        <w:outlineLvl w:val="0"/>
        <w:rPr>
          <w:rFonts w:ascii="Helvetica" w:hAnsi="Helvetica" w:cs="Arial"/>
          <w:sz w:val="22"/>
        </w:rPr>
      </w:pPr>
      <w:r w:rsidRPr="00D77AF6">
        <w:rPr>
          <w:rFonts w:ascii="Helvetica" w:hAnsi="Helvetica" w:cs="Arial"/>
          <w:sz w:val="22"/>
        </w:rPr>
        <w:t xml:space="preserve">MED: Talent removes the supernatant and adds Buffer ASL, </w:t>
      </w:r>
      <w:r w:rsidRPr="00D77AF6">
        <w:rPr>
          <w:rFonts w:ascii="Helvetica" w:hAnsi="Helvetica" w:cs="Arial"/>
          <w:strike/>
          <w:sz w:val="22"/>
        </w:rPr>
        <w:t>closes the tube and vortexes the tube.</w:t>
      </w:r>
      <w:r w:rsidRPr="00D77AF6">
        <w:rPr>
          <w:rFonts w:ascii="Helvetica" w:hAnsi="Helvetica" w:cs="Arial"/>
          <w:sz w:val="22"/>
        </w:rPr>
        <w:t xml:space="preserve"> </w:t>
      </w:r>
      <w:r w:rsidRPr="00D77AF6">
        <w:rPr>
          <w:rFonts w:ascii="Helvetica" w:hAnsi="Helvetica" w:cs="Arial"/>
          <w:sz w:val="22"/>
          <w:highlight w:val="green"/>
        </w:rPr>
        <w:t>(Do not use take one. Cut shot before cap falls off.)</w:t>
      </w:r>
      <w:r w:rsidRPr="00D77AF6">
        <w:rPr>
          <w:rFonts w:ascii="Helvetica" w:hAnsi="Helvetica" w:cs="Arial"/>
          <w:sz w:val="22"/>
        </w:rPr>
        <w:t xml:space="preserve"> </w:t>
      </w:r>
    </w:p>
    <w:p w:rsidR="00491FE7" w:rsidRPr="00D77AF6" w:rsidRDefault="00491FE7" w:rsidP="003A7C3C">
      <w:pPr>
        <w:numPr>
          <w:ilvl w:val="2"/>
          <w:numId w:val="12"/>
        </w:numPr>
        <w:spacing w:before="240"/>
        <w:jc w:val="both"/>
        <w:outlineLvl w:val="0"/>
        <w:rPr>
          <w:rFonts w:ascii="Helvetica" w:hAnsi="Helvetica" w:cs="Arial"/>
          <w:sz w:val="22"/>
          <w:highlight w:val="green"/>
        </w:rPr>
      </w:pPr>
      <w:r w:rsidRPr="00D77AF6">
        <w:rPr>
          <w:rFonts w:ascii="Helvetica" w:hAnsi="Helvetica" w:cs="Arial"/>
          <w:sz w:val="22"/>
          <w:highlight w:val="green"/>
        </w:rPr>
        <w:t xml:space="preserve">Added shot: MED- Talent closes the tube and vortexes the tube. </w:t>
      </w:r>
    </w:p>
    <w:p w:rsidR="00491FE7" w:rsidRPr="00D77AF6" w:rsidRDefault="00491FE7" w:rsidP="00D36F21">
      <w:pPr>
        <w:numPr>
          <w:ilvl w:val="1"/>
          <w:numId w:val="12"/>
        </w:numPr>
        <w:spacing w:before="240"/>
        <w:jc w:val="both"/>
        <w:outlineLvl w:val="0"/>
        <w:rPr>
          <w:rFonts w:ascii="Helvetica" w:hAnsi="Helvetica" w:cs="Arial"/>
          <w:sz w:val="22"/>
        </w:rPr>
      </w:pPr>
      <w:r w:rsidRPr="00D77AF6">
        <w:rPr>
          <w:rFonts w:ascii="Helvetica" w:hAnsi="Helvetica" w:cs="Arial"/>
          <w:sz w:val="22"/>
        </w:rPr>
        <w:t xml:space="preserve">Next, ensure that there is a headspace of 10% of the total volume in the conical tube before placing the samples into the FastPrep 24 instrument. Homogenize the samples at a speed of 6.0 meters per second for 40 seconds. </w:t>
      </w:r>
      <w:r w:rsidRPr="00D77AF6">
        <w:rPr>
          <w:rFonts w:ascii="Helvetica" w:hAnsi="Helvetica" w:cs="Arial"/>
          <w:color w:val="FF0000"/>
          <w:sz w:val="22"/>
        </w:rPr>
        <w:t>Note the difference between FastPrep 24 and Vortexing (Editor: Insert text under each tube: “FastPrep” vs. “Vortexing)</w:t>
      </w:r>
    </w:p>
    <w:p w:rsidR="00491FE7" w:rsidRDefault="00491FE7" w:rsidP="006F17DE">
      <w:pPr>
        <w:numPr>
          <w:ilvl w:val="2"/>
          <w:numId w:val="12"/>
        </w:numPr>
        <w:spacing w:before="240"/>
        <w:jc w:val="both"/>
        <w:outlineLvl w:val="0"/>
        <w:rPr>
          <w:rFonts w:ascii="Helvetica" w:hAnsi="Helvetica" w:cs="Arial"/>
          <w:sz w:val="22"/>
        </w:rPr>
      </w:pPr>
      <w:r>
        <w:rPr>
          <w:rFonts w:ascii="Helvetica" w:hAnsi="Helvetica" w:cs="Arial"/>
          <w:sz w:val="22"/>
        </w:rPr>
        <w:t xml:space="preserve">CU/ECU: Talent holds tube up to camera to demonstrate there is a 10% headspace in the tube </w:t>
      </w:r>
      <w:r w:rsidRPr="00B8486D">
        <w:rPr>
          <w:rFonts w:ascii="Helvetica" w:hAnsi="Helvetica" w:cs="Arial"/>
          <w:strike/>
          <w:sz w:val="22"/>
        </w:rPr>
        <w:t>then places the tube into the FastPrep 24 instrument.</w:t>
      </w:r>
      <w:r>
        <w:rPr>
          <w:rFonts w:ascii="Helvetica" w:hAnsi="Helvetica" w:cs="Arial"/>
          <w:sz w:val="22"/>
        </w:rPr>
        <w:t xml:space="preserve"> </w:t>
      </w:r>
    </w:p>
    <w:p w:rsidR="00491FE7" w:rsidRDefault="00491FE7" w:rsidP="008F7CDA">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w:t>
      </w:r>
      <w:r w:rsidRPr="00D77AF6">
        <w:rPr>
          <w:rFonts w:ascii="Helvetica" w:hAnsi="Helvetica" w:cs="Arial"/>
          <w:color w:val="FF0000"/>
          <w:sz w:val="22"/>
        </w:rPr>
        <w:t>Talent then places the tube into the FastPrep 24 instrument</w:t>
      </w:r>
      <w:r w:rsidRPr="00D77AF6">
        <w:rPr>
          <w:rFonts w:ascii="Helvetica" w:hAnsi="Helvetica" w:cs="Arial"/>
          <w:sz w:val="22"/>
        </w:rPr>
        <w:t>.</w:t>
      </w:r>
      <w:r>
        <w:rPr>
          <w:rFonts w:ascii="Helvetica" w:hAnsi="Helvetica" w:cs="Arial"/>
          <w:sz w:val="22"/>
        </w:rPr>
        <w:t xml:space="preserve"> Talent enters settings into FastPrep 24 instrument. If possible, capture the settings entered. </w:t>
      </w:r>
    </w:p>
    <w:p w:rsidR="00491FE7" w:rsidRPr="00D77AF6" w:rsidRDefault="00491FE7" w:rsidP="008F7CDA">
      <w:pPr>
        <w:numPr>
          <w:ilvl w:val="2"/>
          <w:numId w:val="12"/>
        </w:numPr>
        <w:spacing w:before="240"/>
        <w:jc w:val="both"/>
        <w:outlineLvl w:val="0"/>
        <w:rPr>
          <w:rFonts w:ascii="Helvetica" w:hAnsi="Helvetica" w:cs="Arial"/>
          <w:sz w:val="22"/>
          <w:highlight w:val="green"/>
        </w:rPr>
      </w:pPr>
      <w:r w:rsidRPr="00D77AF6">
        <w:rPr>
          <w:rFonts w:ascii="Helvetica" w:hAnsi="Helvetica" w:cs="Arial"/>
          <w:sz w:val="22"/>
          <w:highlight w:val="green"/>
        </w:rPr>
        <w:t xml:space="preserve">Added shot: Talent holds tubes up to show the difference; Vortex Vs. Homogenized. </w:t>
      </w:r>
    </w:p>
    <w:p w:rsidR="00491FE7" w:rsidRDefault="00491FE7" w:rsidP="00D36F21">
      <w:pPr>
        <w:numPr>
          <w:ilvl w:val="1"/>
          <w:numId w:val="12"/>
        </w:numPr>
        <w:spacing w:before="240"/>
        <w:jc w:val="both"/>
        <w:outlineLvl w:val="0"/>
        <w:rPr>
          <w:rFonts w:ascii="Helvetica" w:hAnsi="Helvetica" w:cs="Arial"/>
          <w:sz w:val="22"/>
        </w:rPr>
      </w:pPr>
      <w:r>
        <w:rPr>
          <w:rFonts w:ascii="Helvetica" w:hAnsi="Helvetica" w:cs="Arial"/>
          <w:sz w:val="22"/>
        </w:rPr>
        <w:t xml:space="preserve">After homogenization, centrifuge the sample at 14,000 x g for 5 minutes. Transfer the supernatant to a sterile 2 mL microcentrifuge tube. </w:t>
      </w:r>
    </w:p>
    <w:p w:rsidR="00491FE7" w:rsidRDefault="00491FE7" w:rsidP="006F17DE">
      <w:pPr>
        <w:numPr>
          <w:ilvl w:val="2"/>
          <w:numId w:val="12"/>
        </w:numPr>
        <w:spacing w:before="240"/>
        <w:jc w:val="both"/>
        <w:outlineLvl w:val="0"/>
        <w:rPr>
          <w:rFonts w:ascii="Helvetica" w:hAnsi="Helvetica" w:cs="Arial"/>
          <w:sz w:val="22"/>
        </w:rPr>
      </w:pPr>
      <w:r>
        <w:rPr>
          <w:rFonts w:ascii="Helvetica" w:hAnsi="Helvetica" w:cs="Arial"/>
          <w:sz w:val="22"/>
        </w:rPr>
        <w:t xml:space="preserve">MED: Talent removes samples from instrument and transfers them to a centrifuge, then enters settings, capture settings if possible. </w:t>
      </w:r>
    </w:p>
    <w:p w:rsidR="00491FE7" w:rsidRDefault="00491FE7" w:rsidP="006F17DE">
      <w:pPr>
        <w:numPr>
          <w:ilvl w:val="2"/>
          <w:numId w:val="12"/>
        </w:numPr>
        <w:spacing w:before="240"/>
        <w:jc w:val="both"/>
        <w:outlineLvl w:val="0"/>
        <w:rPr>
          <w:rFonts w:ascii="Helvetica" w:hAnsi="Helvetica" w:cs="Arial"/>
          <w:sz w:val="22"/>
        </w:rPr>
      </w:pPr>
      <w:r>
        <w:rPr>
          <w:rFonts w:ascii="Helvetica" w:hAnsi="Helvetica" w:cs="Arial"/>
          <w:sz w:val="22"/>
        </w:rPr>
        <w:t xml:space="preserve">MED/CU: Side view. Talent uses pipette to move supernatant into centrifuge tube. </w:t>
      </w:r>
    </w:p>
    <w:p w:rsidR="00491FE7" w:rsidRPr="00DC2CD5" w:rsidRDefault="00491FE7" w:rsidP="00D36F21">
      <w:pPr>
        <w:numPr>
          <w:ilvl w:val="1"/>
          <w:numId w:val="12"/>
        </w:numPr>
        <w:spacing w:before="240"/>
        <w:jc w:val="both"/>
        <w:outlineLvl w:val="0"/>
        <w:rPr>
          <w:rFonts w:ascii="Helvetica" w:hAnsi="Helvetica" w:cs="Arial"/>
          <w:color w:val="FF0000"/>
          <w:sz w:val="22"/>
        </w:rPr>
      </w:pPr>
      <w:r w:rsidRPr="00DC2CD5">
        <w:rPr>
          <w:rFonts w:ascii="Helvetica" w:hAnsi="Helvetica" w:cs="Helvetica"/>
          <w:color w:val="FF0000"/>
          <w:sz w:val="22"/>
        </w:rPr>
        <w:t>To the remaining sample in the Lysing Matrix E tube, add an additional 700 ul of ASL Buffer, re-homogenize and re-centrifuge using the previous settings.</w:t>
      </w:r>
      <w:r w:rsidRPr="00DC2CD5">
        <w:rPr>
          <w:rFonts w:ascii="Helvetica" w:hAnsi="Helvetica" w:cs="Arial"/>
          <w:color w:val="FF0000"/>
          <w:sz w:val="22"/>
        </w:rPr>
        <w:t xml:space="preserve">  </w:t>
      </w:r>
      <w:r w:rsidRPr="00DC2CD5">
        <w:rPr>
          <w:rFonts w:ascii="Helvetica" w:hAnsi="Helvetica" w:cs="Arial"/>
          <w:color w:val="FF0000"/>
          <w:sz w:val="22"/>
          <w:szCs w:val="22"/>
        </w:rPr>
        <w:t>For each sample, combine the homogenization supernatants into the same sterile 2 ml microcentrifuge tube.</w:t>
      </w:r>
    </w:p>
    <w:p w:rsidR="00491FE7" w:rsidRPr="00DC2CD5" w:rsidRDefault="00491FE7" w:rsidP="00DC2CD5">
      <w:pPr>
        <w:pStyle w:val="ListParagraph"/>
        <w:numPr>
          <w:ilvl w:val="2"/>
          <w:numId w:val="12"/>
        </w:numPr>
        <w:spacing w:before="240"/>
        <w:jc w:val="both"/>
        <w:outlineLvl w:val="0"/>
        <w:rPr>
          <w:rFonts w:ascii="Helvetica" w:hAnsi="Helvetica" w:cs="Helvetica"/>
          <w:highlight w:val="green"/>
        </w:rPr>
      </w:pPr>
      <w:r w:rsidRPr="00DC2CD5">
        <w:rPr>
          <w:rFonts w:ascii="Helvetica" w:hAnsi="Helvetica" w:cs="Helvetica"/>
          <w:highlight w:val="green"/>
        </w:rPr>
        <w:t xml:space="preserve">Added shot: Use 2.5.2 scene </w:t>
      </w:r>
    </w:p>
    <w:p w:rsidR="00491FE7" w:rsidRPr="00DC2CD5" w:rsidRDefault="00491FE7" w:rsidP="00DC2CD5">
      <w:pPr>
        <w:pStyle w:val="ListParagraph"/>
        <w:spacing w:before="240"/>
        <w:jc w:val="both"/>
        <w:outlineLvl w:val="0"/>
        <w:rPr>
          <w:rFonts w:ascii="Helvetica" w:hAnsi="Helvetica" w:cs="Helvetica"/>
        </w:rPr>
      </w:pPr>
      <w:r w:rsidRPr="00DC2CD5">
        <w:rPr>
          <w:rFonts w:ascii="Helvetica" w:hAnsi="Helvetica" w:cs="Helvetica"/>
        </w:rPr>
        <w:t xml:space="preserve">(previous 2.7.1) MED: Talent </w:t>
      </w:r>
      <w:r w:rsidRPr="00DC2CD5">
        <w:rPr>
          <w:rFonts w:ascii="Helvetica" w:hAnsi="Helvetica" w:cs="Helvetica"/>
          <w:strike/>
        </w:rPr>
        <w:t xml:space="preserve">has three replicates on bench and uses a pipette to combine the supernatants into one centrifuge tube.  </w:t>
      </w:r>
      <w:r w:rsidRPr="00DC2CD5">
        <w:rPr>
          <w:rFonts w:ascii="Helvetica" w:hAnsi="Helvetica" w:cs="Helvetica"/>
          <w:color w:val="FF0000"/>
        </w:rPr>
        <w:t>Pipettes 2</w:t>
      </w:r>
      <w:r w:rsidRPr="00DC2CD5">
        <w:rPr>
          <w:rFonts w:ascii="Helvetica" w:hAnsi="Helvetica" w:cs="Helvetica"/>
          <w:color w:val="FF0000"/>
          <w:vertAlign w:val="superscript"/>
        </w:rPr>
        <w:t>nd</w:t>
      </w:r>
      <w:r w:rsidRPr="00DC2CD5">
        <w:rPr>
          <w:rFonts w:ascii="Helvetica" w:hAnsi="Helvetica" w:cs="Helvetica"/>
          <w:color w:val="FF0000"/>
        </w:rPr>
        <w:t xml:space="preserve"> homogenization supernatants to 1</w:t>
      </w:r>
      <w:r w:rsidRPr="00DC2CD5">
        <w:rPr>
          <w:rFonts w:ascii="Helvetica" w:hAnsi="Helvetica" w:cs="Helvetica"/>
          <w:color w:val="FF0000"/>
          <w:vertAlign w:val="superscript"/>
        </w:rPr>
        <w:t>st</w:t>
      </w:r>
      <w:r w:rsidRPr="00DC2CD5">
        <w:rPr>
          <w:rFonts w:ascii="Helvetica" w:hAnsi="Helvetica" w:cs="Helvetica"/>
          <w:color w:val="FF0000"/>
        </w:rPr>
        <w:t xml:space="preserve"> in the</w:t>
      </w:r>
      <w:r w:rsidRPr="00DC2CD5">
        <w:rPr>
          <w:rFonts w:ascii="Helvetica" w:hAnsi="Helvetica" w:cs="Helvetica"/>
          <w:strike/>
          <w:color w:val="FF0000"/>
        </w:rPr>
        <w:t xml:space="preserve"> </w:t>
      </w:r>
      <w:r w:rsidRPr="00DC2CD5">
        <w:rPr>
          <w:rFonts w:ascii="Helvetica" w:hAnsi="Helvetica" w:cs="Helvetica"/>
          <w:color w:val="FF0000"/>
        </w:rPr>
        <w:t>same tube.</w:t>
      </w:r>
      <w:r w:rsidRPr="00DC2CD5">
        <w:rPr>
          <w:rFonts w:ascii="Helvetica" w:hAnsi="Helvetica" w:cs="Helvetica"/>
        </w:rPr>
        <w:t xml:space="preserve"> </w:t>
      </w:r>
    </w:p>
    <w:p w:rsidR="00491FE7" w:rsidRPr="00FB038C" w:rsidRDefault="00491FE7" w:rsidP="00126973">
      <w:pPr>
        <w:numPr>
          <w:ilvl w:val="0"/>
          <w:numId w:val="12"/>
        </w:numPr>
        <w:spacing w:before="240"/>
        <w:jc w:val="both"/>
        <w:outlineLvl w:val="0"/>
        <w:rPr>
          <w:rFonts w:ascii="Helvetica" w:hAnsi="Helvetica" w:cs="Arial"/>
          <w:b/>
          <w:sz w:val="22"/>
        </w:rPr>
      </w:pPr>
      <w:r>
        <w:rPr>
          <w:rFonts w:ascii="Helvetica" w:hAnsi="Helvetica" w:cs="Arial"/>
          <w:b/>
          <w:sz w:val="22"/>
        </w:rPr>
        <w:t xml:space="preserve">Enzymatic Inhibition of Inhibitors from Sample Homogenates </w:t>
      </w:r>
    </w:p>
    <w:p w:rsidR="00491FE7" w:rsidRDefault="00491FE7" w:rsidP="003D77BE">
      <w:pPr>
        <w:numPr>
          <w:ilvl w:val="1"/>
          <w:numId w:val="12"/>
        </w:numPr>
        <w:spacing w:before="240"/>
        <w:jc w:val="both"/>
        <w:outlineLvl w:val="0"/>
        <w:rPr>
          <w:rFonts w:ascii="Helvetica" w:hAnsi="Helvetica" w:cs="Arial"/>
          <w:sz w:val="22"/>
        </w:rPr>
      </w:pPr>
      <w:r>
        <w:rPr>
          <w:rFonts w:ascii="Helvetica" w:hAnsi="Helvetica" w:cs="Arial"/>
          <w:sz w:val="22"/>
        </w:rPr>
        <w:t>Place</w:t>
      </w:r>
      <w:r w:rsidRPr="00D36F21">
        <w:rPr>
          <w:rFonts w:ascii="Helvetica" w:hAnsi="Helvetica" w:cs="Arial"/>
          <w:sz w:val="22"/>
        </w:rPr>
        <w:t xml:space="preserve"> plastic locking clips on the </w:t>
      </w:r>
      <w:r>
        <w:rPr>
          <w:rFonts w:ascii="Helvetica" w:hAnsi="Helvetica" w:cs="Arial"/>
          <w:sz w:val="22"/>
        </w:rPr>
        <w:t>sample</w:t>
      </w:r>
      <w:r w:rsidRPr="00D36F21">
        <w:rPr>
          <w:rFonts w:ascii="Helvetica" w:hAnsi="Helvetica" w:cs="Arial"/>
          <w:sz w:val="22"/>
        </w:rPr>
        <w:t xml:space="preserve"> tubes to ensu</w:t>
      </w:r>
      <w:r>
        <w:rPr>
          <w:rFonts w:ascii="Helvetica" w:hAnsi="Helvetica" w:cs="Arial"/>
          <w:sz w:val="22"/>
        </w:rPr>
        <w:t>re they will not pop open and i</w:t>
      </w:r>
      <w:r w:rsidRPr="00602776">
        <w:rPr>
          <w:rFonts w:ascii="Helvetica" w:hAnsi="Helvetica" w:cs="Arial"/>
          <w:sz w:val="22"/>
        </w:rPr>
        <w:t>ncubate the supernatant</w:t>
      </w:r>
      <w:r>
        <w:rPr>
          <w:rFonts w:ascii="Helvetica" w:hAnsi="Helvetica" w:cs="Arial"/>
          <w:sz w:val="22"/>
        </w:rPr>
        <w:t>s</w:t>
      </w:r>
      <w:r w:rsidRPr="00602776">
        <w:rPr>
          <w:rFonts w:ascii="Helvetica" w:hAnsi="Helvetica" w:cs="Arial"/>
          <w:sz w:val="22"/>
        </w:rPr>
        <w:t xml:space="preserve"> in a 95 °C water bath for 5 minutes. </w:t>
      </w:r>
    </w:p>
    <w:p w:rsidR="00491FE7" w:rsidRPr="003D77BE" w:rsidRDefault="00491FE7" w:rsidP="00114816">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is next to sample tubes by a water bath, some of the samples tubes have plastic locking clips already on them. Talent places a locking clip on the last tube and places the tubes into the water bath all at once, then sets a timer for 5 minutes. </w:t>
      </w:r>
    </w:p>
    <w:p w:rsidR="00491FE7" w:rsidRDefault="00491FE7" w:rsidP="003D77BE">
      <w:pPr>
        <w:numPr>
          <w:ilvl w:val="1"/>
          <w:numId w:val="12"/>
        </w:numPr>
        <w:spacing w:before="240"/>
        <w:jc w:val="both"/>
        <w:outlineLvl w:val="0"/>
        <w:rPr>
          <w:rFonts w:ascii="Helvetica" w:hAnsi="Helvetica" w:cs="Arial"/>
          <w:sz w:val="22"/>
        </w:rPr>
      </w:pPr>
      <w:r>
        <w:rPr>
          <w:rFonts w:ascii="Helvetica" w:hAnsi="Helvetica" w:cs="Arial"/>
          <w:sz w:val="22"/>
        </w:rPr>
        <w:t xml:space="preserve">Next, open each microcentrifuge tube to release the pressure, re-cap the tubes, and vortex them for 15 seconds. </w:t>
      </w:r>
      <w:r w:rsidRPr="003D77BE">
        <w:rPr>
          <w:rFonts w:ascii="Helvetica" w:hAnsi="Helvetica" w:cs="Arial"/>
          <w:sz w:val="22"/>
        </w:rPr>
        <w:t>Centrifuge the sample</w:t>
      </w:r>
      <w:r>
        <w:rPr>
          <w:rFonts w:ascii="Helvetica" w:hAnsi="Helvetica" w:cs="Arial"/>
          <w:sz w:val="22"/>
        </w:rPr>
        <w:t>s</w:t>
      </w:r>
      <w:r w:rsidRPr="003D77BE">
        <w:rPr>
          <w:rFonts w:ascii="Helvetica" w:hAnsi="Helvetica" w:cs="Arial"/>
          <w:sz w:val="22"/>
        </w:rPr>
        <w:t xml:space="preserve"> at 14,000 x g for one minute</w:t>
      </w:r>
      <w:r>
        <w:rPr>
          <w:rFonts w:ascii="Helvetica" w:hAnsi="Helvetica" w:cs="Arial"/>
          <w:sz w:val="22"/>
        </w:rPr>
        <w:t xml:space="preserve">. </w:t>
      </w:r>
    </w:p>
    <w:p w:rsidR="00491FE7" w:rsidRDefault="00491FE7" w:rsidP="0070008F">
      <w:pPr>
        <w:numPr>
          <w:ilvl w:val="2"/>
          <w:numId w:val="12"/>
        </w:numPr>
        <w:spacing w:before="240"/>
        <w:jc w:val="both"/>
        <w:outlineLvl w:val="0"/>
        <w:rPr>
          <w:rFonts w:ascii="Helvetica" w:hAnsi="Helvetica" w:cs="Arial"/>
          <w:sz w:val="22"/>
        </w:rPr>
      </w:pPr>
      <w:r>
        <w:rPr>
          <w:rFonts w:ascii="Helvetica" w:hAnsi="Helvetica" w:cs="Arial"/>
          <w:sz w:val="22"/>
        </w:rPr>
        <w:t xml:space="preserve">MED: Talent removes the tubes from the water bath, sets them down, then opens and closes the tubes and vortexes the tubes. </w:t>
      </w:r>
    </w:p>
    <w:p w:rsidR="00491FE7" w:rsidRDefault="00491FE7" w:rsidP="0070008F">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the tubes into the centrifuge, if possible, capture the settings entered on the centrifuge. </w:t>
      </w:r>
    </w:p>
    <w:p w:rsidR="00491FE7" w:rsidRDefault="00491FE7" w:rsidP="003D77BE">
      <w:pPr>
        <w:numPr>
          <w:ilvl w:val="1"/>
          <w:numId w:val="12"/>
        </w:numPr>
        <w:spacing w:before="240"/>
        <w:jc w:val="both"/>
        <w:outlineLvl w:val="0"/>
        <w:rPr>
          <w:rFonts w:ascii="Helvetica" w:hAnsi="Helvetica" w:cs="Arial"/>
          <w:sz w:val="22"/>
        </w:rPr>
      </w:pPr>
      <w:r>
        <w:rPr>
          <w:rFonts w:ascii="Helvetica" w:hAnsi="Helvetica" w:cs="Arial"/>
          <w:sz w:val="22"/>
        </w:rPr>
        <w:t>After centrifugation, transfer</w:t>
      </w:r>
      <w:r w:rsidRPr="003D77BE">
        <w:rPr>
          <w:rFonts w:ascii="Helvetica" w:hAnsi="Helvetica" w:cs="Arial"/>
          <w:sz w:val="22"/>
        </w:rPr>
        <w:t xml:space="preserve"> 1.2 mL of the supernatant into a sterile 2 mL microcentrifuge tube. </w:t>
      </w:r>
    </w:p>
    <w:p w:rsidR="00491FE7" w:rsidRPr="003D77BE" w:rsidRDefault="00491FE7" w:rsidP="0070008F">
      <w:pPr>
        <w:numPr>
          <w:ilvl w:val="2"/>
          <w:numId w:val="12"/>
        </w:numPr>
        <w:spacing w:before="240"/>
        <w:jc w:val="both"/>
        <w:outlineLvl w:val="0"/>
        <w:rPr>
          <w:rFonts w:ascii="Helvetica" w:hAnsi="Helvetica" w:cs="Arial"/>
          <w:sz w:val="22"/>
        </w:rPr>
      </w:pPr>
      <w:r>
        <w:rPr>
          <w:rFonts w:ascii="Helvetica" w:hAnsi="Helvetica" w:cs="Arial"/>
          <w:sz w:val="22"/>
        </w:rPr>
        <w:t xml:space="preserve">MED/CU: Talent transfers the supernatant with a pipette into a new tube. </w:t>
      </w:r>
    </w:p>
    <w:p w:rsidR="00491FE7" w:rsidRDefault="00491FE7" w:rsidP="00126973">
      <w:pPr>
        <w:numPr>
          <w:ilvl w:val="1"/>
          <w:numId w:val="12"/>
        </w:numPr>
        <w:spacing w:before="240"/>
        <w:jc w:val="both"/>
        <w:outlineLvl w:val="0"/>
        <w:rPr>
          <w:rFonts w:ascii="Helvetica" w:hAnsi="Helvetica" w:cs="Arial"/>
          <w:sz w:val="22"/>
        </w:rPr>
      </w:pPr>
      <w:r>
        <w:rPr>
          <w:rFonts w:ascii="Helvetica" w:hAnsi="Helvetica" w:cs="Arial"/>
          <w:sz w:val="22"/>
        </w:rPr>
        <w:t xml:space="preserve">Then, place the blister pack containing the tab directly over the open microcentrifuge tube and gently push the tab out of the blister pack into the tube to avoid contact between the InhibitEx tab and the tube. Add one InhbitEx tab to each sample. </w:t>
      </w:r>
    </w:p>
    <w:p w:rsidR="00491FE7" w:rsidRDefault="00491FE7" w:rsidP="009344A6">
      <w:pPr>
        <w:numPr>
          <w:ilvl w:val="2"/>
          <w:numId w:val="12"/>
        </w:numPr>
        <w:spacing w:before="240"/>
        <w:jc w:val="both"/>
        <w:outlineLvl w:val="0"/>
        <w:rPr>
          <w:rFonts w:ascii="Helvetica" w:hAnsi="Helvetica" w:cs="Arial"/>
          <w:sz w:val="22"/>
        </w:rPr>
      </w:pPr>
      <w:r>
        <w:rPr>
          <w:rFonts w:ascii="Helvetica" w:hAnsi="Helvetica" w:cs="Arial"/>
          <w:sz w:val="22"/>
        </w:rPr>
        <w:t xml:space="preserve">CU: Talent gently pushes the tab out of the blister pack into the tube (make sure to capture a shot of the placement of the blister pack in the tube). </w:t>
      </w:r>
    </w:p>
    <w:p w:rsidR="00491FE7" w:rsidRDefault="00491FE7" w:rsidP="009344A6">
      <w:pPr>
        <w:numPr>
          <w:ilvl w:val="2"/>
          <w:numId w:val="12"/>
        </w:numPr>
        <w:spacing w:before="240"/>
        <w:jc w:val="both"/>
        <w:outlineLvl w:val="0"/>
        <w:rPr>
          <w:rFonts w:ascii="Helvetica" w:hAnsi="Helvetica" w:cs="Arial"/>
          <w:sz w:val="22"/>
        </w:rPr>
      </w:pPr>
      <w:r>
        <w:rPr>
          <w:rFonts w:ascii="Helvetica" w:hAnsi="Helvetica" w:cs="Arial"/>
          <w:sz w:val="22"/>
        </w:rPr>
        <w:t xml:space="preserve">MED/CU: Talent continues to add a tab to each sample. </w:t>
      </w:r>
    </w:p>
    <w:p w:rsidR="00491FE7" w:rsidRDefault="00491FE7" w:rsidP="001048CA">
      <w:pPr>
        <w:numPr>
          <w:ilvl w:val="1"/>
          <w:numId w:val="12"/>
        </w:numPr>
        <w:spacing w:before="240"/>
        <w:jc w:val="both"/>
        <w:outlineLvl w:val="0"/>
        <w:rPr>
          <w:rFonts w:ascii="Helvetica" w:hAnsi="Helvetica" w:cs="Arial"/>
          <w:sz w:val="22"/>
        </w:rPr>
      </w:pPr>
      <w:r>
        <w:rPr>
          <w:rFonts w:ascii="Helvetica" w:hAnsi="Helvetica" w:cs="Arial"/>
          <w:sz w:val="22"/>
        </w:rPr>
        <w:t xml:space="preserve">Next, vortex the tubes until the samples turn to a uniformly off-white liquid. Incubate the samples for one minute at room temperature and centrifuge them at 14,000 x g for 5 minutes. </w:t>
      </w:r>
    </w:p>
    <w:p w:rsidR="00491FE7" w:rsidRDefault="00491FE7" w:rsidP="009344A6">
      <w:pPr>
        <w:numPr>
          <w:ilvl w:val="2"/>
          <w:numId w:val="12"/>
        </w:numPr>
        <w:spacing w:before="240"/>
        <w:jc w:val="both"/>
        <w:outlineLvl w:val="0"/>
        <w:rPr>
          <w:rFonts w:ascii="Helvetica" w:hAnsi="Helvetica" w:cs="Arial"/>
          <w:sz w:val="22"/>
        </w:rPr>
      </w:pPr>
      <w:r w:rsidRPr="00BD33F5">
        <w:rPr>
          <w:rFonts w:ascii="Helvetica" w:hAnsi="Helvetica" w:cs="Arial"/>
          <w:strike/>
          <w:sz w:val="22"/>
        </w:rPr>
        <w:t>MED</w:t>
      </w:r>
      <w:r>
        <w:rPr>
          <w:rFonts w:ascii="Helvetica" w:hAnsi="Helvetica" w:cs="Arial"/>
          <w:sz w:val="22"/>
        </w:rPr>
        <w:t xml:space="preserve">: </w:t>
      </w:r>
      <w:r w:rsidRPr="00DC2CD5">
        <w:rPr>
          <w:rFonts w:ascii="Helvetica" w:hAnsi="Helvetica" w:cs="Arial"/>
          <w:color w:val="FF0000"/>
          <w:sz w:val="22"/>
        </w:rPr>
        <w:t>ACU:</w:t>
      </w:r>
      <w:r>
        <w:rPr>
          <w:rFonts w:ascii="Helvetica" w:hAnsi="Helvetica" w:cs="Arial"/>
          <w:sz w:val="22"/>
        </w:rPr>
        <w:t xml:space="preserve"> – Over the Shoulder: Talent vortexes the tube, and shows the resulting off-white liquid color to the camera. </w:t>
      </w:r>
    </w:p>
    <w:p w:rsidR="00491FE7" w:rsidRDefault="00491FE7" w:rsidP="009344A6">
      <w:pPr>
        <w:numPr>
          <w:ilvl w:val="2"/>
          <w:numId w:val="12"/>
        </w:numPr>
        <w:spacing w:before="240"/>
        <w:jc w:val="both"/>
        <w:outlineLvl w:val="0"/>
        <w:rPr>
          <w:rFonts w:ascii="Helvetica" w:hAnsi="Helvetica" w:cs="Arial"/>
          <w:sz w:val="22"/>
        </w:rPr>
      </w:pPr>
      <w:r>
        <w:rPr>
          <w:rFonts w:ascii="Helvetica" w:hAnsi="Helvetica" w:cs="Arial"/>
          <w:sz w:val="22"/>
        </w:rPr>
        <w:t xml:space="preserve">MED: A timer goes off indicating one minute has passed and the talent places the samples into the centrifuge. Again, if possible, capture the parameters entered. </w:t>
      </w:r>
    </w:p>
    <w:p w:rsidR="00491FE7" w:rsidRDefault="00491FE7" w:rsidP="001851FB">
      <w:pPr>
        <w:numPr>
          <w:ilvl w:val="1"/>
          <w:numId w:val="12"/>
        </w:numPr>
        <w:spacing w:before="240"/>
        <w:jc w:val="both"/>
        <w:outlineLvl w:val="0"/>
        <w:rPr>
          <w:rFonts w:ascii="Helvetica" w:hAnsi="Helvetica" w:cs="Arial"/>
          <w:sz w:val="22"/>
        </w:rPr>
      </w:pPr>
      <w:r>
        <w:rPr>
          <w:rFonts w:ascii="Helvetica" w:hAnsi="Helvetica" w:cs="Arial"/>
          <w:sz w:val="22"/>
        </w:rPr>
        <w:t xml:space="preserve">While avoiding any remaining particles at the bottom of the tubes, transfer all liquid to a sterile 1.5 mL microcentrifuge tube, then centrifuge the tubes at </w:t>
      </w:r>
      <w:r w:rsidRPr="00DC2CD5">
        <w:rPr>
          <w:rFonts w:ascii="Helvetica" w:hAnsi="Helvetica" w:cs="Arial"/>
          <w:color w:val="FF0000"/>
          <w:sz w:val="22"/>
        </w:rPr>
        <w:t>full speed</w:t>
      </w:r>
      <w:r>
        <w:rPr>
          <w:rFonts w:ascii="Helvetica" w:hAnsi="Helvetica" w:cs="Arial"/>
          <w:sz w:val="22"/>
        </w:rPr>
        <w:t xml:space="preserve"> for 5 minutes. </w:t>
      </w:r>
    </w:p>
    <w:p w:rsidR="00491FE7" w:rsidRDefault="00491FE7" w:rsidP="001B7B6B">
      <w:pPr>
        <w:numPr>
          <w:ilvl w:val="2"/>
          <w:numId w:val="12"/>
        </w:numPr>
        <w:spacing w:before="240"/>
        <w:jc w:val="both"/>
        <w:outlineLvl w:val="0"/>
        <w:rPr>
          <w:rFonts w:ascii="Helvetica" w:hAnsi="Helvetica" w:cs="Arial"/>
          <w:sz w:val="22"/>
        </w:rPr>
      </w:pPr>
      <w:r>
        <w:rPr>
          <w:rFonts w:ascii="Helvetica" w:hAnsi="Helvetica" w:cs="Arial"/>
          <w:sz w:val="22"/>
        </w:rPr>
        <w:t xml:space="preserve">CU/ECU: Talent uses a pipette to carefully transfer the liquid to a microcentrifuge tube, capture the talent avoiding the particles at the bottom of the tube. </w:t>
      </w:r>
    </w:p>
    <w:p w:rsidR="00491FE7" w:rsidRPr="001851FB" w:rsidRDefault="00491FE7" w:rsidP="001B7B6B">
      <w:pPr>
        <w:numPr>
          <w:ilvl w:val="2"/>
          <w:numId w:val="12"/>
        </w:numPr>
        <w:spacing w:before="240"/>
        <w:jc w:val="both"/>
        <w:outlineLvl w:val="0"/>
        <w:rPr>
          <w:rFonts w:ascii="Helvetica" w:hAnsi="Helvetica" w:cs="Arial"/>
          <w:sz w:val="22"/>
        </w:rPr>
      </w:pPr>
      <w:r>
        <w:rPr>
          <w:rFonts w:ascii="Helvetica" w:hAnsi="Helvetica" w:cs="Arial"/>
          <w:sz w:val="22"/>
        </w:rPr>
        <w:t xml:space="preserve">MED: Talent then places it in a centrifuge. </w:t>
      </w:r>
    </w:p>
    <w:p w:rsidR="00491FE7" w:rsidRPr="00FB038C" w:rsidRDefault="00491FE7" w:rsidP="00565757">
      <w:pPr>
        <w:numPr>
          <w:ilvl w:val="0"/>
          <w:numId w:val="12"/>
        </w:numPr>
        <w:spacing w:before="240"/>
        <w:jc w:val="both"/>
        <w:outlineLvl w:val="0"/>
        <w:rPr>
          <w:rFonts w:ascii="Helvetica" w:hAnsi="Helvetica" w:cs="Arial"/>
          <w:b/>
          <w:sz w:val="22"/>
        </w:rPr>
      </w:pPr>
      <w:r>
        <w:rPr>
          <w:rFonts w:ascii="Helvetica" w:hAnsi="Helvetica" w:cs="Arial"/>
          <w:b/>
          <w:sz w:val="22"/>
        </w:rPr>
        <w:t>Automated DNA Purification with the QIAcube Robotic Workstation</w:t>
      </w:r>
    </w:p>
    <w:p w:rsidR="00491FE7" w:rsidRDefault="00491FE7" w:rsidP="00DF4385">
      <w:pPr>
        <w:numPr>
          <w:ilvl w:val="1"/>
          <w:numId w:val="12"/>
        </w:numPr>
        <w:spacing w:before="240"/>
        <w:jc w:val="both"/>
        <w:outlineLvl w:val="0"/>
        <w:rPr>
          <w:rFonts w:ascii="Helvetica" w:hAnsi="Helvetica" w:cs="Arial"/>
          <w:sz w:val="22"/>
        </w:rPr>
      </w:pPr>
      <w:r>
        <w:rPr>
          <w:rFonts w:ascii="Helvetica" w:hAnsi="Helvetica" w:cs="Arial"/>
          <w:sz w:val="22"/>
        </w:rPr>
        <w:t xml:space="preserve">Before starting automated DNA purification, make sure the workstation contains the appropriate amount of filter tips and buffers. </w:t>
      </w:r>
    </w:p>
    <w:p w:rsidR="00491FE7" w:rsidRPr="00FB038C" w:rsidRDefault="00491FE7" w:rsidP="00940019">
      <w:pPr>
        <w:numPr>
          <w:ilvl w:val="2"/>
          <w:numId w:val="12"/>
        </w:numPr>
        <w:spacing w:before="240"/>
        <w:jc w:val="both"/>
        <w:outlineLvl w:val="0"/>
        <w:rPr>
          <w:rFonts w:ascii="Helvetica" w:hAnsi="Helvetica" w:cs="Arial"/>
          <w:sz w:val="22"/>
        </w:rPr>
      </w:pPr>
      <w:r>
        <w:rPr>
          <w:rFonts w:ascii="Helvetica" w:hAnsi="Helvetica" w:cs="Arial"/>
          <w:sz w:val="22"/>
        </w:rPr>
        <w:t xml:space="preserve">MED/WIDE: Talent checks the workstation and stocks it with filter tips and visually inspects the buffers. </w:t>
      </w:r>
    </w:p>
    <w:p w:rsidR="00491FE7" w:rsidRDefault="00491FE7" w:rsidP="00251A77">
      <w:pPr>
        <w:numPr>
          <w:ilvl w:val="1"/>
          <w:numId w:val="12"/>
        </w:numPr>
        <w:spacing w:before="240"/>
        <w:jc w:val="both"/>
        <w:outlineLvl w:val="0"/>
        <w:rPr>
          <w:rFonts w:ascii="Helvetica" w:hAnsi="Helvetica" w:cs="Arial"/>
          <w:sz w:val="22"/>
        </w:rPr>
      </w:pPr>
      <w:r>
        <w:rPr>
          <w:rFonts w:ascii="Helvetica" w:hAnsi="Helvetica" w:cs="Arial"/>
          <w:sz w:val="22"/>
        </w:rPr>
        <w:t xml:space="preserve">Next, add elution tubes and filter tubes to the rotor adapters and add 400 microliters of each sample to the middle slot of the rotor adapter. Place the rotor adapters in the workstation centrifuge and ensure all of the microcentrifuge tube lids are properly secured within the rotor adapter. </w:t>
      </w:r>
    </w:p>
    <w:p w:rsidR="00491FE7" w:rsidRPr="00DC2CD5" w:rsidRDefault="00491FE7" w:rsidP="00F014E3">
      <w:pPr>
        <w:numPr>
          <w:ilvl w:val="2"/>
          <w:numId w:val="12"/>
        </w:numPr>
        <w:spacing w:before="240"/>
        <w:jc w:val="both"/>
        <w:outlineLvl w:val="0"/>
        <w:rPr>
          <w:rFonts w:ascii="Helvetica" w:hAnsi="Helvetica" w:cs="Arial"/>
          <w:sz w:val="22"/>
        </w:rPr>
      </w:pPr>
      <w:r w:rsidRPr="00DC2CD5">
        <w:rPr>
          <w:rFonts w:ascii="Helvetica" w:hAnsi="Helvetica" w:cs="Arial"/>
          <w:sz w:val="22"/>
        </w:rPr>
        <w:t xml:space="preserve">MED – Over the Shoulder: Talent adds an elution tube and a filter tube to the rotor adapter then obtains the sample </w:t>
      </w:r>
    </w:p>
    <w:p w:rsidR="00491FE7" w:rsidRPr="00DC2CD5" w:rsidRDefault="00491FE7" w:rsidP="00AD1883">
      <w:pPr>
        <w:pStyle w:val="ListParagraph"/>
        <w:numPr>
          <w:ilvl w:val="2"/>
          <w:numId w:val="12"/>
        </w:numPr>
        <w:spacing w:before="240"/>
        <w:jc w:val="both"/>
        <w:outlineLvl w:val="0"/>
        <w:rPr>
          <w:rFonts w:ascii="Helvetica" w:hAnsi="Helvetica" w:cs="Arial"/>
          <w:highlight w:val="green"/>
        </w:rPr>
      </w:pPr>
      <w:r w:rsidRPr="00DC2CD5">
        <w:rPr>
          <w:rFonts w:ascii="Helvetica" w:hAnsi="Helvetica" w:cs="Arial"/>
          <w:highlight w:val="green"/>
        </w:rPr>
        <w:t>[split shot] Beta-CU- Talent uses a pipette to add the sample to the middle slot of the rotor adapter. (Slates as 4.2.1.)</w:t>
      </w:r>
    </w:p>
    <w:p w:rsidR="00491FE7" w:rsidRDefault="00491FE7" w:rsidP="00F014E3">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the rotor adapters in the centrifuge then physically checks that the tubes are secure. </w:t>
      </w:r>
    </w:p>
    <w:p w:rsidR="00491FE7" w:rsidRDefault="00491FE7" w:rsidP="00565757">
      <w:pPr>
        <w:numPr>
          <w:ilvl w:val="1"/>
          <w:numId w:val="12"/>
        </w:numPr>
        <w:spacing w:before="240"/>
        <w:jc w:val="both"/>
        <w:outlineLvl w:val="0"/>
        <w:rPr>
          <w:rFonts w:ascii="Helvetica" w:hAnsi="Helvetica" w:cs="Arial"/>
          <w:sz w:val="22"/>
        </w:rPr>
      </w:pPr>
      <w:r>
        <w:rPr>
          <w:rFonts w:ascii="Helvetica" w:hAnsi="Helvetica" w:cs="Arial"/>
          <w:sz w:val="22"/>
        </w:rPr>
        <w:t xml:space="preserve">Add proteinase K solution to a sterile 1.5 mL microcentrifuge tube and place it into slot A on the workstation. Add 2 mL safe-lock microcentrifuge tubes to the shaker section of the workstation and ensure the lids of the sample tubes are securely placed. </w:t>
      </w:r>
    </w:p>
    <w:p w:rsidR="00491FE7" w:rsidRDefault="00491FE7" w:rsidP="00BE2E00">
      <w:pPr>
        <w:numPr>
          <w:ilvl w:val="2"/>
          <w:numId w:val="12"/>
        </w:numPr>
        <w:spacing w:before="240"/>
        <w:jc w:val="both"/>
        <w:outlineLvl w:val="0"/>
        <w:rPr>
          <w:rFonts w:ascii="Helvetica" w:hAnsi="Helvetica" w:cs="Arial"/>
          <w:sz w:val="22"/>
        </w:rPr>
      </w:pPr>
      <w:r w:rsidRPr="00BD33F5">
        <w:rPr>
          <w:rFonts w:ascii="Helvetica" w:hAnsi="Helvetica" w:cs="Arial"/>
          <w:strike/>
          <w:sz w:val="22"/>
        </w:rPr>
        <w:t>MED</w:t>
      </w:r>
      <w:r>
        <w:rPr>
          <w:rFonts w:ascii="Helvetica" w:hAnsi="Helvetica" w:cs="Arial"/>
          <w:sz w:val="22"/>
        </w:rPr>
        <w:t xml:space="preserve">: </w:t>
      </w:r>
      <w:r w:rsidRPr="00DC2CD5">
        <w:rPr>
          <w:rFonts w:ascii="Helvetica" w:hAnsi="Helvetica" w:cs="Arial"/>
          <w:color w:val="FF0000"/>
          <w:sz w:val="22"/>
        </w:rPr>
        <w:t xml:space="preserve">MCU: </w:t>
      </w:r>
      <w:r>
        <w:rPr>
          <w:rFonts w:ascii="Helvetica" w:hAnsi="Helvetica" w:cs="Arial"/>
          <w:sz w:val="22"/>
        </w:rPr>
        <w:t xml:space="preserve">Talent obtains proteinase K and adds it to a 1.5 mL tube, then places the tube into slot A. </w:t>
      </w:r>
    </w:p>
    <w:p w:rsidR="00491FE7" w:rsidRDefault="00491FE7" w:rsidP="00BE2E00">
      <w:pPr>
        <w:numPr>
          <w:ilvl w:val="2"/>
          <w:numId w:val="12"/>
        </w:numPr>
        <w:spacing w:before="240"/>
        <w:jc w:val="both"/>
        <w:outlineLvl w:val="0"/>
        <w:rPr>
          <w:rFonts w:ascii="Helvetica" w:hAnsi="Helvetica" w:cs="Arial"/>
          <w:sz w:val="22"/>
        </w:rPr>
      </w:pPr>
      <w:r>
        <w:rPr>
          <w:rFonts w:ascii="Helvetica" w:hAnsi="Helvetica" w:cs="Arial"/>
          <w:sz w:val="22"/>
        </w:rPr>
        <w:t xml:space="preserve">MED: Talent fills the shaker section of the workstation with microcentrifuge tubes and physically checks that the sample tubes are secure. </w:t>
      </w:r>
    </w:p>
    <w:p w:rsidR="00491FE7" w:rsidRDefault="00491FE7" w:rsidP="00565757">
      <w:pPr>
        <w:numPr>
          <w:ilvl w:val="1"/>
          <w:numId w:val="12"/>
        </w:numPr>
        <w:spacing w:before="240"/>
        <w:jc w:val="both"/>
        <w:outlineLvl w:val="0"/>
        <w:rPr>
          <w:rFonts w:ascii="Helvetica" w:hAnsi="Helvetica" w:cs="Arial"/>
          <w:sz w:val="22"/>
        </w:rPr>
      </w:pPr>
      <w:r>
        <w:rPr>
          <w:rFonts w:ascii="Helvetica" w:hAnsi="Helvetica" w:cs="Arial"/>
          <w:sz w:val="22"/>
        </w:rPr>
        <w:t xml:space="preserve">Using the touchscreen on the workstation, select the DNA Stool – Human Stool – Pathogen Detection Protocol and read through the subsequent screens to make sure the workstation was loaded correctly. Once all check screens are passed, select start to run the protocol. </w:t>
      </w:r>
    </w:p>
    <w:p w:rsidR="00491FE7" w:rsidRDefault="00491FE7" w:rsidP="007D4C2B">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approaches touchscreen, selects the appropriate prompt, then passes through different screens. </w:t>
      </w:r>
    </w:p>
    <w:p w:rsidR="00491FE7" w:rsidRDefault="00491FE7" w:rsidP="007D4C2B">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reaches a screen indicating all check screens are passed and/or the workstation was loaded correctly. </w:t>
      </w:r>
    </w:p>
    <w:p w:rsidR="00491FE7" w:rsidRDefault="00491FE7" w:rsidP="00565757">
      <w:pPr>
        <w:numPr>
          <w:ilvl w:val="1"/>
          <w:numId w:val="12"/>
        </w:numPr>
        <w:spacing w:before="240"/>
        <w:jc w:val="both"/>
        <w:outlineLvl w:val="0"/>
        <w:rPr>
          <w:rFonts w:ascii="Helvetica" w:hAnsi="Helvetica" w:cs="Arial"/>
          <w:sz w:val="22"/>
        </w:rPr>
      </w:pPr>
      <w:r>
        <w:rPr>
          <w:rFonts w:ascii="Helvetica" w:hAnsi="Helvetica" w:cs="Arial"/>
          <w:sz w:val="22"/>
        </w:rPr>
        <w:t xml:space="preserve">Then, remove the samples from the rotor adapters. Combine the three replicate purifications for an individual sample using a centrifugation/evaporation-based system. Re-elute the sample to a final volume of 100 microliters with Tris-EDTA buffer. </w:t>
      </w:r>
    </w:p>
    <w:p w:rsidR="00491FE7" w:rsidRDefault="00491FE7" w:rsidP="00FD19F8">
      <w:pPr>
        <w:numPr>
          <w:ilvl w:val="2"/>
          <w:numId w:val="12"/>
        </w:numPr>
        <w:spacing w:before="240"/>
        <w:jc w:val="both"/>
        <w:outlineLvl w:val="0"/>
        <w:rPr>
          <w:rFonts w:ascii="Helvetica" w:hAnsi="Helvetica" w:cs="Arial"/>
          <w:sz w:val="22"/>
        </w:rPr>
      </w:pPr>
      <w:r>
        <w:rPr>
          <w:rFonts w:ascii="Helvetica" w:hAnsi="Helvetica" w:cs="Arial"/>
          <w:sz w:val="22"/>
        </w:rPr>
        <w:t xml:space="preserve">MED: Talent takes out samples from rotor adapters. </w:t>
      </w:r>
    </w:p>
    <w:p w:rsidR="00491FE7" w:rsidRPr="00DC2CD5" w:rsidRDefault="00491FE7" w:rsidP="00FD19F8">
      <w:pPr>
        <w:numPr>
          <w:ilvl w:val="2"/>
          <w:numId w:val="12"/>
        </w:numPr>
        <w:spacing w:before="240"/>
        <w:jc w:val="both"/>
        <w:outlineLvl w:val="0"/>
        <w:rPr>
          <w:rFonts w:ascii="Helvetica" w:hAnsi="Helvetica" w:cs="Arial"/>
          <w:sz w:val="22"/>
        </w:rPr>
      </w:pPr>
      <w:r w:rsidRPr="00DC2CD5">
        <w:rPr>
          <w:rFonts w:ascii="Helvetica" w:hAnsi="Helvetica" w:cs="Arial"/>
          <w:sz w:val="22"/>
        </w:rPr>
        <w:t xml:space="preserve">MED/CU: Talent combines the replicates into a special tube, </w:t>
      </w:r>
    </w:p>
    <w:p w:rsidR="00491FE7" w:rsidRPr="00DC2CD5" w:rsidRDefault="00491FE7" w:rsidP="00BD33F5">
      <w:pPr>
        <w:pStyle w:val="ListParagraph"/>
        <w:numPr>
          <w:ilvl w:val="2"/>
          <w:numId w:val="23"/>
        </w:numPr>
        <w:spacing w:before="240"/>
        <w:ind w:left="1350" w:hanging="630"/>
        <w:jc w:val="both"/>
        <w:outlineLvl w:val="0"/>
        <w:rPr>
          <w:rFonts w:ascii="Helvetica" w:hAnsi="Helvetica" w:cs="Arial"/>
          <w:highlight w:val="green"/>
        </w:rPr>
      </w:pPr>
      <w:r w:rsidRPr="00DC2CD5">
        <w:rPr>
          <w:rFonts w:ascii="Helvetica" w:hAnsi="Helvetica" w:cs="Arial"/>
          <w:highlight w:val="green"/>
        </w:rPr>
        <w:t xml:space="preserve">[split shot] Beta (Misslated: 4.5.2) MED: Talent then places it into the centrifuge. </w:t>
      </w:r>
    </w:p>
    <w:p w:rsidR="00491FE7" w:rsidRDefault="00491FE7" w:rsidP="00FD19F8">
      <w:pPr>
        <w:numPr>
          <w:ilvl w:val="2"/>
          <w:numId w:val="12"/>
        </w:numPr>
        <w:spacing w:before="240"/>
        <w:jc w:val="both"/>
        <w:outlineLvl w:val="0"/>
        <w:rPr>
          <w:rFonts w:ascii="Helvetica" w:hAnsi="Helvetica" w:cs="Arial"/>
          <w:sz w:val="22"/>
        </w:rPr>
      </w:pPr>
      <w:r>
        <w:rPr>
          <w:rFonts w:ascii="Helvetica" w:hAnsi="Helvetica" w:cs="Arial"/>
          <w:sz w:val="22"/>
        </w:rPr>
        <w:t xml:space="preserve">MED/CU: Talent adds 100 microliters of Tris-EDTA buffer to the tube and mixes the sample with a pipette. </w:t>
      </w:r>
    </w:p>
    <w:p w:rsidR="00491FE7" w:rsidRDefault="00491FE7" w:rsidP="00565757">
      <w:pPr>
        <w:numPr>
          <w:ilvl w:val="1"/>
          <w:numId w:val="12"/>
        </w:numPr>
        <w:spacing w:before="240"/>
        <w:jc w:val="both"/>
        <w:outlineLvl w:val="0"/>
        <w:rPr>
          <w:rFonts w:ascii="Helvetica" w:hAnsi="Helvetica" w:cs="Arial"/>
          <w:sz w:val="22"/>
        </w:rPr>
      </w:pPr>
      <w:r>
        <w:rPr>
          <w:rFonts w:ascii="Helvetica" w:hAnsi="Helvetica" w:cs="Arial"/>
          <w:sz w:val="22"/>
        </w:rPr>
        <w:t xml:space="preserve">Finally, cap the samples, and place them at -20 °C until they are needed for downstream analysis. </w:t>
      </w:r>
    </w:p>
    <w:p w:rsidR="00491FE7" w:rsidRDefault="00491FE7" w:rsidP="00FD19F8">
      <w:pPr>
        <w:numPr>
          <w:ilvl w:val="2"/>
          <w:numId w:val="12"/>
        </w:numPr>
        <w:spacing w:before="240"/>
        <w:jc w:val="both"/>
        <w:outlineLvl w:val="0"/>
        <w:rPr>
          <w:rFonts w:ascii="Helvetica" w:hAnsi="Helvetica" w:cs="Arial"/>
          <w:sz w:val="22"/>
        </w:rPr>
      </w:pPr>
      <w:r>
        <w:rPr>
          <w:rFonts w:ascii="Helvetica" w:hAnsi="Helvetica" w:cs="Arial"/>
          <w:sz w:val="22"/>
        </w:rPr>
        <w:t xml:space="preserve">MED: Side view, talent has samples lined up in a box, he/she caps the last sample, and places it into the box, closes the box, then places it in the freezer. </w:t>
      </w:r>
    </w:p>
    <w:p w:rsidR="00491FE7" w:rsidRPr="00920E3F" w:rsidRDefault="00491FE7" w:rsidP="00126973">
      <w:pPr>
        <w:numPr>
          <w:ilvl w:val="0"/>
          <w:numId w:val="12"/>
        </w:numPr>
        <w:spacing w:before="240"/>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xml:space="preserve">: Hybrid DNA Extraction Method Effective for Total Bacterial Assessment </w:t>
      </w:r>
    </w:p>
    <w:p w:rsidR="00491FE7" w:rsidRPr="00F4570E" w:rsidRDefault="00491FE7" w:rsidP="00F4570E">
      <w:pPr>
        <w:numPr>
          <w:ilvl w:val="1"/>
          <w:numId w:val="12"/>
        </w:numPr>
        <w:spacing w:before="240"/>
        <w:jc w:val="both"/>
        <w:outlineLvl w:val="0"/>
        <w:rPr>
          <w:rFonts w:ascii="Helvetica" w:hAnsi="Helvetica" w:cs="Arial"/>
          <w:sz w:val="22"/>
        </w:rPr>
      </w:pPr>
      <w:r>
        <w:rPr>
          <w:rFonts w:ascii="Helvetica" w:hAnsi="Helvetica" w:cs="Arial"/>
          <w:sz w:val="22"/>
        </w:rPr>
        <w:t xml:space="preserve">This graph demonstrates that the mechanical method consistently provided the overall highest total bacterial normalized gene abundance estimates for fecal and litter samples. The enzymatic method had the lowest estimates in all cases. The novel hybrid extraction method produced the best combination of qualitative and quantitative total bacterial community estimates of the three extraction methods tested. </w:t>
      </w:r>
    </w:p>
    <w:p w:rsidR="00491FE7" w:rsidRDefault="00491FE7" w:rsidP="00920E3F">
      <w:pPr>
        <w:numPr>
          <w:ilvl w:val="2"/>
          <w:numId w:val="12"/>
        </w:numPr>
        <w:spacing w:before="240"/>
        <w:jc w:val="both"/>
        <w:outlineLvl w:val="0"/>
        <w:rPr>
          <w:rFonts w:ascii="Helvetica" w:hAnsi="Helvetica" w:cs="Arial"/>
          <w:sz w:val="22"/>
        </w:rPr>
      </w:pPr>
      <w:r>
        <w:rPr>
          <w:rFonts w:ascii="Helvetica" w:hAnsi="Helvetica" w:cs="Arial"/>
          <w:sz w:val="22"/>
        </w:rPr>
        <w:t xml:space="preserve">LAB MEDIA: Figure 1, Table 2 (Display Figure 1 first, with all text. When “mechanical” is said, highlight the text for mechanical on the x-axis by boxing or coloring in blue. When “fecal” and “litter” are said, highlight the bar graphs for mechanical fecal and then litter samples, respectively. Remove the highlighting. When “enzymatic” is said highlight the text by boxing or coloring in yellow the text in the y-axis and simultaneously highlight the bars above enzymatic. Display Table 2 in a split screen with Figure 1, when the last sentence begins. If possible, format the table as displayed below. Highlight by boxing or coloring in green the text, bars (in the graph), and rows (in the table) for “hybrid” when “qualitative and quantitative” is said.) </w:t>
      </w:r>
    </w:p>
    <w:p w:rsidR="00491FE7" w:rsidRDefault="00491FE7" w:rsidP="00750709">
      <w:pPr>
        <w:spacing w:before="240"/>
        <w:ind w:left="1368"/>
        <w:jc w:val="both"/>
        <w:outlineLvl w:val="0"/>
        <w:rPr>
          <w:rFonts w:ascii="Helvetica" w:hAnsi="Helvetica" w:cs="Arial"/>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69"/>
        <w:gridCol w:w="2661"/>
        <w:gridCol w:w="1648"/>
      </w:tblGrid>
      <w:tr w:rsidR="00491FE7" w:rsidTr="00B92346">
        <w:trPr>
          <w:jc w:val="center"/>
        </w:trPr>
        <w:tc>
          <w:tcPr>
            <w:tcW w:w="0" w:type="auto"/>
            <w:vAlign w:val="center"/>
          </w:tcPr>
          <w:p w:rsidR="00491FE7" w:rsidRPr="00B92346" w:rsidRDefault="00491FE7" w:rsidP="00B92346">
            <w:pPr>
              <w:spacing w:before="240"/>
              <w:jc w:val="center"/>
              <w:outlineLvl w:val="0"/>
              <w:rPr>
                <w:rFonts w:ascii="Helvetica" w:hAnsi="Helvetica" w:cs="Arial"/>
                <w:b/>
              </w:rPr>
            </w:pPr>
            <w:r w:rsidRPr="00B92346">
              <w:rPr>
                <w:rFonts w:ascii="Helvetica" w:hAnsi="Helvetica" w:cs="Arial"/>
                <w:b/>
                <w:sz w:val="22"/>
              </w:rPr>
              <w:t>SAMPLE TYPE</w:t>
            </w:r>
          </w:p>
        </w:tc>
        <w:tc>
          <w:tcPr>
            <w:tcW w:w="0" w:type="auto"/>
            <w:vAlign w:val="center"/>
          </w:tcPr>
          <w:p w:rsidR="00491FE7" w:rsidRPr="00B92346" w:rsidRDefault="00491FE7" w:rsidP="00B92346">
            <w:pPr>
              <w:spacing w:before="240"/>
              <w:jc w:val="center"/>
              <w:outlineLvl w:val="0"/>
              <w:rPr>
                <w:rFonts w:ascii="Helvetica" w:hAnsi="Helvetica" w:cs="Arial"/>
                <w:b/>
              </w:rPr>
            </w:pPr>
            <w:r w:rsidRPr="00B92346">
              <w:rPr>
                <w:rFonts w:ascii="Helvetica" w:hAnsi="Helvetica" w:cs="Arial"/>
                <w:b/>
                <w:sz w:val="22"/>
              </w:rPr>
              <w:t>EXTRACTION METHOD</w:t>
            </w:r>
          </w:p>
        </w:tc>
        <w:tc>
          <w:tcPr>
            <w:tcW w:w="0" w:type="auto"/>
            <w:vAlign w:val="center"/>
          </w:tcPr>
          <w:p w:rsidR="00491FE7" w:rsidRPr="00B92346" w:rsidRDefault="00491FE7" w:rsidP="00B92346">
            <w:pPr>
              <w:spacing w:before="240"/>
              <w:jc w:val="center"/>
              <w:outlineLvl w:val="0"/>
              <w:rPr>
                <w:rFonts w:ascii="Helvetica" w:hAnsi="Helvetica" w:cs="Arial"/>
                <w:b/>
              </w:rPr>
            </w:pPr>
            <w:r w:rsidRPr="00B92346">
              <w:rPr>
                <w:rFonts w:ascii="Helvetica" w:hAnsi="Helvetica" w:cs="Arial"/>
                <w:b/>
                <w:sz w:val="22"/>
              </w:rPr>
              <w:t>RICHNESS</w:t>
            </w:r>
          </w:p>
        </w:tc>
      </w:tr>
      <w:tr w:rsidR="00491FE7" w:rsidTr="00B92346">
        <w:trPr>
          <w:jc w:val="center"/>
        </w:trPr>
        <w:tc>
          <w:tcPr>
            <w:tcW w:w="0" w:type="auto"/>
            <w:vMerge w:val="restart"/>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FECES</w:t>
            </w: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MECHANICAL</w:t>
            </w: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453.73 (80.75)</w:t>
            </w:r>
          </w:p>
        </w:tc>
      </w:tr>
      <w:tr w:rsidR="00491FE7" w:rsidTr="00B92346">
        <w:trPr>
          <w:jc w:val="center"/>
        </w:trPr>
        <w:tc>
          <w:tcPr>
            <w:tcW w:w="0" w:type="auto"/>
            <w:vMerge/>
            <w:vAlign w:val="center"/>
          </w:tcPr>
          <w:p w:rsidR="00491FE7" w:rsidRPr="00B92346" w:rsidRDefault="00491FE7" w:rsidP="00B92346">
            <w:pPr>
              <w:spacing w:before="240"/>
              <w:jc w:val="center"/>
              <w:outlineLvl w:val="0"/>
              <w:rPr>
                <w:rFonts w:ascii="Helvetica" w:hAnsi="Helvetica" w:cs="Arial"/>
              </w:rPr>
            </w:pP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ENZYMATIC</w:t>
            </w: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472.08 (21.50)</w:t>
            </w:r>
          </w:p>
        </w:tc>
      </w:tr>
      <w:tr w:rsidR="00491FE7" w:rsidTr="00B92346">
        <w:trPr>
          <w:jc w:val="center"/>
        </w:trPr>
        <w:tc>
          <w:tcPr>
            <w:tcW w:w="0" w:type="auto"/>
            <w:vMerge/>
            <w:vAlign w:val="center"/>
          </w:tcPr>
          <w:p w:rsidR="00491FE7" w:rsidRPr="00B92346" w:rsidRDefault="00491FE7" w:rsidP="00B92346">
            <w:pPr>
              <w:spacing w:before="240"/>
              <w:jc w:val="center"/>
              <w:outlineLvl w:val="0"/>
              <w:rPr>
                <w:rFonts w:ascii="Helvetica" w:hAnsi="Helvetica" w:cs="Arial"/>
              </w:rPr>
            </w:pP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HYBRID</w:t>
            </w: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462.90 (74.71)</w:t>
            </w:r>
          </w:p>
        </w:tc>
      </w:tr>
      <w:tr w:rsidR="00491FE7" w:rsidTr="00B92346">
        <w:trPr>
          <w:jc w:val="center"/>
        </w:trPr>
        <w:tc>
          <w:tcPr>
            <w:tcW w:w="0" w:type="auto"/>
            <w:vMerge w:val="restart"/>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LITTER</w:t>
            </w: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MECHANICAL</w:t>
            </w: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423.81 (45.25)</w:t>
            </w:r>
          </w:p>
        </w:tc>
      </w:tr>
      <w:tr w:rsidR="00491FE7" w:rsidTr="00B92346">
        <w:trPr>
          <w:jc w:val="center"/>
        </w:trPr>
        <w:tc>
          <w:tcPr>
            <w:tcW w:w="0" w:type="auto"/>
            <w:vMerge/>
            <w:vAlign w:val="center"/>
          </w:tcPr>
          <w:p w:rsidR="00491FE7" w:rsidRPr="00B92346" w:rsidRDefault="00491FE7" w:rsidP="00B92346">
            <w:pPr>
              <w:spacing w:before="240"/>
              <w:jc w:val="center"/>
              <w:outlineLvl w:val="0"/>
              <w:rPr>
                <w:rFonts w:ascii="Helvetica" w:hAnsi="Helvetica" w:cs="Arial"/>
              </w:rPr>
            </w:pP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ENZYMATIC</w:t>
            </w: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546.61 (38.74)</w:t>
            </w:r>
          </w:p>
        </w:tc>
      </w:tr>
      <w:tr w:rsidR="00491FE7" w:rsidTr="00B92346">
        <w:trPr>
          <w:jc w:val="center"/>
        </w:trPr>
        <w:tc>
          <w:tcPr>
            <w:tcW w:w="0" w:type="auto"/>
            <w:vMerge/>
            <w:vAlign w:val="center"/>
          </w:tcPr>
          <w:p w:rsidR="00491FE7" w:rsidRPr="00B92346" w:rsidRDefault="00491FE7" w:rsidP="00B92346">
            <w:pPr>
              <w:spacing w:before="240"/>
              <w:jc w:val="center"/>
              <w:outlineLvl w:val="0"/>
              <w:rPr>
                <w:rFonts w:ascii="Helvetica" w:hAnsi="Helvetica" w:cs="Arial"/>
              </w:rPr>
            </w:pP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HYBRID</w:t>
            </w:r>
          </w:p>
        </w:tc>
        <w:tc>
          <w:tcPr>
            <w:tcW w:w="0" w:type="auto"/>
            <w:vAlign w:val="center"/>
          </w:tcPr>
          <w:p w:rsidR="00491FE7" w:rsidRPr="00B92346" w:rsidRDefault="00491FE7" w:rsidP="00B92346">
            <w:pPr>
              <w:spacing w:before="240"/>
              <w:jc w:val="center"/>
              <w:outlineLvl w:val="0"/>
              <w:rPr>
                <w:rFonts w:ascii="Helvetica" w:hAnsi="Helvetica" w:cs="Arial"/>
              </w:rPr>
            </w:pPr>
            <w:r w:rsidRPr="00B92346">
              <w:rPr>
                <w:rFonts w:ascii="Helvetica" w:hAnsi="Helvetica" w:cs="Arial"/>
                <w:sz w:val="22"/>
              </w:rPr>
              <w:t>463.04 (66.45)</w:t>
            </w:r>
          </w:p>
        </w:tc>
      </w:tr>
    </w:tbl>
    <w:p w:rsidR="00491FE7" w:rsidRPr="00FB038C" w:rsidRDefault="00491FE7" w:rsidP="00971E1F">
      <w:pPr>
        <w:spacing w:line="480" w:lineRule="auto"/>
        <w:rPr>
          <w:rFonts w:ascii="Helvetica" w:hAnsi="Helvetica"/>
          <w:b/>
          <w:sz w:val="22"/>
          <w:lang w:eastAsia="zh-TW"/>
        </w:rPr>
      </w:pPr>
    </w:p>
    <w:p w:rsidR="00491FE7" w:rsidRPr="00103DE1" w:rsidRDefault="00491FE7" w:rsidP="00126973">
      <w:pPr>
        <w:numPr>
          <w:ilvl w:val="0"/>
          <w:numId w:val="1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491FE7" w:rsidRDefault="00491FE7" w:rsidP="00CE10F2">
      <w:pPr>
        <w:ind w:left="360"/>
        <w:jc w:val="both"/>
        <w:rPr>
          <w:rFonts w:ascii="Helvetica" w:hAnsi="Helvetica"/>
          <w:b/>
          <w:sz w:val="22"/>
        </w:rPr>
      </w:pPr>
    </w:p>
    <w:p w:rsidR="00491FE7" w:rsidRPr="00DA76F7" w:rsidRDefault="00491FE7" w:rsidP="00CE10F2">
      <w:pPr>
        <w:numPr>
          <w:ilvl w:val="1"/>
          <w:numId w:val="20"/>
        </w:numPr>
        <w:jc w:val="both"/>
        <w:rPr>
          <w:rFonts w:ascii="Helvetica" w:hAnsi="Helvetica" w:cs="Arial"/>
          <w:sz w:val="22"/>
        </w:rPr>
      </w:pPr>
      <w:r w:rsidRPr="00DA76F7">
        <w:rPr>
          <w:rFonts w:ascii="Helvetica" w:hAnsi="Helvetica" w:cs="Arial"/>
          <w:sz w:val="22"/>
        </w:rPr>
        <w:t>Michael Rothrock Jr.: After watching this video, you should have a good understanding of how to perform this novel, semi-automated hybrid DNA extraction method, and see its utility in quantitatively and qualitatively assessing microbial communities from complex environmental samples.</w:t>
      </w:r>
    </w:p>
    <w:p w:rsidR="00491FE7" w:rsidRPr="00FB038C" w:rsidRDefault="00491FE7">
      <w:pPr>
        <w:pStyle w:val="BodyText"/>
        <w:rPr>
          <w:rFonts w:ascii="Helvetica" w:hAnsi="Helvetica"/>
          <w:i w:val="0"/>
          <w:sz w:val="22"/>
        </w:rPr>
      </w:pPr>
    </w:p>
    <w:p w:rsidR="00491FE7" w:rsidRPr="00FB038C" w:rsidRDefault="00491FE7"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491FE7" w:rsidRPr="00FB038C" w:rsidRDefault="00491FE7" w:rsidP="00CE10F2">
      <w:pPr>
        <w:pStyle w:val="BodyText"/>
        <w:outlineLvl w:val="0"/>
        <w:rPr>
          <w:rFonts w:ascii="Helvetica" w:hAnsi="Helvetica"/>
          <w:i w:val="0"/>
          <w:sz w:val="22"/>
        </w:rPr>
      </w:pPr>
    </w:p>
    <w:p w:rsidR="00491FE7" w:rsidRPr="00FB038C" w:rsidRDefault="00491FE7" w:rsidP="0040325E">
      <w:pPr>
        <w:pStyle w:val="BodyText"/>
        <w:jc w:val="center"/>
        <w:rPr>
          <w:rFonts w:ascii="Helvetica" w:hAnsi="Helvetica"/>
          <w:i w:val="0"/>
          <w:sz w:val="22"/>
        </w:rPr>
      </w:pPr>
      <w:bookmarkStart w:id="0" w:name="_GoBack"/>
      <w:bookmarkEnd w:id="0"/>
    </w:p>
    <w:p w:rsidR="00491FE7" w:rsidRPr="00FB038C" w:rsidRDefault="00491FE7">
      <w:pPr>
        <w:pStyle w:val="BodyText"/>
        <w:rPr>
          <w:rFonts w:ascii="Helvetica" w:hAnsi="Helvetica"/>
          <w:b/>
          <w:i w:val="0"/>
          <w:sz w:val="22"/>
        </w:rPr>
      </w:pPr>
    </w:p>
    <w:p w:rsidR="00491FE7" w:rsidRPr="00FB038C"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491FE7" w:rsidRPr="00FB038C"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491FE7" w:rsidRPr="00FB038C"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491FE7" w:rsidRPr="00FB038C"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91FE7" w:rsidRPr="00FB038C"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491FE7" w:rsidRPr="00FB038C"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91FE7" w:rsidRPr="00FB038C"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491FE7" w:rsidRPr="00FB038C"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91FE7"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491FE7" w:rsidRDefault="00491FE7"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91FE7" w:rsidRPr="00FB038C" w:rsidRDefault="00491FE7"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491FE7" w:rsidRPr="00FB038C" w:rsidSect="00CE10F2">
      <w:footerReference w:type="default" r:id="rId16"/>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FE7" w:rsidRDefault="00491FE7">
      <w:r>
        <w:separator/>
      </w:r>
    </w:p>
  </w:endnote>
  <w:endnote w:type="continuationSeparator" w:id="0">
    <w:p w:rsidR="00491FE7" w:rsidRDefault="00491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l?r ??f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FE7" w:rsidRDefault="00491FE7" w:rsidP="00CE10F2">
    <w:pPr>
      <w:pStyle w:val="Footer"/>
      <w:jc w:val="center"/>
    </w:pPr>
    <w:r>
      <w:rPr>
        <w:szCs w:val="24"/>
      </w:rPr>
      <w:sym w:font="Symbol" w:char="F0D3"/>
    </w:r>
    <w:r>
      <w:t xml:space="preserve"> 2013, Journal of Visualized Experiments</w:t>
    </w:r>
  </w:p>
  <w:p w:rsidR="00491FE7" w:rsidRDefault="00491FE7"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FE7" w:rsidRDefault="00491FE7">
      <w:r>
        <w:separator/>
      </w:r>
    </w:p>
  </w:footnote>
  <w:footnote w:type="continuationSeparator" w:id="0">
    <w:p w:rsidR="00491FE7" w:rsidRDefault="00491F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5ED4354C"/>
    <w:multiLevelType w:val="multilevel"/>
    <w:tmpl w:val="BBCE7674"/>
    <w:lvl w:ilvl="0">
      <w:start w:val="4"/>
      <w:numFmt w:val="decimal"/>
      <w:lvlText w:val="%1"/>
      <w:lvlJc w:val="left"/>
      <w:pPr>
        <w:ind w:left="480" w:hanging="480"/>
      </w:pPr>
      <w:rPr>
        <w:rFonts w:cs="Times New Roman" w:hint="default"/>
      </w:rPr>
    </w:lvl>
    <w:lvl w:ilvl="1">
      <w:start w:val="5"/>
      <w:numFmt w:val="decimal"/>
      <w:lvlText w:val="%1.%2"/>
      <w:lvlJc w:val="left"/>
      <w:pPr>
        <w:ind w:left="1164" w:hanging="480"/>
      </w:pPr>
      <w:rPr>
        <w:rFonts w:cs="Times New Roman" w:hint="default"/>
      </w:rPr>
    </w:lvl>
    <w:lvl w:ilvl="2">
      <w:start w:val="2"/>
      <w:numFmt w:val="decimal"/>
      <w:lvlText w:val="%1.%2.%3"/>
      <w:lvlJc w:val="left"/>
      <w:pPr>
        <w:ind w:left="2088" w:hanging="720"/>
      </w:pPr>
      <w:rPr>
        <w:rFonts w:cs="Times New Roman" w:hint="default"/>
      </w:rPr>
    </w:lvl>
    <w:lvl w:ilvl="3">
      <w:start w:val="1"/>
      <w:numFmt w:val="decimal"/>
      <w:lvlText w:val="%1.%2.%3.%4"/>
      <w:lvlJc w:val="left"/>
      <w:pPr>
        <w:ind w:left="2772" w:hanging="720"/>
      </w:pPr>
      <w:rPr>
        <w:rFonts w:cs="Times New Roman" w:hint="default"/>
      </w:rPr>
    </w:lvl>
    <w:lvl w:ilvl="4">
      <w:start w:val="1"/>
      <w:numFmt w:val="decimal"/>
      <w:lvlText w:val="%1.%2.%3.%4.%5"/>
      <w:lvlJc w:val="left"/>
      <w:pPr>
        <w:ind w:left="3816" w:hanging="1080"/>
      </w:pPr>
      <w:rPr>
        <w:rFonts w:cs="Times New Roman" w:hint="default"/>
      </w:rPr>
    </w:lvl>
    <w:lvl w:ilvl="5">
      <w:start w:val="1"/>
      <w:numFmt w:val="decimal"/>
      <w:lvlText w:val="%1.%2.%3.%4.%5.%6"/>
      <w:lvlJc w:val="left"/>
      <w:pPr>
        <w:ind w:left="4500" w:hanging="1080"/>
      </w:pPr>
      <w:rPr>
        <w:rFonts w:cs="Times New Roman" w:hint="default"/>
      </w:rPr>
    </w:lvl>
    <w:lvl w:ilvl="6">
      <w:start w:val="1"/>
      <w:numFmt w:val="decimal"/>
      <w:lvlText w:val="%1.%2.%3.%4.%5.%6.%7"/>
      <w:lvlJc w:val="left"/>
      <w:pPr>
        <w:ind w:left="5544" w:hanging="1440"/>
      </w:pPr>
      <w:rPr>
        <w:rFonts w:cs="Times New Roman" w:hint="default"/>
      </w:rPr>
    </w:lvl>
    <w:lvl w:ilvl="7">
      <w:start w:val="1"/>
      <w:numFmt w:val="decimal"/>
      <w:lvlText w:val="%1.%2.%3.%4.%5.%6.%7.%8"/>
      <w:lvlJc w:val="left"/>
      <w:pPr>
        <w:ind w:left="6228" w:hanging="1440"/>
      </w:pPr>
      <w:rPr>
        <w:rFonts w:cs="Times New Roman" w:hint="default"/>
      </w:rPr>
    </w:lvl>
    <w:lvl w:ilvl="8">
      <w:start w:val="1"/>
      <w:numFmt w:val="decimal"/>
      <w:lvlText w:val="%1.%2.%3.%4.%5.%6.%7.%8.%9"/>
      <w:lvlJc w:val="left"/>
      <w:pPr>
        <w:ind w:left="7272" w:hanging="1800"/>
      </w:pPr>
      <w:rPr>
        <w:rFonts w:cs="Times New Roman" w:hint="default"/>
      </w:rPr>
    </w:lvl>
  </w:abstractNum>
  <w:abstractNum w:abstractNumId="19">
    <w:nsid w:val="6B4B7C93"/>
    <w:multiLevelType w:val="multilevel"/>
    <w:tmpl w:val="B4E06D3E"/>
    <w:lvl w:ilvl="0">
      <w:start w:val="4"/>
      <w:numFmt w:val="decimal"/>
      <w:lvlText w:val="%1"/>
      <w:lvlJc w:val="left"/>
      <w:pPr>
        <w:ind w:left="480" w:hanging="480"/>
      </w:pPr>
      <w:rPr>
        <w:rFonts w:cs="Times New Roman" w:hint="default"/>
      </w:rPr>
    </w:lvl>
    <w:lvl w:ilvl="1">
      <w:start w:val="5"/>
      <w:numFmt w:val="decimal"/>
      <w:lvlText w:val="%1.%2"/>
      <w:lvlJc w:val="left"/>
      <w:pPr>
        <w:ind w:left="1524" w:hanging="480"/>
      </w:pPr>
      <w:rPr>
        <w:rFonts w:cs="Times New Roman" w:hint="default"/>
      </w:rPr>
    </w:lvl>
    <w:lvl w:ilvl="2">
      <w:start w:val="2"/>
      <w:numFmt w:val="decimal"/>
      <w:lvlText w:val="%1.%2.%3"/>
      <w:lvlJc w:val="left"/>
      <w:pPr>
        <w:ind w:left="2808" w:hanging="720"/>
      </w:pPr>
      <w:rPr>
        <w:rFonts w:cs="Times New Roman" w:hint="default"/>
      </w:rPr>
    </w:lvl>
    <w:lvl w:ilvl="3">
      <w:start w:val="1"/>
      <w:numFmt w:val="decimal"/>
      <w:lvlText w:val="%1.%2.%3.%4"/>
      <w:lvlJc w:val="left"/>
      <w:pPr>
        <w:ind w:left="3852" w:hanging="720"/>
      </w:pPr>
      <w:rPr>
        <w:rFonts w:cs="Times New Roman" w:hint="default"/>
      </w:rPr>
    </w:lvl>
    <w:lvl w:ilvl="4">
      <w:start w:val="1"/>
      <w:numFmt w:val="decimal"/>
      <w:lvlText w:val="%1.%2.%3.%4.%5"/>
      <w:lvlJc w:val="left"/>
      <w:pPr>
        <w:ind w:left="5256" w:hanging="1080"/>
      </w:pPr>
      <w:rPr>
        <w:rFonts w:cs="Times New Roman" w:hint="default"/>
      </w:rPr>
    </w:lvl>
    <w:lvl w:ilvl="5">
      <w:start w:val="1"/>
      <w:numFmt w:val="decimal"/>
      <w:lvlText w:val="%1.%2.%3.%4.%5.%6"/>
      <w:lvlJc w:val="left"/>
      <w:pPr>
        <w:ind w:left="6300" w:hanging="1080"/>
      </w:pPr>
      <w:rPr>
        <w:rFonts w:cs="Times New Roman" w:hint="default"/>
      </w:rPr>
    </w:lvl>
    <w:lvl w:ilvl="6">
      <w:start w:val="1"/>
      <w:numFmt w:val="decimal"/>
      <w:lvlText w:val="%1.%2.%3.%4.%5.%6.%7"/>
      <w:lvlJc w:val="left"/>
      <w:pPr>
        <w:ind w:left="7704" w:hanging="1440"/>
      </w:pPr>
      <w:rPr>
        <w:rFonts w:cs="Times New Roman" w:hint="default"/>
      </w:rPr>
    </w:lvl>
    <w:lvl w:ilvl="7">
      <w:start w:val="1"/>
      <w:numFmt w:val="decimal"/>
      <w:lvlText w:val="%1.%2.%3.%4.%5.%6.%7.%8"/>
      <w:lvlJc w:val="left"/>
      <w:pPr>
        <w:ind w:left="8748" w:hanging="1440"/>
      </w:pPr>
      <w:rPr>
        <w:rFonts w:cs="Times New Roman" w:hint="default"/>
      </w:rPr>
    </w:lvl>
    <w:lvl w:ilvl="8">
      <w:start w:val="1"/>
      <w:numFmt w:val="decimal"/>
      <w:lvlText w:val="%1.%2.%3.%4.%5.%6.%7.%8.%9"/>
      <w:lvlJc w:val="left"/>
      <w:pPr>
        <w:ind w:left="10152" w:hanging="1800"/>
      </w:pPr>
      <w:rPr>
        <w:rFonts w:cs="Times New Roman"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20"/>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2FA4"/>
    <w:rsid w:val="0001266D"/>
    <w:rsid w:val="00013862"/>
    <w:rsid w:val="0002021F"/>
    <w:rsid w:val="00023E22"/>
    <w:rsid w:val="0006176C"/>
    <w:rsid w:val="00074929"/>
    <w:rsid w:val="00076F7D"/>
    <w:rsid w:val="000A5A39"/>
    <w:rsid w:val="000B4D3D"/>
    <w:rsid w:val="000D1522"/>
    <w:rsid w:val="000F12A2"/>
    <w:rsid w:val="000F6F8D"/>
    <w:rsid w:val="00103BFD"/>
    <w:rsid w:val="00103DE1"/>
    <w:rsid w:val="001048CA"/>
    <w:rsid w:val="00114816"/>
    <w:rsid w:val="00125924"/>
    <w:rsid w:val="00126973"/>
    <w:rsid w:val="00156DB8"/>
    <w:rsid w:val="00165D3B"/>
    <w:rsid w:val="001851FB"/>
    <w:rsid w:val="00185FCD"/>
    <w:rsid w:val="001B7B6B"/>
    <w:rsid w:val="001D13ED"/>
    <w:rsid w:val="001E2EAC"/>
    <w:rsid w:val="001F0890"/>
    <w:rsid w:val="002248F0"/>
    <w:rsid w:val="00251A77"/>
    <w:rsid w:val="00283E3E"/>
    <w:rsid w:val="002B55D9"/>
    <w:rsid w:val="002B61B3"/>
    <w:rsid w:val="002C4F8A"/>
    <w:rsid w:val="00321C8C"/>
    <w:rsid w:val="003A1703"/>
    <w:rsid w:val="003A7C3C"/>
    <w:rsid w:val="003D77BE"/>
    <w:rsid w:val="003E2BC9"/>
    <w:rsid w:val="003F7354"/>
    <w:rsid w:val="0040325E"/>
    <w:rsid w:val="004103A6"/>
    <w:rsid w:val="00451FFF"/>
    <w:rsid w:val="00491FE7"/>
    <w:rsid w:val="004A473F"/>
    <w:rsid w:val="004B4B64"/>
    <w:rsid w:val="004F664D"/>
    <w:rsid w:val="00513853"/>
    <w:rsid w:val="00531072"/>
    <w:rsid w:val="00565757"/>
    <w:rsid w:val="005A09D8"/>
    <w:rsid w:val="005A1F5E"/>
    <w:rsid w:val="005B6415"/>
    <w:rsid w:val="005C2BB9"/>
    <w:rsid w:val="005D783F"/>
    <w:rsid w:val="005D787E"/>
    <w:rsid w:val="00602776"/>
    <w:rsid w:val="00606061"/>
    <w:rsid w:val="0061722E"/>
    <w:rsid w:val="006556DE"/>
    <w:rsid w:val="00656F95"/>
    <w:rsid w:val="00671964"/>
    <w:rsid w:val="006C08AE"/>
    <w:rsid w:val="006E1503"/>
    <w:rsid w:val="006F17DE"/>
    <w:rsid w:val="0070008F"/>
    <w:rsid w:val="00750709"/>
    <w:rsid w:val="007C6CAA"/>
    <w:rsid w:val="007D4C2B"/>
    <w:rsid w:val="007D744C"/>
    <w:rsid w:val="007F19F7"/>
    <w:rsid w:val="00804C75"/>
    <w:rsid w:val="008517ED"/>
    <w:rsid w:val="008807D2"/>
    <w:rsid w:val="008A1A93"/>
    <w:rsid w:val="008D2A6A"/>
    <w:rsid w:val="008D58EC"/>
    <w:rsid w:val="008E17DA"/>
    <w:rsid w:val="008E5464"/>
    <w:rsid w:val="008F7CDA"/>
    <w:rsid w:val="00916312"/>
    <w:rsid w:val="00920E3F"/>
    <w:rsid w:val="00931D25"/>
    <w:rsid w:val="009344A6"/>
    <w:rsid w:val="00940019"/>
    <w:rsid w:val="00941F06"/>
    <w:rsid w:val="00954870"/>
    <w:rsid w:val="00957564"/>
    <w:rsid w:val="00971E1F"/>
    <w:rsid w:val="009A3B36"/>
    <w:rsid w:val="00A12F8F"/>
    <w:rsid w:val="00A218EC"/>
    <w:rsid w:val="00A3138F"/>
    <w:rsid w:val="00A36FC3"/>
    <w:rsid w:val="00A4637E"/>
    <w:rsid w:val="00AC4E4D"/>
    <w:rsid w:val="00AD1883"/>
    <w:rsid w:val="00AD7700"/>
    <w:rsid w:val="00AF58C8"/>
    <w:rsid w:val="00B3299B"/>
    <w:rsid w:val="00B4499C"/>
    <w:rsid w:val="00B8105A"/>
    <w:rsid w:val="00B8486D"/>
    <w:rsid w:val="00B92346"/>
    <w:rsid w:val="00BD33F5"/>
    <w:rsid w:val="00BE2E00"/>
    <w:rsid w:val="00C218F2"/>
    <w:rsid w:val="00C304BD"/>
    <w:rsid w:val="00C60D95"/>
    <w:rsid w:val="00C97B11"/>
    <w:rsid w:val="00CB4127"/>
    <w:rsid w:val="00CC29BF"/>
    <w:rsid w:val="00CE10F2"/>
    <w:rsid w:val="00D36F21"/>
    <w:rsid w:val="00D538C0"/>
    <w:rsid w:val="00D56799"/>
    <w:rsid w:val="00D61C56"/>
    <w:rsid w:val="00D74764"/>
    <w:rsid w:val="00D77AF6"/>
    <w:rsid w:val="00D77CBD"/>
    <w:rsid w:val="00DA17FB"/>
    <w:rsid w:val="00DA19C4"/>
    <w:rsid w:val="00DA76F7"/>
    <w:rsid w:val="00DC2CD5"/>
    <w:rsid w:val="00DF4385"/>
    <w:rsid w:val="00DF5F3B"/>
    <w:rsid w:val="00E10ECF"/>
    <w:rsid w:val="00E1538F"/>
    <w:rsid w:val="00E22705"/>
    <w:rsid w:val="00E62597"/>
    <w:rsid w:val="00E833D1"/>
    <w:rsid w:val="00E924CF"/>
    <w:rsid w:val="00EF30C3"/>
    <w:rsid w:val="00EF5F13"/>
    <w:rsid w:val="00F00AB8"/>
    <w:rsid w:val="00F014E3"/>
    <w:rsid w:val="00F0293A"/>
    <w:rsid w:val="00F37874"/>
    <w:rsid w:val="00F37878"/>
    <w:rsid w:val="00F4570E"/>
    <w:rsid w:val="00F65F82"/>
    <w:rsid w:val="00F74DDA"/>
    <w:rsid w:val="00F76998"/>
    <w:rsid w:val="00FA6C0B"/>
    <w:rsid w:val="00FB038C"/>
    <w:rsid w:val="00FD19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3D"/>
    <w:rPr>
      <w:sz w:val="24"/>
      <w:szCs w:val="24"/>
    </w:rPr>
  </w:style>
  <w:style w:type="paragraph" w:styleId="Heading1">
    <w:name w:val="heading 1"/>
    <w:basedOn w:val="Normal"/>
    <w:next w:val="Normal"/>
    <w:link w:val="Heading1Char"/>
    <w:uiPriority w:val="99"/>
    <w:qFormat/>
    <w:rsid w:val="0002021F"/>
    <w:pPr>
      <w:keepNext/>
      <w:outlineLvl w:val="0"/>
    </w:pPr>
    <w:rPr>
      <w:b/>
      <w:sz w:val="32"/>
    </w:rPr>
  </w:style>
  <w:style w:type="paragraph" w:styleId="Heading2">
    <w:name w:val="heading 2"/>
    <w:basedOn w:val="Normal"/>
    <w:next w:val="Normal"/>
    <w:link w:val="Heading2Char"/>
    <w:uiPriority w:val="99"/>
    <w:qFormat/>
    <w:rsid w:val="0002021F"/>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BodyText">
    <w:name w:val="Body Text"/>
    <w:basedOn w:val="Normal"/>
    <w:link w:val="BodyTextChar"/>
    <w:uiPriority w:val="99"/>
    <w:rsid w:val="0002021F"/>
    <w:rPr>
      <w:i/>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02021F"/>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2">
    <w:name w:val="Body Text Indent 2"/>
    <w:basedOn w:val="Normal"/>
    <w:link w:val="BodyTextIndent2Char"/>
    <w:uiPriority w:val="99"/>
    <w:rsid w:val="0002021F"/>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eader">
    <w:name w:val="header"/>
    <w:basedOn w:val="Normal"/>
    <w:link w:val="HeaderChar"/>
    <w:uiPriority w:val="99"/>
    <w:rsid w:val="0002021F"/>
    <w:pPr>
      <w:tabs>
        <w:tab w:val="center" w:pos="4320"/>
        <w:tab w:val="right" w:pos="8640"/>
      </w:tabs>
    </w:pPr>
  </w:style>
  <w:style w:type="character" w:customStyle="1" w:styleId="HeaderChar">
    <w:name w:val="Header Char"/>
    <w:basedOn w:val="DefaultParagraphFont"/>
    <w:link w:val="Header"/>
    <w:uiPriority w:val="99"/>
    <w:locked/>
    <w:rsid w:val="000B4D3D"/>
    <w:rPr>
      <w:rFonts w:cs="Times New Roman"/>
    </w:rPr>
  </w:style>
  <w:style w:type="paragraph" w:styleId="BodyText2">
    <w:name w:val="Body Text 2"/>
    <w:basedOn w:val="Normal"/>
    <w:link w:val="BodyText2Char"/>
    <w:uiPriority w:val="99"/>
    <w:rsid w:val="0002021F"/>
    <w:rPr>
      <w:sz w:val="32"/>
      <w:lang w:eastAsia="zh-TW"/>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0B4D3D"/>
    <w:pPr>
      <w:tabs>
        <w:tab w:val="center" w:pos="4320"/>
        <w:tab w:val="right" w:pos="8640"/>
      </w:tabs>
    </w:pPr>
    <w:rPr>
      <w:szCs w:val="20"/>
    </w:rPr>
  </w:style>
  <w:style w:type="character" w:customStyle="1" w:styleId="FooterChar">
    <w:name w:val="Footer Char"/>
    <w:basedOn w:val="DefaultParagraphFont"/>
    <w:link w:val="Footer"/>
    <w:uiPriority w:val="99"/>
    <w:locked/>
    <w:rsid w:val="000B4D3D"/>
    <w:rPr>
      <w:rFonts w:cs="Times New Roman"/>
      <w:sz w:val="24"/>
    </w:rPr>
  </w:style>
  <w:style w:type="character" w:styleId="Hyperlink">
    <w:name w:val="Hyperlink"/>
    <w:basedOn w:val="DefaultParagraphFont"/>
    <w:uiPriority w:val="99"/>
    <w:semiHidden/>
    <w:rsid w:val="000B4D3D"/>
    <w:rPr>
      <w:rFonts w:cs="Times New Roman"/>
      <w:color w:val="0000FF"/>
      <w:u w:val="single"/>
    </w:rPr>
  </w:style>
  <w:style w:type="character" w:styleId="FollowedHyperlink">
    <w:name w:val="FollowedHyperlink"/>
    <w:basedOn w:val="DefaultParagraphFont"/>
    <w:uiPriority w:val="99"/>
    <w:semiHidden/>
    <w:rsid w:val="000B4D3D"/>
    <w:rPr>
      <w:rFonts w:cs="Times New Roman"/>
      <w:color w:val="800080"/>
      <w:u w:val="single"/>
    </w:rPr>
  </w:style>
  <w:style w:type="paragraph" w:styleId="BalloonText">
    <w:name w:val="Balloon Text"/>
    <w:basedOn w:val="Normal"/>
    <w:link w:val="BalloonTextChar"/>
    <w:uiPriority w:val="99"/>
    <w:semiHidden/>
    <w:rsid w:val="000B4D3D"/>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customStyle="1" w:styleId="Default">
    <w:name w:val="Default"/>
    <w:uiPriority w:val="99"/>
    <w:rsid w:val="000B4D3D"/>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0B4D3D"/>
    <w:rPr>
      <w:rFonts w:cs="Times New Roman"/>
      <w:color w:val="auto"/>
    </w:rPr>
  </w:style>
  <w:style w:type="character" w:customStyle="1" w:styleId="v10pt1">
    <w:name w:val="v10pt1"/>
    <w:uiPriority w:val="99"/>
    <w:rsid w:val="000B4D3D"/>
    <w:rPr>
      <w:rFonts w:ascii="Verdana" w:hAnsi="Verdana"/>
      <w:sz w:val="20"/>
    </w:rPr>
  </w:style>
  <w:style w:type="paragraph" w:styleId="ListParagraph">
    <w:name w:val="List Paragraph"/>
    <w:basedOn w:val="Normal"/>
    <w:uiPriority w:val="99"/>
    <w:qFormat/>
    <w:rsid w:val="000B4D3D"/>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0B4D3D"/>
    <w:pPr>
      <w:spacing w:line="243" w:lineRule="atLeast"/>
    </w:pPr>
    <w:rPr>
      <w:rFonts w:cs="Times New Roman"/>
      <w:color w:val="auto"/>
    </w:rPr>
  </w:style>
  <w:style w:type="paragraph" w:customStyle="1" w:styleId="authors1">
    <w:name w:val="authors1"/>
    <w:basedOn w:val="Normal"/>
    <w:uiPriority w:val="99"/>
    <w:rsid w:val="000B4D3D"/>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0B4D3D"/>
  </w:style>
  <w:style w:type="character" w:customStyle="1" w:styleId="apple-style-span">
    <w:name w:val="apple-style-span"/>
    <w:uiPriority w:val="99"/>
    <w:rsid w:val="000B4D3D"/>
  </w:style>
  <w:style w:type="character" w:customStyle="1" w:styleId="apple-converted-space">
    <w:name w:val="apple-converted-space"/>
    <w:uiPriority w:val="99"/>
    <w:rsid w:val="000B4D3D"/>
  </w:style>
  <w:style w:type="character" w:customStyle="1" w:styleId="ti2">
    <w:name w:val="ti2"/>
    <w:uiPriority w:val="99"/>
    <w:rsid w:val="000B4D3D"/>
    <w:rPr>
      <w:sz w:val="22"/>
    </w:rPr>
  </w:style>
  <w:style w:type="paragraph" w:customStyle="1" w:styleId="CM4">
    <w:name w:val="CM4"/>
    <w:basedOn w:val="Default"/>
    <w:next w:val="Default"/>
    <w:uiPriority w:val="99"/>
    <w:rsid w:val="000B4D3D"/>
    <w:pPr>
      <w:spacing w:line="243" w:lineRule="atLeast"/>
    </w:pPr>
    <w:rPr>
      <w:rFonts w:cs="Times New Roman"/>
      <w:color w:val="auto"/>
    </w:rPr>
  </w:style>
  <w:style w:type="character" w:styleId="Emphasis">
    <w:name w:val="Emphasis"/>
    <w:basedOn w:val="DefaultParagraphFont"/>
    <w:uiPriority w:val="99"/>
    <w:qFormat/>
    <w:rsid w:val="000B4D3D"/>
    <w:rPr>
      <w:rFonts w:cs="Times New Roman"/>
      <w:i/>
    </w:rPr>
  </w:style>
  <w:style w:type="paragraph" w:customStyle="1" w:styleId="TEXTOVERVIDEO">
    <w:name w:val="TEXT OVER VIDEO"/>
    <w:basedOn w:val="Normal"/>
    <w:uiPriority w:val="99"/>
    <w:rsid w:val="000B4D3D"/>
    <w:pPr>
      <w:spacing w:before="40"/>
      <w:ind w:left="1368"/>
      <w:jc w:val="both"/>
      <w:outlineLvl w:val="0"/>
    </w:pPr>
    <w:rPr>
      <w:rFonts w:ascii="Arial" w:hAnsi="Arial" w:cs="Arial"/>
      <w:sz w:val="22"/>
    </w:rPr>
  </w:style>
  <w:style w:type="character" w:styleId="CommentReference">
    <w:name w:val="annotation reference"/>
    <w:basedOn w:val="DefaultParagraphFont"/>
    <w:uiPriority w:val="99"/>
    <w:semiHidden/>
    <w:rsid w:val="000B4D3D"/>
    <w:rPr>
      <w:rFonts w:cs="Times New Roman"/>
      <w:sz w:val="18"/>
    </w:rPr>
  </w:style>
  <w:style w:type="paragraph" w:styleId="CommentText">
    <w:name w:val="annotation text"/>
    <w:basedOn w:val="Normal"/>
    <w:link w:val="CommentTextChar"/>
    <w:uiPriority w:val="99"/>
    <w:semiHidden/>
    <w:rsid w:val="000B4D3D"/>
  </w:style>
  <w:style w:type="character" w:customStyle="1" w:styleId="CommentTextChar">
    <w:name w:val="Comment Text Char"/>
    <w:basedOn w:val="DefaultParagraphFont"/>
    <w:link w:val="CommentText"/>
    <w:uiPriority w:val="99"/>
    <w:semiHidden/>
    <w:locked/>
    <w:rsid w:val="000B4D3D"/>
    <w:rPr>
      <w:rFonts w:cs="Times New Roman"/>
      <w:sz w:val="24"/>
    </w:rPr>
  </w:style>
  <w:style w:type="paragraph" w:styleId="CommentSubject">
    <w:name w:val="annotation subject"/>
    <w:basedOn w:val="CommentText"/>
    <w:next w:val="CommentText"/>
    <w:link w:val="CommentSubjectChar"/>
    <w:uiPriority w:val="99"/>
    <w:semiHidden/>
    <w:rsid w:val="000B4D3D"/>
    <w:rPr>
      <w:b/>
      <w:bCs/>
    </w:rPr>
  </w:style>
  <w:style w:type="character" w:customStyle="1" w:styleId="CommentSubjectChar">
    <w:name w:val="Comment Subject Char"/>
    <w:basedOn w:val="CommentTextChar"/>
    <w:link w:val="CommentSubject"/>
    <w:uiPriority w:val="99"/>
    <w:semiHidden/>
    <w:locked/>
    <w:rsid w:val="000B4D3D"/>
    <w:rPr>
      <w:b/>
    </w:rPr>
  </w:style>
  <w:style w:type="table" w:styleId="TableGrid">
    <w:name w:val="Table Grid"/>
    <w:basedOn w:val="TableNormal"/>
    <w:uiPriority w:val="99"/>
    <w:rsid w:val="00D7476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943282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elli.hiett@ars.usda.gov" TargetMode="External"/><Relationship Id="rId13" Type="http://schemas.openxmlformats.org/officeDocument/2006/relationships/hyperlink" Target="http://download.cnet.com/Camtasia-Studio/3000-13633_4-10665109.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rothrock@ars.usda.gov" TargetMode="External"/><Relationship Id="rId12" Type="http://schemas.openxmlformats.org/officeDocument/2006/relationships/hyperlink" Target="mailto:gregcaporaso@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ie.hogan@ars.usda.gov"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acaudill@uga.edu" TargetMode="External"/><Relationship Id="rId4" Type="http://schemas.openxmlformats.org/officeDocument/2006/relationships/webSettings" Target="webSettings.xml"/><Relationship Id="rId9" Type="http://schemas.openxmlformats.org/officeDocument/2006/relationships/hyperlink" Target="mailto:gamblej@onid.oregonstate.edu" TargetMode="External"/><Relationship Id="rId14"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8</Pages>
  <Words>2522</Words>
  <Characters>14380</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4</cp:revision>
  <dcterms:created xsi:type="dcterms:W3CDTF">2014-07-25T18:27:00Z</dcterms:created>
  <dcterms:modified xsi:type="dcterms:W3CDTF">2014-07-25T21:05:00Z</dcterms:modified>
</cp:coreProperties>
</file>