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71" w:rsidRPr="00493AEC" w:rsidRDefault="00437871" w:rsidP="00437871">
      <w:pPr>
        <w:rPr>
          <w:u w:val="single"/>
        </w:rPr>
      </w:pPr>
      <w:proofErr w:type="spellStart"/>
      <w:r w:rsidRPr="00493AEC">
        <w:rPr>
          <w:u w:val="single"/>
        </w:rPr>
        <w:t>Gotz</w:t>
      </w:r>
      <w:proofErr w:type="spellEnd"/>
      <w:r w:rsidRPr="00493AEC">
        <w:rPr>
          <w:u w:val="single"/>
        </w:rPr>
        <w:t xml:space="preserve"> 52134 </w:t>
      </w:r>
      <w:proofErr w:type="spellStart"/>
      <w:r w:rsidRPr="00493AEC">
        <w:rPr>
          <w:u w:val="single"/>
        </w:rPr>
        <w:t>redos</w:t>
      </w:r>
      <w:proofErr w:type="spellEnd"/>
      <w:r w:rsidRPr="00493AEC">
        <w:rPr>
          <w:u w:val="single"/>
        </w:rPr>
        <w:t xml:space="preserve"> (6)</w:t>
      </w:r>
    </w:p>
    <w:p w:rsidR="00437871" w:rsidRDefault="00437871" w:rsidP="00437871">
      <w:proofErr w:type="gramStart"/>
      <w:r>
        <w:rPr>
          <w:rFonts w:ascii="Arial" w:hAnsi="Arial" w:cs="Arial"/>
        </w:rPr>
        <w:t>2.8  After</w:t>
      </w:r>
      <w:proofErr w:type="gramEnd"/>
      <w:r>
        <w:rPr>
          <w:rFonts w:ascii="Arial" w:hAnsi="Arial" w:cs="Arial"/>
        </w:rPr>
        <w:t xml:space="preserve"> the run, add 6 µl of loading dye to the samples and </w:t>
      </w:r>
      <w:r>
        <w:rPr>
          <w:rFonts w:ascii="Arial" w:hAnsi="Arial" w:cs="Arial"/>
          <w:b/>
          <w:bCs/>
        </w:rPr>
        <w:t>then</w:t>
      </w:r>
      <w:r>
        <w:rPr>
          <w:rFonts w:ascii="Arial" w:hAnsi="Arial" w:cs="Arial"/>
        </w:rPr>
        <w:t xml:space="preserve"> on ice if using right away or at -20°C long-term. (</w:t>
      </w:r>
      <w:r>
        <w:rPr>
          <w:rStyle w:val="aqj"/>
          <w:rFonts w:ascii="Arial" w:hAnsi="Arial" w:cs="Arial"/>
        </w:rPr>
        <w:t>4:10</w:t>
      </w:r>
      <w:r>
        <w:rPr>
          <w:rFonts w:ascii="Arial" w:hAnsi="Arial" w:cs="Arial"/>
        </w:rPr>
        <w:t>, rewrite)</w:t>
      </w:r>
    </w:p>
    <w:p w:rsidR="00437871" w:rsidRDefault="00437871" w:rsidP="00437871"/>
    <w:p w:rsidR="00437871" w:rsidRDefault="00437871" w:rsidP="00437871">
      <w:r>
        <w:rPr>
          <w:rFonts w:ascii="Arial" w:hAnsi="Arial" w:cs="Arial"/>
        </w:rPr>
        <w:t>3.2 </w:t>
      </w:r>
      <w:r>
        <w:rPr>
          <w:rFonts w:ascii="Arial" w:hAnsi="Arial" w:cs="Arial"/>
          <w:b/>
          <w:bCs/>
        </w:rPr>
        <w:t xml:space="preserve">With the notched end of the glass plates and the rail entry pilots both facing upwards, attach the gel rails to both sides of the glass plates and lightly tighten the knobs. </w:t>
      </w:r>
      <w:r>
        <w:rPr>
          <w:rFonts w:ascii="Arial" w:hAnsi="Arial" w:cs="Arial"/>
        </w:rPr>
        <w:t>(</w:t>
      </w:r>
      <w:r>
        <w:rPr>
          <w:rStyle w:val="aqj"/>
          <w:rFonts w:ascii="Arial" w:hAnsi="Arial" w:cs="Arial"/>
        </w:rPr>
        <w:t>4:41</w:t>
      </w:r>
      <w:r>
        <w:rPr>
          <w:rFonts w:ascii="Arial" w:hAnsi="Arial" w:cs="Arial"/>
        </w:rPr>
        <w:t>, rewrite)</w:t>
      </w:r>
    </w:p>
    <w:p w:rsidR="00437871" w:rsidRDefault="00437871" w:rsidP="00437871"/>
    <w:p w:rsidR="00437871" w:rsidRDefault="00437871" w:rsidP="00437871">
      <w:r>
        <w:rPr>
          <w:rFonts w:ascii="Arial" w:hAnsi="Arial" w:cs="Arial"/>
        </w:rPr>
        <w:t xml:space="preserve">4.3 Use 1X TBE buffer to fill the </w:t>
      </w:r>
      <w:r>
        <w:rPr>
          <w:rFonts w:ascii="Arial" w:hAnsi="Arial" w:cs="Arial"/>
          <w:b/>
          <w:bCs/>
        </w:rPr>
        <w:t>upper</w:t>
      </w:r>
      <w:r>
        <w:rPr>
          <w:rFonts w:ascii="Arial" w:hAnsi="Arial" w:cs="Arial"/>
        </w:rPr>
        <w:t xml:space="preserve"> and </w:t>
      </w:r>
      <w:r>
        <w:rPr>
          <w:rFonts w:ascii="Arial" w:hAnsi="Arial" w:cs="Arial"/>
          <w:b/>
          <w:bCs/>
        </w:rPr>
        <w:t>lower</w:t>
      </w:r>
      <w:r>
        <w:rPr>
          <w:rFonts w:ascii="Arial" w:hAnsi="Arial" w:cs="Arial"/>
        </w:rPr>
        <w:t xml:space="preserve"> gel buffer chambers then close the lower buffer chamber and use the power cord to connect the upper buffer chamber to the power. (</w:t>
      </w:r>
      <w:r>
        <w:rPr>
          <w:rStyle w:val="aqj"/>
          <w:rFonts w:ascii="Arial" w:hAnsi="Arial" w:cs="Arial"/>
        </w:rPr>
        <w:t>6:35</w:t>
      </w:r>
      <w:r>
        <w:rPr>
          <w:rFonts w:ascii="Arial" w:hAnsi="Arial" w:cs="Arial"/>
        </w:rPr>
        <w:t>, rewrite)</w:t>
      </w:r>
    </w:p>
    <w:p w:rsidR="00437871" w:rsidRDefault="00437871" w:rsidP="00437871"/>
    <w:p w:rsidR="00437871" w:rsidRDefault="00437871" w:rsidP="00437871">
      <w:r>
        <w:rPr>
          <w:rFonts w:ascii="Arial" w:hAnsi="Arial" w:cs="Arial"/>
        </w:rPr>
        <w:t>4.9b </w:t>
      </w:r>
      <w:proofErr w:type="gramStart"/>
      <w:r>
        <w:rPr>
          <w:rFonts w:ascii="Arial" w:hAnsi="Arial" w:cs="Arial"/>
        </w:rPr>
        <w:t>For</w:t>
      </w:r>
      <w:proofErr w:type="gramEnd"/>
      <w:r>
        <w:rPr>
          <w:rFonts w:ascii="Arial" w:hAnsi="Arial" w:cs="Arial"/>
        </w:rPr>
        <w:t xml:space="preserve"> the laser, select </w:t>
      </w:r>
      <w:r>
        <w:rPr>
          <w:rFonts w:ascii="Arial" w:hAnsi="Arial" w:cs="Arial"/>
          <w:b/>
          <w:bCs/>
        </w:rPr>
        <w:t xml:space="preserve">scan status </w:t>
      </w:r>
      <w:r>
        <w:rPr>
          <w:rFonts w:ascii="Arial" w:hAnsi="Arial" w:cs="Arial"/>
        </w:rPr>
        <w:t>ON, and press ENTER.  Once the region of interest has passed the laser, stop the electrophoresis.  (</w:t>
      </w:r>
      <w:r>
        <w:rPr>
          <w:rStyle w:val="aqj"/>
          <w:rFonts w:ascii="Arial" w:hAnsi="Arial" w:cs="Arial"/>
        </w:rPr>
        <w:t>8:22</w:t>
      </w:r>
      <w:r>
        <w:rPr>
          <w:rFonts w:ascii="Arial" w:hAnsi="Arial" w:cs="Arial"/>
        </w:rPr>
        <w:t>, rewrite)</w:t>
      </w:r>
    </w:p>
    <w:p w:rsidR="00437871" w:rsidRDefault="00437871" w:rsidP="00437871"/>
    <w:p w:rsidR="00437871" w:rsidRDefault="00437871" w:rsidP="00437871">
      <w:r>
        <w:rPr>
          <w:rFonts w:ascii="Arial" w:hAnsi="Arial" w:cs="Arial"/>
        </w:rPr>
        <w:t>5.1b </w:t>
      </w:r>
      <w:proofErr w:type="gramStart"/>
      <w:r>
        <w:rPr>
          <w:rFonts w:ascii="Arial" w:hAnsi="Arial" w:cs="Arial"/>
        </w:rPr>
        <w:t>The</w:t>
      </w:r>
      <w:proofErr w:type="gramEnd"/>
      <w:r>
        <w:rPr>
          <w:rFonts w:ascii="Arial" w:hAnsi="Arial" w:cs="Arial"/>
        </w:rPr>
        <w:t xml:space="preserve"> -35 and -10 promoter elements were deduced to be TTGTAA and TAGACT </w:t>
      </w:r>
      <w:r>
        <w:rPr>
          <w:rFonts w:ascii="Arial" w:hAnsi="Arial" w:cs="Arial"/>
          <w:b/>
          <w:bCs/>
        </w:rPr>
        <w:t>and these</w:t>
      </w:r>
      <w:r>
        <w:rPr>
          <w:rFonts w:ascii="Arial" w:hAnsi="Arial" w:cs="Arial"/>
        </w:rPr>
        <w:t xml:space="preserve"> motifs differ only two bases from each of their consensus sequences. (</w:t>
      </w:r>
      <w:r>
        <w:rPr>
          <w:rStyle w:val="aqj"/>
          <w:rFonts w:ascii="Arial" w:hAnsi="Arial" w:cs="Arial"/>
        </w:rPr>
        <w:t>9:06</w:t>
      </w:r>
      <w:r>
        <w:rPr>
          <w:rFonts w:ascii="Arial" w:hAnsi="Arial" w:cs="Arial"/>
        </w:rPr>
        <w:t>, rewrite)</w:t>
      </w:r>
    </w:p>
    <w:p w:rsidR="00437871" w:rsidRDefault="00437871" w:rsidP="00437871"/>
    <w:p w:rsidR="00437871" w:rsidRDefault="00437871" w:rsidP="00437871">
      <w:r>
        <w:rPr>
          <w:rFonts w:ascii="Arial" w:hAnsi="Arial" w:cs="Arial"/>
        </w:rPr>
        <w:t xml:space="preserve">5.2a Using primer extension to identify mRNA cleavage products, the RNA mapping of cleavage close to the start codon by the </w:t>
      </w:r>
      <w:proofErr w:type="spellStart"/>
      <w:r>
        <w:rPr>
          <w:rFonts w:ascii="Arial" w:hAnsi="Arial" w:cs="Arial"/>
        </w:rPr>
        <w:t>RNase</w:t>
      </w:r>
      <w:proofErr w:type="spellEnd"/>
      <w:r>
        <w:rPr>
          <w:rFonts w:ascii="Arial" w:hAnsi="Arial" w:cs="Arial"/>
        </w:rPr>
        <w:t xml:space="preserve"> </w:t>
      </w:r>
      <w:r>
        <w:rPr>
          <w:rFonts w:ascii="Arial" w:hAnsi="Arial" w:cs="Arial"/>
          <w:b/>
          <w:bCs/>
        </w:rPr>
        <w:t>YoeB-seq2</w:t>
      </w:r>
      <w:r>
        <w:rPr>
          <w:rFonts w:ascii="Arial" w:hAnsi="Arial" w:cs="Arial"/>
        </w:rPr>
        <w:t xml:space="preserve"> is shown here. (</w:t>
      </w:r>
      <w:r>
        <w:rPr>
          <w:rStyle w:val="aqj"/>
          <w:rFonts w:ascii="Arial" w:hAnsi="Arial" w:cs="Arial"/>
        </w:rPr>
        <w:t>9:28</w:t>
      </w:r>
      <w:r>
        <w:rPr>
          <w:rFonts w:ascii="Arial" w:hAnsi="Arial" w:cs="Arial"/>
        </w:rPr>
        <w:t xml:space="preserve">, </w:t>
      </w:r>
      <w:proofErr w:type="spellStart"/>
      <w:r>
        <w:rPr>
          <w:rFonts w:ascii="Arial" w:hAnsi="Arial" w:cs="Arial"/>
        </w:rPr>
        <w:t>YoeB</w:t>
      </w:r>
      <w:proofErr w:type="spellEnd"/>
      <w:r>
        <w:rPr>
          <w:rFonts w:ascii="Arial" w:hAnsi="Arial" w:cs="Arial"/>
        </w:rPr>
        <w:t xml:space="preserve"> is pronounced correctly</w:t>
      </w:r>
      <w:r>
        <w:t xml:space="preserve">, </w:t>
      </w:r>
      <w:r>
        <w:rPr>
          <w:rFonts w:ascii="Arial" w:hAnsi="Arial" w:cs="Arial"/>
        </w:rPr>
        <w:t xml:space="preserve">Seq-2 should be pronounced with a short e: </w:t>
      </w:r>
      <w:proofErr w:type="spellStart"/>
      <w:r>
        <w:rPr>
          <w:rFonts w:ascii="Arial" w:hAnsi="Arial" w:cs="Arial"/>
        </w:rPr>
        <w:t>sek</w:t>
      </w:r>
      <w:proofErr w:type="spellEnd"/>
      <w:r>
        <w:rPr>
          <w:rFonts w:ascii="Arial" w:hAnsi="Arial" w:cs="Arial"/>
        </w:rPr>
        <w:t xml:space="preserve"> not seek, like in </w:t>
      </w:r>
      <w:r>
        <w:rPr>
          <w:rFonts w:ascii="Arial" w:hAnsi="Arial" w:cs="Arial"/>
          <w:b/>
          <w:bCs/>
        </w:rPr>
        <w:t>sec</w:t>
      </w:r>
      <w:r>
        <w:rPr>
          <w:rFonts w:ascii="Arial" w:hAnsi="Arial" w:cs="Arial"/>
        </w:rPr>
        <w:t>ond)</w:t>
      </w:r>
    </w:p>
    <w:p w:rsidR="00437871" w:rsidRDefault="00437871" w:rsidP="00437871">
      <w:r>
        <w:t>-</w:t>
      </w:r>
      <w:proofErr w:type="gramStart"/>
      <w:r>
        <w:t>note</w:t>
      </w:r>
      <w:proofErr w:type="gramEnd"/>
      <w:r>
        <w:t xml:space="preserve"> from </w:t>
      </w:r>
      <w:proofErr w:type="spellStart"/>
      <w:r>
        <w:t>Bree</w:t>
      </w:r>
      <w:proofErr w:type="spellEnd"/>
      <w:r>
        <w:t>: I would have pronounced it as short for “sequence” too</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71"/>
    <w:rsid w:val="001E1FAD"/>
    <w:rsid w:val="001E64BF"/>
    <w:rsid w:val="00437871"/>
    <w:rsid w:val="0049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4378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437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1032</Characters>
  <Application>Microsoft Macintosh Word</Application>
  <DocSecurity>0</DocSecurity>
  <Lines>8</Lines>
  <Paragraphs>2</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2014-08-24T17:34:00Z</dcterms:created>
  <dcterms:modified xsi:type="dcterms:W3CDTF">2014-08-24T17:34:00Z</dcterms:modified>
</cp:coreProperties>
</file>