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0DB" w:rsidRDefault="000F50DB">
      <w:r>
        <w:t>Dear Dr Nguyen,</w:t>
      </w:r>
    </w:p>
    <w:p w:rsidR="000F50DB" w:rsidRDefault="000F50DB">
      <w:r>
        <w:t>Thank you for providing us with the opportunity to respond to the reviewers’ comments. We have addressed the issues raised as follows:</w:t>
      </w:r>
    </w:p>
    <w:p w:rsidR="00345371" w:rsidRDefault="00345371">
      <w:pPr>
        <w:rPr>
          <w:b/>
        </w:rPr>
      </w:pPr>
    </w:p>
    <w:p w:rsidR="000F50DB" w:rsidRPr="002C3C3A" w:rsidRDefault="009E3DE0">
      <w:pPr>
        <w:rPr>
          <w:b/>
        </w:rPr>
      </w:pPr>
      <w:r w:rsidRPr="002C3C3A">
        <w:rPr>
          <w:b/>
        </w:rPr>
        <w:t>Science Editor</w:t>
      </w:r>
    </w:p>
    <w:p w:rsidR="009E3DE0" w:rsidRDefault="009E3DE0" w:rsidP="009E3DE0">
      <w:pPr>
        <w:pStyle w:val="ListParagraph"/>
        <w:numPr>
          <w:ilvl w:val="0"/>
          <w:numId w:val="1"/>
        </w:numPr>
      </w:pPr>
      <w:r>
        <w:t>I have proofread the manuscript and made a small</w:t>
      </w:r>
      <w:r w:rsidR="006220C9">
        <w:t xml:space="preserve"> </w:t>
      </w:r>
      <w:r>
        <w:t xml:space="preserve">number of changes to ensure </w:t>
      </w:r>
      <w:r w:rsidR="006220C9">
        <w:t>grammatical consistency (American vs English).</w:t>
      </w:r>
    </w:p>
    <w:p w:rsidR="006220C9" w:rsidRDefault="006220C9" w:rsidP="009E3DE0">
      <w:pPr>
        <w:pStyle w:val="ListParagraph"/>
        <w:numPr>
          <w:ilvl w:val="0"/>
          <w:numId w:val="1"/>
        </w:numPr>
      </w:pPr>
      <w:r>
        <w:t>Long Abstracts are now compatible.</w:t>
      </w:r>
    </w:p>
    <w:p w:rsidR="00F15E01" w:rsidRDefault="00F15E01" w:rsidP="00F15E01">
      <w:pPr>
        <w:pStyle w:val="ListParagraph"/>
        <w:numPr>
          <w:ilvl w:val="0"/>
          <w:numId w:val="1"/>
        </w:numPr>
      </w:pPr>
      <w:r>
        <w:t>As I indicated in my earlier revision, the equipment referred to in</w:t>
      </w:r>
      <w:r w:rsidRPr="00F15E01">
        <w:t xml:space="preserve"> section</w:t>
      </w:r>
      <w:r>
        <w:t xml:space="preserve"> 2</w:t>
      </w:r>
      <w:r w:rsidRPr="00F15E01">
        <w:t xml:space="preserve"> is not a centrifuge but an orbital shaker for cultivation of bacteria. The objective is not to apply centrifugal force but to continuously mix the bacteria and growth medium. Therefore, reference to 200 rpm is correct and follows convention.</w:t>
      </w:r>
    </w:p>
    <w:p w:rsidR="008F0FC7" w:rsidRDefault="008F0FC7" w:rsidP="00F15E01">
      <w:pPr>
        <w:pStyle w:val="ListParagraph"/>
        <w:numPr>
          <w:ilvl w:val="0"/>
          <w:numId w:val="1"/>
        </w:numPr>
      </w:pPr>
      <w:r>
        <w:t>I have moved the Note</w:t>
      </w:r>
      <w:r w:rsidR="00BF6DC8">
        <w:t>s</w:t>
      </w:r>
      <w:r>
        <w:t xml:space="preserve"> in Se</w:t>
      </w:r>
      <w:r w:rsidR="00BF6DC8">
        <w:t>ction 2 and</w:t>
      </w:r>
      <w:r>
        <w:t xml:space="preserve"> Section 4 into</w:t>
      </w:r>
      <w:r w:rsidR="00BF6DC8">
        <w:t xml:space="preserve"> the Discussion</w:t>
      </w:r>
      <w:r w:rsidR="00802D66">
        <w:t xml:space="preserve"> and the reference list adjusted accordingly</w:t>
      </w:r>
      <w:r w:rsidR="00BF6DC8">
        <w:t>.</w:t>
      </w:r>
      <w:r>
        <w:t xml:space="preserve"> </w:t>
      </w:r>
    </w:p>
    <w:p w:rsidR="003C6814" w:rsidRDefault="003C6814" w:rsidP="00F15E01">
      <w:pPr>
        <w:pStyle w:val="ListParagraph"/>
        <w:numPr>
          <w:ilvl w:val="0"/>
          <w:numId w:val="1"/>
        </w:numPr>
      </w:pPr>
      <w:r>
        <w:t xml:space="preserve">The neonatal pups are not anesthetized. </w:t>
      </w:r>
      <w:r w:rsidR="00F11F4F">
        <w:t xml:space="preserve">Neonatal rats do not respond to commonly used </w:t>
      </w:r>
      <w:proofErr w:type="spellStart"/>
      <w:r w:rsidR="00F11F4F">
        <w:t>anesthetics</w:t>
      </w:r>
      <w:proofErr w:type="spellEnd"/>
      <w:r w:rsidR="00F11F4F">
        <w:t xml:space="preserve"> in the same way as adults. The method of killing that we use is the quickest and most humane as determined by us over fifteen years of usage of this animal model and has been fully accepted by our national regulatory body, the UK Home Office, through issuance of current and prior licenses. </w:t>
      </w:r>
    </w:p>
    <w:p w:rsidR="00F11F4F" w:rsidRDefault="00F11F4F" w:rsidP="00F15E01">
      <w:pPr>
        <w:pStyle w:val="ListParagraph"/>
        <w:numPr>
          <w:ilvl w:val="0"/>
          <w:numId w:val="1"/>
        </w:numPr>
      </w:pPr>
      <w:r>
        <w:t>See above.</w:t>
      </w:r>
    </w:p>
    <w:p w:rsidR="00345371" w:rsidRDefault="00345371" w:rsidP="00D467ED">
      <w:pPr>
        <w:rPr>
          <w:b/>
        </w:rPr>
      </w:pPr>
    </w:p>
    <w:p w:rsidR="00D467ED" w:rsidRPr="002C3C3A" w:rsidRDefault="00D467ED" w:rsidP="00D467ED">
      <w:pPr>
        <w:rPr>
          <w:b/>
        </w:rPr>
      </w:pPr>
      <w:r w:rsidRPr="002C3C3A">
        <w:rPr>
          <w:b/>
        </w:rPr>
        <w:t>Reviewer #1</w:t>
      </w:r>
    </w:p>
    <w:p w:rsidR="00D467ED" w:rsidRDefault="003D5424" w:rsidP="00810DEE">
      <w:pPr>
        <w:pStyle w:val="ListParagraph"/>
        <w:numPr>
          <w:ilvl w:val="0"/>
          <w:numId w:val="2"/>
        </w:numPr>
      </w:pPr>
      <w:r w:rsidRPr="00677907">
        <w:rPr>
          <w:i/>
        </w:rPr>
        <w:t>Organ infection</w:t>
      </w:r>
      <w:r>
        <w:t xml:space="preserve">: </w:t>
      </w:r>
      <w:r w:rsidR="00810DEE">
        <w:t xml:space="preserve">the first paragraph of the </w:t>
      </w:r>
      <w:r w:rsidR="00810DEE" w:rsidRPr="00810DEE">
        <w:rPr>
          <w:b/>
        </w:rPr>
        <w:t>Representative Results</w:t>
      </w:r>
      <w:r w:rsidR="00810DEE">
        <w:t xml:space="preserve"> section describes in detail our data on the invasion of organs, in particular CNS structures including the brain </w:t>
      </w:r>
      <w:proofErr w:type="spellStart"/>
      <w:r w:rsidR="00810DEE">
        <w:t>leptomeninges</w:t>
      </w:r>
      <w:proofErr w:type="spellEnd"/>
      <w:r w:rsidR="00810DEE">
        <w:t xml:space="preserve"> and we include references (</w:t>
      </w:r>
      <w:r w:rsidR="009876FF">
        <w:t>now 24 and 25) highlighting the</w:t>
      </w:r>
      <w:r w:rsidR="00810DEE">
        <w:t xml:space="preserve"> large</w:t>
      </w:r>
      <w:r w:rsidR="00646789">
        <w:t xml:space="preserve"> quantitative</w:t>
      </w:r>
      <w:r w:rsidR="00810DEE">
        <w:t xml:space="preserve"> body of work</w:t>
      </w:r>
      <w:r w:rsidR="00B55368">
        <w:t xml:space="preserve"> that we generated</w:t>
      </w:r>
      <w:r w:rsidR="00810DEE">
        <w:t>. I have emphasized this</w:t>
      </w:r>
      <w:r w:rsidR="00B55368">
        <w:t xml:space="preserve"> in the</w:t>
      </w:r>
      <w:r w:rsidR="00810DEE">
        <w:t xml:space="preserve"> section as follows –“….</w:t>
      </w:r>
      <w:r w:rsidR="00810DEE" w:rsidRPr="00810DEE">
        <w:t xml:space="preserve">before establishing organ-specific disease with associated inflammation </w:t>
      </w:r>
      <w:r w:rsidR="00810DEE" w:rsidRPr="00810DEE">
        <w:rPr>
          <w:u w:val="single"/>
        </w:rPr>
        <w:t>of the brain</w:t>
      </w:r>
      <w:r w:rsidR="00810DEE">
        <w:t>.”</w:t>
      </w:r>
      <w:r w:rsidR="00646789">
        <w:t xml:space="preserve"> We continue to work on the transit from gut to blood to CNS and I am currently drafting a manuscript in which we carefully dissect the precise regions of the gut and associated lymphatic system to confirm and extend </w:t>
      </w:r>
      <w:proofErr w:type="spellStart"/>
      <w:r w:rsidR="00646789">
        <w:t>Achtman’s</w:t>
      </w:r>
      <w:proofErr w:type="spellEnd"/>
      <w:r w:rsidR="00646789">
        <w:t xml:space="preserve"> observations from the 1980s that the bacteria access the blood compartment via the mesenteric lymph nodes.</w:t>
      </w:r>
      <w:r w:rsidR="00677907">
        <w:t xml:space="preserve"> We model meningitis, as the reviewer notes, but CNS infection is preceded by </w:t>
      </w:r>
      <w:proofErr w:type="spellStart"/>
      <w:r w:rsidR="00677907">
        <w:t>septicemia</w:t>
      </w:r>
      <w:proofErr w:type="spellEnd"/>
      <w:r w:rsidR="00677907">
        <w:t xml:space="preserve"> and sepsis</w:t>
      </w:r>
      <w:r w:rsidR="00A3017A">
        <w:t>,</w:t>
      </w:r>
      <w:r w:rsidR="00677907">
        <w:t xml:space="preserve"> and is a suitable model to investigate these aspects in the neonate, as I have tried to emphasize in the text.</w:t>
      </w:r>
    </w:p>
    <w:p w:rsidR="00AB21FD" w:rsidRDefault="00AB21FD" w:rsidP="00AB21FD">
      <w:pPr>
        <w:pStyle w:val="ListParagraph"/>
        <w:numPr>
          <w:ilvl w:val="0"/>
          <w:numId w:val="2"/>
        </w:numPr>
      </w:pPr>
      <w:r>
        <w:rPr>
          <w:i/>
        </w:rPr>
        <w:t>Sampling</w:t>
      </w:r>
      <w:r w:rsidRPr="00AB21FD">
        <w:t>:</w:t>
      </w:r>
      <w:r>
        <w:t xml:space="preserve"> </w:t>
      </w:r>
      <w:r w:rsidR="005479CE">
        <w:t>We are aware of the possibility of bacterial contamination at the blood collection site and we prepare the animal such th</w:t>
      </w:r>
      <w:r w:rsidR="00AB4941">
        <w:t xml:space="preserve">at we </w:t>
      </w:r>
      <w:r w:rsidR="005479CE">
        <w:t>eliminate this problem. This was not clear from the protocol so I have added the following sentence into section 6.2 – “</w:t>
      </w:r>
      <w:r w:rsidRPr="00AB21FD">
        <w:t>Sterilize the neck region of the neonate with an alcohol swab.</w:t>
      </w:r>
      <w:r w:rsidR="005479CE">
        <w:t>”</w:t>
      </w:r>
      <w:r w:rsidR="00884CC4">
        <w:t xml:space="preserve"> In fifteen years, we have never experienced a problem with contamination of our blood</w:t>
      </w:r>
      <w:r w:rsidR="00374694">
        <w:t xml:space="preserve"> or organ</w:t>
      </w:r>
      <w:r w:rsidR="00884CC4">
        <w:t xml:space="preserve"> samples.</w:t>
      </w:r>
      <w:r w:rsidR="00374694">
        <w:t xml:space="preserve"> Whilst developing the optimized model we report here, we did investigate cardiac puncture but the neonatal </w:t>
      </w:r>
      <w:r w:rsidR="00374694">
        <w:lastRenderedPageBreak/>
        <w:t>animals are small and we determined that this procedure was less efficient that the method we adopted</w:t>
      </w:r>
      <w:r w:rsidR="00AB4941">
        <w:t>; insufficient quantities of blood were obtained by cardiac puncture</w:t>
      </w:r>
      <w:r w:rsidR="00374694">
        <w:t>.</w:t>
      </w:r>
      <w:r w:rsidR="00E638D5">
        <w:t xml:space="preserve"> We are aware of the literature with respect to quantification of bacterial translocation across the gut epithelium and we have quantified the intracellular and extracellular </w:t>
      </w:r>
      <w:proofErr w:type="spellStart"/>
      <w:r w:rsidR="00E638D5">
        <w:t>bioburden</w:t>
      </w:r>
      <w:proofErr w:type="spellEnd"/>
      <w:r w:rsidR="00E638D5">
        <w:t xml:space="preserve"> using the gentamicin protection assay, which we will report soon. When I accepted the invitation of produce a manuscript for </w:t>
      </w:r>
      <w:proofErr w:type="spellStart"/>
      <w:r w:rsidR="00E638D5">
        <w:t>JoVE</w:t>
      </w:r>
      <w:proofErr w:type="spellEnd"/>
      <w:r w:rsidR="00E638D5">
        <w:t xml:space="preserve">, I was asked to focus on methodological detail rather than report experiments involving use of the model; our papers, cited at length </w:t>
      </w:r>
      <w:r w:rsidR="002874C5">
        <w:t>in the manuscript, highlight the</w:t>
      </w:r>
      <w:r w:rsidR="00E638D5">
        <w:t xml:space="preserve"> utility</w:t>
      </w:r>
      <w:r w:rsidR="002874C5">
        <w:t xml:space="preserve"> of the model</w:t>
      </w:r>
      <w:r w:rsidR="00E638D5">
        <w:t xml:space="preserve"> in</w:t>
      </w:r>
      <w:r w:rsidR="002874C5">
        <w:t xml:space="preserve"> experimental</w:t>
      </w:r>
      <w:r w:rsidR="00E638D5">
        <w:t xml:space="preserve"> therapy and prevention of infection as well as a procedure for increasing our understanding of </w:t>
      </w:r>
      <w:r w:rsidR="0077699E">
        <w:t xml:space="preserve">the </w:t>
      </w:r>
      <w:r w:rsidR="00E638D5">
        <w:t xml:space="preserve">molecular pathogenesis of </w:t>
      </w:r>
      <w:r w:rsidR="00E638D5" w:rsidRPr="00E638D5">
        <w:rPr>
          <w:i/>
        </w:rPr>
        <w:t xml:space="preserve">E. coli </w:t>
      </w:r>
      <w:r w:rsidR="00E638D5" w:rsidRPr="0077699E">
        <w:t xml:space="preserve">K1 </w:t>
      </w:r>
      <w:r w:rsidR="00E638D5">
        <w:t>systemic infection.</w:t>
      </w:r>
    </w:p>
    <w:p w:rsidR="00484DCF" w:rsidRDefault="00484DCF" w:rsidP="00052748">
      <w:pPr>
        <w:pStyle w:val="ListParagraph"/>
        <w:numPr>
          <w:ilvl w:val="0"/>
          <w:numId w:val="2"/>
        </w:numPr>
      </w:pPr>
      <w:r w:rsidRPr="00484DCF">
        <w:rPr>
          <w:i/>
        </w:rPr>
        <w:t>Translocation from gut to blood to brain</w:t>
      </w:r>
      <w:r w:rsidRPr="00484DCF">
        <w:t>:</w:t>
      </w:r>
      <w:r>
        <w:t xml:space="preserve"> We have quantified in temporal fashion bacteria in the intestinal lumen, the blood compartment and the brain and this substantial body of work is referenced in the manuscript. We have recently focused on the dynamics of gut colonization </w:t>
      </w:r>
      <w:r w:rsidR="00842122">
        <w:t>in</w:t>
      </w:r>
      <w:r>
        <w:t xml:space="preserve"> </w:t>
      </w:r>
      <w:r w:rsidR="00842122">
        <w:t>reference 17</w:t>
      </w:r>
      <w:r>
        <w:t xml:space="preserve"> (</w:t>
      </w:r>
      <w:r w:rsidRPr="00484DCF">
        <w:t xml:space="preserve">Birchenough GMH, </w:t>
      </w:r>
      <w:proofErr w:type="spellStart"/>
      <w:r w:rsidRPr="00484DCF">
        <w:t>Johannson</w:t>
      </w:r>
      <w:proofErr w:type="spellEnd"/>
      <w:r w:rsidRPr="00484DCF">
        <w:t xml:space="preserve"> MEV, Stabler RA, Dalgakiran F, Hansson GC, Wren BW, Luzio JP &amp; Taylor PW. 2013. Altered innate </w:t>
      </w:r>
      <w:proofErr w:type="spellStart"/>
      <w:r w:rsidRPr="00484DCF">
        <w:t>defenses</w:t>
      </w:r>
      <w:proofErr w:type="spellEnd"/>
      <w:r w:rsidRPr="00484DCF">
        <w:t xml:space="preserve"> in the neonatal gastrointestinal tract in response to colonization by </w:t>
      </w:r>
      <w:proofErr w:type="spellStart"/>
      <w:r w:rsidRPr="00484DCF">
        <w:t>neuropathogenic</w:t>
      </w:r>
      <w:proofErr w:type="spellEnd"/>
      <w:r w:rsidRPr="00484DCF">
        <w:t xml:space="preserve"> </w:t>
      </w:r>
      <w:r w:rsidRPr="00484DCF">
        <w:rPr>
          <w:i/>
        </w:rPr>
        <w:t>Escherichia coli. Infection and Immunity</w:t>
      </w:r>
      <w:r w:rsidRPr="00484DCF">
        <w:t xml:space="preserve"> </w:t>
      </w:r>
      <w:r w:rsidRPr="00484DCF">
        <w:rPr>
          <w:b/>
        </w:rPr>
        <w:t>81:</w:t>
      </w:r>
      <w:r w:rsidRPr="00484DCF">
        <w:t>3264-3275</w:t>
      </w:r>
      <w:r>
        <w:t xml:space="preserve">) but feel that reporting similar work in the current manuscript is beyond the scope of our </w:t>
      </w:r>
      <w:proofErr w:type="spellStart"/>
      <w:r>
        <w:t>JoVE</w:t>
      </w:r>
      <w:proofErr w:type="spellEnd"/>
      <w:r>
        <w:t xml:space="preserve"> remit</w:t>
      </w:r>
      <w:r w:rsidRPr="00484DCF">
        <w:t>.</w:t>
      </w:r>
      <w:r w:rsidR="00E8028D">
        <w:t xml:space="preserve"> We have provided convincing evidence</w:t>
      </w:r>
      <w:r w:rsidR="00052748">
        <w:t xml:space="preserve"> (</w:t>
      </w:r>
      <w:r w:rsidR="00842122">
        <w:t xml:space="preserve">also </w:t>
      </w:r>
      <w:r w:rsidR="00052748">
        <w:t>referenced in the manuscript)</w:t>
      </w:r>
      <w:r w:rsidR="00E8028D">
        <w:t xml:space="preserve"> that </w:t>
      </w:r>
      <w:r w:rsidR="00E8028D" w:rsidRPr="00E8028D">
        <w:rPr>
          <w:i/>
        </w:rPr>
        <w:t>E. coli</w:t>
      </w:r>
      <w:r w:rsidR="00E8028D">
        <w:t xml:space="preserve"> K1 bacteria enter the CNS predominantly through the epithelial barrier of the choroid plexus and not across the more formidable brain endothelium, for which there is</w:t>
      </w:r>
      <w:r w:rsidR="00B52A8F">
        <w:t xml:space="preserve"> little convincing </w:t>
      </w:r>
      <w:r w:rsidR="00E8028D">
        <w:t>evidence</w:t>
      </w:r>
      <w:r w:rsidR="00B52A8F">
        <w:t xml:space="preserve"> in experimental neonatal animal models as opposed to endothelial cell culture</w:t>
      </w:r>
      <w:r w:rsidR="00E8028D">
        <w:t>.</w:t>
      </w:r>
      <w:r w:rsidR="00663195">
        <w:t xml:space="preserve"> Again, I believe these experimental elements</w:t>
      </w:r>
      <w:r w:rsidR="00AD6421">
        <w:t xml:space="preserve"> to be outside our remit of providing</w:t>
      </w:r>
      <w:r w:rsidR="00663195">
        <w:t xml:space="preserve"> a detailed description of the procedure that we have employed.</w:t>
      </w:r>
    </w:p>
    <w:p w:rsidR="00C937D2" w:rsidRDefault="00C937D2" w:rsidP="00052748">
      <w:pPr>
        <w:pStyle w:val="ListParagraph"/>
        <w:numPr>
          <w:ilvl w:val="0"/>
          <w:numId w:val="2"/>
        </w:numPr>
      </w:pPr>
      <w:r>
        <w:rPr>
          <w:i/>
        </w:rPr>
        <w:t>Gastric gavage</w:t>
      </w:r>
      <w:r w:rsidRPr="00C937D2">
        <w:t>:</w:t>
      </w:r>
      <w:r>
        <w:t xml:space="preserve"> Gavage was employed by </w:t>
      </w:r>
      <w:proofErr w:type="spellStart"/>
      <w:r>
        <w:t>Glode</w:t>
      </w:r>
      <w:proofErr w:type="spellEnd"/>
      <w:r>
        <w:t xml:space="preserve"> et al in their seminal 1978 paper in </w:t>
      </w:r>
      <w:r w:rsidRPr="002C6CD3">
        <w:rPr>
          <w:i/>
        </w:rPr>
        <w:t>Infection and Immunity</w:t>
      </w:r>
      <w:r>
        <w:t xml:space="preserve"> but the technique was modified to feeding of the culture by </w:t>
      </w:r>
      <w:proofErr w:type="spellStart"/>
      <w:r>
        <w:t>Achtman’s</w:t>
      </w:r>
      <w:proofErr w:type="spellEnd"/>
      <w:r>
        <w:t xml:space="preserve"> group in a study reported in 1983 because they found that gavage caused damage to mucosa and they collected evidence that bacteria were exploiting this damage to directly access the blood circulation prior to colonization. This is discussed in the manuscript. We adopted the </w:t>
      </w:r>
      <w:proofErr w:type="spellStart"/>
      <w:r>
        <w:t>Achtman</w:t>
      </w:r>
      <w:proofErr w:type="spellEnd"/>
      <w:r>
        <w:t xml:space="preserve"> modification from the outset and we have experienced no problems with respect to reproducibility of colonization. We are currently undertaking a study involving µCT-IVIS imaging of bacteria </w:t>
      </w:r>
      <w:r w:rsidRPr="00C937D2">
        <w:rPr>
          <w:i/>
        </w:rPr>
        <w:t>in situ</w:t>
      </w:r>
      <w:r>
        <w:t xml:space="preserve"> in the </w:t>
      </w:r>
      <w:r w:rsidR="002C6CD3">
        <w:t xml:space="preserve">neonatal </w:t>
      </w:r>
      <w:r>
        <w:t xml:space="preserve">model and find the bioluminescence signal restricted to the stomach after feeding of the culture. The pups react if </w:t>
      </w:r>
      <w:r w:rsidR="002C6CD3">
        <w:t>fluid enters the lungs and we would immediately cull the animal if this occurred. We are practised in the culture feeding procedure and we very rarely</w:t>
      </w:r>
      <w:r w:rsidR="00D033F5">
        <w:t>, if ever,</w:t>
      </w:r>
      <w:r w:rsidR="002C6CD3">
        <w:t xml:space="preserve"> encounter problems with administration of the bacteria.</w:t>
      </w:r>
      <w:r w:rsidR="00B63F71">
        <w:t xml:space="preserve"> Feeding</w:t>
      </w:r>
      <w:r w:rsidR="006546F9">
        <w:t xml:space="preserve"> close</w:t>
      </w:r>
      <w:r w:rsidR="00B63F71">
        <w:t>ly approximates</w:t>
      </w:r>
      <w:r w:rsidR="006546F9">
        <w:t xml:space="preserve"> the natural route of infection and is the least inva</w:t>
      </w:r>
      <w:r w:rsidR="00D339E5">
        <w:t>sive procedure we are aware of</w:t>
      </w:r>
      <w:r w:rsidR="006546F9">
        <w:t>.</w:t>
      </w:r>
    </w:p>
    <w:p w:rsidR="00DF3AE0" w:rsidRDefault="00DF3AE0" w:rsidP="00052748">
      <w:pPr>
        <w:pStyle w:val="ListParagraph"/>
        <w:numPr>
          <w:ilvl w:val="0"/>
          <w:numId w:val="2"/>
        </w:numPr>
      </w:pPr>
      <w:r>
        <w:rPr>
          <w:i/>
        </w:rPr>
        <w:t>Illness score</w:t>
      </w:r>
      <w:r w:rsidRPr="00DF3AE0">
        <w:t>:</w:t>
      </w:r>
      <w:r>
        <w:t xml:space="preserve"> We developed this scoring system as requested by our animal licensing authority to ensure that mini</w:t>
      </w:r>
      <w:r w:rsidR="00581422">
        <w:t>mal pain is</w:t>
      </w:r>
      <w:r>
        <w:t xml:space="preserve"> inflicted on the animals. The procedure was developed over a period of two years, is a comprehensive scale and we report it in the hope that others will adopt it as a humane procedure. The Home Office is satisfied that use of the scale reduces animal suffering. </w:t>
      </w:r>
      <w:r w:rsidR="00F9337F">
        <w:t>Reviewer #4 believes the illness assessment criteria to be very clear.</w:t>
      </w:r>
    </w:p>
    <w:p w:rsidR="00BA0B40" w:rsidRDefault="00BA0B40" w:rsidP="00052748">
      <w:pPr>
        <w:pStyle w:val="ListParagraph"/>
        <w:numPr>
          <w:ilvl w:val="0"/>
          <w:numId w:val="2"/>
        </w:numPr>
      </w:pPr>
      <w:r>
        <w:rPr>
          <w:i/>
        </w:rPr>
        <w:t>Figure 4</w:t>
      </w:r>
      <w:r w:rsidRPr="00BA0B40">
        <w:t>:</w:t>
      </w:r>
      <w:r>
        <w:t xml:space="preserve"> We do not claim th</w:t>
      </w:r>
      <w:r w:rsidR="00FA76AB">
        <w:t>at the bacteria in this image are</w:t>
      </w:r>
      <w:r>
        <w:t xml:space="preserve"> located within phagocytes; in fact, we have provided evidence (refs 24 and 28) that the bacteria are predominantly </w:t>
      </w:r>
      <w:r>
        <w:lastRenderedPageBreak/>
        <w:t>extracellular within the blood compartment</w:t>
      </w:r>
      <w:r w:rsidR="00957CA1">
        <w:t xml:space="preserve"> due to the anti-phagocytic nature of the K1 capsule</w:t>
      </w:r>
      <w:r>
        <w:t>. As indi</w:t>
      </w:r>
      <w:r w:rsidR="00957CA1">
        <w:t>cated in the text,</w:t>
      </w:r>
      <w:r>
        <w:t xml:space="preserve"> we show the figure </w:t>
      </w:r>
      <w:r w:rsidR="00957CA1">
        <w:t xml:space="preserve">to illustrate that capsule-expressing bacteria can be visualized in this body compartment. </w:t>
      </w:r>
    </w:p>
    <w:p w:rsidR="00F03379" w:rsidRDefault="00F03379" w:rsidP="00052748">
      <w:pPr>
        <w:pStyle w:val="ListParagraph"/>
        <w:numPr>
          <w:ilvl w:val="0"/>
          <w:numId w:val="2"/>
        </w:numPr>
      </w:pPr>
      <w:proofErr w:type="spellStart"/>
      <w:r>
        <w:rPr>
          <w:i/>
        </w:rPr>
        <w:t>Paneth</w:t>
      </w:r>
      <w:proofErr w:type="spellEnd"/>
      <w:r>
        <w:rPr>
          <w:i/>
        </w:rPr>
        <w:t xml:space="preserve"> cells</w:t>
      </w:r>
      <w:r w:rsidRPr="00F03379">
        <w:t>:</w:t>
      </w:r>
      <w:r>
        <w:t xml:space="preserve"> We are aware of the literature in this area and we have contributed ourselves to the role of these cells and their antimicrobial peptide products (see reference 17). </w:t>
      </w:r>
      <w:r w:rsidR="00F9542F">
        <w:t xml:space="preserve">We have employed the neonatal infection model to further elucidate the role of </w:t>
      </w:r>
      <w:proofErr w:type="spellStart"/>
      <w:r w:rsidR="00F9542F">
        <w:t>Paneth</w:t>
      </w:r>
      <w:proofErr w:type="spellEnd"/>
      <w:r w:rsidR="00F9542F">
        <w:t xml:space="preserve"> cells by chemica</w:t>
      </w:r>
      <w:r w:rsidR="00A02242">
        <w:t>lly reducing their prevalence through</w:t>
      </w:r>
      <w:r w:rsidR="00F9542F">
        <w:t xml:space="preserve"> administration of </w:t>
      </w:r>
      <w:proofErr w:type="spellStart"/>
      <w:r w:rsidR="00F9542F">
        <w:t>dithizone</w:t>
      </w:r>
      <w:proofErr w:type="spellEnd"/>
      <w:r w:rsidR="00F9542F">
        <w:t xml:space="preserve">. Resistance to infection is not only determined by sufficient production of these peptides but also by maturation of structures such as the </w:t>
      </w:r>
      <w:proofErr w:type="spellStart"/>
      <w:r w:rsidR="00F9542F">
        <w:t>mucin</w:t>
      </w:r>
      <w:proofErr w:type="spellEnd"/>
      <w:r w:rsidR="00F9542F">
        <w:t xml:space="preserve"> layer. I assumed that a detailed discussion of the molecular pathogenesis of </w:t>
      </w:r>
      <w:r w:rsidR="00F9542F" w:rsidRPr="00F9542F">
        <w:rPr>
          <w:i/>
        </w:rPr>
        <w:t>E. coli</w:t>
      </w:r>
      <w:r w:rsidR="00F9542F">
        <w:t xml:space="preserve"> K1 infection was outside the </w:t>
      </w:r>
      <w:proofErr w:type="spellStart"/>
      <w:r w:rsidR="00F9542F">
        <w:t>JoVE</w:t>
      </w:r>
      <w:proofErr w:type="spellEnd"/>
      <w:r w:rsidR="00F9542F">
        <w:t xml:space="preserve"> </w:t>
      </w:r>
      <w:proofErr w:type="gramStart"/>
      <w:r w:rsidR="00F9542F">
        <w:t>remit</w:t>
      </w:r>
      <w:proofErr w:type="gramEnd"/>
      <w:r w:rsidR="00F9542F">
        <w:t>.</w:t>
      </w:r>
    </w:p>
    <w:p w:rsidR="00FC7F6E" w:rsidRDefault="00F9337F" w:rsidP="00052748">
      <w:pPr>
        <w:pStyle w:val="ListParagraph"/>
        <w:numPr>
          <w:ilvl w:val="0"/>
          <w:numId w:val="2"/>
        </w:numPr>
      </w:pPr>
      <w:r>
        <w:rPr>
          <w:i/>
        </w:rPr>
        <w:t>Title</w:t>
      </w:r>
      <w:r w:rsidRPr="00F9337F">
        <w:t>:</w:t>
      </w:r>
      <w:r>
        <w:t xml:space="preserve"> </w:t>
      </w:r>
      <w:r w:rsidRPr="00F9337F">
        <w:rPr>
          <w:i/>
        </w:rPr>
        <w:t>E. coli</w:t>
      </w:r>
      <w:r>
        <w:t xml:space="preserve"> K1 strains are frequently referred to in the literature as “</w:t>
      </w:r>
      <w:proofErr w:type="spellStart"/>
      <w:r>
        <w:t>neuropathogenic</w:t>
      </w:r>
      <w:proofErr w:type="spellEnd"/>
      <w:r>
        <w:t xml:space="preserve">” </w:t>
      </w:r>
      <w:r w:rsidR="00532888">
        <w:t xml:space="preserve">(as they are associated with infections of the CNS) </w:t>
      </w:r>
      <w:r>
        <w:t>and we follow this convention. The word is used to describe the strains and not the</w:t>
      </w:r>
      <w:r w:rsidR="00532888">
        <w:t xml:space="preserve"> condition so it is</w:t>
      </w:r>
      <w:r>
        <w:t xml:space="preserve"> appropriate</w:t>
      </w:r>
      <w:r w:rsidR="00532888">
        <w:t xml:space="preserve"> in this context</w:t>
      </w:r>
      <w:r>
        <w:t>.</w:t>
      </w:r>
    </w:p>
    <w:p w:rsidR="00F9337F" w:rsidRDefault="00FC7F6E" w:rsidP="00052748">
      <w:pPr>
        <w:pStyle w:val="ListParagraph"/>
        <w:numPr>
          <w:ilvl w:val="0"/>
          <w:numId w:val="2"/>
        </w:numPr>
      </w:pPr>
      <w:r>
        <w:rPr>
          <w:i/>
        </w:rPr>
        <w:t>Statistical analyses</w:t>
      </w:r>
      <w:r w:rsidRPr="00FC7F6E">
        <w:t>:</w:t>
      </w:r>
      <w:r>
        <w:t xml:space="preserve"> </w:t>
      </w:r>
      <w:r w:rsidR="00012BB8">
        <w:t>As indicated in the</w:t>
      </w:r>
      <w:r w:rsidR="00D20844">
        <w:t xml:space="preserve"> text, we use each litter of </w:t>
      </w:r>
      <w:r w:rsidR="00012BB8">
        <w:t>12 pups as a single test cohort as we are unable to separate pups from a single litter into different groups.</w:t>
      </w:r>
      <w:r w:rsidR="00F9337F">
        <w:t xml:space="preserve"> </w:t>
      </w:r>
      <w:r w:rsidR="00012BB8">
        <w:t xml:space="preserve"> We have performed power calculations using G* Power Software and determined that this sample size equates to a 98.6% probability of finding an effect based on survival using six animals from this cohort and &gt;99% probability if all twelve are taken into consideration. I have altered the text</w:t>
      </w:r>
      <w:r w:rsidR="007A2AB5">
        <w:t xml:space="preserve"> in </w:t>
      </w:r>
      <w:r w:rsidR="007A2AB5" w:rsidRPr="007A2AB5">
        <w:rPr>
          <w:b/>
        </w:rPr>
        <w:t>Representative Results</w:t>
      </w:r>
      <w:r w:rsidR="00012BB8">
        <w:t xml:space="preserve"> to reflect this.</w:t>
      </w:r>
    </w:p>
    <w:p w:rsidR="00345371" w:rsidRDefault="00345371" w:rsidP="00045C44">
      <w:pPr>
        <w:rPr>
          <w:b/>
        </w:rPr>
      </w:pPr>
    </w:p>
    <w:p w:rsidR="00045C44" w:rsidRPr="00045C44" w:rsidRDefault="00045C44" w:rsidP="00045C44">
      <w:pPr>
        <w:rPr>
          <w:b/>
        </w:rPr>
      </w:pPr>
      <w:r w:rsidRPr="00045C44">
        <w:rPr>
          <w:b/>
        </w:rPr>
        <w:t>Reviewer #2</w:t>
      </w:r>
    </w:p>
    <w:p w:rsidR="00045C44" w:rsidRDefault="00045C44" w:rsidP="00045C44">
      <w:pPr>
        <w:pStyle w:val="ListParagraph"/>
        <w:numPr>
          <w:ilvl w:val="0"/>
          <w:numId w:val="3"/>
        </w:numPr>
      </w:pPr>
      <w:r w:rsidRPr="00045C44">
        <w:rPr>
          <w:i/>
        </w:rPr>
        <w:t>General Comment</w:t>
      </w:r>
      <w:r w:rsidR="00D20844">
        <w:t>: We have briefly</w:t>
      </w:r>
      <w:bookmarkStart w:id="0" w:name="_GoBack"/>
      <w:bookmarkEnd w:id="0"/>
      <w:r w:rsidR="00D20844">
        <w:t xml:space="preserve"> described</w:t>
      </w:r>
      <w:r>
        <w:t xml:space="preserve"> the procedure in the paper cited and in our other papers in this field but we have never entered into the detail of the procedure in the fashion described in the </w:t>
      </w:r>
      <w:proofErr w:type="spellStart"/>
      <w:r>
        <w:t>JoVE</w:t>
      </w:r>
      <w:proofErr w:type="spellEnd"/>
      <w:r>
        <w:t xml:space="preserve"> manuscript.</w:t>
      </w:r>
    </w:p>
    <w:p w:rsidR="00045C44" w:rsidRDefault="00045C44" w:rsidP="00045C44">
      <w:pPr>
        <w:pStyle w:val="ListParagraph"/>
        <w:numPr>
          <w:ilvl w:val="0"/>
          <w:numId w:val="3"/>
        </w:numPr>
      </w:pPr>
      <w:r>
        <w:rPr>
          <w:i/>
        </w:rPr>
        <w:t>Short abstract</w:t>
      </w:r>
      <w:r w:rsidRPr="00045C44">
        <w:t>:</w:t>
      </w:r>
      <w:r>
        <w:t xml:space="preserve"> We established the route of transit of </w:t>
      </w:r>
      <w:r w:rsidRPr="00045C44">
        <w:rPr>
          <w:i/>
        </w:rPr>
        <w:t>E. coli</w:t>
      </w:r>
      <w:r>
        <w:t xml:space="preserve"> K1 from gut to brain in studies cited in the current manuscript.</w:t>
      </w:r>
    </w:p>
    <w:p w:rsidR="0022553F" w:rsidRDefault="0022553F" w:rsidP="00045C44">
      <w:pPr>
        <w:pStyle w:val="ListParagraph"/>
        <w:numPr>
          <w:ilvl w:val="0"/>
          <w:numId w:val="3"/>
        </w:numPr>
      </w:pPr>
      <w:r>
        <w:rPr>
          <w:i/>
        </w:rPr>
        <w:t>Site of gut colonization</w:t>
      </w:r>
      <w:r w:rsidRPr="0022553F">
        <w:t>:</w:t>
      </w:r>
      <w:r>
        <w:t xml:space="preserve"> We have obtained strong evidence, which we have yet to publish, that the primary site of translocation form gut to lymph is the mid-section of the small intestine but the reviewer’s point is well taken; I have therefore removed the phrase </w:t>
      </w:r>
      <w:r w:rsidR="0004130C">
        <w:t>“….the appropriate site in….”.</w:t>
      </w:r>
    </w:p>
    <w:p w:rsidR="0004130C" w:rsidRDefault="0004130C" w:rsidP="00045C44">
      <w:pPr>
        <w:pStyle w:val="ListParagraph"/>
        <w:numPr>
          <w:ilvl w:val="0"/>
          <w:numId w:val="3"/>
        </w:numPr>
      </w:pPr>
      <w:r>
        <w:rPr>
          <w:i/>
        </w:rPr>
        <w:t>Transit</w:t>
      </w:r>
      <w:r w:rsidRPr="0004130C">
        <w:t>:</w:t>
      </w:r>
      <w:r>
        <w:t xml:space="preserve"> We have reported these data in other publications, which are referenced in the text.</w:t>
      </w:r>
    </w:p>
    <w:p w:rsidR="0004130C" w:rsidRDefault="0004130C" w:rsidP="00045C44">
      <w:pPr>
        <w:pStyle w:val="ListParagraph"/>
        <w:numPr>
          <w:ilvl w:val="0"/>
          <w:numId w:val="3"/>
        </w:numPr>
      </w:pPr>
      <w:r>
        <w:rPr>
          <w:i/>
        </w:rPr>
        <w:t>Bacterial load</w:t>
      </w:r>
      <w:r w:rsidRPr="0004130C">
        <w:t>:</w:t>
      </w:r>
      <w:r>
        <w:t xml:space="preserve"> the inoculum used (4-8 x 10</w:t>
      </w:r>
      <w:r w:rsidRPr="0004130C">
        <w:rPr>
          <w:vertAlign w:val="superscript"/>
        </w:rPr>
        <w:t>6</w:t>
      </w:r>
      <w:r>
        <w:t xml:space="preserve">) produces 100% colonization and 100% systemic infection; lower </w:t>
      </w:r>
      <w:proofErr w:type="spellStart"/>
      <w:r>
        <w:t>inocula</w:t>
      </w:r>
      <w:proofErr w:type="spellEnd"/>
      <w:r>
        <w:t xml:space="preserve"> (e.g. 10</w:t>
      </w:r>
      <w:r w:rsidRPr="0004130C">
        <w:rPr>
          <w:vertAlign w:val="superscript"/>
        </w:rPr>
        <w:t>4</w:t>
      </w:r>
      <w:r>
        <w:t>) result in colonization and infection but not always at the 100% level. Our</w:t>
      </w:r>
      <w:r w:rsidR="008140D2">
        <w:t xml:space="preserve"> animal</w:t>
      </w:r>
      <w:r>
        <w:t xml:space="preserve"> regulators insist that we use the procedure that results in minimal redundancy and the inoculum we use satisfies this criterion.</w:t>
      </w:r>
    </w:p>
    <w:p w:rsidR="004D6A3C" w:rsidRDefault="004D6A3C" w:rsidP="00045C44">
      <w:pPr>
        <w:pStyle w:val="ListParagraph"/>
        <w:numPr>
          <w:ilvl w:val="0"/>
          <w:numId w:val="3"/>
        </w:numPr>
      </w:pPr>
      <w:r>
        <w:rPr>
          <w:i/>
        </w:rPr>
        <w:t>Stress</w:t>
      </w:r>
      <w:r w:rsidRPr="004D6A3C">
        <w:t>:</w:t>
      </w:r>
      <w:r>
        <w:t xml:space="preserve"> Our procedure is minimally invasive and produces little stress – the only intervention is feeding of a culture of bacteria</w:t>
      </w:r>
      <w:r w:rsidR="003066DE">
        <w:t>,</w:t>
      </w:r>
      <w:r>
        <w:t xml:space="preserve"> which the pups willingly receive. There </w:t>
      </w:r>
      <w:r w:rsidR="003066DE">
        <w:t>are no repeated manipulations.</w:t>
      </w:r>
      <w:r>
        <w:t xml:space="preserve"> We did undertake some experiments where we had to separate the pups from the mother rat and this induced stress </w:t>
      </w:r>
      <w:r w:rsidR="003066DE">
        <w:t>that increased rates of infection, so we are aware of this issue, and now avoid such experiments.</w:t>
      </w:r>
    </w:p>
    <w:p w:rsidR="002C29FA" w:rsidRDefault="002C29FA" w:rsidP="00045C44">
      <w:pPr>
        <w:pStyle w:val="ListParagraph"/>
        <w:numPr>
          <w:ilvl w:val="0"/>
          <w:numId w:val="3"/>
        </w:numPr>
      </w:pPr>
      <w:r>
        <w:rPr>
          <w:i/>
        </w:rPr>
        <w:t>Separation of the GI tract</w:t>
      </w:r>
      <w:r>
        <w:t>: This procedure will be shown in the video and will hopefully become very clear.</w:t>
      </w:r>
    </w:p>
    <w:p w:rsidR="002C29FA" w:rsidRDefault="002C29FA" w:rsidP="00045C44">
      <w:pPr>
        <w:pStyle w:val="ListParagraph"/>
        <w:numPr>
          <w:ilvl w:val="0"/>
          <w:numId w:val="3"/>
        </w:numPr>
      </w:pPr>
      <w:r>
        <w:rPr>
          <w:i/>
        </w:rPr>
        <w:lastRenderedPageBreak/>
        <w:t>Controls</w:t>
      </w:r>
      <w:r w:rsidRPr="002C29FA">
        <w:t>:</w:t>
      </w:r>
      <w:r>
        <w:t xml:space="preserve"> As stated, control animals receive sterile MH broth. Only </w:t>
      </w:r>
      <w:r w:rsidRPr="002C29FA">
        <w:rPr>
          <w:i/>
        </w:rPr>
        <w:t>E. coli</w:t>
      </w:r>
      <w:r>
        <w:t xml:space="preserve"> K1 strains produce the unusual pathology we describe, so there is not an exact bacterial control. We have, however, established that </w:t>
      </w:r>
      <w:r w:rsidRPr="002C29FA">
        <w:rPr>
          <w:i/>
        </w:rPr>
        <w:t>E. coli</w:t>
      </w:r>
      <w:r>
        <w:t xml:space="preserve"> K12 colonizes but does not produce systemic infection and this is reported in reference 17.</w:t>
      </w:r>
    </w:p>
    <w:p w:rsidR="00345371" w:rsidRDefault="00345371" w:rsidP="00345371">
      <w:pPr>
        <w:rPr>
          <w:b/>
        </w:rPr>
      </w:pPr>
    </w:p>
    <w:p w:rsidR="00345371" w:rsidRPr="00345371" w:rsidRDefault="00345371" w:rsidP="00345371">
      <w:pPr>
        <w:rPr>
          <w:b/>
        </w:rPr>
      </w:pPr>
      <w:r w:rsidRPr="00345371">
        <w:rPr>
          <w:b/>
        </w:rPr>
        <w:t>Reviewer #3</w:t>
      </w:r>
    </w:p>
    <w:p w:rsidR="00345371" w:rsidRDefault="00345371" w:rsidP="006E6607">
      <w:r>
        <w:t>We have refined and optimized the procedures evolved by others, cited in the manuscript, and we have not, up till now, described this method in such detail.</w:t>
      </w:r>
    </w:p>
    <w:p w:rsidR="00345371" w:rsidRDefault="00345371" w:rsidP="00345371">
      <w:pPr>
        <w:rPr>
          <w:b/>
        </w:rPr>
      </w:pPr>
    </w:p>
    <w:p w:rsidR="00345371" w:rsidRPr="00345371" w:rsidRDefault="00345371" w:rsidP="00345371">
      <w:pPr>
        <w:rPr>
          <w:b/>
        </w:rPr>
      </w:pPr>
      <w:r w:rsidRPr="00345371">
        <w:rPr>
          <w:b/>
        </w:rPr>
        <w:t>Reviewer #4</w:t>
      </w:r>
    </w:p>
    <w:p w:rsidR="00345371" w:rsidRDefault="00A22493" w:rsidP="00A22493">
      <w:pPr>
        <w:pStyle w:val="ListParagraph"/>
        <w:numPr>
          <w:ilvl w:val="0"/>
          <w:numId w:val="5"/>
        </w:numPr>
      </w:pPr>
      <w:r w:rsidRPr="00A22493">
        <w:rPr>
          <w:i/>
        </w:rPr>
        <w:t>Dissemination</w:t>
      </w:r>
      <w:r>
        <w:t xml:space="preserve">: We describe the procedures we used in our work in this </w:t>
      </w:r>
      <w:r w:rsidR="00542FBD">
        <w:t xml:space="preserve">area. We have reported </w:t>
      </w:r>
      <w:r>
        <w:t xml:space="preserve">extensively on the </w:t>
      </w:r>
      <w:proofErr w:type="spellStart"/>
      <w:r>
        <w:t>bioburden</w:t>
      </w:r>
      <w:proofErr w:type="spellEnd"/>
      <w:r>
        <w:t xml:space="preserve"> in various organs and body compartments and this work is fully referenced I the manuscript.</w:t>
      </w:r>
    </w:p>
    <w:p w:rsidR="000D0B22" w:rsidRDefault="000D0B22" w:rsidP="00A22493">
      <w:pPr>
        <w:pStyle w:val="ListParagraph"/>
        <w:numPr>
          <w:ilvl w:val="0"/>
          <w:numId w:val="5"/>
        </w:numPr>
      </w:pPr>
      <w:proofErr w:type="spellStart"/>
      <w:r>
        <w:rPr>
          <w:i/>
        </w:rPr>
        <w:t>Bacteremia</w:t>
      </w:r>
      <w:proofErr w:type="spellEnd"/>
      <w:r w:rsidRPr="000D0B22">
        <w:t>:</w:t>
      </w:r>
      <w:r>
        <w:t xml:space="preserve"> Again, fully reported by us, for example references 24 and 25.</w:t>
      </w:r>
    </w:p>
    <w:p w:rsidR="000D0B22" w:rsidRDefault="000D0B22" w:rsidP="00A22493">
      <w:pPr>
        <w:pStyle w:val="ListParagraph"/>
        <w:numPr>
          <w:ilvl w:val="0"/>
          <w:numId w:val="5"/>
        </w:numPr>
      </w:pPr>
      <w:r>
        <w:rPr>
          <w:i/>
        </w:rPr>
        <w:t>Table 1</w:t>
      </w:r>
      <w:r w:rsidRPr="000D0B22">
        <w:t>:</w:t>
      </w:r>
      <w:r>
        <w:t xml:space="preserve"> We use this solely to ensure the work is undertaken with maximum caution for inflicting minimum pain and there are no results to describe.</w:t>
      </w:r>
    </w:p>
    <w:p w:rsidR="000D0B22" w:rsidRDefault="000D0B22" w:rsidP="00A22493">
      <w:pPr>
        <w:pStyle w:val="ListParagraph"/>
        <w:numPr>
          <w:ilvl w:val="0"/>
          <w:numId w:val="5"/>
        </w:numPr>
      </w:pPr>
      <w:r>
        <w:rPr>
          <w:i/>
        </w:rPr>
        <w:t>Inflammation</w:t>
      </w:r>
      <w:r w:rsidRPr="000D0B22">
        <w:t>:</w:t>
      </w:r>
      <w:r>
        <w:t xml:space="preserve"> We established this in prior studies that are fully referenced in the manuscript</w:t>
      </w:r>
      <w:r w:rsidR="00542FBD">
        <w:t xml:space="preserve"> (e.g., reference 24)</w:t>
      </w:r>
      <w:r>
        <w:t>.</w:t>
      </w:r>
    </w:p>
    <w:p w:rsidR="007E269E" w:rsidRDefault="007E269E" w:rsidP="00A37609"/>
    <w:p w:rsidR="00A37609" w:rsidRDefault="00A37609" w:rsidP="00A37609">
      <w:r>
        <w:t>I have tried to incorporate as many of</w:t>
      </w:r>
      <w:r w:rsidR="007E269E">
        <w:t xml:space="preserve"> the</w:t>
      </w:r>
      <w:r>
        <w:t xml:space="preserve"> helpful comments</w:t>
      </w:r>
      <w:r w:rsidR="007E269E">
        <w:t xml:space="preserve"> from the reviewers</w:t>
      </w:r>
      <w:r>
        <w:t xml:space="preserve"> as possible</w:t>
      </w:r>
      <w:r w:rsidR="007E269E">
        <w:t xml:space="preserve"> and that the revised manuscript is acceptable to The Editors.</w:t>
      </w:r>
      <w:r>
        <w:t xml:space="preserve"> </w:t>
      </w:r>
      <w:r w:rsidR="007E269E">
        <w:t>Because I have undertaken extensive modifications, I have included a version where I have highlighted the changes (in addition to the “track changes” version) for ease of review.</w:t>
      </w:r>
    </w:p>
    <w:sectPr w:rsidR="00A37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06102"/>
    <w:multiLevelType w:val="hybridMultilevel"/>
    <w:tmpl w:val="94643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52F45A9"/>
    <w:multiLevelType w:val="hybridMultilevel"/>
    <w:tmpl w:val="2AAC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5C53778"/>
    <w:multiLevelType w:val="hybridMultilevel"/>
    <w:tmpl w:val="1FC04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9654120"/>
    <w:multiLevelType w:val="hybridMultilevel"/>
    <w:tmpl w:val="44D63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EFF16F4"/>
    <w:multiLevelType w:val="hybridMultilevel"/>
    <w:tmpl w:val="77E06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0DB"/>
    <w:rsid w:val="00012BB8"/>
    <w:rsid w:val="0004130C"/>
    <w:rsid w:val="00045C44"/>
    <w:rsid w:val="00052748"/>
    <w:rsid w:val="000D0B22"/>
    <w:rsid w:val="000F50DB"/>
    <w:rsid w:val="0022553F"/>
    <w:rsid w:val="002874C5"/>
    <w:rsid w:val="002C29FA"/>
    <w:rsid w:val="002C3C3A"/>
    <w:rsid w:val="002C6CD3"/>
    <w:rsid w:val="003066DE"/>
    <w:rsid w:val="00345371"/>
    <w:rsid w:val="00374694"/>
    <w:rsid w:val="003C6814"/>
    <w:rsid w:val="003D5424"/>
    <w:rsid w:val="00436A4E"/>
    <w:rsid w:val="00484DCF"/>
    <w:rsid w:val="004D6A3C"/>
    <w:rsid w:val="00532888"/>
    <w:rsid w:val="00542FBD"/>
    <w:rsid w:val="005479CE"/>
    <w:rsid w:val="00581422"/>
    <w:rsid w:val="006220C9"/>
    <w:rsid w:val="00646789"/>
    <w:rsid w:val="006546F9"/>
    <w:rsid w:val="00663195"/>
    <w:rsid w:val="00677907"/>
    <w:rsid w:val="006E6607"/>
    <w:rsid w:val="0077699E"/>
    <w:rsid w:val="007A2AB5"/>
    <w:rsid w:val="007E269E"/>
    <w:rsid w:val="00802D66"/>
    <w:rsid w:val="00805795"/>
    <w:rsid w:val="00810DEE"/>
    <w:rsid w:val="008140D2"/>
    <w:rsid w:val="00842122"/>
    <w:rsid w:val="00884CC4"/>
    <w:rsid w:val="008F0FC7"/>
    <w:rsid w:val="00957CA1"/>
    <w:rsid w:val="009876FF"/>
    <w:rsid w:val="009E3DE0"/>
    <w:rsid w:val="009E6887"/>
    <w:rsid w:val="00A02242"/>
    <w:rsid w:val="00A22493"/>
    <w:rsid w:val="00A3017A"/>
    <w:rsid w:val="00A37609"/>
    <w:rsid w:val="00AB21FD"/>
    <w:rsid w:val="00AB4941"/>
    <w:rsid w:val="00AD6421"/>
    <w:rsid w:val="00B52A8F"/>
    <w:rsid w:val="00B55368"/>
    <w:rsid w:val="00B63F71"/>
    <w:rsid w:val="00B90B45"/>
    <w:rsid w:val="00BA0B40"/>
    <w:rsid w:val="00BF6DC8"/>
    <w:rsid w:val="00C937D2"/>
    <w:rsid w:val="00D033F5"/>
    <w:rsid w:val="00D20844"/>
    <w:rsid w:val="00D339E5"/>
    <w:rsid w:val="00D467ED"/>
    <w:rsid w:val="00DA171D"/>
    <w:rsid w:val="00DF3AE0"/>
    <w:rsid w:val="00E638D5"/>
    <w:rsid w:val="00E8028D"/>
    <w:rsid w:val="00ED4394"/>
    <w:rsid w:val="00F03379"/>
    <w:rsid w:val="00F11F4F"/>
    <w:rsid w:val="00F15E01"/>
    <w:rsid w:val="00F404D6"/>
    <w:rsid w:val="00F9337F"/>
    <w:rsid w:val="00F9542F"/>
    <w:rsid w:val="00FA76AB"/>
    <w:rsid w:val="00FC7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DE0"/>
    <w:pPr>
      <w:ind w:left="720"/>
      <w:contextualSpacing/>
    </w:pPr>
  </w:style>
  <w:style w:type="paragraph" w:styleId="BalloonText">
    <w:name w:val="Balloon Text"/>
    <w:basedOn w:val="Normal"/>
    <w:link w:val="BalloonTextChar"/>
    <w:uiPriority w:val="99"/>
    <w:semiHidden/>
    <w:unhideWhenUsed/>
    <w:rsid w:val="00987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6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DE0"/>
    <w:pPr>
      <w:ind w:left="720"/>
      <w:contextualSpacing/>
    </w:pPr>
  </w:style>
  <w:style w:type="paragraph" w:styleId="BalloonText">
    <w:name w:val="Balloon Text"/>
    <w:basedOn w:val="Normal"/>
    <w:link w:val="BalloonTextChar"/>
    <w:uiPriority w:val="99"/>
    <w:semiHidden/>
    <w:unhideWhenUsed/>
    <w:rsid w:val="00987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Taylor</dc:creator>
  <cp:lastModifiedBy>Peter Taylor</cp:lastModifiedBy>
  <cp:revision>62</cp:revision>
  <cp:lastPrinted>2014-04-24T13:18:00Z</cp:lastPrinted>
  <dcterms:created xsi:type="dcterms:W3CDTF">2014-04-23T13:35:00Z</dcterms:created>
  <dcterms:modified xsi:type="dcterms:W3CDTF">2014-04-24T13:28:00Z</dcterms:modified>
</cp:coreProperties>
</file>