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BE" w:rsidRDefault="00450DBE" w:rsidP="00450DBE">
      <w:pPr>
        <w:rPr>
          <w:u w:val="single"/>
        </w:rPr>
      </w:pPr>
      <w:r w:rsidRPr="007E4659">
        <w:rPr>
          <w:u w:val="single"/>
        </w:rPr>
        <w:t xml:space="preserve">Stuart 51830 </w:t>
      </w:r>
      <w:proofErr w:type="spellStart"/>
      <w:r w:rsidRPr="007E4659">
        <w:rPr>
          <w:u w:val="single"/>
        </w:rPr>
        <w:t>redos</w:t>
      </w:r>
      <w:proofErr w:type="spellEnd"/>
      <w:r w:rsidRPr="007E4659">
        <w:rPr>
          <w:u w:val="single"/>
        </w:rPr>
        <w:t xml:space="preserve"> (3)</w:t>
      </w:r>
    </w:p>
    <w:p w:rsidR="00450DBE" w:rsidRPr="007E4659" w:rsidRDefault="00450DBE" w:rsidP="00450DBE">
      <w:pPr>
        <w:rPr>
          <w:u w:val="single"/>
        </w:rPr>
      </w:pPr>
      <w:r>
        <w:t xml:space="preserve">5.3 Using a 3 ml syringe </w:t>
      </w:r>
      <w:r>
        <w:rPr>
          <w:b/>
          <w:bCs/>
        </w:rPr>
        <w:t>plunger</w:t>
      </w:r>
      <w:r>
        <w:t>, disrupt the spleen. (</w:t>
      </w:r>
      <w:r>
        <w:rPr>
          <w:rStyle w:val="aqj"/>
          <w:rFonts w:ascii="Arial" w:hAnsi="Arial" w:cs="Arial"/>
        </w:rPr>
        <w:t>6:38</w:t>
      </w:r>
      <w:r>
        <w:t>, rewrite)</w:t>
      </w:r>
    </w:p>
    <w:p w:rsidR="00450DBE" w:rsidRDefault="00450DBE" w:rsidP="00450DBE">
      <w:pPr>
        <w:pStyle w:val="NormalWeb"/>
      </w:pPr>
      <w:r>
        <w:rPr>
          <w:rFonts w:ascii="Arial" w:hAnsi="Arial" w:cs="Arial"/>
        </w:rPr>
        <w:t xml:space="preserve">5.6     Later, prior to performing the corneal transplantation, inject the cells into the anterior chamber in the </w:t>
      </w:r>
      <w:r>
        <w:rPr>
          <w:rFonts w:ascii="Arial" w:hAnsi="Arial" w:cs="Arial"/>
          <w:b/>
          <w:bCs/>
        </w:rPr>
        <w:t>contralateral eye</w:t>
      </w:r>
      <w:r>
        <w:rPr>
          <w:rFonts w:ascii="Arial" w:hAnsi="Arial" w:cs="Arial"/>
        </w:rPr>
        <w:t>. (</w:t>
      </w:r>
      <w:r>
        <w:rPr>
          <w:rStyle w:val="aqj"/>
          <w:rFonts w:ascii="Arial" w:hAnsi="Arial" w:cs="Arial"/>
        </w:rPr>
        <w:t>7:06</w:t>
      </w:r>
      <w:r>
        <w:rPr>
          <w:rFonts w:ascii="Arial" w:hAnsi="Arial" w:cs="Arial"/>
        </w:rPr>
        <w:t>, rewrite)</w:t>
      </w:r>
    </w:p>
    <w:p w:rsidR="00450DBE" w:rsidRDefault="00450DBE" w:rsidP="00450DBE">
      <w:r>
        <w:rPr>
          <w:rFonts w:ascii="Arial" w:hAnsi="Arial" w:cs="Arial"/>
        </w:rPr>
        <w:t xml:space="preserve">6.2a </w:t>
      </w:r>
      <w:r>
        <w:rPr>
          <w:rFonts w:ascii="Arial" w:hAnsi="Arial" w:cs="Arial"/>
          <w:b/>
          <w:bCs/>
        </w:rPr>
        <w:t>Studies demonstrate that establishing antigen specific tolerance to alloantigen as measured by DTH responses does not affect the outcome of either skin or corneal allografts. (</w:t>
      </w:r>
      <w:r>
        <w:rPr>
          <w:rStyle w:val="aqj"/>
          <w:rFonts w:ascii="Arial" w:hAnsi="Arial" w:cs="Arial"/>
        </w:rPr>
        <w:t>8:15</w:t>
      </w:r>
      <w:r>
        <w:rPr>
          <w:rFonts w:ascii="Arial" w:hAnsi="Arial" w:cs="Arial"/>
        </w:rPr>
        <w:t>, new sentence)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BE"/>
    <w:rsid w:val="001E1FAD"/>
    <w:rsid w:val="001E64BF"/>
    <w:rsid w:val="00450DBE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DB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50DBE"/>
    <w:pPr>
      <w:spacing w:before="100" w:beforeAutospacing="1" w:after="100" w:afterAutospacing="1"/>
    </w:pPr>
  </w:style>
  <w:style w:type="character" w:customStyle="1" w:styleId="aqj">
    <w:name w:val="aqj"/>
    <w:basedOn w:val="DefaultParagraphFont"/>
    <w:rsid w:val="00450DB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DB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50DBE"/>
    <w:pPr>
      <w:spacing w:before="100" w:beforeAutospacing="1" w:after="100" w:afterAutospacing="1"/>
    </w:pPr>
  </w:style>
  <w:style w:type="character" w:customStyle="1" w:styleId="aqj">
    <w:name w:val="aqj"/>
    <w:basedOn w:val="DefaultParagraphFont"/>
    <w:rsid w:val="00450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Macintosh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2014-08-31T19:49:00Z</dcterms:created>
  <dcterms:modified xsi:type="dcterms:W3CDTF">2014-08-31T19:49:00Z</dcterms:modified>
</cp:coreProperties>
</file>