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Lignin Down-Regulation of </w:t>
      </w:r>
      <w:r>
        <w:rPr>
          <w:rFonts w:ascii="Times New Roman" w:hAnsi="Times New Roman" w:cs="Times New Roman" w:eastAsia="Times New Roman"/>
          <w:i/>
          <w:color w:val="auto"/>
          <w:spacing w:val="0"/>
          <w:position w:val="0"/>
          <w:sz w:val="24"/>
          <w:shd w:fill="auto" w:val="clear"/>
        </w:rPr>
        <w:t xml:space="preserve">Zea Mays</w:t>
      </w:r>
      <w:r>
        <w:rPr>
          <w:rFonts w:ascii="Times New Roman" w:hAnsi="Times New Roman" w:cs="Times New Roman" w:eastAsia="Times New Roman"/>
          <w:color w:val="auto"/>
          <w:spacing w:val="0"/>
          <w:position w:val="0"/>
          <w:sz w:val="24"/>
          <w:shd w:fill="auto" w:val="clear"/>
        </w:rPr>
        <w:t xml:space="preserve"> via dsRNAi and Klason Lignin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Sang-Hyuck Park*, Rebecca Garlock Ong, Chuansheng Mei, and Mariam Sticklen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Sang-Hyuck Park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of Plant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Arizona, Tucson, AZ 85721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shpark@email.arizona.edu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Rebecca Garlock Ong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Chemical Engineering and Materials Science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DOE Great Lakes Bioenergy Research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Michigan State University, Lansing MI 48910</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garlock1@msu.edu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Chuansheng Mei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Institute for Sustainable and Renewable Resources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Institute for Advanced Learning and Research, Danville, VA 24540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chuansheng.mei@ialr.org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Mariam Sticklen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Plant, Soil and Microbial Sciences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Michigan State University, East Lansing, MI 48824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stickle1@msu.edu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*Sang-Hyuck Park,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Zea mays</w:t>
      </w:r>
      <w:r>
        <w:rPr>
          <w:rFonts w:ascii="Times New Roman" w:hAnsi="Times New Roman" w:cs="Times New Roman" w:eastAsia="Times New Roman"/>
          <w:color w:val="auto"/>
          <w:spacing w:val="0"/>
          <w:position w:val="0"/>
          <w:sz w:val="24"/>
          <w:shd w:fill="auto" w:val="clear"/>
        </w:rPr>
        <w:t xml:space="preserve">, cinnamoyl-CoA reductase (CCR), dsRNAi, Klason lignin measurement, cell wall carbohydrate analysis, gas chromatography (GC)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double stranded RNA interference (dsRNAi) technique is employed to down-regulate the maize cinnamoyl coenzyme A reductase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to lower plant lignin content. Lignin down-regulation from the cell wall is visualized by microscopic analyses and quantified by the Klason method. Compositional changes in hemicellulose and crystalline cellulose are analyzed.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facilitate the use of lignocellulosic biomass as an alternative bioenergy resource, during biological conversion processes, a pretreatment step is needed to open up the structure of the plant cell wall, increasing the accessibility of the cell wall carbohydrates. Lignin, a polyphenolic material present in many cell wall types, is known to be a significant hindrance to enzyme access. Reduction in lignin content to a level that does not interfere with the structural integrity and defense system of the plant might be a valuable step to reduce the costs of bioethanol production. In this study, we have genetically down-regulated one of the lignin biosynthesis-related genes, cinnamoyl-CoA reductase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via a double stranded RNA interference technique.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construct was integrated into the maize genome using the particle bombardment method. Transgenic maize plants grew normally as compared to the wild-type control plants without interfering with biomass growth or defense mechanisms, with the exception of displaying of brown-coloration in transgenic plants leaf mid-ribs, husks, and stems. The microscopic analyses, in conjunction with the histological assay, revealed that the leaf sclerenchyma fibers were thinned but the structure and size of other major vascular system components was not altered. The lignin content in the transgenic maize was reduced by 7-8.7%, the crystalline cellulose content was increased in response to lignin reduction, and hemicelluloses remained unchanged. The analyses may indicate that carbon flow might have been shifted from lignin biosynthesis to cellulose biosynthesis. This article delineates the procedures used to down-regulate the lignin content in maize via RNAi technology, and the cell wall compositional analyses used to verify the effect of the modifications on the cell wall structure.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production of biofuels from lignocellulosic biomass is highly desirable due to its present abundance in the U.S.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 and in the case of the sustainable harvest of agricultural and forestry residues, the ability to not compete directly for cropland used for food and animal feed production. However, unlike maize grain, which is the main source of biofuel currently generated in the U.S., lignocellulosic materials are significantly more complex and difficult to break down. In addition to the long-chain carbohydrates, cellulose and hemicellulose, which are the main sources of sugars during fermentation of lignocellulosic materials, many types of plant cell walls also contain lignin, a phenylpropanoid polymer that provides strength, defense against pathogen attack, and hydrophobicity to cell walls. While necessary for plant growth and survival, lignin also presents a significant barrier to the successful enzymatic conversion of the cellulose and hemicellulose to soluble sugars. Materials with high lignin contents are generally less desirable materials for both the biofuel (through biological conversion pathways) and the pulp and paper industries due to the negative impacts on processing characteristics and product quality. Hence, genetic manipulation of plant materials for lignin reduction at a level that does not interfere with crop structural strength and defense systems might be important for the reduction of production costs for both the lignocellulosic biofuel and the pulp and paper industries.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maize (</w:t>
      </w:r>
      <w:r>
        <w:rPr>
          <w:rFonts w:ascii="Times New Roman" w:hAnsi="Times New Roman" w:cs="Times New Roman" w:eastAsia="Times New Roman"/>
          <w:i/>
          <w:color w:val="auto"/>
          <w:spacing w:val="0"/>
          <w:position w:val="0"/>
          <w:sz w:val="24"/>
          <w:shd w:fill="auto" w:val="clear"/>
        </w:rPr>
        <w:t xml:space="preserve">Zea mays</w:t>
      </w:r>
      <w:r>
        <w:rPr>
          <w:rFonts w:ascii="Times New Roman" w:hAnsi="Times New Roman" w:cs="Times New Roman" w:eastAsia="Times New Roman"/>
          <w:color w:val="auto"/>
          <w:spacing w:val="0"/>
          <w:position w:val="0"/>
          <w:sz w:val="24"/>
          <w:shd w:fill="auto" w:val="clear"/>
        </w:rPr>
        <w:t xml:space="preserve">), lignin is covalently cross-linked to hemicellulose in the primary cell wall via ferulate and diferulate bridges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lignin-hemicellulose complex binds to cellulose microfibrils through hydrogen bonds, forming a complex matrix that confers integrity and strength to the secondary cell wall. The mechanical strength of plant cell walls is largely determined by the type of lignin subunits</w:t>
      </w:r>
      <w:r>
        <w:rPr>
          <w:rFonts w:ascii="Times New Roman" w:hAnsi="Times New Roman" w:cs="Times New Roman" w:eastAsia="Times New Roman"/>
          <w:color w:val="auto"/>
          <w:spacing w:val="0"/>
          <w:position w:val="0"/>
          <w:sz w:val="24"/>
          <w:shd w:fill="auto" w:val="clear"/>
          <w:vertAlign w:val="superscript"/>
        </w:rPr>
        <w:t xml:space="preserve">3,4,5</w:t>
      </w:r>
      <w:r>
        <w:rPr>
          <w:rFonts w:ascii="Times New Roman" w:hAnsi="Times New Roman" w:cs="Times New Roman" w:eastAsia="Times New Roman"/>
          <w:color w:val="auto"/>
          <w:spacing w:val="0"/>
          <w:position w:val="0"/>
          <w:sz w:val="24"/>
          <w:shd w:fill="auto" w:val="clear"/>
        </w:rPr>
        <w:t xml:space="preserve">. In previous studies, altering the proportions of lignin subunits has shown no clear trend on enzymatic digestibility</w:t>
      </w:r>
      <w:r>
        <w:rPr>
          <w:rFonts w:ascii="Times New Roman" w:hAnsi="Times New Roman" w:cs="Times New Roman" w:eastAsia="Times New Roman"/>
          <w:color w:val="auto"/>
          <w:spacing w:val="0"/>
          <w:position w:val="0"/>
          <w:sz w:val="24"/>
          <w:shd w:fill="auto" w:val="clear"/>
          <w:vertAlign w:val="superscript"/>
        </w:rPr>
        <w:t xml:space="preserve">6-11</w:t>
      </w:r>
      <w:r>
        <w:rPr>
          <w:rFonts w:ascii="Times New Roman" w:hAnsi="Times New Roman" w:cs="Times New Roman" w:eastAsia="Times New Roman"/>
          <w:color w:val="auto"/>
          <w:spacing w:val="0"/>
          <w:position w:val="0"/>
          <w:sz w:val="24"/>
          <w:shd w:fill="auto" w:val="clear"/>
        </w:rPr>
        <w:t xml:space="preserve">. However, reductions in lignin content generally show an improvement in conversions</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and may be a key to increasing the digestibility of plant material by hydrolytic enzymes including endocellulases, cellobiohydrolases, and </w:t>
      </w:r>
      <w:r>
        <w:rPr>
          <w:rFonts w:ascii="Times New Roman" w:hAnsi="Times New Roman" w:cs="Times New Roman" w:eastAsia="Times New Roman"/>
          <w:color w:val="auto"/>
          <w:spacing w:val="0"/>
          <w:position w:val="0"/>
          <w:sz w:val="24"/>
          <w:shd w:fill="auto" w:val="clear"/>
        </w:rPr>
        <w:t xml:space="preserve">β-glucosidases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Genetic engineering to regulate the expression level of transcripts has been extensively practiced to improve crop traits. Advanced techniques, including anti-sense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co-suppression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technologies, enable effective down-regulation of target genes. Complete gene knock-out has also been achieved using gene constructs encoding intron-spliced RNA with a hairpin structure</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Furthermore, a double stranded RNA interference (dsRNAi) technique, i.e. </w:t>
      </w:r>
      <w:r>
        <w:rPr>
          <w:rFonts w:ascii="Times" w:hAnsi="Times" w:cs="Times" w:eastAsia="Times"/>
          <w:color w:val="auto"/>
          <w:spacing w:val="0"/>
          <w:position w:val="0"/>
          <w:sz w:val="24"/>
          <w:shd w:fill="auto" w:val="clear"/>
        </w:rPr>
        <w:t xml:space="preserve">a powerful and effective gene expression mediator that works by either targeting transcript degradation or translation repression,</w:t>
      </w:r>
      <w:r>
        <w:rPr>
          <w:rFonts w:ascii="Times New Roman" w:hAnsi="Times New Roman" w:cs="Times New Roman" w:eastAsia="Times New Roman"/>
          <w:color w:val="auto"/>
          <w:spacing w:val="0"/>
          <w:position w:val="0"/>
          <w:sz w:val="24"/>
          <w:shd w:fill="auto" w:val="clear"/>
        </w:rPr>
        <w:t xml:space="preserve"> provides a potent means to induce a wide range of suppression effects on the target mRNA</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Gene silencing techniques show several limitations. These techniques do not precisely regulate the level of transcription and it could cause unexpected silencing effects on other homologous genes.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method, we employed particle bombardment to carry the dsRNAi constructs into the maize genome. To date, a vast array of plant species have been successfully transformed using particle bombardment, </w:t>
      </w:r>
      <w:r>
        <w:rPr>
          <w:rFonts w:ascii="Times New Roman" w:hAnsi="Times New Roman" w:cs="Times New Roman" w:eastAsia="Times New Roman"/>
          <w:i/>
          <w:color w:val="auto"/>
          <w:spacing w:val="0"/>
          <w:position w:val="0"/>
          <w:sz w:val="24"/>
          <w:shd w:fill="auto" w:val="clear"/>
        </w:rPr>
        <w:t xml:space="preserve">Agrobacterium</w:t>
      </w:r>
      <w:r>
        <w:rPr>
          <w:rFonts w:ascii="Times New Roman" w:hAnsi="Times New Roman" w:cs="Times New Roman" w:eastAsia="Times New Roman"/>
          <w:color w:val="auto"/>
          <w:spacing w:val="0"/>
          <w:position w:val="0"/>
          <w:sz w:val="24"/>
          <w:shd w:fill="auto" w:val="clear"/>
        </w:rPr>
        <w:t xml:space="preserve"> mediated transformation, electroporation, and microinjection methods. In maize genetic transformation, the particle bombardment method is advantageous over all the other methods because it is the most efficient. Particle bombardment is not dependent on bacteria, so the method is free of biological constraints such as the size of the gene, species of gene origin, or the plant genotype. The physical transgene delivery system enables high molecular weight DNA and multiple genes to be introduced into plant genomes and in certain cases into chloroplasts at high transformation efficiency</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The lignin reduction in the vascular system of the leaf mid-rib can be visualized via scanning electron microscopy (SEM) which is beneficial for examining the topography and composition of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maize plants, two of the cinnamoyl-CoA reductase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X98083 and </w:t>
      </w:r>
      <w:r>
        <w:rPr>
          <w:rFonts w:ascii="Times New Roman" w:hAnsi="Times New Roman" w:cs="Times New Roman" w:eastAsia="Times New Roman"/>
          <w:i/>
          <w:color w:val="auto"/>
          <w:spacing w:val="0"/>
          <w:position w:val="0"/>
          <w:sz w:val="24"/>
          <w:shd w:fill="auto" w:val="clear"/>
        </w:rPr>
        <w:t xml:space="preserve">ZmCCR2</w:t>
      </w:r>
      <w:r>
        <w:rPr>
          <w:rFonts w:ascii="Times New Roman" w:hAnsi="Times New Roman" w:cs="Times New Roman" w:eastAsia="Times New Roman"/>
          <w:color w:val="auto"/>
          <w:spacing w:val="0"/>
          <w:position w:val="0"/>
          <w:sz w:val="24"/>
          <w:shd w:fill="auto" w:val="clear"/>
        </w:rPr>
        <w:t xml:space="preserve">: Y15069) genes were found in the maize genome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Cinnamoyl-CoA reductase catalyzes the conversion of the hydroxycinnamoyl-CoA esters into cinnamyl aldehydes. We chose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to down-regulate this enzyme because the gene is expressed in all lignifying tissues. The 523 nucleotides at the 3’ terminus of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were chosen for a dsRNAi construct because the sequences appeared to be more diverse as compared to those of </w:t>
      </w:r>
      <w:r>
        <w:rPr>
          <w:rFonts w:ascii="Times New Roman" w:hAnsi="Times New Roman" w:cs="Times New Roman" w:eastAsia="Times New Roman"/>
          <w:i/>
          <w:color w:val="auto"/>
          <w:spacing w:val="0"/>
          <w:position w:val="0"/>
          <w:sz w:val="24"/>
          <w:shd w:fill="auto" w:val="clear"/>
        </w:rPr>
        <w:t xml:space="preserve">ZmCCR2</w:t>
      </w:r>
      <w:r>
        <w:rPr>
          <w:rFonts w:ascii="Times New Roman" w:hAnsi="Times New Roman" w:cs="Times New Roman" w:eastAsia="Times New Roman"/>
          <w:color w:val="auto"/>
          <w:spacing w:val="0"/>
          <w:position w:val="0"/>
          <w:sz w:val="24"/>
          <w:shd w:fill="auto" w:val="clear"/>
        </w:rPr>
        <w:t xml:space="preserve">. Thus, the dsRNAi construct would precisely bind only to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avoiding off-target silencing</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construct was engineered into the cytoplasmic expression system ImpactVector1.1-tag (IV 1.1) containing the green tissue specific promoter, ribulose-1, 5-bisphosphate carboxylase oxygenase (RuBisCO).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study the effects of the dsRNAi construct on transgenic plants, the lignin content was quantified. The Klason (acid-insoluble) lignin measurement is known to be more accurate compared to the acid detergent lignin quantification methods which solubilize some of the lignin</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Therefore, the Klason lignin was measured in transgenic maize stalks. This procedure consists of a two-step acid hydrolysis that converts polymeric carbohydrates into soluble monosaccharides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The hydrolyzed biomass was then fractionated into acid soluble and insoluble materials and the acid insoluble lignin was measured according to previous studies</w:t>
      </w:r>
      <w:r>
        <w:rPr>
          <w:rFonts w:ascii="Times New Roman" w:hAnsi="Times New Roman" w:cs="Times New Roman" w:eastAsia="Times New Roman"/>
          <w:color w:val="auto"/>
          <w:spacing w:val="0"/>
          <w:position w:val="0"/>
          <w:sz w:val="24"/>
          <w:shd w:fill="auto" w:val="clear"/>
          <w:vertAlign w:val="superscript"/>
        </w:rPr>
        <w:t xml:space="preserve">23,24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other cell wall components, cellulose and hemicellulose were also analyzed in the lignin down-regulated transgenic maize lines. It has been reported that transgenic plants that have been down-regulated in either their phenylalanine ammonia-lyase (</w:t>
      </w:r>
      <w:r>
        <w:rPr>
          <w:rFonts w:ascii="Times New Roman" w:hAnsi="Times New Roman" w:cs="Times New Roman" w:eastAsia="Times New Roman"/>
          <w:i/>
          <w:color w:val="auto"/>
          <w:spacing w:val="0"/>
          <w:position w:val="0"/>
          <w:sz w:val="24"/>
          <w:shd w:fill="auto" w:val="clear"/>
        </w:rPr>
        <w:t xml:space="preserve">PAL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4-coumarate:CoA ligase (</w:t>
      </w:r>
      <w:r>
        <w:rPr>
          <w:rFonts w:ascii="Times New Roman" w:hAnsi="Times New Roman" w:cs="Times New Roman" w:eastAsia="Times New Roman"/>
          <w:i/>
          <w:color w:val="auto"/>
          <w:spacing w:val="0"/>
          <w:position w:val="0"/>
          <w:sz w:val="24"/>
          <w:shd w:fill="auto" w:val="clear"/>
        </w:rPr>
        <w:t xml:space="preserve">4CL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or cinnamyl alcohol dehydrogenase (</w:t>
      </w:r>
      <w:r>
        <w:rPr>
          <w:rFonts w:ascii="Times New Roman" w:hAnsi="Times New Roman" w:cs="Times New Roman" w:eastAsia="Times New Roman"/>
          <w:i/>
          <w:color w:val="auto"/>
          <w:spacing w:val="0"/>
          <w:position w:val="0"/>
          <w:sz w:val="24"/>
          <w:shd w:fill="auto" w:val="clear"/>
        </w:rPr>
        <w:t xml:space="preserve">CAD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show an increase in other cell wall structural components. As a first step in our studies, crystalline cellulose was measured using the Updegraff method</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This method was originally devised for determination of cellulose in a large number of cellulolytic bacteria and fungi. Briefly, the milled maize stocks were treated with Updegraff reagent (acetic acid: nitric acid: water) to remove hemicellulose, lignin, and xylosans. The crystalline cellulose was completely hydrolyzed into glucose via Saeman hydrolysis by adding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The crystalline cellulose was then assayed using the colorimetric anthrone method</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To verify if the hemicellulose contents were changed, the monosaccharide extracts from milled stalks were hydrolyzed using trifluoroacetic acid, derivatized using the alditol acetate method and then analyzed by gas chromatography (GC)</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The detailed procedures for crystalline cellulose content and matrix polysaccharides composition analyses are described in Foster et al, (2010)</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describe the procedures used for lignin down-regulation in maize via a RNAi technology, particle bombardment transformation, and lignin analysis for accelerated deconstruction of maize lignocellulosic biomass into fermentable sugars for biofuels.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Preparation of dsRNAi constructs used for the down-regulation of </w:t>
      </w:r>
      <w:r>
        <w:rPr>
          <w:rFonts w:ascii="Times New Roman" w:hAnsi="Times New Roman" w:cs="Times New Roman" w:eastAsia="Times New Roman"/>
          <w:b/>
          <w:i/>
          <w:color w:val="auto"/>
          <w:spacing w:val="0"/>
          <w:position w:val="0"/>
          <w:sz w:val="24"/>
          <w:shd w:fill="auto" w:val="clear"/>
        </w:rPr>
        <w:t xml:space="preserve">ZmCCR1</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Design gene specific primers including necessary restriction enzyme sites for making a dsRNAi construct to knock-out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Two primer sets were designed to amplify two fragment segments of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cDNA: a 523 bp fragment from nucleotide 748 to 1271, and a 285 bp fragment from nucleotide 986 to 1271.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cDNA was provided from the Arizona Genome Institute (AGI). More details are described in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Amplify the large fragment by polymerase chain reaction (PCR) from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cDNA template using the primers ZmCCR1_748F_BglII (5’-AGATCTACATCCTCAAGTACCTGGAC-3’) and ZmCCR1_1271R_NcoI (5’-CCATGGTTTACACAGCAGGGGAAGGT-3’). Amplify the smaller fragment (285 bp) using the primers ZmCCR1_986F_BglII (5’-AGATCTGGAAGCAGCCGTACAAGTTC-3’) and a ZmCCR1_1271R_SacI (5’-GAGCTCTTTACACAGCAGGGGAAGGT-3’).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Individually ligate the fragments into pGEM-T Easy following the manufacturer’s instructions.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Perform mini-prep plasmid DNA isolation from individual transformants, each containing the pGEM-T constructs using a commercial mini-prep plasmid kit.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Digest both the </w:t>
      </w:r>
      <w:r>
        <w:rPr>
          <w:rFonts w:ascii="Times New Roman" w:hAnsi="Times New Roman" w:cs="Times New Roman" w:eastAsia="Times New Roman"/>
          <w:i/>
          <w:color w:val="auto"/>
          <w:spacing w:val="0"/>
          <w:position w:val="0"/>
          <w:sz w:val="24"/>
          <w:shd w:fill="auto" w:val="clear"/>
        </w:rPr>
        <w:t xml:space="preserve">pGEM-T::ZmCCR1</w:t>
      </w:r>
      <w:r>
        <w:rPr>
          <w:rFonts w:ascii="Times New Roman" w:hAnsi="Times New Roman" w:cs="Times New Roman" w:eastAsia="Times New Roman"/>
          <w:color w:val="auto"/>
          <w:spacing w:val="0"/>
          <w:position w:val="0"/>
          <w:sz w:val="24"/>
          <w:shd w:fill="auto" w:val="clear"/>
        </w:rPr>
        <w:t xml:space="preserve"> (523 bp) and ImpactVector (IV)-1.1 (cytoplasm expression vector) with both </w:t>
      </w:r>
      <w:r>
        <w:rPr>
          <w:rFonts w:ascii="Times New Roman" w:hAnsi="Times New Roman" w:cs="Times New Roman" w:eastAsia="Times New Roman"/>
          <w:i/>
          <w:color w:val="auto"/>
          <w:spacing w:val="0"/>
          <w:position w:val="0"/>
          <w:sz w:val="24"/>
          <w:shd w:fill="auto" w:val="clear"/>
        </w:rPr>
        <w:t xml:space="preserve">BglII</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NcoI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Ligate the large digested gel purified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fragment (523 bp) into the digested gel purified IV-1.1.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Digest the </w:t>
      </w:r>
      <w:r>
        <w:rPr>
          <w:rFonts w:ascii="Times New Roman" w:hAnsi="Times New Roman" w:cs="Times New Roman" w:eastAsia="Times New Roman"/>
          <w:i/>
          <w:color w:val="auto"/>
          <w:spacing w:val="0"/>
          <w:position w:val="0"/>
          <w:sz w:val="24"/>
          <w:shd w:fill="auto" w:val="clear"/>
        </w:rPr>
        <w:t xml:space="preserve">pGEM-T::ZmCCR1</w:t>
      </w:r>
      <w:r>
        <w:rPr>
          <w:rFonts w:ascii="Times New Roman" w:hAnsi="Times New Roman" w:cs="Times New Roman" w:eastAsia="Times New Roman"/>
          <w:color w:val="auto"/>
          <w:spacing w:val="0"/>
          <w:position w:val="0"/>
          <w:sz w:val="24"/>
          <w:shd w:fill="auto" w:val="clear"/>
        </w:rPr>
        <w:t xml:space="preserve">(285 bp ) and </w:t>
      </w:r>
      <w:r>
        <w:rPr>
          <w:rFonts w:ascii="Times New Roman" w:hAnsi="Times New Roman" w:cs="Times New Roman" w:eastAsia="Times New Roman"/>
          <w:i/>
          <w:color w:val="auto"/>
          <w:spacing w:val="0"/>
          <w:position w:val="0"/>
          <w:sz w:val="24"/>
          <w:shd w:fill="auto" w:val="clear"/>
        </w:rPr>
        <w:t xml:space="preserve">IV-1.1::ZmCCR1</w:t>
      </w:r>
      <w:r>
        <w:rPr>
          <w:rFonts w:ascii="Times New Roman" w:hAnsi="Times New Roman" w:cs="Times New Roman" w:eastAsia="Times New Roman"/>
          <w:color w:val="auto"/>
          <w:spacing w:val="0"/>
          <w:position w:val="0"/>
          <w:sz w:val="24"/>
          <w:shd w:fill="auto" w:val="clear"/>
        </w:rPr>
        <w:t xml:space="preserve">(523 bp) with both </w:t>
      </w:r>
      <w:r>
        <w:rPr>
          <w:rFonts w:ascii="Times New Roman" w:hAnsi="Times New Roman" w:cs="Times New Roman" w:eastAsia="Times New Roman"/>
          <w:i/>
          <w:color w:val="auto"/>
          <w:spacing w:val="0"/>
          <w:position w:val="0"/>
          <w:sz w:val="24"/>
          <w:shd w:fill="auto" w:val="clear"/>
        </w:rPr>
        <w:t xml:space="preserve">BglII</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SacI</w:t>
      </w:r>
      <w:r>
        <w:rPr>
          <w:rFonts w:ascii="Times New Roman" w:hAnsi="Times New Roman" w:cs="Times New Roman" w:eastAsia="Times New Roman"/>
          <w:color w:val="auto"/>
          <w:spacing w:val="0"/>
          <w:position w:val="0"/>
          <w:sz w:val="24"/>
          <w:shd w:fill="auto" w:val="clear"/>
        </w:rPr>
        <w:t xml:space="preserve"> in order to insert the small fragment into the </w:t>
      </w:r>
      <w:r>
        <w:rPr>
          <w:rFonts w:ascii="Times New Roman" w:hAnsi="Times New Roman" w:cs="Times New Roman" w:eastAsia="Times New Roman"/>
          <w:i/>
          <w:color w:val="auto"/>
          <w:spacing w:val="0"/>
          <w:position w:val="0"/>
          <w:sz w:val="24"/>
          <w:shd w:fill="auto" w:val="clear"/>
        </w:rPr>
        <w:t xml:space="preserve">IV-1.1::ZmCCR1</w:t>
      </w:r>
      <w:r>
        <w:rPr>
          <w:rFonts w:ascii="Times New Roman" w:hAnsi="Times New Roman" w:cs="Times New Roman" w:eastAsia="Times New Roman"/>
          <w:color w:val="auto"/>
          <w:spacing w:val="0"/>
          <w:position w:val="0"/>
          <w:sz w:val="24"/>
          <w:shd w:fill="auto" w:val="clear"/>
        </w:rPr>
        <w:t xml:space="preserve">(523 bp).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Ligate the small digested gel purified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fragment (285 bp) into the digested gel purified </w:t>
      </w:r>
      <w:r>
        <w:rPr>
          <w:rFonts w:ascii="Times New Roman" w:hAnsi="Times New Roman" w:cs="Times New Roman" w:eastAsia="Times New Roman"/>
          <w:i/>
          <w:color w:val="auto"/>
          <w:spacing w:val="0"/>
          <w:position w:val="0"/>
          <w:sz w:val="24"/>
          <w:shd w:fill="auto" w:val="clear"/>
        </w:rPr>
        <w:t xml:space="preserve">IV-1.1::ZmCCR1</w:t>
      </w:r>
      <w:r>
        <w:rPr>
          <w:rFonts w:ascii="Times New Roman" w:hAnsi="Times New Roman" w:cs="Times New Roman" w:eastAsia="Times New Roman"/>
          <w:color w:val="auto"/>
          <w:spacing w:val="0"/>
          <w:position w:val="0"/>
          <w:sz w:val="24"/>
          <w:shd w:fill="auto" w:val="clear"/>
        </w:rPr>
        <w:t xml:space="preserve">(523 bp).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Clone both 523 bp and 285 bp fragments into IV-1.1 to make the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RNAi construct, which has a 285 bp inverted repeat sequence with a 238 bp spacer in the middle of the inverted repeat fragments (see Figure 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Transfer this construct into </w:t>
      </w:r>
      <w:r>
        <w:rPr>
          <w:rFonts w:ascii="Times New Roman" w:hAnsi="Times New Roman" w:cs="Times New Roman" w:eastAsia="Times New Roman"/>
          <w:i/>
          <w:color w:val="auto"/>
          <w:spacing w:val="0"/>
          <w:position w:val="0"/>
          <w:sz w:val="24"/>
          <w:shd w:fill="auto" w:val="clear"/>
        </w:rPr>
        <w:t xml:space="preserve">Escherichia coli (E. coli)</w:t>
      </w:r>
      <w:r>
        <w:rPr>
          <w:rFonts w:ascii="Times New Roman" w:hAnsi="Times New Roman" w:cs="Times New Roman" w:eastAsia="Times New Roman"/>
          <w:color w:val="auto"/>
          <w:spacing w:val="0"/>
          <w:position w:val="0"/>
          <w:sz w:val="24"/>
          <w:shd w:fill="auto" w:val="clear"/>
        </w:rPr>
        <w:t xml:space="preserve">, grow them and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perform a midi-prep size plasmid DNA isolation to obtain enough plasmid DNA for maize genetic transformation.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Maize genetic transformation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Preparation of tungsten particles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Place 60 mg of tungsten beads (M10) in a 1.5 ml tube and wash with 1 ml of 70 % ethanol by votexing for 2 min. Incubate for 10 min at 23 °C then centrifuge at 18,894 x g for 2 min and discard the supernatant.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Wash three times with 1 ml of 100 % ethanol, centrifuging for 2 min and discarding supernatant. Add 1 ml of sterile 50 % glycerol to bring the microparticle concentration to 60 mg/ml.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Preparation of DNA for bombardment</w:t>
      </w:r>
      <w:r>
        <w:rPr>
          <w:rFonts w:ascii="Times New Roman" w:hAnsi="Times New Roman" w:cs="Times New Roman" w:eastAsia="Times New Roman"/>
          <w:b/>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Place the 50 µl (3 mg) of tungsten beads prepared in 50 % glycerol into a 1.5 ml tube. Add 5ul (1 µg) of </w:t>
      </w:r>
      <w:r>
        <w:rPr>
          <w:rFonts w:ascii="Times New Roman" w:hAnsi="Times New Roman" w:cs="Times New Roman" w:eastAsia="Times New Roman"/>
          <w:i/>
          <w:color w:val="auto"/>
          <w:spacing w:val="0"/>
          <w:position w:val="0"/>
          <w:sz w:val="24"/>
          <w:shd w:fill="FFFF00" w:val="clear"/>
        </w:rPr>
        <w:t xml:space="preserve">IV-1.1::ZmCCR1</w:t>
      </w:r>
      <w:r>
        <w:rPr>
          <w:rFonts w:ascii="Times New Roman" w:hAnsi="Times New Roman" w:cs="Times New Roman" w:eastAsia="Times New Roman"/>
          <w:color w:val="auto"/>
          <w:spacing w:val="0"/>
          <w:position w:val="0"/>
          <w:sz w:val="24"/>
          <w:shd w:fill="FFFF00" w:val="clear"/>
        </w:rPr>
        <w:t xml:space="preserve"> RNAi plasmid DNA, 50 µl of 2.5 M CaCl</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and 20 µl of 0.1 M spermidine. Vortex briefly between each addition of the above reagents.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Vortex the tungsten bead-DNA mixture briefly and centrifuge at 18,894 x g for 30 sec. Pour off the supernatant and resuspend the pellets in 140 </w:t>
      </w:r>
      <w:r>
        <w:rPr>
          <w:rFonts w:ascii="Times New Roman" w:hAnsi="Times New Roman" w:cs="Times New Roman" w:eastAsia="Times New Roman"/>
          <w:color w:val="auto"/>
          <w:spacing w:val="0"/>
          <w:position w:val="0"/>
          <w:sz w:val="24"/>
          <w:shd w:fill="FFFF00" w:val="clear"/>
        </w:rPr>
        <w:t xml:space="preserve">μl of 70 % ethanol. Remove the liquid and discard. Add 140 μl of 100 % ethanol. Remove the liquid and discard.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 Add 48 </w:t>
      </w:r>
      <w:r>
        <w:rPr>
          <w:rFonts w:ascii="Times New Roman" w:hAnsi="Times New Roman" w:cs="Times New Roman" w:eastAsia="Times New Roman"/>
          <w:color w:val="auto"/>
          <w:spacing w:val="0"/>
          <w:position w:val="0"/>
          <w:sz w:val="24"/>
          <w:shd w:fill="FFFF00" w:val="clear"/>
        </w:rPr>
        <w:t xml:space="preserve">μl of 100 % ethanol. Use immediately or store on ice for up to 4 hours prior to bombardment.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Bombardment</w:t>
      </w:r>
    </w:p>
    <w:p>
      <w:pPr>
        <w:spacing w:before="100" w:after="100" w:line="240"/>
        <w:ind w:right="0" w:left="0" w:firstLine="0"/>
        <w:jc w:val="left"/>
        <w:rPr>
          <w:rFonts w:ascii="Times New Roman" w:hAnsi="Times New Roman" w:cs="Times New Roman" w:eastAsia="Times New Roman"/>
          <w:b/>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 Place a 3-5 cm diameter Hi-II embryogenic maize calli (provided from Maize transformation Center of Iowa State University) in the middle of 100 mm petri-dishes containing N6OSM media</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(as osmotium) at least 4 hours prior to the bombardment.</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 Prepare the PSD-1000/He Particle Delivery device according to the manufacturer’s instructions</w:t>
      </w:r>
      <w:r>
        <w:rPr>
          <w:rFonts w:ascii="Times New Roman" w:hAnsi="Times New Roman" w:cs="Times New Roman" w:eastAsia="Times New Roman"/>
          <w:color w:val="auto"/>
          <w:spacing w:val="0"/>
          <w:position w:val="0"/>
          <w:sz w:val="24"/>
          <w:shd w:fill="FFFF00" w:val="clear"/>
          <w:vertAlign w:val="superscript"/>
        </w:rPr>
        <w:t xml:space="preserve">33</w:t>
      </w:r>
      <w:r>
        <w:rPr>
          <w:rFonts w:ascii="Times New Roman" w:hAnsi="Times New Roman" w:cs="Times New Roman" w:eastAsia="Times New Roman"/>
          <w:color w:val="auto"/>
          <w:spacing w:val="0"/>
          <w:position w:val="0"/>
          <w:sz w:val="24"/>
          <w:shd w:fill="FFFF00" w:val="clear"/>
        </w:rPr>
        <w:t xml:space="preserve">.</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 Sterilize chamber wall with 70 % ethanol. Load sterile 650 psi rupture disk into sterile retaining cap.  Spread 5-6 µl of the M10-DNA solution onto the surface of a macrocarrier, dry briefly. Load macrocarrier and stopping screen into microcarrier launch assembly.</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 Place microcarrier launch assembly and maize calli in chamber at a selected distance from the stopping screen (L2 = 6 cm) and close door. Accelerate in a vacuum of 27 psi against a wire mesh screen. </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 Press the fire button until rupture disk bursts and helium pressure gauge drops to zero. Release the fire button.</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Incubate the bombarded calli in a petri dish containing N6OSM (osmotic medium)</w:t>
      </w:r>
      <w:r>
        <w:rPr>
          <w:rFonts w:ascii="Times New Roman" w:hAnsi="Times New Roman" w:cs="Times New Roman" w:eastAsia="Times New Roman"/>
          <w:color w:val="auto"/>
          <w:spacing w:val="0"/>
          <w:position w:val="0"/>
          <w:sz w:val="24"/>
          <w:shd w:fill="FFFF00" w:val="clear"/>
          <w:vertAlign w:val="superscript"/>
        </w:rPr>
        <w:t xml:space="preserve">34</w:t>
      </w:r>
      <w:r>
        <w:rPr>
          <w:rFonts w:ascii="Times New Roman" w:hAnsi="Times New Roman" w:cs="Times New Roman" w:eastAsia="Times New Roman"/>
          <w:color w:val="auto"/>
          <w:spacing w:val="0"/>
          <w:position w:val="0"/>
          <w:sz w:val="24"/>
          <w:shd w:fill="FFFF00" w:val="clear"/>
        </w:rPr>
        <w:t xml:space="preserve"> for 16 hours in the dark at 27 ºC. Break the calli into about ten pieces and transfer to N6E (callus induction medium)</w:t>
      </w:r>
      <w:r>
        <w:rPr>
          <w:rFonts w:ascii="Times New Roman" w:hAnsi="Times New Roman" w:cs="Times New Roman" w:eastAsia="Times New Roman"/>
          <w:color w:val="auto"/>
          <w:spacing w:val="0"/>
          <w:position w:val="0"/>
          <w:sz w:val="24"/>
          <w:shd w:fill="FFFF00" w:val="clear"/>
          <w:vertAlign w:val="superscript"/>
        </w:rPr>
        <w:t xml:space="preserve">34</w:t>
      </w:r>
      <w:r>
        <w:rPr>
          <w:rFonts w:ascii="Times New Roman" w:hAnsi="Times New Roman" w:cs="Times New Roman" w:eastAsia="Times New Roman"/>
          <w:color w:val="auto"/>
          <w:spacing w:val="0"/>
          <w:position w:val="0"/>
          <w:sz w:val="24"/>
          <w:shd w:fill="FFFF00" w:val="clear"/>
        </w:rPr>
        <w:t xml:space="preserve"> in petri dishes and incubate for 5 days in the dark at 27 ºC</w:t>
      </w:r>
      <w:r>
        <w:rPr>
          <w:rFonts w:ascii="Times New Roman" w:hAnsi="Times New Roman" w:cs="Times New Roman" w:eastAsia="Times New Roman"/>
          <w:i/>
          <w:color w:val="auto"/>
          <w:spacing w:val="0"/>
          <w:position w:val="0"/>
          <w:sz w:val="24"/>
          <w:shd w:fill="FFFF00"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Selection</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After 5 days on N6E, transfer the calli onto N6S medium (selection media)</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Subculture all calli on selection medium every 30 days for 8-12 weeks without disturbing the calli structure.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After about 8-10 weeks, white fast-growing sectors will grow out of the non-proliferating and partially necrotic mother calli. Excise the white fast-growing tissues and subculture them to fresh selection medium (N6S)</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and continue to incubate as above.</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Regeneration</w:t>
      </w:r>
      <w:r>
        <w:rPr>
          <w:rFonts w:ascii="Times New Roman" w:hAnsi="Times New Roman" w:cs="Times New Roman" w:eastAsia="Times New Roman"/>
          <w:b/>
          <w:color w:val="auto"/>
          <w:spacing w:val="0"/>
          <w:position w:val="0"/>
          <w:sz w:val="24"/>
          <w:shd w:fill="FFFF00"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 Transfer the white and fast growing embryonic calli onto regeneration medium</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and incubate as above for 1 week. Switch the regenerating embryogenic calli to a period of 16 hours daylight and</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8 hours dark at 25-27 ºC</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2.15) Transfer the regenerating shoots onto the rooting medium</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in a glass test tube after 3-4 wks, continue to incubate as above. After substantial root development appears, wash roots carefully under water tap, then transplant the plantlets to 4” pots with soil. Cover the pots with plastic bags to keep moist After 2 days make small holes the plastic bags. After 5-6 days remove the plastic bags. Continue to incubate as above for another 5-6 days.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Greenhouse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2.16) Transfer the seedlings into 18” pots with soil and maintain in full summer sunlight or greenhouse light. The initial regenerated plants are called T</w:t>
      </w:r>
      <w:r>
        <w:rPr>
          <w:rFonts w:ascii="Times New Roman" w:hAnsi="Times New Roman" w:cs="Times New Roman" w:eastAsia="Times New Roman"/>
          <w:color w:val="auto"/>
          <w:spacing w:val="0"/>
          <w:position w:val="0"/>
          <w:sz w:val="24"/>
          <w:shd w:fill="FFFF00" w:val="clear"/>
          <w:vertAlign w:val="subscript"/>
        </w:rPr>
        <w:t xml:space="preserve">0</w:t>
      </w:r>
      <w:r>
        <w:rPr>
          <w:rFonts w:ascii="Times New Roman" w:hAnsi="Times New Roman" w:cs="Times New Roman" w:eastAsia="Times New Roman"/>
          <w:color w:val="auto"/>
          <w:spacing w:val="0"/>
          <w:position w:val="0"/>
          <w:sz w:val="24"/>
          <w:shd w:fill="FFFF00" w:val="clear"/>
        </w:rPr>
        <w:t xml:space="preserve"> while the first seeds belong to the T</w:t>
      </w:r>
      <w:r>
        <w:rPr>
          <w:rFonts w:ascii="Times New Roman" w:hAnsi="Times New Roman" w:cs="Times New Roman" w:eastAsia="Times New Roman"/>
          <w:color w:val="auto"/>
          <w:spacing w:val="0"/>
          <w:position w:val="0"/>
          <w:sz w:val="24"/>
          <w:shd w:fill="FFFF00" w:val="clear"/>
          <w:vertAlign w:val="subscript"/>
        </w:rPr>
        <w:t xml:space="preserve">1</w:t>
      </w:r>
      <w:r>
        <w:rPr>
          <w:rFonts w:ascii="Times New Roman" w:hAnsi="Times New Roman" w:cs="Times New Roman" w:eastAsia="Times New Roman"/>
          <w:color w:val="auto"/>
          <w:spacing w:val="0"/>
          <w:position w:val="0"/>
          <w:sz w:val="24"/>
          <w:shd w:fill="FFFF00" w:val="clear"/>
        </w:rPr>
        <w:t xml:space="preserve"> generation. </w:t>
      </w:r>
    </w:p>
    <w:p>
      <w:pPr>
        <w:spacing w:before="10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Histological assay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Fix the maize leaf mid-ribs in 5 ml of 10 % neutral buffered formalin.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Process and vacuum infiltrate with paraffin on a tissue processor using a tissue processor.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Embed the tissues in paraffin using a HistoCentre III embedding station.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Remove the excess paraffin from the edges once blocks are cooled.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Section sample at 4-5 microns with a microtome using a microtome.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Place sections on microscope slides and dry in a 56 °C incubator for 2-24 hours. Make sure sections are fully adhered to the slide.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Deparaffinize sections in two changes of xylene for 5 min at 23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Hydrate slides through two changes of 100 % ethanol for 2 min and two changes of 95 % ethanol for 2 min at 23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Rinse the sections in running tap water for 2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Stain with 0.05 % toluidine blue O for 1-2 min and rinse briefly with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Place a coverslip on the samples with immersion oil and visualization with light microscopy.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Scanning electron microscopy (SEM)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Fix the cross-sectioned maize leaf mid-ribs in 4% glutaraldehyde and 0.1 M sodium phosphate buffer (pH 7.4) at 4°C for 1-2 hours.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Briefly rinse the samples in the buffer, dehydrated them in an ethanol series (25%, 50%, 75%, and 95%) for 10-15 min at each gradation and 100% ethanol for 10 min, 3 times.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Dry the dehydrated cross-sectioned maize leaf mid-ribs in a critical point dryer using liquid carbon dioxide as the transitional fluid.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Mount the dried samples on aluminum stubs using high vacuum carbon tabs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 Coat the maize leaf mid-ribs mounted on aluminum stubs with gold (approximately 20 nm thickness) in a sputter coater purged with argon gas.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 Examine the coated samples in a JEOL JSM-6400V (lanthanum hexaboride electron emitter) scanning electron microscope.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3.18) Digital images were pictured using an analySIS Pro software (version 3.2).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Klason lignin measurement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Mill samples through a 2 mm (5/64”) screen. Determine the moisture content of each sample using a moisture analyzer and record the value.</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NOTE: Two-stage acid hydrolysis was performed based on National Renewable Energy Laboratory Technical Report</w:t>
      </w:r>
      <w:r>
        <w:rPr>
          <w:rFonts w:ascii="Times New Roman" w:hAnsi="Times New Roman" w:cs="Times New Roman" w:eastAsia="Times New Roman"/>
          <w:color w:val="auto"/>
          <w:spacing w:val="0"/>
          <w:position w:val="0"/>
          <w:sz w:val="24"/>
          <w:shd w:fill="FFFF00" w:val="clear"/>
          <w:vertAlign w:val="superscript"/>
        </w:rPr>
        <w:t xml:space="preserve">35</w:t>
      </w:r>
      <w:r>
        <w:rPr>
          <w:rFonts w:ascii="Times New Roman" w:hAnsi="Times New Roman" w:cs="Times New Roman" w:eastAsia="Times New Roman"/>
          <w:color w:val="auto"/>
          <w:spacing w:val="0"/>
          <w:position w:val="0"/>
          <w:sz w:val="24"/>
          <w:shd w:fill="FFFF00" w:val="clear"/>
        </w:rPr>
        <w:t xml:space="preserve">.</w:t>
      </w: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Turn on incubator to 30 °C. Perform three replicates of each sample. Measure 0.3 g biomass into a screw-top high pressure tubes and record the weight to the nearest 0.1 mg.  Add 3 ml of 72 % 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SO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to each pressure tube. </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Screw the stoppers onto the tubes and swirl a little bit to mix the contents. If the sample does not mix well, mix the sample using a glass stir rod. Leave the stir rod in the tube until water is added following incubation. </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Place vials in the incubator for 60 min. Remove tubes from the incubator after 1 hour hydrolysis. Remove the stopper and add 84 ml of deionized water using an accurate pipette to dilute the acid concentration to 4%. </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 Tightly seal the stoppers on all vials. Place vials into a metal rack or large beakers and place in the autoclave.  Set the autoclave to 121°C using a liquid sterilization cycle, and autoclave for 1 hour.</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 Carefully remove the tubes from the autoclave after 1 hr autoclave and allow them to cool to room temperature before opening.  </w:t>
      </w:r>
    </w:p>
    <w:p>
      <w:pPr>
        <w:tabs>
          <w:tab w:val="left" w:pos="450" w:leader="none"/>
        </w:tabs>
        <w:spacing w:before="0" w:after="0" w:line="240"/>
        <w:ind w:right="0" w:left="0" w:firstLine="0"/>
        <w:jc w:val="left"/>
        <w:rPr>
          <w:rFonts w:ascii="Cambria" w:hAnsi="Cambria" w:cs="Cambria" w:eastAsia="Cambria"/>
          <w:b/>
          <w:color w:val="auto"/>
          <w:spacing w:val="0"/>
          <w:position w:val="0"/>
          <w:sz w:val="24"/>
          <w:shd w:fill="FFFF00" w:val="clear"/>
        </w:rPr>
      </w:pP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Acid insoluble lignin measurement was also performed based on National Renewable Energy Laboratory Technical Report </w:t>
      </w:r>
      <w:r>
        <w:rPr>
          <w:rFonts w:ascii="Times New Roman" w:hAnsi="Times New Roman" w:cs="Times New Roman" w:eastAsia="Times New Roman"/>
          <w:color w:val="auto"/>
          <w:spacing w:val="0"/>
          <w:position w:val="0"/>
          <w:sz w:val="24"/>
          <w:shd w:fill="FFFF00" w:val="clear"/>
          <w:vertAlign w:val="superscript"/>
        </w:rPr>
        <w:t xml:space="preserve">35</w:t>
      </w:r>
      <w:r>
        <w:rPr>
          <w:rFonts w:ascii="Times New Roman" w:hAnsi="Times New Roman" w:cs="Times New Roman" w:eastAsia="Times New Roman"/>
          <w:color w:val="auto"/>
          <w:spacing w:val="0"/>
          <w:position w:val="0"/>
          <w:sz w:val="24"/>
          <w:shd w:fill="FFFF00" w:val="clear"/>
        </w:rPr>
        <w:t xml:space="preserve">, with slight modifications.</w:t>
      </w:r>
    </w:p>
    <w:p>
      <w:pPr>
        <w:tabs>
          <w:tab w:val="left" w:pos="45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 Weigh one sheet of 47 mm, 0.22 </w:t>
      </w:r>
      <w:r>
        <w:rPr>
          <w:rFonts w:ascii="Times New Roman" w:hAnsi="Times New Roman" w:cs="Times New Roman" w:eastAsia="Times New Roman"/>
          <w:color w:val="auto"/>
          <w:spacing w:val="0"/>
          <w:position w:val="0"/>
          <w:sz w:val="24"/>
          <w:shd w:fill="FFFF00" w:val="clear"/>
        </w:rPr>
        <w:t xml:space="preserve">μm pore-size, mixed-cellulose ester filter discs for each sample and record the weight.</w:t>
      </w:r>
      <w:r>
        <w:rPr>
          <w:rFonts w:ascii="Times New Roman" w:hAnsi="Times New Roman" w:cs="Times New Roman" w:eastAsia="Times New Roman"/>
          <w:color w:val="auto"/>
          <w:spacing w:val="0"/>
          <w:position w:val="0"/>
          <w:sz w:val="24"/>
          <w:shd w:fill="FFFF00" w:val="clear"/>
          <w:vertAlign w:val="superscript"/>
        </w:rPr>
        <w:t xml:space="preserve">32</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4.8) Vacuum filter the solution from each tube through a separate filter disc. Rinse the particles from the tube onto the disc using deionized water.</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 Carefully remove the filter paper and residue from the unit and place inside of a desiccator overnight. Following drying, weigh the filter paper and residue for each replicate and record the weight.</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4.10) Calculate the acid insoluble residue using the following equation: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Carbohydrate analysis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Perform cell wall carbohydrate analyses based on the Foster et al., (2010) protocol</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In brief, Prepare alcohol insoluble residue from freeze dried plant material. Then hydrolyze the material with trifluoroacetic acid and match the solubilized monosaccharide derivatives to their corresponding alditol acetates. Analyze these volatile derivatives by gas chromatography (GC) connected to a quadruple mass spectrometer.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demonstrated a reduction in the lignin content in maize plants via RNAi. The particle bombardment transformation method yielded around 30 % trnasformation efficiency. The gene silencing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was consistently observed in T0-T2 generations. The lignin reduced transgenics grew similarly to wild-type maize plants except for displaying brown-coloration in the leaf mid-rib, husk, and stem. The histological assay has shown that the mutant lines exhibit a significant reduction in the cell wall thickness of the sclerenchyma fibers in the maize leaf mid-rib</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Despite the reduction of cell wall thickness, the structure of other major vascular systems including the xylem vessel, phloem, and sheath cells did not reveal any differences compared to the wild-type control (Fig 2A)</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This implies that there are no detrimental effects for either water transport, nutrient transfer, or mechanical strength to the stems in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lignin content was quantified using a Klason lingin measurement. Figure 3 shows the amount of acid-insoluble Klason lignin (g/kg con stover) in wild-type maize and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transgenic lines (T1). Three transgenic lines (1c-4, -5, and -6) showed a statistically significant lignin reduction (8.1%, 7.0%, and 8.7% respectively) compared to that of the wild-type maize plants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To determine whether carbon flow was shifted from the lignin biosynthetic pathway to cell wall carbohydrate biosynthesis pathways, cellulose was analzyed via the Updegraff method. Figure 3A shows that two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lines (1b-6 and 1c-6) contained significantly increased levels of crystalline cellulose (1.5 and 1.8 fold respecitively)</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The hemicellulose content was also analyzed. Figure 4B shows the amount of four main hemicellulose components (arabionose, xylose, galactose, and glucose). None of the four carbohydrate groups revealed any changes in the mutant lines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Cloning strategy for dsRNAi plasmid constructs for the down-regulation of the </w:t>
      </w:r>
      <w:r>
        <w:rPr>
          <w:rFonts w:ascii="Times New Roman" w:hAnsi="Times New Roman" w:cs="Times New Roman" w:eastAsia="Times New Roman"/>
          <w:b/>
          <w:i/>
          <w:color w:val="auto"/>
          <w:spacing w:val="0"/>
          <w:position w:val="0"/>
          <w:sz w:val="24"/>
          <w:shd w:fill="auto" w:val="clear"/>
        </w:rPr>
        <w:t xml:space="preserve">ZmCCR1</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PRbcS1:Ribulose bisphosphate carboxylase promoter from </w:t>
      </w:r>
      <w:r>
        <w:rPr>
          <w:rFonts w:ascii="Times New Roman" w:hAnsi="Times New Roman" w:cs="Times New Roman" w:eastAsia="Times New Roman"/>
          <w:i/>
          <w:color w:val="auto"/>
          <w:spacing w:val="0"/>
          <w:position w:val="0"/>
          <w:sz w:val="24"/>
          <w:shd w:fill="auto" w:val="clear"/>
        </w:rPr>
        <w:t xml:space="preserve">Chrysanthemum morifolium</w:t>
      </w:r>
      <w:r>
        <w:rPr>
          <w:rFonts w:ascii="Times New Roman" w:hAnsi="Times New Roman" w:cs="Times New Roman" w:eastAsia="Times New Roman"/>
          <w:color w:val="auto"/>
          <w:spacing w:val="0"/>
          <w:position w:val="0"/>
          <w:sz w:val="24"/>
          <w:shd w:fill="auto" w:val="clear"/>
        </w:rPr>
        <w:t xml:space="preserve"> Ramat. T-RbcS1: Ribulose bisphosphate carboxylase small unit terminator from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Asteraceous chrysanthemum</w:t>
      </w:r>
      <w:r>
        <w:rPr>
          <w:rFonts w:ascii="Times New Roman" w:hAnsi="Times New Roman" w:cs="Times New Roman" w:eastAsia="Times New Roman"/>
          <w:color w:val="auto"/>
          <w:spacing w:val="0"/>
          <w:position w:val="0"/>
          <w:sz w:val="24"/>
          <w:shd w:fill="auto" w:val="clear"/>
        </w:rPr>
        <w:t xml:space="preserve">. This figure has been modified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Phenotypic analyses of wild-type corn (Hi-II) and </w:t>
      </w:r>
      <w:r>
        <w:rPr>
          <w:rFonts w:ascii="Times New Roman" w:hAnsi="Times New Roman" w:cs="Times New Roman" w:eastAsia="Times New Roman"/>
          <w:b/>
          <w:i/>
          <w:color w:val="auto"/>
          <w:spacing w:val="0"/>
          <w:position w:val="0"/>
          <w:sz w:val="24"/>
          <w:shd w:fill="auto" w:val="clear"/>
        </w:rPr>
        <w:t xml:space="preserve">ZmCCR1_RNAi</w:t>
      </w:r>
      <w:r>
        <w:rPr>
          <w:rFonts w:ascii="Times New Roman" w:hAnsi="Times New Roman" w:cs="Times New Roman" w:eastAsia="Times New Roman"/>
          <w:b/>
          <w:color w:val="auto"/>
          <w:spacing w:val="0"/>
          <w:position w:val="0"/>
          <w:sz w:val="24"/>
          <w:shd w:fill="auto" w:val="clear"/>
        </w:rPr>
        <w:t xml:space="preserve"> mutant leaf midrib. </w:t>
      </w:r>
      <w:r>
        <w:rPr>
          <w:rFonts w:ascii="Times New Roman" w:hAnsi="Times New Roman" w:cs="Times New Roman" w:eastAsia="Times New Roman"/>
          <w:color w:val="auto"/>
          <w:spacing w:val="0"/>
          <w:position w:val="0"/>
          <w:sz w:val="24"/>
          <w:shd w:fill="auto" w:val="clear"/>
        </w:rPr>
        <w:t xml:space="preserve">(A) Brown coloration was seen in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corn leaves, stems and corn husks. (B) The cross-sectioned maize leaf midribs of wild-type HI-II (left) and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 (right) were stained with 0.05 % toluidine blue O for 1 min to visualize secondary xylem tissues. The red arrowhead indicates the cell walls of sclerenchyma fibers of the leaf midrib. (C)</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Scanning electron microscopy (SEM)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transgenic maize leaf midrib (right) as compared to that of wild-type non-transgenic control plant (left). The red arrow indicates sclerenchyma fibers. This figure has been modified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Klason lignin measurements (acid-insoluble lignin contents) of wild-type HI-II and </w:t>
      </w:r>
      <w:r>
        <w:rPr>
          <w:rFonts w:ascii="Times New Roman" w:hAnsi="Times New Roman" w:cs="Times New Roman" w:eastAsia="Times New Roman"/>
          <w:b/>
          <w:i/>
          <w:color w:val="auto"/>
          <w:spacing w:val="0"/>
          <w:position w:val="0"/>
          <w:sz w:val="24"/>
          <w:shd w:fill="auto" w:val="clear"/>
        </w:rPr>
        <w:t xml:space="preserve">ZmCCR1_RNAi</w:t>
      </w:r>
      <w:r>
        <w:rPr>
          <w:rFonts w:ascii="Times New Roman" w:hAnsi="Times New Roman" w:cs="Times New Roman" w:eastAsia="Times New Roman"/>
          <w:b/>
          <w:color w:val="auto"/>
          <w:spacing w:val="0"/>
          <w:position w:val="0"/>
          <w:sz w:val="24"/>
          <w:shd w:fill="auto" w:val="clear"/>
        </w:rPr>
        <w:t xml:space="preserve"> mutant</w:t>
      </w:r>
      <w:r>
        <w:rPr>
          <w:rFonts w:ascii="Times New Roman" w:hAnsi="Times New Roman" w:cs="Times New Roman" w:eastAsia="Times New Roman"/>
          <w:color w:val="auto"/>
          <w:spacing w:val="0"/>
          <w:position w:val="0"/>
          <w:sz w:val="24"/>
          <w:shd w:fill="auto" w:val="clear"/>
        </w:rPr>
        <w:t xml:space="preserve">. The three mutant lines 1c, 1c-5, and 1c-6 had statistically lower lignin content, 8.5%, 7.5% and 9.2% respectively, as percent of dry matter compared with the wild-type control plants. Mean ± standard deviation (P&lt;0.05, n=3). This figure has been modified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Cell wall compositional analyses</w:t>
      </w:r>
      <w:r>
        <w:rPr>
          <w:rFonts w:ascii="Times New Roman" w:hAnsi="Times New Roman" w:cs="Times New Roman" w:eastAsia="Times New Roman"/>
          <w:color w:val="auto"/>
          <w:spacing w:val="0"/>
          <w:position w:val="0"/>
          <w:sz w:val="24"/>
          <w:shd w:fill="auto" w:val="clear"/>
        </w:rPr>
        <w:t xml:space="preserve">. (A) Crystalline cellulose analysis of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ZmCCR1_RNAi </w:t>
      </w:r>
      <w:r>
        <w:rPr>
          <w:rFonts w:ascii="Times New Roman" w:hAnsi="Times New Roman" w:cs="Times New Roman" w:eastAsia="Times New Roman"/>
          <w:color w:val="auto"/>
          <w:spacing w:val="0"/>
          <w:position w:val="0"/>
          <w:sz w:val="24"/>
          <w:shd w:fill="auto" w:val="clear"/>
        </w:rPr>
        <w:t xml:space="preserve">lines (Tukey’s pairwise comparisons, * P&lt;0.05, n=3) (B) Hemicellulose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compositional analysis of wild-type maize and </w:t>
      </w:r>
      <w:r>
        <w:rPr>
          <w:rFonts w:ascii="Times New Roman" w:hAnsi="Times New Roman" w:cs="Times New Roman" w:eastAsia="Times New Roman"/>
          <w:i/>
          <w:color w:val="auto"/>
          <w:spacing w:val="0"/>
          <w:position w:val="0"/>
          <w:sz w:val="24"/>
          <w:shd w:fill="auto" w:val="clear"/>
        </w:rPr>
        <w:t xml:space="preserve">ZmCCR_RNAi </w:t>
      </w:r>
      <w:r>
        <w:rPr>
          <w:rFonts w:ascii="Times New Roman" w:hAnsi="Times New Roman" w:cs="Times New Roman" w:eastAsia="Times New Roman"/>
          <w:color w:val="auto"/>
          <w:spacing w:val="0"/>
          <w:position w:val="0"/>
          <w:sz w:val="24"/>
          <w:shd w:fill="auto" w:val="clear"/>
        </w:rPr>
        <w:t xml:space="preserve">transgenic maize lines (T1)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via gas chromatography (GC). The main peaks from the chromatograms were integrated,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identified based on retention times and fragment ion signatures, and expressed as mol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percentage (P&gt;0.05, n=3) (Tukey’s pairwise comparisons, P&gt;0.05; n=3). This figure has been reused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Percent sugar (glucan and xylan) conversions for untreated (UT) and AFEX</w:t>
      </w:r>
      <w:r>
        <w:rPr>
          <w:rFonts w:ascii="Times New Roman" w:hAnsi="Times New Roman" w:cs="Times New Roman" w:eastAsia="Times New Roman"/>
          <w:color w:val="auto"/>
          <w:spacing w:val="0"/>
          <w:position w:val="0"/>
          <w:sz w:val="24"/>
          <w:shd w:fill="auto" w:val="clear"/>
          <w:vertAlign w:val="superscript"/>
        </w:rPr>
        <w:t xml:space="preserve">TM</w:t>
      </w:r>
      <w:r>
        <w:rPr>
          <w:rFonts w:ascii="Times New Roman" w:hAnsi="Times New Roman" w:cs="Times New Roman" w:eastAsia="Times New Roman"/>
          <w:color w:val="auto"/>
          <w:spacing w:val="0"/>
          <w:position w:val="0"/>
          <w:sz w:val="24"/>
          <w:shd w:fill="auto" w:val="clear"/>
        </w:rPr>
        <w:t xml:space="preserve">-pretreated (90 °C, 5min) maize stover at different concentrations of ammonia (1.0: 1.0g 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:g dry biomass 1.5: 1.5g 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:g dry biomass). Error bars represent the standard deviation of the mean and are based on two replicates for the untreated samples and four replicates (two pretreatment replicates with two hydrolysis replicates each) for the pretreated samples. Pretreated sugar conversions (24 h or 72 h) labeled with different letters are statistically different based on Tukey’s pairwise comparisons (P &lt; 0.05). This figure has been reused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of Specific Reagents / Equipment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brightfield microscopy, the images were recorded using a Zeiss (Jena, Germany) PASCAL confocal laser scanning microscope with a 488-nm excitation mirror, a 560-nm emission filter, and a 505 to 530-nm emission filter. Image analysis was performed using Laser scanning microscope PASCAL LSM version 3.0 SP3 software.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accessibility of microbial cellulases to plant cell wall polysaccharides is largely dependent on the degree to which they are associated with phenolic polymers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The conversion rate from lignocellulosic biomass to fermentable sugar is negatively correlated with lignin content deposited in plant secondadry cell walls. This correlation is ascribed to the physical  properties of lignin such as hydrophobicity</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chemical heterogeneity, and the absence of regular hydrolysable intermonomeric linkages</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 a dsRNAi technique induced various levels of gene down-regulation on genetic targets.  Lignin down-regulation, mediated by a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construct, has resulted in the brown-coloration in T1 transgneic lines. Brown-midrib (</w:t>
      </w:r>
      <w:r>
        <w:rPr>
          <w:rFonts w:ascii="Times New Roman" w:hAnsi="Times New Roman" w:cs="Times New Roman" w:eastAsia="Times New Roman"/>
          <w:i/>
          <w:color w:val="auto"/>
          <w:spacing w:val="0"/>
          <w:position w:val="0"/>
          <w:sz w:val="24"/>
          <w:shd w:fill="auto" w:val="clear"/>
        </w:rPr>
        <w:t xml:space="preserve">bm</w:t>
      </w:r>
      <w:r>
        <w:rPr>
          <w:rFonts w:ascii="Times New Roman" w:hAnsi="Times New Roman" w:cs="Times New Roman" w:eastAsia="Times New Roman"/>
          <w:color w:val="auto"/>
          <w:spacing w:val="0"/>
          <w:position w:val="0"/>
          <w:sz w:val="24"/>
          <w:shd w:fill="auto" w:val="clear"/>
        </w:rPr>
        <w:t xml:space="preserve">) coloration is a naturally occurring phenomenon that is caused by reduced lignin content and altered lignin composition. Unlike other naturally occurred </w:t>
      </w:r>
      <w:r>
        <w:rPr>
          <w:rFonts w:ascii="Times New Roman" w:hAnsi="Times New Roman" w:cs="Times New Roman" w:eastAsia="Times New Roman"/>
          <w:i/>
          <w:color w:val="auto"/>
          <w:spacing w:val="0"/>
          <w:position w:val="0"/>
          <w:sz w:val="24"/>
          <w:shd w:fill="auto" w:val="clear"/>
        </w:rPr>
        <w:t xml:space="preserve">bm</w:t>
      </w:r>
      <w:r>
        <w:rPr>
          <w:rFonts w:ascii="Times New Roman" w:hAnsi="Times New Roman" w:cs="Times New Roman" w:eastAsia="Times New Roman"/>
          <w:color w:val="auto"/>
          <w:spacing w:val="0"/>
          <w:position w:val="0"/>
          <w:sz w:val="24"/>
          <w:shd w:fill="auto" w:val="clear"/>
        </w:rPr>
        <w:t xml:space="preserve"> mutants, which show the brown coloration only in leaf mid-ribs,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lines revealed the phenotype in other parts of the plant, including the stems and husks. The histological assay also indicated that the sclerenchyma cell wall thickness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leaves was much less than those of the wild-type control plants (Figure 2A). However, the sturucture and cell wall thickness of the main vascular systems inclduing xylem vessels, phloem, or sheath cells was not changed. This could explain the normal growth of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transgenic lines which grew normally in terms of plant height and stem diameter.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reduction of more than 20% in the lignin content has generally caused a loss of biomass and made the plants more vulnerable against microbial pathogens and pests</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 However, the mutant lines produced in this research, expressing less than a 10% lignin reduction, did not compromise the plant biomass and defensive mechanism against abiotic and biotic stresses.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have shown that transgenic tobacco lines with significantly reduced CCR expression also showed an increase of other cell wall constituents such as glucose, xylose, and wall-bound phenolic compounds (e.g., sinapic and ferulic acids). In this study, the mild lignin reduction increased the level of crystalline cellulose in some of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maize plants. Conversely, a cellulose compensation mechanism was also observed in Arabidopsis mutants which exhibited ectopic lignification when cellulose synthesis genes were defective</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The quantitative or qualitative changes of one cell wall carbohydrate component induces the alternation of other components</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Such compensation mechansims are important to maintan the homeostasis of plant vascular systems. However, in this study, hemicelluloses showed no statistically significant changes in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mutant lines. This result may be because the observed lignin reduction was not sufficient to trigger additional hemicellulose synthesis.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decreased level of lignin and the increased crystalline cellulose level would be doubly beneficial for biofuel production. The lower lignin contents would require fewer inputs (e.g.,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cellulases, etc.) during processing and facilitate the biomass conversion process. The extra cellulose may increase the yield of fermentable sugars. The genetic manipulation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detailed in this study can be implemented to help make lignocelluosic bimoass dervied bioethanol more commercially competitive.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conflicts of interest declared.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microscopic imaging was conducted via the services of the Michigan State University Center for Advanced Microscopy. Maize callus was purchased from the Maize Transformation Center of Iowa State University. The authors would like to thank Jeffrey R. Weatherhead of the MSU Plant Research Laboratory for his technical assistance on the carbohydrate analysis. This research was generously funded by the Corn Marketing Program of Michigan (CMPM) and the Consortium for Plant Biotechnology Research (CPBR).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Perlack, R.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(ed USDA-DOE) (USDA-DOE,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http://feedstockreview.ornl.gov/pdf/billion_ton_vision.pdf</w:t>
        </w:r>
      </w:hyperlink>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Ralph, J., Grabber, J. H. &amp; Hatfield, R. D. Lignin-Ferulate Cross-Links in Grasses - Active Incorporation of Ferulate Polysaccharide Esters into Ryegrass Lignins. </w:t>
      </w:r>
      <w:r>
        <w:rPr>
          <w:rFonts w:ascii="Times New Roman" w:hAnsi="Times New Roman" w:cs="Times New Roman" w:eastAsia="Times New Roman"/>
          <w:i/>
          <w:color w:val="auto"/>
          <w:spacing w:val="0"/>
          <w:position w:val="0"/>
          <w:sz w:val="24"/>
          <w:shd w:fill="auto" w:val="clear"/>
        </w:rPr>
        <w:t xml:space="preserve">Carbohydrate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275</w:t>
      </w:r>
      <w:r>
        <w:rPr>
          <w:rFonts w:ascii="Times New Roman" w:hAnsi="Times New Roman" w:cs="Times New Roman" w:eastAsia="Times New Roman"/>
          <w:color w:val="auto"/>
          <w:spacing w:val="0"/>
          <w:position w:val="0"/>
          <w:sz w:val="24"/>
          <w:shd w:fill="auto" w:val="clear"/>
        </w:rPr>
        <w:t xml:space="preserve">, 167-178, doi:Doi 10.1016/0008-6215(95)00237-N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Park, S.-H. </w:t>
      </w:r>
      <w:r>
        <w:rPr>
          <w:rFonts w:ascii="Times New Roman" w:hAnsi="Times New Roman" w:cs="Times New Roman" w:eastAsia="Times New Roman"/>
          <w:i/>
          <w:color w:val="auto"/>
          <w:spacing w:val="0"/>
          <w:position w:val="0"/>
          <w:sz w:val="24"/>
          <w:shd w:fill="auto" w:val="clear"/>
        </w:rPr>
        <w:t xml:space="preserve">Expediting Cellulosic Biofuels Agenda: Production of High Value-Low Volume Co-Products and Lignin Down-Regulation of Bioenergy Crops. </w:t>
      </w:r>
      <w:r>
        <w:rPr>
          <w:rFonts w:ascii="Times New Roman" w:hAnsi="Times New Roman" w:cs="Times New Roman" w:eastAsia="Times New Roman"/>
          <w:color w:val="auto"/>
          <w:spacing w:val="0"/>
          <w:position w:val="0"/>
          <w:sz w:val="24"/>
          <w:shd w:fill="auto" w:val="clear"/>
        </w:rPr>
        <w:t xml:space="preserve">Ph.D. thesis, Michigan State University,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Boerjan, W., Ralph, J. &amp; Baucher, M. Lignin biosynthesis. </w:t>
      </w:r>
      <w:r>
        <w:rPr>
          <w:rFonts w:ascii="Times New Roman" w:hAnsi="Times New Roman" w:cs="Times New Roman" w:eastAsia="Times New Roman"/>
          <w:i/>
          <w:color w:val="auto"/>
          <w:spacing w:val="0"/>
          <w:position w:val="0"/>
          <w:sz w:val="24"/>
          <w:shd w:fill="auto" w:val="clear"/>
        </w:rPr>
        <w:t xml:space="preserve">Annual review of plant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519-546, doi:10.1146/annurev.arplant.54.031902.134938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Gibson, L. J. The hierarchical structure and mechanics of plant materials. </w:t>
      </w:r>
      <w:r>
        <w:rPr>
          <w:rFonts w:ascii="Times New Roman" w:hAnsi="Times New Roman" w:cs="Times New Roman" w:eastAsia="Times New Roman"/>
          <w:i/>
          <w:color w:val="auto"/>
          <w:spacing w:val="0"/>
          <w:position w:val="0"/>
          <w:sz w:val="24"/>
          <w:shd w:fill="auto" w:val="clear"/>
        </w:rPr>
        <w:t xml:space="preserve">Journal of the Royal Society, Interface / the Royal Society.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2749-2766, doi:10.1098/rsif.2012.0341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Dien, B.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Enhancing alfalfa conversion efficiencies for sugar recovery and ethanol production by altering lignin composition. </w:t>
      </w:r>
      <w:r>
        <w:rPr>
          <w:rFonts w:ascii="Times New Roman" w:hAnsi="Times New Roman" w:cs="Times New Roman" w:eastAsia="Times New Roman"/>
          <w:i/>
          <w:color w:val="auto"/>
          <w:spacing w:val="0"/>
          <w:position w:val="0"/>
          <w:sz w:val="24"/>
          <w:shd w:fill="auto" w:val="clear"/>
        </w:rPr>
        <w:t xml:space="preserve">Bioresource 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6479-6486, doi:DOI 10.1016/j.biortech.2011.03.022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Fu, C.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Downregulation of Cinnamyl Alcohol Dehydrogenase (CAD) Leads to Improved Saccharification Efficiency in Switchgrass. </w:t>
      </w:r>
      <w:r>
        <w:rPr>
          <w:rFonts w:ascii="Times New Roman" w:hAnsi="Times New Roman" w:cs="Times New Roman" w:eastAsia="Times New Roman"/>
          <w:i/>
          <w:color w:val="auto"/>
          <w:spacing w:val="0"/>
          <w:position w:val="0"/>
          <w:sz w:val="24"/>
          <w:shd w:fill="auto" w:val="clear"/>
        </w:rPr>
        <w:t xml:space="preserve">Bioenerg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153-164, doi:DOI 10.1007/s12155-010-9109-z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Grabber, J. H., Ralph, J., Hatfield, R. D. &amp; Quideau, S. p-hydroxyphenyl, guaiacyl, and syringyl lignins have similar inhibitory effects on wall degradability. </w:t>
      </w:r>
      <w:r>
        <w:rPr>
          <w:rFonts w:ascii="Times New Roman" w:hAnsi="Times New Roman" w:cs="Times New Roman" w:eastAsia="Times New Roman"/>
          <w:i/>
          <w:color w:val="auto"/>
          <w:spacing w:val="0"/>
          <w:position w:val="0"/>
          <w:sz w:val="24"/>
          <w:shd w:fill="auto" w:val="clear"/>
        </w:rPr>
        <w:t xml:space="preserve">Journal of agricultural and food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2530-2532, doi:Doi 10.1021/Jf970029v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Li,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Lignin monomer composition affects Arabidopsis cell-wall degradability after liquid hot water pretreatment. </w:t>
      </w:r>
      <w:r>
        <w:rPr>
          <w:rFonts w:ascii="Times New Roman" w:hAnsi="Times New Roman" w:cs="Times New Roman" w:eastAsia="Times New Roman"/>
          <w:i/>
          <w:color w:val="auto"/>
          <w:spacing w:val="0"/>
          <w:position w:val="0"/>
          <w:sz w:val="24"/>
          <w:shd w:fill="auto" w:val="clear"/>
        </w:rPr>
        <w:t xml:space="preserve">Biotechnology for biofuels.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doi:Artn 27Doi 10.1186/1754-6834-3-27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Mansfield, S. D., Kang, K. Y. &amp; Chapple, C. Designed for deconstruction--poplar trees altered in cell wall lignification improve the efficacy of bioethanol production. </w:t>
      </w:r>
      <w:r>
        <w:rPr>
          <w:rFonts w:ascii="Times New Roman" w:hAnsi="Times New Roman" w:cs="Times New Roman" w:eastAsia="Times New Roman"/>
          <w:i/>
          <w:color w:val="auto"/>
          <w:spacing w:val="0"/>
          <w:position w:val="0"/>
          <w:sz w:val="24"/>
          <w:shd w:fill="auto" w:val="clear"/>
        </w:rPr>
        <w:t xml:space="preserve">The New phytologist.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194</w:t>
      </w:r>
      <w:r>
        <w:rPr>
          <w:rFonts w:ascii="Times New Roman" w:hAnsi="Times New Roman" w:cs="Times New Roman" w:eastAsia="Times New Roman"/>
          <w:color w:val="auto"/>
          <w:spacing w:val="0"/>
          <w:position w:val="0"/>
          <w:sz w:val="24"/>
          <w:shd w:fill="auto" w:val="clear"/>
        </w:rPr>
        <w:t xml:space="preserve">, 91-101, doi:10.1111/j.1469-8137.2011.04031.x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Studer, M.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Lignin content in natural Populus variants affects sugar release.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6300-6305, doi:DOI 10.1073/pnas.1009252108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Chen, F. &amp; Dixon, R. A. Lignin modification improves fermentable sugar yields for biofuel production. </w:t>
      </w:r>
      <w:r>
        <w:rPr>
          <w:rFonts w:ascii="Times New Roman" w:hAnsi="Times New Roman" w:cs="Times New Roman" w:eastAsia="Times New Roman"/>
          <w:i/>
          <w:color w:val="auto"/>
          <w:spacing w:val="0"/>
          <w:position w:val="0"/>
          <w:sz w:val="24"/>
          <w:shd w:fill="auto" w:val="clear"/>
        </w:rPr>
        <w:t xml:space="preserve">Nature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759-761, doi:10.1038/nbt1316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Ziebell,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Increase in 4-coumaryl alcohol units during lignification in alfalfa (Medicago sativa) alters the extractability and molecular weight of lignin. </w:t>
      </w:r>
      <w:r>
        <w:rPr>
          <w:rFonts w:ascii="Times New Roman" w:hAnsi="Times New Roman" w:cs="Times New Roman" w:eastAsia="Times New Roman"/>
          <w:i/>
          <w:color w:val="auto"/>
          <w:spacing w:val="0"/>
          <w:position w:val="0"/>
          <w:sz w:val="24"/>
          <w:shd w:fill="auto" w:val="clear"/>
        </w:rPr>
        <w:t xml:space="preserve">The Journal of biological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285</w:t>
      </w:r>
      <w:r>
        <w:rPr>
          <w:rFonts w:ascii="Times New Roman" w:hAnsi="Times New Roman" w:cs="Times New Roman" w:eastAsia="Times New Roman"/>
          <w:color w:val="auto"/>
          <w:spacing w:val="0"/>
          <w:position w:val="0"/>
          <w:sz w:val="24"/>
          <w:shd w:fill="auto" w:val="clear"/>
        </w:rPr>
        <w:t xml:space="preserve">, 38961-38968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Park, S.-H.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quest for alternatives to microbial cellulase mix production: corn stover-produced heterologous multi-cellulases readily deconstruct lignocellulosic biomass into fermentable sugars. </w:t>
      </w:r>
      <w:r>
        <w:rPr>
          <w:rFonts w:ascii="Times New Roman" w:hAnsi="Times New Roman" w:cs="Times New Roman" w:eastAsia="Times New Roman"/>
          <w:i/>
          <w:color w:val="auto"/>
          <w:spacing w:val="0"/>
          <w:position w:val="0"/>
          <w:sz w:val="24"/>
          <w:shd w:fill="auto" w:val="clear"/>
        </w:rPr>
        <w:t xml:space="preserve">Journal of Chemical Technology &amp;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633-641, doi:10.1002/jctb.2584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Mol, J.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Regulation of plant gene expression by antisense RNA. </w:t>
      </w:r>
      <w:r>
        <w:rPr>
          <w:rFonts w:ascii="Times New Roman" w:hAnsi="Times New Roman" w:cs="Times New Roman" w:eastAsia="Times New Roman"/>
          <w:i/>
          <w:color w:val="auto"/>
          <w:spacing w:val="0"/>
          <w:position w:val="0"/>
          <w:sz w:val="24"/>
          <w:shd w:fill="auto" w:val="clear"/>
        </w:rPr>
        <w:t xml:space="preserve">FEBS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268</w:t>
      </w:r>
      <w:r>
        <w:rPr>
          <w:rFonts w:ascii="Times New Roman" w:hAnsi="Times New Roman" w:cs="Times New Roman" w:eastAsia="Times New Roman"/>
          <w:color w:val="auto"/>
          <w:spacing w:val="0"/>
          <w:position w:val="0"/>
          <w:sz w:val="24"/>
          <w:shd w:fill="auto" w:val="clear"/>
        </w:rPr>
        <w:t xml:space="preserve">, 427-430 (1990).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Adamo,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Transgene-mediated cosuppression and RNA interference enhance germ-line apoptosis in Caenorhabditis elegans.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3440-3445, doi:10.1073/pnas.1107390109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Smith, N.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Total silencing by intron-spliced hairpin RNAs.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407</w:t>
      </w:r>
      <w:r>
        <w:rPr>
          <w:rFonts w:ascii="Times New Roman" w:hAnsi="Times New Roman" w:cs="Times New Roman" w:eastAsia="Times New Roman"/>
          <w:color w:val="auto"/>
          <w:spacing w:val="0"/>
          <w:position w:val="0"/>
          <w:sz w:val="24"/>
          <w:shd w:fill="auto" w:val="clear"/>
        </w:rPr>
        <w:t xml:space="preserve">, 319-320, doi:10.1038/35030305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Park, S.-H.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Downregulation of Maize Cinnamoyl-Coenzyme A Reductase via RNA Interference Technology Causes Brown Midrib and Improves Ammonia Fiber Expansion-Pretreated Conversion into Fermentable Sugars for Biofuels. </w:t>
      </w:r>
      <w:r>
        <w:rPr>
          <w:rFonts w:ascii="Times New Roman" w:hAnsi="Times New Roman" w:cs="Times New Roman" w:eastAsia="Times New Roman"/>
          <w:i/>
          <w:color w:val="auto"/>
          <w:spacing w:val="0"/>
          <w:position w:val="0"/>
          <w:sz w:val="24"/>
          <w:shd w:fill="auto" w:val="clear"/>
        </w:rPr>
        <w:t xml:space="preserve">Crop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2687-2701, doi:10.2135/cropsci2012.04.0253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Altpeter,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Particle bombardment and the genetic enhancement of crops: myths and realities. </w:t>
      </w:r>
      <w:r>
        <w:rPr>
          <w:rFonts w:ascii="Times New Roman" w:hAnsi="Times New Roman" w:cs="Times New Roman" w:eastAsia="Times New Roman"/>
          <w:i/>
          <w:color w:val="auto"/>
          <w:spacing w:val="0"/>
          <w:position w:val="0"/>
          <w:sz w:val="24"/>
          <w:shd w:fill="auto" w:val="clear"/>
        </w:rPr>
        <w:t xml:space="preserve">Mol Breeding.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305-327, doi:DOI 10.1007/s11032-004-8001-y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Pichon, M., Courbou, I., Beckert, M., Boudet, A. M. &amp; Grima-Pettenati, J. Cloning and characterization of two maize cDNAs encoding cinnamoyl-CoA reductase (CCR) and differential expression of the corresponding genes.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671-676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Mansoor, S., Amin, I., Hussain, M., Zafar, Y. &amp; Briddon, R. W. Engineering novel traits in plants through RNA interference. </w:t>
      </w:r>
      <w:r>
        <w:rPr>
          <w:rFonts w:ascii="Times New Roman" w:hAnsi="Times New Roman" w:cs="Times New Roman" w:eastAsia="Times New Roman"/>
          <w:i/>
          <w:color w:val="auto"/>
          <w:spacing w:val="0"/>
          <w:position w:val="0"/>
          <w:sz w:val="24"/>
          <w:shd w:fill="auto" w:val="clear"/>
        </w:rPr>
        <w:t xml:space="preserve">Trends in plant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559-565, doi:DOI 10.1016/j.tplants.2006.09.010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Hatfield, R. D., Jung, H.-J. G., Ralph, J., Buxton, D. R. &amp; Weimer, P. J. A comparison of the insoluble residues produced by the Klason lignin and acid detergent lignin procedures. </w:t>
      </w:r>
      <w:r>
        <w:rPr>
          <w:rFonts w:ascii="Times New Roman" w:hAnsi="Times New Roman" w:cs="Times New Roman" w:eastAsia="Times New Roman"/>
          <w:i/>
          <w:color w:val="auto"/>
          <w:spacing w:val="0"/>
          <w:position w:val="0"/>
          <w:sz w:val="24"/>
          <w:shd w:fill="auto" w:val="clear"/>
        </w:rPr>
        <w:t xml:space="preserve">J Sci Food Agr.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51-58, doi:10.1002/jsfa.2740650109 (1994).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Sluiter, J. B., Ruiz, R. O., Scarlata, C. J., Sluiter, A. D. &amp; Templeton, D. W. Compositional analysis of lignocellulosic feedstocks. 1. Review and description of methods. </w:t>
      </w:r>
      <w:r>
        <w:rPr>
          <w:rFonts w:ascii="Times New Roman" w:hAnsi="Times New Roman" w:cs="Times New Roman" w:eastAsia="Times New Roman"/>
          <w:i/>
          <w:color w:val="auto"/>
          <w:spacing w:val="0"/>
          <w:position w:val="0"/>
          <w:sz w:val="24"/>
          <w:shd w:fill="auto" w:val="clear"/>
        </w:rPr>
        <w:t xml:space="preserve">Journal of agricultural and food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9043-9053, doi:10.1021/jf1008023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NREL. Determination of structural carbohydrates and lignin in biomass : laboratory analytical procedure (LAP).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Bate, N.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Quantitative Relationship between Phenylalanine Ammonia-Lyase Levels and Phenylpropanoid Accumulation in Transgenic Tobacco Identifies a Rate-Determining Step in Natural Product Synthesis.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7608-7612, doi:DOI 10.1073/pnas.91.16.7608 (1994).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Hu, W.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Repression of lignin biosynthesis promotes cellulose accumulation and growth in transgenic trees. </w:t>
      </w:r>
      <w:r>
        <w:rPr>
          <w:rFonts w:ascii="Times New Roman" w:hAnsi="Times New Roman" w:cs="Times New Roman" w:eastAsia="Times New Roman"/>
          <w:i/>
          <w:color w:val="auto"/>
          <w:spacing w:val="0"/>
          <w:position w:val="0"/>
          <w:sz w:val="24"/>
          <w:shd w:fill="auto" w:val="clear"/>
        </w:rPr>
        <w:t xml:space="preserve">Nature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808-812, doi:10.1038/11758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Lapierre,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Signatures of cinnamyl alcohol dehydrogenase deficiency in poplar lignins. </w:t>
      </w:r>
      <w:r>
        <w:rPr>
          <w:rFonts w:ascii="Times New Roman" w:hAnsi="Times New Roman" w:cs="Times New Roman" w:eastAsia="Times New Roman"/>
          <w:i/>
          <w:color w:val="auto"/>
          <w:spacing w:val="0"/>
          <w:position w:val="0"/>
          <w:sz w:val="24"/>
          <w:shd w:fill="auto" w:val="clear"/>
        </w:rPr>
        <w:t xml:space="preserve">Phytochemistry.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313-321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Updegraff, D. M. Semimicro determination of cellulose in biological materials. </w:t>
      </w:r>
      <w:r>
        <w:rPr>
          <w:rFonts w:ascii="Times New Roman" w:hAnsi="Times New Roman" w:cs="Times New Roman" w:eastAsia="Times New Roman"/>
          <w:i/>
          <w:color w:val="auto"/>
          <w:spacing w:val="0"/>
          <w:position w:val="0"/>
          <w:sz w:val="24"/>
          <w:shd w:fill="auto" w:val="clear"/>
        </w:rPr>
        <w:t xml:space="preserve">Anal Biochem.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420-424 (1969).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Yemm, E. W. &amp; Willis, A. J. The estimation of carbohydrates in plant extracts by anthrone. </w:t>
      </w:r>
      <w:r>
        <w:rPr>
          <w:rFonts w:ascii="Times New Roman" w:hAnsi="Times New Roman" w:cs="Times New Roman" w:eastAsia="Times New Roman"/>
          <w:i/>
          <w:color w:val="auto"/>
          <w:spacing w:val="0"/>
          <w:position w:val="0"/>
          <w:sz w:val="24"/>
          <w:shd w:fill="auto" w:val="clear"/>
        </w:rPr>
        <w:t xml:space="preserve">The Biochemical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508-514 (1954).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Filomena, A. P., Cherie, W., Geoffrey, B. F. &amp; Antony, B. Determining the polysaccharide composition of plant cell walls. </w:t>
      </w:r>
      <w:r>
        <w:rPr>
          <w:rFonts w:ascii="Times New Roman" w:hAnsi="Times New Roman" w:cs="Times New Roman" w:eastAsia="Times New Roman"/>
          <w:i/>
          <w:color w:val="auto"/>
          <w:spacing w:val="0"/>
          <w:position w:val="0"/>
          <w:sz w:val="24"/>
          <w:shd w:fill="auto" w:val="clear"/>
        </w:rPr>
        <w:t xml:space="preserve">Nature protocols.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1590-1607, doi:10.1038/nprot.2012.081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Foster, C. E., Martin, T. M. &amp; Pauly, M. Comprehensive Compositional Analysis of Plant Cell Walls (Lignocellulosic biomass) Part II: Carbohydrates. </w:t>
      </w:r>
      <w:r>
        <w:rPr>
          <w:rFonts w:ascii="Times New Roman" w:hAnsi="Times New Roman" w:cs="Times New Roman" w:eastAsia="Times New Roman"/>
          <w:i/>
          <w:color w:val="auto"/>
          <w:spacing w:val="0"/>
          <w:position w:val="0"/>
          <w:sz w:val="24"/>
          <w:shd w:fill="auto" w:val="clear"/>
        </w:rPr>
        <w:t xml:space="preserve">Journal of visualized experiments : JoVE</w:t>
      </w:r>
      <w:r>
        <w:rPr>
          <w:rFonts w:ascii="Times New Roman" w:hAnsi="Times New Roman" w:cs="Times New Roman" w:eastAsia="Times New Roman"/>
          <w:color w:val="auto"/>
          <w:spacing w:val="0"/>
          <w:position w:val="0"/>
          <w:sz w:val="24"/>
          <w:shd w:fill="auto" w:val="clear"/>
        </w:rPr>
        <w:t xml:space="preserve">, e1837, doi:doi:10.3791/1837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Department of Agronomy, I. S. U. </w:t>
      </w:r>
      <w:r>
        <w:rPr>
          <w:rFonts w:ascii="Times New Roman" w:hAnsi="Times New Roman" w:cs="Times New Roman" w:eastAsia="Times New Roman"/>
          <w:i/>
          <w:color w:val="auto"/>
          <w:spacing w:val="0"/>
          <w:position w:val="0"/>
          <w:sz w:val="24"/>
          <w:shd w:fill="auto" w:val="clear"/>
        </w:rPr>
        <w:t xml:space="preserve">Particle bombardment of Hi II immature zygotic embryos and recovery of transgenic maize plants</w:t>
      </w:r>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BIO-RAD. </w:t>
      </w:r>
      <w:r>
        <w:rPr>
          <w:rFonts w:ascii="Times New Roman" w:hAnsi="Times New Roman" w:cs="Times New Roman" w:eastAsia="Times New Roman"/>
          <w:i/>
          <w:color w:val="auto"/>
          <w:spacing w:val="0"/>
          <w:position w:val="0"/>
          <w:sz w:val="24"/>
          <w:shd w:fill="auto" w:val="clear"/>
        </w:rPr>
        <w:t xml:space="preserve">Biolistic® PDS-1000/He Particle Delivery System</w:t>
      </w:r>
      <w:r>
        <w:rPr>
          <w:rFonts w:ascii="Times New Roman" w:hAnsi="Times New Roman" w:cs="Times New Roman" w:eastAsia="Times New Roman"/>
          <w:color w:val="auto"/>
          <w:spacing w:val="0"/>
          <w:position w:val="0"/>
          <w:sz w:val="24"/>
          <w:shd w:fill="auto" w:val="clear"/>
        </w:rPr>
        <w:t xml:space="preserve">, &lt;</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http://www.bio-rad.com/webroot/web/pdf/lsr/literature/Bulletin_9075.pdf</w:t>
        </w:r>
      </w:hyperlink>
      <w:r>
        <w:rPr>
          <w:rFonts w:ascii="Times New Roman" w:hAnsi="Times New Roman" w:cs="Times New Roman" w:eastAsia="Times New Roman"/>
          <w:color w:val="auto"/>
          <w:spacing w:val="0"/>
          <w:position w:val="0"/>
          <w:sz w:val="24"/>
          <w:shd w:fill="auto" w:val="clear"/>
        </w:rPr>
        <w:t xml:space="preserve">&gt;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i/>
          <w:color w:val="auto"/>
          <w:spacing w:val="0"/>
          <w:position w:val="0"/>
          <w:sz w:val="24"/>
          <w:shd w:fill="auto" w:val="clear"/>
        </w:rPr>
        <w:t xml:space="preserve">Particle bombardment of Hi II immature zygotic embryos and recovery of transgenic maize plants</w:t>
      </w:r>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Sluiter,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Determination of Structural Carbohydrates and Lignin in Biomass; Laboratory Analytical Procedure (LAP). (National Renewable Energy Laboratory,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Cano-Delgado, A., Penfield, S., Smith, C., Catley, M. &amp; Bevan, M. Reduced cellulose synthesis invokes lignification and defense responses in Arabidopsis thaliana. </w:t>
      </w:r>
      <w:r>
        <w:rPr>
          <w:rFonts w:ascii="Times New Roman" w:hAnsi="Times New Roman" w:cs="Times New Roman" w:eastAsia="Times New Roman"/>
          <w:i/>
          <w:color w:val="auto"/>
          <w:spacing w:val="0"/>
          <w:position w:val="0"/>
          <w:sz w:val="24"/>
          <w:shd w:fill="auto" w:val="clear"/>
        </w:rPr>
        <w:t xml:space="preserve">The Plant journal : for cell and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351-362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Boudet, A. M., Kajita, S., Grima-Pettenati, J. &amp; Goffner, D. Lignins and lignocellulosics: a better control of synthesis for new and improved uses. </w:t>
      </w:r>
      <w:r>
        <w:rPr>
          <w:rFonts w:ascii="Times New Roman" w:hAnsi="Times New Roman" w:cs="Times New Roman" w:eastAsia="Times New Roman"/>
          <w:i/>
          <w:color w:val="auto"/>
          <w:spacing w:val="0"/>
          <w:position w:val="0"/>
          <w:sz w:val="24"/>
          <w:shd w:fill="auto" w:val="clear"/>
        </w:rPr>
        <w:t xml:space="preserve">Trends in plant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576-581, doi:10.1016/j.tplants.2003.10.001 (2003).</w:t>
      </w:r>
    </w:p>
    <w:p>
      <w:pPr>
        <w:spacing w:before="0" w:after="0" w:line="240"/>
        <w:ind w:right="0" w:left="0" w:firstLine="0"/>
        <w:jc w:val="both"/>
        <w:rPr>
          <w:rFonts w:ascii="?? ??" w:hAnsi="?? ??" w:cs="?? ??" w:eastAsia="?? ??"/>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feedstockreview.ornl.gov/pdf/billion_ton_vision.pdf" Id="docRId0" Type="http://schemas.openxmlformats.org/officeDocument/2006/relationships/hyperlink" /><Relationship TargetMode="External" Target="http://www.bio-rad.com/webroot/web/pdf/lsr/literature/Bulletin_9075.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