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58E" w:rsidRPr="007E40FA" w:rsidRDefault="00DD758E" w:rsidP="00E330A4">
      <w:pPr>
        <w:spacing w:after="0" w:line="240" w:lineRule="auto"/>
        <w:jc w:val="both"/>
        <w:rPr>
          <w:rFonts w:ascii="Times New Roman" w:hAnsi="Times New Roman"/>
          <w:sz w:val="24"/>
          <w:szCs w:val="24"/>
        </w:rPr>
      </w:pPr>
      <w:r w:rsidRPr="007E40FA">
        <w:rPr>
          <w:rFonts w:ascii="Times New Roman" w:hAnsi="Times New Roman"/>
          <w:b/>
          <w:sz w:val="24"/>
          <w:szCs w:val="24"/>
        </w:rPr>
        <w:t xml:space="preserve">Adaptation of </w:t>
      </w:r>
      <w:r w:rsidR="001C3034" w:rsidRPr="007E40FA">
        <w:rPr>
          <w:rFonts w:ascii="Times New Roman" w:hAnsi="Times New Roman"/>
          <w:b/>
          <w:sz w:val="24"/>
          <w:szCs w:val="24"/>
        </w:rPr>
        <w:t xml:space="preserve">semi-automated </w:t>
      </w:r>
      <w:r w:rsidR="00E64FE0" w:rsidRPr="007E40FA">
        <w:rPr>
          <w:rFonts w:ascii="Times New Roman" w:hAnsi="Times New Roman"/>
          <w:b/>
          <w:sz w:val="24"/>
          <w:szCs w:val="24"/>
        </w:rPr>
        <w:t xml:space="preserve">circulating tumor cell (CTC) </w:t>
      </w:r>
      <w:r w:rsidR="001144B4" w:rsidRPr="007E40FA">
        <w:rPr>
          <w:rFonts w:ascii="Times New Roman" w:hAnsi="Times New Roman"/>
          <w:b/>
          <w:sz w:val="24"/>
          <w:szCs w:val="24"/>
        </w:rPr>
        <w:t>assay</w:t>
      </w:r>
      <w:r w:rsidR="001C3034" w:rsidRPr="007E40FA">
        <w:rPr>
          <w:rFonts w:ascii="Times New Roman" w:hAnsi="Times New Roman"/>
          <w:b/>
          <w:sz w:val="24"/>
          <w:szCs w:val="24"/>
        </w:rPr>
        <w:t>s</w:t>
      </w:r>
      <w:r w:rsidR="001144B4" w:rsidRPr="007E40FA">
        <w:rPr>
          <w:rFonts w:ascii="Times New Roman" w:hAnsi="Times New Roman"/>
          <w:b/>
          <w:sz w:val="24"/>
          <w:szCs w:val="24"/>
        </w:rPr>
        <w:t xml:space="preserve"> </w:t>
      </w:r>
      <w:r w:rsidRPr="007E40FA">
        <w:rPr>
          <w:rFonts w:ascii="Times New Roman" w:hAnsi="Times New Roman"/>
          <w:b/>
          <w:sz w:val="24"/>
          <w:szCs w:val="24"/>
        </w:rPr>
        <w:t xml:space="preserve">for </w:t>
      </w:r>
      <w:r w:rsidR="001144B4" w:rsidRPr="007E40FA">
        <w:rPr>
          <w:rFonts w:ascii="Times New Roman" w:hAnsi="Times New Roman"/>
          <w:b/>
          <w:sz w:val="24"/>
          <w:szCs w:val="24"/>
        </w:rPr>
        <w:t xml:space="preserve">clinical and </w:t>
      </w:r>
      <w:r w:rsidR="00FB75F9" w:rsidRPr="007E40FA">
        <w:rPr>
          <w:rFonts w:ascii="Times New Roman" w:hAnsi="Times New Roman"/>
          <w:b/>
          <w:sz w:val="24"/>
          <w:szCs w:val="24"/>
        </w:rPr>
        <w:t>pre-clinical</w:t>
      </w:r>
      <w:r w:rsidR="001144B4" w:rsidRPr="007E40FA">
        <w:rPr>
          <w:rFonts w:ascii="Times New Roman" w:hAnsi="Times New Roman"/>
          <w:b/>
          <w:sz w:val="24"/>
          <w:szCs w:val="24"/>
        </w:rPr>
        <w:t xml:space="preserve"> research applications </w:t>
      </w:r>
    </w:p>
    <w:p w:rsidR="001144B4" w:rsidRPr="007E40FA" w:rsidRDefault="001144B4" w:rsidP="00E330A4">
      <w:pPr>
        <w:spacing w:after="0" w:line="240" w:lineRule="auto"/>
        <w:jc w:val="both"/>
        <w:rPr>
          <w:rFonts w:ascii="Times New Roman" w:hAnsi="Times New Roman"/>
          <w:sz w:val="24"/>
          <w:szCs w:val="24"/>
        </w:rPr>
      </w:pPr>
    </w:p>
    <w:p w:rsidR="001073BB" w:rsidRPr="007E40FA" w:rsidRDefault="0090301D" w:rsidP="00E330A4">
      <w:pPr>
        <w:spacing w:after="0" w:line="240" w:lineRule="auto"/>
        <w:rPr>
          <w:rFonts w:ascii="Times New Roman" w:hAnsi="Times New Roman"/>
          <w:b/>
          <w:sz w:val="24"/>
          <w:szCs w:val="24"/>
        </w:rPr>
      </w:pPr>
      <w:r w:rsidRPr="007E40FA">
        <w:rPr>
          <w:rFonts w:ascii="Times New Roman" w:hAnsi="Times New Roman"/>
          <w:b/>
          <w:sz w:val="24"/>
          <w:szCs w:val="24"/>
        </w:rPr>
        <w:t>AUTHORS</w:t>
      </w:r>
      <w:r w:rsidR="001073BB" w:rsidRPr="007E40FA">
        <w:rPr>
          <w:rFonts w:ascii="Times New Roman" w:hAnsi="Times New Roman"/>
          <w:b/>
          <w:sz w:val="24"/>
          <w:szCs w:val="24"/>
        </w:rPr>
        <w:t>:</w:t>
      </w:r>
    </w:p>
    <w:p w:rsidR="001073BB" w:rsidRPr="007E40FA" w:rsidRDefault="001073BB" w:rsidP="00E330A4">
      <w:pPr>
        <w:spacing w:after="0" w:line="240" w:lineRule="auto"/>
        <w:rPr>
          <w:rFonts w:ascii="Times New Roman" w:hAnsi="Times New Roman"/>
          <w:sz w:val="24"/>
          <w:szCs w:val="24"/>
        </w:rPr>
      </w:pPr>
      <w:r w:rsidRPr="007E40FA">
        <w:rPr>
          <w:rFonts w:ascii="Times New Roman" w:hAnsi="Times New Roman"/>
          <w:sz w:val="24"/>
          <w:szCs w:val="24"/>
        </w:rPr>
        <w:t>Lowes, Lori E.</w:t>
      </w:r>
    </w:p>
    <w:p w:rsidR="001073BB" w:rsidRPr="007E40FA" w:rsidRDefault="00B91C3C" w:rsidP="00E330A4">
      <w:pPr>
        <w:spacing w:after="0" w:line="240" w:lineRule="auto"/>
        <w:rPr>
          <w:rFonts w:ascii="Times New Roman" w:hAnsi="Times New Roman"/>
          <w:sz w:val="24"/>
          <w:szCs w:val="24"/>
        </w:rPr>
      </w:pPr>
      <w:r w:rsidRPr="007E40FA">
        <w:rPr>
          <w:rFonts w:ascii="Times New Roman" w:hAnsi="Times New Roman"/>
          <w:sz w:val="24"/>
          <w:szCs w:val="24"/>
          <w:vertAlign w:val="superscript"/>
        </w:rPr>
        <w:t>1</w:t>
      </w:r>
      <w:r w:rsidRPr="007E40FA">
        <w:rPr>
          <w:rFonts w:ascii="Times New Roman" w:hAnsi="Times New Roman"/>
          <w:sz w:val="24"/>
          <w:szCs w:val="24"/>
        </w:rPr>
        <w:t>London Regional Cancer Program</w:t>
      </w:r>
      <w:r w:rsidR="001073BB" w:rsidRPr="007E40FA">
        <w:rPr>
          <w:rFonts w:ascii="Times New Roman" w:hAnsi="Times New Roman"/>
          <w:sz w:val="24"/>
          <w:szCs w:val="24"/>
        </w:rPr>
        <w:t xml:space="preserve">; </w:t>
      </w:r>
      <w:r w:rsidR="00E63838" w:rsidRPr="007E40FA">
        <w:rPr>
          <w:rFonts w:ascii="Times New Roman" w:hAnsi="Times New Roman"/>
          <w:sz w:val="24"/>
          <w:szCs w:val="24"/>
          <w:vertAlign w:val="superscript"/>
        </w:rPr>
        <w:t>2</w:t>
      </w:r>
      <w:r w:rsidR="001073BB" w:rsidRPr="007E40FA">
        <w:rPr>
          <w:rFonts w:ascii="Times New Roman" w:hAnsi="Times New Roman"/>
          <w:sz w:val="24"/>
          <w:szCs w:val="24"/>
        </w:rPr>
        <w:t>Department of Anatomy &amp; Cell Biology</w:t>
      </w:r>
      <w:r w:rsidR="00E63838" w:rsidRPr="007E40FA">
        <w:rPr>
          <w:rFonts w:ascii="Times New Roman" w:hAnsi="Times New Roman"/>
          <w:sz w:val="24"/>
          <w:szCs w:val="24"/>
        </w:rPr>
        <w:t xml:space="preserve">, </w:t>
      </w:r>
      <w:proofErr w:type="spellStart"/>
      <w:r w:rsidR="00E63838" w:rsidRPr="007E40FA">
        <w:rPr>
          <w:rFonts w:ascii="Times New Roman" w:hAnsi="Times New Roman"/>
          <w:sz w:val="24"/>
          <w:szCs w:val="24"/>
        </w:rPr>
        <w:t>Schulich</w:t>
      </w:r>
      <w:proofErr w:type="spellEnd"/>
      <w:r w:rsidR="00E63838" w:rsidRPr="007E40FA">
        <w:rPr>
          <w:rFonts w:ascii="Times New Roman" w:hAnsi="Times New Roman"/>
          <w:sz w:val="24"/>
          <w:szCs w:val="24"/>
        </w:rPr>
        <w:t xml:space="preserve"> School of Medicine and Dentistry</w:t>
      </w:r>
      <w:r w:rsidR="001073BB" w:rsidRPr="007E40FA">
        <w:rPr>
          <w:rFonts w:ascii="Times New Roman" w:hAnsi="Times New Roman"/>
          <w:sz w:val="24"/>
          <w:szCs w:val="24"/>
        </w:rPr>
        <w:t xml:space="preserve">  </w:t>
      </w:r>
    </w:p>
    <w:p w:rsidR="001073BB" w:rsidRPr="007E40FA" w:rsidRDefault="001073BB" w:rsidP="00E330A4">
      <w:pPr>
        <w:spacing w:after="0" w:line="240" w:lineRule="auto"/>
        <w:rPr>
          <w:rFonts w:ascii="Times New Roman" w:hAnsi="Times New Roman"/>
          <w:sz w:val="24"/>
          <w:szCs w:val="24"/>
        </w:rPr>
      </w:pPr>
      <w:r w:rsidRPr="007E40FA">
        <w:rPr>
          <w:rFonts w:ascii="Times New Roman" w:hAnsi="Times New Roman"/>
          <w:sz w:val="24"/>
          <w:szCs w:val="24"/>
          <w:vertAlign w:val="superscript"/>
        </w:rPr>
        <w:t>1</w:t>
      </w:r>
      <w:r w:rsidRPr="007E40FA">
        <w:rPr>
          <w:rFonts w:ascii="Times New Roman" w:hAnsi="Times New Roman"/>
          <w:sz w:val="24"/>
          <w:szCs w:val="24"/>
        </w:rPr>
        <w:t xml:space="preserve">London Health Sciences Centre; </w:t>
      </w:r>
      <w:r w:rsidR="00E63838" w:rsidRPr="007E40FA">
        <w:rPr>
          <w:rFonts w:ascii="Times New Roman" w:hAnsi="Times New Roman"/>
          <w:sz w:val="24"/>
          <w:szCs w:val="24"/>
          <w:vertAlign w:val="superscript"/>
        </w:rPr>
        <w:t>2</w:t>
      </w:r>
      <w:r w:rsidR="00E63838" w:rsidRPr="007E40FA">
        <w:rPr>
          <w:rFonts w:ascii="Times New Roman" w:hAnsi="Times New Roman"/>
          <w:sz w:val="24"/>
          <w:szCs w:val="24"/>
        </w:rPr>
        <w:t>Western University</w:t>
      </w:r>
    </w:p>
    <w:p w:rsidR="001073BB" w:rsidRPr="007E40FA" w:rsidRDefault="00180583" w:rsidP="00E330A4">
      <w:pPr>
        <w:spacing w:after="0" w:line="240" w:lineRule="auto"/>
        <w:rPr>
          <w:rFonts w:ascii="Times New Roman" w:hAnsi="Times New Roman"/>
          <w:sz w:val="24"/>
          <w:szCs w:val="24"/>
        </w:rPr>
      </w:pPr>
      <w:r w:rsidRPr="007E40FA">
        <w:rPr>
          <w:rFonts w:ascii="Times New Roman" w:hAnsi="Times New Roman"/>
          <w:sz w:val="24"/>
          <w:szCs w:val="24"/>
          <w:vertAlign w:val="superscript"/>
        </w:rPr>
        <w:t>1,2</w:t>
      </w:r>
      <w:r w:rsidR="001073BB" w:rsidRPr="007E40FA">
        <w:rPr>
          <w:rFonts w:ascii="Times New Roman" w:hAnsi="Times New Roman"/>
          <w:sz w:val="24"/>
          <w:szCs w:val="24"/>
        </w:rPr>
        <w:t>London, Canada</w:t>
      </w:r>
    </w:p>
    <w:p w:rsidR="00E63838" w:rsidRPr="007E40FA" w:rsidRDefault="00BF4927" w:rsidP="00E330A4">
      <w:pPr>
        <w:spacing w:after="0" w:line="240" w:lineRule="auto"/>
        <w:rPr>
          <w:rFonts w:ascii="Times New Roman" w:hAnsi="Times New Roman"/>
          <w:sz w:val="24"/>
          <w:szCs w:val="24"/>
        </w:rPr>
      </w:pPr>
      <w:hyperlink r:id="rId9" w:history="1">
        <w:r w:rsidR="00E63838" w:rsidRPr="007E40FA">
          <w:rPr>
            <w:rStyle w:val="Hyperlink"/>
            <w:rFonts w:ascii="Times New Roman" w:hAnsi="Times New Roman"/>
            <w:color w:val="auto"/>
            <w:sz w:val="24"/>
            <w:szCs w:val="24"/>
          </w:rPr>
          <w:t>llowes@uwo.ca</w:t>
        </w:r>
      </w:hyperlink>
    </w:p>
    <w:p w:rsidR="00E63838" w:rsidRPr="007E40FA" w:rsidRDefault="00E63838" w:rsidP="00E330A4">
      <w:pPr>
        <w:spacing w:after="0" w:line="240" w:lineRule="auto"/>
        <w:rPr>
          <w:rFonts w:ascii="Times New Roman" w:hAnsi="Times New Roman"/>
          <w:sz w:val="24"/>
          <w:szCs w:val="24"/>
        </w:rPr>
      </w:pPr>
    </w:p>
    <w:p w:rsidR="00E63838" w:rsidRPr="007E40FA" w:rsidRDefault="00E63838" w:rsidP="00E330A4">
      <w:pPr>
        <w:spacing w:after="0" w:line="240" w:lineRule="auto"/>
        <w:rPr>
          <w:rFonts w:ascii="Times New Roman" w:hAnsi="Times New Roman"/>
          <w:sz w:val="24"/>
          <w:szCs w:val="24"/>
        </w:rPr>
      </w:pPr>
      <w:r w:rsidRPr="007E40FA">
        <w:rPr>
          <w:rFonts w:ascii="Times New Roman" w:hAnsi="Times New Roman"/>
          <w:sz w:val="24"/>
          <w:szCs w:val="24"/>
        </w:rPr>
        <w:t>Hedley, Benjamin D.</w:t>
      </w:r>
    </w:p>
    <w:p w:rsidR="00E63838" w:rsidRPr="007E40FA" w:rsidRDefault="00F55541" w:rsidP="00E330A4">
      <w:pPr>
        <w:spacing w:after="0" w:line="240" w:lineRule="auto"/>
        <w:ind w:left="85" w:hanging="85"/>
        <w:rPr>
          <w:rFonts w:ascii="Times New Roman" w:hAnsi="Times New Roman"/>
          <w:sz w:val="24"/>
          <w:szCs w:val="24"/>
        </w:rPr>
      </w:pPr>
      <w:r w:rsidRPr="007E40FA">
        <w:rPr>
          <w:rFonts w:ascii="Times New Roman" w:hAnsi="Times New Roman"/>
          <w:sz w:val="24"/>
          <w:szCs w:val="24"/>
          <w:vertAlign w:val="superscript"/>
        </w:rPr>
        <w:t>3</w:t>
      </w:r>
      <w:r w:rsidR="00E63838" w:rsidRPr="007E40FA">
        <w:rPr>
          <w:rFonts w:ascii="Times New Roman" w:hAnsi="Times New Roman"/>
          <w:sz w:val="24"/>
          <w:szCs w:val="24"/>
        </w:rPr>
        <w:t xml:space="preserve">Special Hematology/Flow </w:t>
      </w:r>
      <w:proofErr w:type="spellStart"/>
      <w:r w:rsidR="00E63838" w:rsidRPr="007E40FA">
        <w:rPr>
          <w:rFonts w:ascii="Times New Roman" w:hAnsi="Times New Roman"/>
          <w:sz w:val="24"/>
          <w:szCs w:val="24"/>
        </w:rPr>
        <w:t>Cytometry</w:t>
      </w:r>
      <w:proofErr w:type="spellEnd"/>
    </w:p>
    <w:p w:rsidR="00E63838" w:rsidRPr="007E40FA" w:rsidRDefault="00F55541" w:rsidP="00E330A4">
      <w:pPr>
        <w:spacing w:after="0" w:line="240" w:lineRule="auto"/>
        <w:ind w:left="85" w:hanging="85"/>
        <w:rPr>
          <w:rFonts w:ascii="Times New Roman" w:hAnsi="Times New Roman"/>
          <w:sz w:val="24"/>
          <w:szCs w:val="24"/>
        </w:rPr>
      </w:pPr>
      <w:r w:rsidRPr="007E40FA">
        <w:rPr>
          <w:rFonts w:ascii="Times New Roman" w:hAnsi="Times New Roman"/>
          <w:sz w:val="24"/>
          <w:szCs w:val="24"/>
          <w:vertAlign w:val="superscript"/>
        </w:rPr>
        <w:t>3</w:t>
      </w:r>
      <w:r w:rsidR="00E63838" w:rsidRPr="007E40FA">
        <w:rPr>
          <w:rFonts w:ascii="Times New Roman" w:hAnsi="Times New Roman"/>
          <w:sz w:val="24"/>
          <w:szCs w:val="24"/>
        </w:rPr>
        <w:t>London Health Sciences Centre</w:t>
      </w:r>
    </w:p>
    <w:p w:rsidR="00E63838" w:rsidRPr="007E40FA" w:rsidRDefault="00F55541" w:rsidP="00E330A4">
      <w:pPr>
        <w:spacing w:after="0" w:line="240" w:lineRule="auto"/>
        <w:ind w:left="85" w:hanging="85"/>
        <w:rPr>
          <w:rFonts w:ascii="Times New Roman" w:hAnsi="Times New Roman"/>
          <w:sz w:val="24"/>
          <w:szCs w:val="24"/>
        </w:rPr>
      </w:pPr>
      <w:r w:rsidRPr="007E40FA">
        <w:rPr>
          <w:rFonts w:ascii="Times New Roman" w:hAnsi="Times New Roman"/>
          <w:sz w:val="24"/>
          <w:szCs w:val="24"/>
          <w:vertAlign w:val="superscript"/>
        </w:rPr>
        <w:t>3</w:t>
      </w:r>
      <w:r w:rsidR="00E63838" w:rsidRPr="007E40FA">
        <w:rPr>
          <w:rFonts w:ascii="Times New Roman" w:hAnsi="Times New Roman"/>
          <w:sz w:val="24"/>
          <w:szCs w:val="24"/>
        </w:rPr>
        <w:t>London, Canada</w:t>
      </w:r>
    </w:p>
    <w:p w:rsidR="00E63838" w:rsidRPr="007E40FA" w:rsidRDefault="00BF4927" w:rsidP="00E330A4">
      <w:pPr>
        <w:spacing w:after="0" w:line="240" w:lineRule="auto"/>
        <w:ind w:left="85" w:hanging="85"/>
        <w:rPr>
          <w:rFonts w:ascii="Times New Roman" w:hAnsi="Times New Roman"/>
          <w:sz w:val="24"/>
          <w:szCs w:val="24"/>
        </w:rPr>
      </w:pPr>
      <w:hyperlink r:id="rId10" w:history="1">
        <w:r w:rsidR="00E63838" w:rsidRPr="007E40FA">
          <w:rPr>
            <w:rStyle w:val="Hyperlink"/>
            <w:rFonts w:ascii="Times New Roman" w:hAnsi="Times New Roman"/>
            <w:color w:val="auto"/>
            <w:sz w:val="24"/>
            <w:szCs w:val="24"/>
          </w:rPr>
          <w:t>Ben.Hedley@lhsc.on.ca</w:t>
        </w:r>
      </w:hyperlink>
    </w:p>
    <w:p w:rsidR="00E63838" w:rsidRPr="007E40FA" w:rsidRDefault="00E63838" w:rsidP="00E330A4">
      <w:pPr>
        <w:spacing w:after="0" w:line="240" w:lineRule="auto"/>
        <w:ind w:left="85" w:hanging="85"/>
        <w:rPr>
          <w:rFonts w:ascii="Times New Roman" w:hAnsi="Times New Roman"/>
          <w:sz w:val="24"/>
          <w:szCs w:val="24"/>
        </w:rPr>
      </w:pPr>
    </w:p>
    <w:p w:rsidR="00E63838" w:rsidRPr="007E40FA" w:rsidRDefault="00E63838" w:rsidP="00E330A4">
      <w:pPr>
        <w:spacing w:after="0" w:line="240" w:lineRule="auto"/>
        <w:ind w:left="85" w:hanging="85"/>
        <w:rPr>
          <w:rFonts w:ascii="Times New Roman" w:hAnsi="Times New Roman"/>
          <w:sz w:val="24"/>
          <w:szCs w:val="24"/>
        </w:rPr>
      </w:pPr>
      <w:r w:rsidRPr="007E40FA">
        <w:rPr>
          <w:rFonts w:ascii="Times New Roman" w:hAnsi="Times New Roman"/>
          <w:sz w:val="24"/>
          <w:szCs w:val="24"/>
        </w:rPr>
        <w:t>Keeney, Mi</w:t>
      </w:r>
      <w:r w:rsidR="00815D07" w:rsidRPr="007E40FA">
        <w:rPr>
          <w:rFonts w:ascii="Times New Roman" w:hAnsi="Times New Roman"/>
          <w:sz w:val="24"/>
          <w:szCs w:val="24"/>
        </w:rPr>
        <w:t>chael</w:t>
      </w:r>
    </w:p>
    <w:p w:rsidR="00E63838" w:rsidRPr="007E40FA" w:rsidRDefault="00273723" w:rsidP="00E330A4">
      <w:pPr>
        <w:spacing w:after="0" w:line="240" w:lineRule="auto"/>
        <w:ind w:left="85" w:hanging="85"/>
        <w:rPr>
          <w:rFonts w:ascii="Times New Roman" w:hAnsi="Times New Roman"/>
          <w:sz w:val="24"/>
          <w:szCs w:val="24"/>
        </w:rPr>
      </w:pPr>
      <w:r w:rsidRPr="007E40FA">
        <w:rPr>
          <w:rFonts w:ascii="Times New Roman" w:hAnsi="Times New Roman"/>
          <w:sz w:val="24"/>
          <w:szCs w:val="24"/>
          <w:vertAlign w:val="superscript"/>
        </w:rPr>
        <w:t>3</w:t>
      </w:r>
      <w:r w:rsidR="00E63838" w:rsidRPr="007E40FA">
        <w:rPr>
          <w:rFonts w:ascii="Times New Roman" w:hAnsi="Times New Roman"/>
          <w:sz w:val="24"/>
          <w:szCs w:val="24"/>
        </w:rPr>
        <w:t xml:space="preserve">Special Hematology/Flow </w:t>
      </w:r>
      <w:proofErr w:type="spellStart"/>
      <w:r w:rsidR="00E63838" w:rsidRPr="007E40FA">
        <w:rPr>
          <w:rFonts w:ascii="Times New Roman" w:hAnsi="Times New Roman"/>
          <w:sz w:val="24"/>
          <w:szCs w:val="24"/>
        </w:rPr>
        <w:t>Cytometry</w:t>
      </w:r>
      <w:proofErr w:type="spellEnd"/>
      <w:r w:rsidR="00E63838" w:rsidRPr="007E40FA">
        <w:rPr>
          <w:rFonts w:ascii="Times New Roman" w:hAnsi="Times New Roman"/>
          <w:sz w:val="24"/>
          <w:szCs w:val="24"/>
        </w:rPr>
        <w:t xml:space="preserve">; </w:t>
      </w:r>
    </w:p>
    <w:p w:rsidR="00E63838" w:rsidRPr="007E40FA" w:rsidRDefault="00273723" w:rsidP="00E330A4">
      <w:pPr>
        <w:spacing w:after="0" w:line="240" w:lineRule="auto"/>
        <w:ind w:left="85" w:hanging="85"/>
        <w:rPr>
          <w:rFonts w:ascii="Times New Roman" w:hAnsi="Times New Roman"/>
          <w:sz w:val="24"/>
          <w:szCs w:val="24"/>
        </w:rPr>
      </w:pPr>
      <w:r w:rsidRPr="007E40FA">
        <w:rPr>
          <w:rFonts w:ascii="Times New Roman" w:hAnsi="Times New Roman"/>
          <w:sz w:val="24"/>
          <w:szCs w:val="24"/>
          <w:vertAlign w:val="superscript"/>
        </w:rPr>
        <w:t>3</w:t>
      </w:r>
      <w:r w:rsidR="00E63838" w:rsidRPr="007E40FA">
        <w:rPr>
          <w:rFonts w:ascii="Times New Roman" w:hAnsi="Times New Roman"/>
          <w:sz w:val="24"/>
          <w:szCs w:val="24"/>
        </w:rPr>
        <w:t xml:space="preserve">London Health Sciences Centre; </w:t>
      </w:r>
      <w:r w:rsidRPr="007E40FA">
        <w:rPr>
          <w:rFonts w:ascii="Times New Roman" w:hAnsi="Times New Roman"/>
          <w:sz w:val="24"/>
          <w:szCs w:val="24"/>
          <w:vertAlign w:val="superscript"/>
        </w:rPr>
        <w:t>4</w:t>
      </w:r>
      <w:r w:rsidR="00E63838" w:rsidRPr="007E40FA">
        <w:rPr>
          <w:rFonts w:ascii="Times New Roman" w:hAnsi="Times New Roman"/>
          <w:sz w:val="24"/>
          <w:szCs w:val="24"/>
        </w:rPr>
        <w:t>Lawson Health Research Institute</w:t>
      </w:r>
    </w:p>
    <w:p w:rsidR="00E63838" w:rsidRPr="007E40FA" w:rsidRDefault="00273723" w:rsidP="00E330A4">
      <w:pPr>
        <w:spacing w:after="0" w:line="240" w:lineRule="auto"/>
        <w:ind w:left="85" w:hanging="85"/>
        <w:rPr>
          <w:rFonts w:ascii="Times New Roman" w:hAnsi="Times New Roman"/>
          <w:sz w:val="24"/>
          <w:szCs w:val="24"/>
        </w:rPr>
      </w:pPr>
      <w:r w:rsidRPr="007E40FA">
        <w:rPr>
          <w:rFonts w:ascii="Times New Roman" w:hAnsi="Times New Roman"/>
          <w:sz w:val="24"/>
          <w:szCs w:val="24"/>
          <w:vertAlign w:val="superscript"/>
        </w:rPr>
        <w:t>3</w:t>
      </w:r>
      <w:r w:rsidR="00180583" w:rsidRPr="007E40FA">
        <w:rPr>
          <w:rFonts w:ascii="Times New Roman" w:hAnsi="Times New Roman"/>
          <w:sz w:val="24"/>
          <w:szCs w:val="24"/>
          <w:vertAlign w:val="superscript"/>
        </w:rPr>
        <w:t>,</w:t>
      </w:r>
      <w:r w:rsidRPr="007E40FA">
        <w:rPr>
          <w:rFonts w:ascii="Times New Roman" w:hAnsi="Times New Roman"/>
          <w:sz w:val="24"/>
          <w:szCs w:val="24"/>
          <w:vertAlign w:val="superscript"/>
        </w:rPr>
        <w:t>4</w:t>
      </w:r>
      <w:r w:rsidR="00E63838" w:rsidRPr="007E40FA">
        <w:rPr>
          <w:rFonts w:ascii="Times New Roman" w:hAnsi="Times New Roman"/>
          <w:sz w:val="24"/>
          <w:szCs w:val="24"/>
        </w:rPr>
        <w:t>London, Canada</w:t>
      </w:r>
    </w:p>
    <w:p w:rsidR="00E63838" w:rsidRPr="007E40FA" w:rsidRDefault="00BF4927" w:rsidP="00E330A4">
      <w:pPr>
        <w:spacing w:after="0" w:line="240" w:lineRule="auto"/>
        <w:ind w:left="85" w:hanging="85"/>
        <w:rPr>
          <w:rFonts w:ascii="Times New Roman" w:hAnsi="Times New Roman"/>
          <w:sz w:val="24"/>
          <w:szCs w:val="24"/>
        </w:rPr>
      </w:pPr>
      <w:hyperlink r:id="rId11" w:history="1">
        <w:r w:rsidR="00E63838" w:rsidRPr="007E40FA">
          <w:rPr>
            <w:rStyle w:val="Hyperlink"/>
            <w:rFonts w:ascii="Times New Roman" w:hAnsi="Times New Roman"/>
            <w:color w:val="auto"/>
            <w:sz w:val="24"/>
            <w:szCs w:val="24"/>
          </w:rPr>
          <w:t>Mike.Keeney@lhsc.on.ca</w:t>
        </w:r>
      </w:hyperlink>
    </w:p>
    <w:p w:rsidR="001073BB" w:rsidRPr="007E40FA" w:rsidRDefault="001073BB" w:rsidP="00E330A4">
      <w:pPr>
        <w:spacing w:after="0" w:line="240" w:lineRule="auto"/>
        <w:ind w:left="85" w:hanging="85"/>
        <w:rPr>
          <w:rFonts w:ascii="Times New Roman" w:hAnsi="Times New Roman"/>
          <w:sz w:val="24"/>
          <w:szCs w:val="24"/>
          <w:vertAlign w:val="superscript"/>
        </w:rPr>
      </w:pPr>
    </w:p>
    <w:p w:rsidR="00B91C3C" w:rsidRPr="007E40FA" w:rsidRDefault="00201C52" w:rsidP="00E330A4">
      <w:pPr>
        <w:spacing w:after="0" w:line="240" w:lineRule="auto"/>
        <w:ind w:left="85" w:hanging="85"/>
        <w:rPr>
          <w:rFonts w:ascii="Times New Roman" w:hAnsi="Times New Roman"/>
          <w:sz w:val="24"/>
          <w:szCs w:val="24"/>
        </w:rPr>
      </w:pPr>
      <w:r w:rsidRPr="007E40FA">
        <w:rPr>
          <w:rFonts w:ascii="Times New Roman" w:hAnsi="Times New Roman"/>
          <w:b/>
          <w:sz w:val="24"/>
          <w:szCs w:val="24"/>
        </w:rPr>
        <w:t>*</w:t>
      </w:r>
      <w:r w:rsidR="00B35A92" w:rsidRPr="007E40FA">
        <w:rPr>
          <w:rFonts w:ascii="Times New Roman" w:hAnsi="Times New Roman"/>
          <w:sz w:val="24"/>
          <w:szCs w:val="24"/>
        </w:rPr>
        <w:t xml:space="preserve"> </w:t>
      </w:r>
      <w:r w:rsidR="00E63838" w:rsidRPr="007E40FA">
        <w:rPr>
          <w:rFonts w:ascii="Times New Roman" w:hAnsi="Times New Roman"/>
          <w:sz w:val="24"/>
          <w:szCs w:val="24"/>
        </w:rPr>
        <w:t>Allan, Alison L.</w:t>
      </w:r>
    </w:p>
    <w:p w:rsidR="00E63838" w:rsidRPr="007E40FA" w:rsidRDefault="00E63838" w:rsidP="00E330A4">
      <w:pPr>
        <w:spacing w:after="0" w:line="240" w:lineRule="auto"/>
        <w:rPr>
          <w:rFonts w:ascii="Times New Roman" w:hAnsi="Times New Roman"/>
          <w:sz w:val="24"/>
          <w:szCs w:val="24"/>
        </w:rPr>
      </w:pPr>
      <w:r w:rsidRPr="007E40FA">
        <w:rPr>
          <w:rFonts w:ascii="Times New Roman" w:hAnsi="Times New Roman"/>
          <w:sz w:val="24"/>
          <w:szCs w:val="24"/>
          <w:vertAlign w:val="superscript"/>
        </w:rPr>
        <w:t>1</w:t>
      </w:r>
      <w:r w:rsidRPr="007E40FA">
        <w:rPr>
          <w:rFonts w:ascii="Times New Roman" w:hAnsi="Times New Roman"/>
          <w:sz w:val="24"/>
          <w:szCs w:val="24"/>
        </w:rPr>
        <w:t xml:space="preserve">London Regional Cancer Program; Departments of </w:t>
      </w:r>
      <w:r w:rsidR="00273723" w:rsidRPr="007E40FA">
        <w:rPr>
          <w:rFonts w:ascii="Times New Roman" w:hAnsi="Times New Roman"/>
          <w:sz w:val="24"/>
          <w:szCs w:val="24"/>
          <w:vertAlign w:val="superscript"/>
        </w:rPr>
        <w:t>2</w:t>
      </w:r>
      <w:r w:rsidRPr="007E40FA">
        <w:rPr>
          <w:rFonts w:ascii="Times New Roman" w:hAnsi="Times New Roman"/>
          <w:sz w:val="24"/>
          <w:szCs w:val="24"/>
        </w:rPr>
        <w:t xml:space="preserve">Anatomy &amp; Cell Biology and </w:t>
      </w:r>
      <w:r w:rsidR="00273723" w:rsidRPr="007E40FA">
        <w:rPr>
          <w:rFonts w:ascii="Times New Roman" w:hAnsi="Times New Roman"/>
          <w:sz w:val="24"/>
          <w:szCs w:val="24"/>
          <w:vertAlign w:val="superscript"/>
        </w:rPr>
        <w:t>5</w:t>
      </w:r>
      <w:r w:rsidRPr="007E40FA">
        <w:rPr>
          <w:rFonts w:ascii="Times New Roman" w:hAnsi="Times New Roman"/>
          <w:sz w:val="24"/>
          <w:szCs w:val="24"/>
        </w:rPr>
        <w:t xml:space="preserve">Oncology, </w:t>
      </w:r>
      <w:proofErr w:type="spellStart"/>
      <w:r w:rsidRPr="007E40FA">
        <w:rPr>
          <w:rFonts w:ascii="Times New Roman" w:hAnsi="Times New Roman"/>
          <w:sz w:val="24"/>
          <w:szCs w:val="24"/>
        </w:rPr>
        <w:t>Schulich</w:t>
      </w:r>
      <w:proofErr w:type="spellEnd"/>
      <w:r w:rsidRPr="007E40FA">
        <w:rPr>
          <w:rFonts w:ascii="Times New Roman" w:hAnsi="Times New Roman"/>
          <w:sz w:val="24"/>
          <w:szCs w:val="24"/>
        </w:rPr>
        <w:t xml:space="preserve"> School of Medicine and Dentistry;   </w:t>
      </w:r>
    </w:p>
    <w:p w:rsidR="00E63838" w:rsidRPr="007E40FA" w:rsidRDefault="00E63838" w:rsidP="00E330A4">
      <w:pPr>
        <w:spacing w:after="0" w:line="240" w:lineRule="auto"/>
        <w:rPr>
          <w:rFonts w:ascii="Times New Roman" w:hAnsi="Times New Roman"/>
          <w:sz w:val="24"/>
          <w:szCs w:val="24"/>
        </w:rPr>
      </w:pPr>
      <w:r w:rsidRPr="007E40FA">
        <w:rPr>
          <w:rFonts w:ascii="Times New Roman" w:hAnsi="Times New Roman"/>
          <w:sz w:val="24"/>
          <w:szCs w:val="24"/>
          <w:vertAlign w:val="superscript"/>
        </w:rPr>
        <w:t>1</w:t>
      </w:r>
      <w:r w:rsidRPr="007E40FA">
        <w:rPr>
          <w:rFonts w:ascii="Times New Roman" w:hAnsi="Times New Roman"/>
          <w:sz w:val="24"/>
          <w:szCs w:val="24"/>
        </w:rPr>
        <w:t xml:space="preserve">London Health Sciences Centre; </w:t>
      </w:r>
      <w:r w:rsidRPr="007E40FA">
        <w:rPr>
          <w:rFonts w:ascii="Times New Roman" w:hAnsi="Times New Roman"/>
          <w:sz w:val="24"/>
          <w:szCs w:val="24"/>
          <w:vertAlign w:val="superscript"/>
        </w:rPr>
        <w:t>2,</w:t>
      </w:r>
      <w:r w:rsidR="00273723" w:rsidRPr="007E40FA">
        <w:rPr>
          <w:rFonts w:ascii="Times New Roman" w:hAnsi="Times New Roman"/>
          <w:sz w:val="24"/>
          <w:szCs w:val="24"/>
          <w:vertAlign w:val="superscript"/>
        </w:rPr>
        <w:t>5</w:t>
      </w:r>
      <w:r w:rsidRPr="007E40FA">
        <w:rPr>
          <w:rFonts w:ascii="Times New Roman" w:hAnsi="Times New Roman"/>
          <w:sz w:val="24"/>
          <w:szCs w:val="24"/>
        </w:rPr>
        <w:t xml:space="preserve">Western University; </w:t>
      </w:r>
      <w:r w:rsidRPr="007E40FA">
        <w:rPr>
          <w:rFonts w:ascii="Times New Roman" w:hAnsi="Times New Roman"/>
          <w:sz w:val="24"/>
          <w:szCs w:val="24"/>
          <w:vertAlign w:val="superscript"/>
        </w:rPr>
        <w:t>4</w:t>
      </w:r>
      <w:r w:rsidRPr="007E40FA">
        <w:rPr>
          <w:rFonts w:ascii="Times New Roman" w:hAnsi="Times New Roman"/>
          <w:sz w:val="24"/>
          <w:szCs w:val="24"/>
        </w:rPr>
        <w:t>Lawson Health Research Institute</w:t>
      </w:r>
    </w:p>
    <w:p w:rsidR="00E63838" w:rsidRPr="007E40FA" w:rsidRDefault="00180583" w:rsidP="00E330A4">
      <w:pPr>
        <w:spacing w:after="0" w:line="240" w:lineRule="auto"/>
        <w:ind w:left="85" w:hanging="85"/>
        <w:rPr>
          <w:rFonts w:ascii="Times New Roman" w:hAnsi="Times New Roman"/>
          <w:sz w:val="24"/>
          <w:szCs w:val="24"/>
        </w:rPr>
      </w:pPr>
      <w:r w:rsidRPr="007E40FA">
        <w:rPr>
          <w:rFonts w:ascii="Times New Roman" w:hAnsi="Times New Roman"/>
          <w:sz w:val="24"/>
          <w:szCs w:val="24"/>
          <w:vertAlign w:val="superscript"/>
        </w:rPr>
        <w:t>1</w:t>
      </w:r>
      <w:proofErr w:type="gramStart"/>
      <w:r w:rsidRPr="007E40FA">
        <w:rPr>
          <w:rFonts w:ascii="Times New Roman" w:hAnsi="Times New Roman"/>
          <w:sz w:val="24"/>
          <w:szCs w:val="24"/>
          <w:vertAlign w:val="superscript"/>
        </w:rPr>
        <w:t>,2,4</w:t>
      </w:r>
      <w:r w:rsidR="00273723" w:rsidRPr="007E40FA">
        <w:rPr>
          <w:rFonts w:ascii="Times New Roman" w:hAnsi="Times New Roman"/>
          <w:sz w:val="24"/>
          <w:szCs w:val="24"/>
          <w:vertAlign w:val="superscript"/>
        </w:rPr>
        <w:t>,5</w:t>
      </w:r>
      <w:r w:rsidR="00E63838" w:rsidRPr="007E40FA">
        <w:rPr>
          <w:rFonts w:ascii="Times New Roman" w:hAnsi="Times New Roman"/>
          <w:sz w:val="24"/>
          <w:szCs w:val="24"/>
        </w:rPr>
        <w:t>London</w:t>
      </w:r>
      <w:proofErr w:type="gramEnd"/>
      <w:r w:rsidR="00E63838" w:rsidRPr="007E40FA">
        <w:rPr>
          <w:rFonts w:ascii="Times New Roman" w:hAnsi="Times New Roman"/>
          <w:sz w:val="24"/>
          <w:szCs w:val="24"/>
        </w:rPr>
        <w:t>, Canada</w:t>
      </w:r>
    </w:p>
    <w:p w:rsidR="00E63838" w:rsidRPr="007E40FA" w:rsidRDefault="00BF4927" w:rsidP="00E330A4">
      <w:pPr>
        <w:spacing w:after="0" w:line="240" w:lineRule="auto"/>
        <w:ind w:left="85" w:hanging="85"/>
        <w:rPr>
          <w:rFonts w:ascii="Times New Roman" w:hAnsi="Times New Roman"/>
          <w:sz w:val="24"/>
          <w:szCs w:val="24"/>
        </w:rPr>
      </w:pPr>
      <w:hyperlink r:id="rId12" w:history="1">
        <w:r w:rsidR="00E63838" w:rsidRPr="007E40FA">
          <w:rPr>
            <w:rStyle w:val="Hyperlink"/>
            <w:rFonts w:ascii="Times New Roman" w:hAnsi="Times New Roman"/>
            <w:color w:val="auto"/>
            <w:sz w:val="24"/>
            <w:szCs w:val="24"/>
          </w:rPr>
          <w:t>Alison.Allan@lhsc.on.ca</w:t>
        </w:r>
      </w:hyperlink>
    </w:p>
    <w:p w:rsidR="00B91C3C" w:rsidRPr="007E40FA" w:rsidRDefault="00B91C3C" w:rsidP="00E330A4">
      <w:pPr>
        <w:widowControl w:val="0"/>
        <w:spacing w:after="0" w:line="240" w:lineRule="auto"/>
        <w:rPr>
          <w:rFonts w:ascii="Times New Roman" w:hAnsi="Times New Roman"/>
          <w:sz w:val="24"/>
          <w:szCs w:val="24"/>
        </w:rPr>
      </w:pPr>
    </w:p>
    <w:p w:rsidR="00D372EA" w:rsidRPr="007E40FA" w:rsidRDefault="00D372EA" w:rsidP="00E330A4">
      <w:pPr>
        <w:widowControl w:val="0"/>
        <w:spacing w:after="0" w:line="240" w:lineRule="auto"/>
        <w:rPr>
          <w:rFonts w:ascii="Times New Roman" w:hAnsi="Times New Roman"/>
          <w:b/>
          <w:bCs/>
          <w:sz w:val="24"/>
          <w:szCs w:val="24"/>
        </w:rPr>
      </w:pPr>
    </w:p>
    <w:p w:rsidR="00180583" w:rsidRPr="007E40FA" w:rsidRDefault="00B35A92" w:rsidP="00E330A4">
      <w:pPr>
        <w:widowControl w:val="0"/>
        <w:spacing w:after="0" w:line="240" w:lineRule="auto"/>
        <w:rPr>
          <w:rFonts w:ascii="Times New Roman" w:hAnsi="Times New Roman"/>
          <w:b/>
          <w:sz w:val="24"/>
          <w:szCs w:val="24"/>
        </w:rPr>
      </w:pPr>
      <w:r w:rsidRPr="007E40FA">
        <w:rPr>
          <w:rFonts w:ascii="Times New Roman" w:hAnsi="Times New Roman"/>
          <w:b/>
          <w:sz w:val="24"/>
          <w:szCs w:val="24"/>
        </w:rPr>
        <w:t>*</w:t>
      </w:r>
      <w:r w:rsidR="0090301D" w:rsidRPr="007E40FA">
        <w:rPr>
          <w:rFonts w:ascii="Times New Roman" w:hAnsi="Times New Roman"/>
          <w:b/>
          <w:bCs/>
          <w:sz w:val="24"/>
          <w:szCs w:val="24"/>
        </w:rPr>
        <w:t>CORRESPONDING AUTHOR:</w:t>
      </w:r>
    </w:p>
    <w:p w:rsidR="00B91C3C" w:rsidRPr="007E40FA" w:rsidRDefault="00B91C3C" w:rsidP="00E330A4">
      <w:pPr>
        <w:spacing w:after="0" w:line="240" w:lineRule="auto"/>
        <w:ind w:left="187" w:hanging="187"/>
        <w:rPr>
          <w:rFonts w:ascii="Times New Roman" w:hAnsi="Times New Roman"/>
          <w:sz w:val="24"/>
          <w:szCs w:val="24"/>
          <w:lang w:val="fr-FR"/>
        </w:rPr>
      </w:pPr>
      <w:r w:rsidRPr="007E40FA">
        <w:rPr>
          <w:rFonts w:ascii="Times New Roman" w:hAnsi="Times New Roman"/>
          <w:sz w:val="24"/>
          <w:szCs w:val="24"/>
          <w:lang w:val="fr-FR"/>
        </w:rPr>
        <w:t xml:space="preserve">Alison L. Allan, </w:t>
      </w:r>
      <w:proofErr w:type="spellStart"/>
      <w:r w:rsidRPr="007E40FA">
        <w:rPr>
          <w:rFonts w:ascii="Times New Roman" w:hAnsi="Times New Roman"/>
          <w:sz w:val="24"/>
          <w:szCs w:val="24"/>
          <w:lang w:val="fr-FR"/>
        </w:rPr>
        <w:t>Ph.D</w:t>
      </w:r>
      <w:proofErr w:type="spellEnd"/>
      <w:r w:rsidRPr="007E40FA">
        <w:rPr>
          <w:rFonts w:ascii="Times New Roman" w:hAnsi="Times New Roman"/>
          <w:sz w:val="24"/>
          <w:szCs w:val="24"/>
          <w:lang w:val="fr-FR"/>
        </w:rPr>
        <w:t>.</w:t>
      </w:r>
    </w:p>
    <w:p w:rsidR="00B91C3C" w:rsidRPr="007E40FA" w:rsidRDefault="00B91C3C" w:rsidP="00E330A4">
      <w:pPr>
        <w:spacing w:after="0" w:line="240" w:lineRule="auto"/>
        <w:rPr>
          <w:rFonts w:ascii="Times New Roman" w:hAnsi="Times New Roman"/>
          <w:sz w:val="24"/>
          <w:szCs w:val="24"/>
        </w:rPr>
      </w:pPr>
      <w:r w:rsidRPr="007E40FA">
        <w:rPr>
          <w:rFonts w:ascii="Times New Roman" w:hAnsi="Times New Roman"/>
          <w:sz w:val="24"/>
          <w:szCs w:val="24"/>
        </w:rPr>
        <w:t>London Regional Cancer Program</w:t>
      </w:r>
    </w:p>
    <w:p w:rsidR="00B91C3C" w:rsidRPr="007E40FA" w:rsidRDefault="00B91C3C" w:rsidP="00E330A4">
      <w:pPr>
        <w:spacing w:after="0" w:line="240" w:lineRule="auto"/>
        <w:ind w:left="187" w:hanging="187"/>
        <w:rPr>
          <w:rFonts w:ascii="Times New Roman" w:hAnsi="Times New Roman"/>
          <w:sz w:val="24"/>
          <w:szCs w:val="24"/>
        </w:rPr>
      </w:pPr>
      <w:r w:rsidRPr="007E40FA">
        <w:rPr>
          <w:rFonts w:ascii="Times New Roman" w:hAnsi="Times New Roman"/>
          <w:sz w:val="24"/>
          <w:szCs w:val="24"/>
        </w:rPr>
        <w:t>790 Commissioners Road East</w:t>
      </w:r>
    </w:p>
    <w:p w:rsidR="00B91C3C" w:rsidRPr="007E40FA" w:rsidRDefault="00B91C3C" w:rsidP="00E330A4">
      <w:pPr>
        <w:spacing w:after="0" w:line="240" w:lineRule="auto"/>
        <w:ind w:left="187" w:hanging="187"/>
        <w:rPr>
          <w:rFonts w:ascii="Times New Roman" w:hAnsi="Times New Roman"/>
          <w:sz w:val="24"/>
          <w:szCs w:val="24"/>
          <w:lang w:val="it-IT"/>
        </w:rPr>
      </w:pPr>
      <w:r w:rsidRPr="007E40FA">
        <w:rPr>
          <w:rFonts w:ascii="Times New Roman" w:hAnsi="Times New Roman"/>
          <w:sz w:val="24"/>
          <w:szCs w:val="24"/>
          <w:lang w:val="it-IT"/>
        </w:rPr>
        <w:t>London, Ontario CANADA N6A 4L6</w:t>
      </w:r>
    </w:p>
    <w:p w:rsidR="00B91C3C" w:rsidRPr="007E40FA" w:rsidRDefault="00B91C3C" w:rsidP="00E330A4">
      <w:pPr>
        <w:spacing w:after="0" w:line="240" w:lineRule="auto"/>
        <w:ind w:left="187" w:hanging="187"/>
        <w:rPr>
          <w:rFonts w:ascii="Times New Roman" w:hAnsi="Times New Roman"/>
          <w:sz w:val="24"/>
          <w:szCs w:val="24"/>
          <w:lang w:val="it-IT"/>
        </w:rPr>
      </w:pPr>
      <w:r w:rsidRPr="007E40FA">
        <w:rPr>
          <w:rFonts w:ascii="Times New Roman" w:hAnsi="Times New Roman"/>
          <w:sz w:val="24"/>
          <w:szCs w:val="24"/>
          <w:lang w:val="it-IT"/>
        </w:rPr>
        <w:t>Tel: (519) 685-8600 x55134</w:t>
      </w:r>
    </w:p>
    <w:p w:rsidR="00B91C3C" w:rsidRPr="007E40FA" w:rsidRDefault="00B91C3C" w:rsidP="00E330A4">
      <w:pPr>
        <w:spacing w:after="0" w:line="240" w:lineRule="auto"/>
        <w:ind w:left="187" w:hanging="187"/>
        <w:rPr>
          <w:rFonts w:ascii="Times New Roman" w:hAnsi="Times New Roman"/>
          <w:sz w:val="24"/>
          <w:szCs w:val="24"/>
          <w:lang w:val="fr-FR"/>
        </w:rPr>
      </w:pPr>
      <w:r w:rsidRPr="007E40FA">
        <w:rPr>
          <w:rFonts w:ascii="Times New Roman" w:hAnsi="Times New Roman"/>
          <w:sz w:val="24"/>
          <w:szCs w:val="24"/>
          <w:lang w:val="fr-FR"/>
        </w:rPr>
        <w:t>Fax: (</w:t>
      </w:r>
      <w:r w:rsidRPr="007E40FA">
        <w:rPr>
          <w:rStyle w:val="apple-style-span"/>
          <w:rFonts w:ascii="Times New Roman" w:hAnsi="Times New Roman"/>
          <w:sz w:val="24"/>
          <w:szCs w:val="24"/>
          <w:shd w:val="clear" w:color="auto" w:fill="FFFFFF"/>
        </w:rPr>
        <w:t>519) 685-8616</w:t>
      </w:r>
    </w:p>
    <w:p w:rsidR="00B91C3C" w:rsidRPr="007E40FA" w:rsidRDefault="00B91C3C" w:rsidP="00E330A4">
      <w:pPr>
        <w:spacing w:after="0" w:line="240" w:lineRule="auto"/>
        <w:ind w:left="187" w:hanging="187"/>
        <w:rPr>
          <w:rStyle w:val="Hyperlink"/>
          <w:rFonts w:ascii="Times New Roman" w:hAnsi="Times New Roman"/>
          <w:color w:val="auto"/>
          <w:sz w:val="24"/>
          <w:szCs w:val="24"/>
        </w:rPr>
      </w:pPr>
      <w:r w:rsidRPr="007E40FA">
        <w:rPr>
          <w:rFonts w:ascii="Times New Roman" w:hAnsi="Times New Roman"/>
          <w:sz w:val="24"/>
          <w:szCs w:val="24"/>
          <w:lang w:val="fr-FR"/>
        </w:rPr>
        <w:t xml:space="preserve">Email: </w:t>
      </w:r>
      <w:hyperlink r:id="rId13" w:history="1">
        <w:r w:rsidR="00D04C9A" w:rsidRPr="007E40FA">
          <w:rPr>
            <w:rStyle w:val="Hyperlink"/>
            <w:rFonts w:ascii="Times New Roman" w:hAnsi="Times New Roman"/>
            <w:color w:val="auto"/>
            <w:sz w:val="24"/>
            <w:szCs w:val="24"/>
            <w:lang w:val="fr-FR"/>
          </w:rPr>
          <w:t>Alison.Allan@lhsc.on.ca</w:t>
        </w:r>
      </w:hyperlink>
    </w:p>
    <w:p w:rsidR="0090301D" w:rsidRPr="007E40FA" w:rsidRDefault="0090301D" w:rsidP="00BC43B2">
      <w:pPr>
        <w:spacing w:after="0" w:line="240" w:lineRule="auto"/>
        <w:jc w:val="both"/>
        <w:rPr>
          <w:rStyle w:val="apple-style-span"/>
          <w:rFonts w:ascii="Times New Roman" w:hAnsi="Times New Roman"/>
          <w:b/>
          <w:sz w:val="24"/>
          <w:szCs w:val="24"/>
          <w:highlight w:val="yellow"/>
        </w:rPr>
      </w:pPr>
    </w:p>
    <w:p w:rsidR="00BC43B2" w:rsidRPr="007E40FA" w:rsidRDefault="00BC43B2" w:rsidP="00BC43B2">
      <w:pPr>
        <w:spacing w:after="0" w:line="240" w:lineRule="auto"/>
        <w:jc w:val="both"/>
        <w:rPr>
          <w:rFonts w:ascii="Times New Roman" w:hAnsi="Times New Roman"/>
          <w:sz w:val="24"/>
          <w:szCs w:val="24"/>
        </w:rPr>
      </w:pPr>
    </w:p>
    <w:p w:rsidR="00180583" w:rsidRPr="007E40FA" w:rsidRDefault="0090301D" w:rsidP="00BC43B2">
      <w:pPr>
        <w:spacing w:after="0" w:line="240" w:lineRule="auto"/>
        <w:jc w:val="both"/>
        <w:rPr>
          <w:rFonts w:ascii="Times New Roman" w:hAnsi="Times New Roman"/>
          <w:sz w:val="24"/>
          <w:szCs w:val="24"/>
        </w:rPr>
      </w:pPr>
      <w:r w:rsidRPr="007E40FA">
        <w:rPr>
          <w:rFonts w:ascii="Times New Roman" w:hAnsi="Times New Roman"/>
          <w:b/>
          <w:sz w:val="24"/>
          <w:szCs w:val="24"/>
        </w:rPr>
        <w:t>KEYWORDS</w:t>
      </w:r>
      <w:r w:rsidR="00180583" w:rsidRPr="007E40FA">
        <w:rPr>
          <w:rFonts w:ascii="Times New Roman" w:hAnsi="Times New Roman"/>
          <w:b/>
          <w:sz w:val="24"/>
          <w:szCs w:val="24"/>
        </w:rPr>
        <w:t xml:space="preserve">: </w:t>
      </w:r>
      <w:r w:rsidR="000E16E4" w:rsidRPr="007E40FA">
        <w:rPr>
          <w:rFonts w:ascii="Times New Roman" w:hAnsi="Times New Roman"/>
          <w:sz w:val="24"/>
          <w:szCs w:val="24"/>
        </w:rPr>
        <w:t>cancer; metastasis; circulating tumor cells (CTCs);</w:t>
      </w:r>
      <w:r w:rsidR="00180583" w:rsidRPr="007E40FA">
        <w:rPr>
          <w:rFonts w:ascii="Times New Roman" w:hAnsi="Times New Roman"/>
          <w:sz w:val="24"/>
          <w:szCs w:val="24"/>
        </w:rPr>
        <w:t xml:space="preserve"> </w:t>
      </w:r>
      <w:proofErr w:type="spellStart"/>
      <w:r w:rsidR="00180583" w:rsidRPr="007E40FA">
        <w:rPr>
          <w:rFonts w:ascii="Times New Roman" w:hAnsi="Times New Roman"/>
          <w:sz w:val="24"/>
          <w:szCs w:val="24"/>
        </w:rPr>
        <w:t>CellSearch</w:t>
      </w:r>
      <w:proofErr w:type="spellEnd"/>
      <w:r w:rsidRPr="007E40FA">
        <w:rPr>
          <w:rFonts w:ascii="Times New Roman" w:hAnsi="Times New Roman"/>
          <w:sz w:val="24"/>
          <w:szCs w:val="24"/>
        </w:rPr>
        <w:t xml:space="preserve"> </w:t>
      </w:r>
      <w:r w:rsidR="000E16E4" w:rsidRPr="007E40FA">
        <w:rPr>
          <w:rFonts w:ascii="Times New Roman" w:hAnsi="Times New Roman"/>
          <w:sz w:val="24"/>
          <w:szCs w:val="24"/>
        </w:rPr>
        <w:t>system;</w:t>
      </w:r>
      <w:r w:rsidR="00180583" w:rsidRPr="007E40FA">
        <w:rPr>
          <w:rFonts w:ascii="Times New Roman" w:hAnsi="Times New Roman"/>
          <w:sz w:val="24"/>
          <w:szCs w:val="24"/>
        </w:rPr>
        <w:t xml:space="preserve"> </w:t>
      </w:r>
      <w:r w:rsidR="00770775" w:rsidRPr="007E40FA">
        <w:rPr>
          <w:rFonts w:ascii="Times New Roman" w:hAnsi="Times New Roman"/>
          <w:sz w:val="24"/>
          <w:szCs w:val="24"/>
        </w:rPr>
        <w:t xml:space="preserve">user defined marker </w:t>
      </w:r>
      <w:r w:rsidR="000E16E4" w:rsidRPr="007E40FA">
        <w:rPr>
          <w:rFonts w:ascii="Times New Roman" w:hAnsi="Times New Roman"/>
          <w:sz w:val="24"/>
          <w:szCs w:val="24"/>
        </w:rPr>
        <w:t>characterization;</w:t>
      </w:r>
      <w:r w:rsidR="00180583" w:rsidRPr="007E40FA">
        <w:rPr>
          <w:rFonts w:ascii="Times New Roman" w:hAnsi="Times New Roman"/>
          <w:sz w:val="24"/>
          <w:szCs w:val="24"/>
        </w:rPr>
        <w:t xml:space="preserve"> </w:t>
      </w:r>
      <w:r w:rsidR="00EF7FED" w:rsidRPr="007E40FA">
        <w:rPr>
          <w:rFonts w:ascii="Times New Roman" w:hAnsi="Times New Roman"/>
          <w:i/>
          <w:sz w:val="24"/>
          <w:szCs w:val="24"/>
        </w:rPr>
        <w:t>in vivo</w:t>
      </w:r>
      <w:r w:rsidR="000E16E4" w:rsidRPr="007E40FA">
        <w:rPr>
          <w:rFonts w:ascii="Times New Roman" w:hAnsi="Times New Roman"/>
          <w:sz w:val="24"/>
          <w:szCs w:val="24"/>
        </w:rPr>
        <w:t>;</w:t>
      </w:r>
      <w:r w:rsidR="00EF7FED" w:rsidRPr="007E40FA">
        <w:rPr>
          <w:rFonts w:ascii="Times New Roman" w:hAnsi="Times New Roman"/>
          <w:sz w:val="24"/>
          <w:szCs w:val="24"/>
        </w:rPr>
        <w:t xml:space="preserve"> </w:t>
      </w:r>
      <w:r w:rsidR="00770775" w:rsidRPr="007E40FA">
        <w:rPr>
          <w:rFonts w:ascii="Times New Roman" w:hAnsi="Times New Roman"/>
          <w:sz w:val="24"/>
          <w:szCs w:val="24"/>
        </w:rPr>
        <w:t xml:space="preserve">pre-clinical </w:t>
      </w:r>
      <w:r w:rsidR="00180583" w:rsidRPr="007E40FA">
        <w:rPr>
          <w:rFonts w:ascii="Times New Roman" w:hAnsi="Times New Roman"/>
          <w:sz w:val="24"/>
          <w:szCs w:val="24"/>
        </w:rPr>
        <w:t>mouse model</w:t>
      </w:r>
    </w:p>
    <w:p w:rsidR="00BC43B2" w:rsidRPr="007E40FA" w:rsidRDefault="00BC43B2" w:rsidP="00E330A4">
      <w:pPr>
        <w:autoSpaceDE w:val="0"/>
        <w:autoSpaceDN w:val="0"/>
        <w:adjustRightInd w:val="0"/>
        <w:spacing w:after="0" w:line="240" w:lineRule="auto"/>
        <w:jc w:val="both"/>
        <w:rPr>
          <w:rFonts w:ascii="Times New Roman" w:eastAsiaTheme="minorHAnsi" w:hAnsi="Times New Roman"/>
          <w:b/>
          <w:bCs/>
          <w:sz w:val="24"/>
          <w:szCs w:val="24"/>
        </w:rPr>
      </w:pPr>
    </w:p>
    <w:p w:rsidR="00770775" w:rsidRPr="007E40FA" w:rsidRDefault="00770775">
      <w:pPr>
        <w:rPr>
          <w:rFonts w:ascii="Times New Roman" w:eastAsiaTheme="minorHAnsi" w:hAnsi="Times New Roman"/>
          <w:b/>
          <w:bCs/>
          <w:sz w:val="24"/>
          <w:szCs w:val="24"/>
        </w:rPr>
      </w:pPr>
      <w:r w:rsidRPr="007E40FA">
        <w:rPr>
          <w:rFonts w:ascii="Times New Roman" w:eastAsiaTheme="minorHAnsi" w:hAnsi="Times New Roman"/>
          <w:b/>
          <w:bCs/>
          <w:sz w:val="24"/>
          <w:szCs w:val="24"/>
        </w:rPr>
        <w:br w:type="page"/>
      </w:r>
    </w:p>
    <w:p w:rsidR="006368B7" w:rsidRPr="007E40FA" w:rsidRDefault="0090301D" w:rsidP="00052FD7">
      <w:pPr>
        <w:autoSpaceDE w:val="0"/>
        <w:autoSpaceDN w:val="0"/>
        <w:adjustRightInd w:val="0"/>
        <w:spacing w:after="0" w:line="240" w:lineRule="auto"/>
        <w:jc w:val="both"/>
        <w:rPr>
          <w:rFonts w:ascii="Times New Roman" w:eastAsiaTheme="minorHAnsi" w:hAnsi="Times New Roman"/>
          <w:b/>
          <w:bCs/>
          <w:sz w:val="24"/>
          <w:szCs w:val="24"/>
        </w:rPr>
      </w:pPr>
      <w:r w:rsidRPr="007E40FA">
        <w:rPr>
          <w:rFonts w:ascii="Times New Roman" w:eastAsiaTheme="minorHAnsi" w:hAnsi="Times New Roman"/>
          <w:b/>
          <w:bCs/>
          <w:sz w:val="24"/>
          <w:szCs w:val="24"/>
        </w:rPr>
        <w:lastRenderedPageBreak/>
        <w:t>SHORT ABSTRACT</w:t>
      </w:r>
      <w:r w:rsidR="00180583" w:rsidRPr="007E40FA">
        <w:rPr>
          <w:rFonts w:ascii="Times New Roman" w:eastAsiaTheme="minorHAnsi" w:hAnsi="Times New Roman"/>
          <w:b/>
          <w:bCs/>
          <w:sz w:val="24"/>
          <w:szCs w:val="24"/>
        </w:rPr>
        <w:t>:</w:t>
      </w:r>
    </w:p>
    <w:p w:rsidR="00180583" w:rsidRPr="007E40FA" w:rsidRDefault="00180583">
      <w:pPr>
        <w:autoSpaceDE w:val="0"/>
        <w:autoSpaceDN w:val="0"/>
        <w:adjustRightInd w:val="0"/>
        <w:spacing w:after="0" w:line="240" w:lineRule="auto"/>
        <w:jc w:val="both"/>
        <w:rPr>
          <w:rFonts w:ascii="Times New Roman" w:eastAsiaTheme="minorHAnsi" w:hAnsi="Times New Roman"/>
          <w:b/>
          <w:bCs/>
          <w:sz w:val="24"/>
          <w:szCs w:val="24"/>
        </w:rPr>
      </w:pPr>
    </w:p>
    <w:p w:rsidR="00FB75F9" w:rsidRPr="007E40FA" w:rsidRDefault="00EF7FED">
      <w:pPr>
        <w:autoSpaceDE w:val="0"/>
        <w:autoSpaceDN w:val="0"/>
        <w:adjustRightInd w:val="0"/>
        <w:spacing w:after="0" w:line="240" w:lineRule="auto"/>
        <w:jc w:val="both"/>
        <w:rPr>
          <w:rFonts w:ascii="Times New Roman" w:eastAsiaTheme="minorHAnsi" w:hAnsi="Times New Roman"/>
          <w:sz w:val="24"/>
          <w:szCs w:val="24"/>
        </w:rPr>
      </w:pPr>
      <w:r w:rsidRPr="007E40FA">
        <w:rPr>
          <w:rFonts w:ascii="Times New Roman" w:eastAsiaTheme="minorHAnsi" w:hAnsi="Times New Roman"/>
          <w:sz w:val="24"/>
          <w:szCs w:val="24"/>
        </w:rPr>
        <w:t xml:space="preserve">Circulating tumor cells (CTCs) </w:t>
      </w:r>
      <w:r w:rsidR="00F57115" w:rsidRPr="007E40FA">
        <w:rPr>
          <w:rFonts w:ascii="Times New Roman" w:eastAsiaTheme="minorHAnsi" w:hAnsi="Times New Roman"/>
          <w:sz w:val="24"/>
          <w:szCs w:val="24"/>
        </w:rPr>
        <w:t>are</w:t>
      </w:r>
      <w:r w:rsidRPr="007E40FA">
        <w:rPr>
          <w:rFonts w:ascii="Times New Roman" w:eastAsiaTheme="minorHAnsi" w:hAnsi="Times New Roman"/>
          <w:sz w:val="24"/>
          <w:szCs w:val="24"/>
        </w:rPr>
        <w:t xml:space="preserve"> </w:t>
      </w:r>
      <w:r w:rsidR="000336C0" w:rsidRPr="007E40FA">
        <w:rPr>
          <w:rFonts w:ascii="Times New Roman" w:eastAsiaTheme="minorHAnsi" w:hAnsi="Times New Roman"/>
          <w:sz w:val="24"/>
          <w:szCs w:val="24"/>
        </w:rPr>
        <w:t>prognostic</w:t>
      </w:r>
      <w:r w:rsidRPr="007E40FA">
        <w:rPr>
          <w:rFonts w:ascii="Times New Roman" w:eastAsiaTheme="minorHAnsi" w:hAnsi="Times New Roman"/>
          <w:sz w:val="24"/>
          <w:szCs w:val="24"/>
        </w:rPr>
        <w:t xml:space="preserve"> in </w:t>
      </w:r>
      <w:r w:rsidR="00F57115" w:rsidRPr="007E40FA">
        <w:rPr>
          <w:rFonts w:ascii="Times New Roman" w:eastAsiaTheme="minorHAnsi" w:hAnsi="Times New Roman"/>
          <w:sz w:val="24"/>
          <w:szCs w:val="24"/>
        </w:rPr>
        <w:t>several</w:t>
      </w:r>
      <w:r w:rsidRPr="007E40FA">
        <w:rPr>
          <w:rFonts w:ascii="Times New Roman" w:eastAsiaTheme="minorHAnsi" w:hAnsi="Times New Roman"/>
          <w:sz w:val="24"/>
          <w:szCs w:val="24"/>
        </w:rPr>
        <w:t xml:space="preserve"> metastatic cancers. </w:t>
      </w:r>
      <w:r w:rsidR="00F57115" w:rsidRPr="007E40FA">
        <w:rPr>
          <w:rFonts w:ascii="Times New Roman" w:eastAsiaTheme="minorHAnsi" w:hAnsi="Times New Roman"/>
          <w:sz w:val="24"/>
          <w:szCs w:val="24"/>
        </w:rPr>
        <w:t>This manuscript</w:t>
      </w:r>
      <w:r w:rsidRPr="007E40FA">
        <w:rPr>
          <w:rFonts w:ascii="Times New Roman" w:eastAsiaTheme="minorHAnsi" w:hAnsi="Times New Roman"/>
          <w:sz w:val="24"/>
          <w:szCs w:val="24"/>
        </w:rPr>
        <w:t xml:space="preserve"> </w:t>
      </w:r>
      <w:r w:rsidR="00E7248A" w:rsidRPr="007E40FA">
        <w:rPr>
          <w:rFonts w:ascii="Times New Roman" w:eastAsiaTheme="minorHAnsi" w:hAnsi="Times New Roman"/>
          <w:sz w:val="24"/>
          <w:szCs w:val="24"/>
        </w:rPr>
        <w:t>describes</w:t>
      </w:r>
      <w:r w:rsidR="000336C0" w:rsidRPr="007E40FA">
        <w:rPr>
          <w:rFonts w:ascii="Times New Roman" w:eastAsiaTheme="minorHAnsi" w:hAnsi="Times New Roman"/>
          <w:sz w:val="24"/>
          <w:szCs w:val="24"/>
        </w:rPr>
        <w:t xml:space="preserve"> the gold standard</w:t>
      </w:r>
      <w:r w:rsidRPr="007E40FA">
        <w:rPr>
          <w:rFonts w:ascii="Times New Roman" w:eastAsiaTheme="minorHAnsi" w:hAnsi="Times New Roman"/>
          <w:sz w:val="24"/>
          <w:szCs w:val="24"/>
        </w:rPr>
        <w:t xml:space="preserve"> </w:t>
      </w:r>
      <w:proofErr w:type="spellStart"/>
      <w:r w:rsidR="00E7248A" w:rsidRPr="007E40FA">
        <w:rPr>
          <w:rFonts w:ascii="Times New Roman" w:eastAsiaTheme="minorHAnsi" w:hAnsi="Times New Roman"/>
          <w:sz w:val="24"/>
          <w:szCs w:val="24"/>
        </w:rPr>
        <w:t>CellSearch</w:t>
      </w:r>
      <w:proofErr w:type="spellEnd"/>
      <w:r w:rsidR="004C0272" w:rsidRPr="007E40FA">
        <w:rPr>
          <w:rFonts w:ascii="Times New Roman" w:eastAsiaTheme="minorHAnsi" w:hAnsi="Times New Roman"/>
          <w:sz w:val="24"/>
          <w:szCs w:val="24"/>
        </w:rPr>
        <w:t xml:space="preserve"> system (CSS)</w:t>
      </w:r>
      <w:r w:rsidR="00E7248A" w:rsidRPr="007E40FA">
        <w:rPr>
          <w:rFonts w:ascii="Times New Roman" w:eastAsiaTheme="minorHAnsi" w:hAnsi="Times New Roman"/>
          <w:sz w:val="24"/>
          <w:szCs w:val="24"/>
        </w:rPr>
        <w:t xml:space="preserve"> </w:t>
      </w:r>
      <w:r w:rsidR="000336C0" w:rsidRPr="007E40FA">
        <w:rPr>
          <w:rFonts w:ascii="Times New Roman" w:eastAsiaTheme="minorHAnsi" w:hAnsi="Times New Roman"/>
          <w:sz w:val="24"/>
          <w:szCs w:val="24"/>
        </w:rPr>
        <w:t>CTC enumeration platform</w:t>
      </w:r>
      <w:r w:rsidR="00E7248A" w:rsidRPr="007E40FA">
        <w:rPr>
          <w:rFonts w:ascii="Times New Roman" w:eastAsiaTheme="minorHAnsi" w:hAnsi="Times New Roman"/>
          <w:sz w:val="24"/>
          <w:szCs w:val="24"/>
        </w:rPr>
        <w:t xml:space="preserve"> </w:t>
      </w:r>
      <w:r w:rsidRPr="007E40FA">
        <w:rPr>
          <w:rFonts w:ascii="Times New Roman" w:eastAsiaTheme="minorHAnsi" w:hAnsi="Times New Roman"/>
          <w:sz w:val="24"/>
          <w:szCs w:val="24"/>
        </w:rPr>
        <w:t xml:space="preserve">and </w:t>
      </w:r>
      <w:r w:rsidR="00F57115" w:rsidRPr="007E40FA">
        <w:rPr>
          <w:rFonts w:ascii="Times New Roman" w:eastAsiaTheme="minorHAnsi" w:hAnsi="Times New Roman"/>
          <w:sz w:val="24"/>
          <w:szCs w:val="24"/>
        </w:rPr>
        <w:t xml:space="preserve">highlights common </w:t>
      </w:r>
      <w:r w:rsidR="000336C0" w:rsidRPr="007E40FA">
        <w:rPr>
          <w:rFonts w:ascii="Times New Roman" w:eastAsiaTheme="minorHAnsi" w:hAnsi="Times New Roman"/>
          <w:sz w:val="24"/>
          <w:szCs w:val="24"/>
        </w:rPr>
        <w:t>mis</w:t>
      </w:r>
      <w:r w:rsidR="00F57115" w:rsidRPr="007E40FA">
        <w:rPr>
          <w:rFonts w:ascii="Times New Roman" w:eastAsiaTheme="minorHAnsi" w:hAnsi="Times New Roman"/>
          <w:sz w:val="24"/>
          <w:szCs w:val="24"/>
        </w:rPr>
        <w:t xml:space="preserve">classification errors. </w:t>
      </w:r>
      <w:r w:rsidR="000336C0" w:rsidRPr="007E40FA">
        <w:rPr>
          <w:rFonts w:ascii="Times New Roman" w:eastAsiaTheme="minorHAnsi" w:hAnsi="Times New Roman"/>
          <w:sz w:val="24"/>
          <w:szCs w:val="24"/>
        </w:rPr>
        <w:t>In addition</w:t>
      </w:r>
      <w:r w:rsidR="00F57115" w:rsidRPr="007E40FA">
        <w:rPr>
          <w:rFonts w:ascii="Times New Roman" w:eastAsiaTheme="minorHAnsi" w:hAnsi="Times New Roman"/>
          <w:sz w:val="24"/>
          <w:szCs w:val="24"/>
        </w:rPr>
        <w:t>, 2 adapted protocols</w:t>
      </w:r>
      <w:r w:rsidR="00074403" w:rsidRPr="007E40FA">
        <w:rPr>
          <w:rFonts w:ascii="Times New Roman" w:eastAsiaTheme="minorHAnsi" w:hAnsi="Times New Roman"/>
          <w:sz w:val="24"/>
          <w:szCs w:val="24"/>
        </w:rPr>
        <w:t xml:space="preserve"> are described</w:t>
      </w:r>
      <w:r w:rsidR="00F57115" w:rsidRPr="007E40FA">
        <w:rPr>
          <w:rFonts w:ascii="Times New Roman" w:eastAsiaTheme="minorHAnsi" w:hAnsi="Times New Roman"/>
          <w:sz w:val="24"/>
          <w:szCs w:val="24"/>
        </w:rPr>
        <w:t xml:space="preserve"> for</w:t>
      </w:r>
      <w:r w:rsidR="00E7248A" w:rsidRPr="007E40FA">
        <w:rPr>
          <w:rFonts w:ascii="Times New Roman" w:eastAsiaTheme="minorHAnsi" w:hAnsi="Times New Roman"/>
          <w:sz w:val="24"/>
          <w:szCs w:val="24"/>
        </w:rPr>
        <w:t xml:space="preserve"> user-defined marker</w:t>
      </w:r>
      <w:r w:rsidR="00F57115" w:rsidRPr="007E40FA">
        <w:rPr>
          <w:rFonts w:ascii="Times New Roman" w:eastAsiaTheme="minorHAnsi" w:hAnsi="Times New Roman"/>
          <w:sz w:val="24"/>
          <w:szCs w:val="24"/>
        </w:rPr>
        <w:t xml:space="preserve"> characterization of CTCs and CTC enumeration in </w:t>
      </w:r>
      <w:r w:rsidR="00E7248A" w:rsidRPr="007E40FA">
        <w:rPr>
          <w:rFonts w:ascii="Times New Roman" w:eastAsiaTheme="minorHAnsi" w:hAnsi="Times New Roman"/>
          <w:sz w:val="24"/>
          <w:szCs w:val="24"/>
        </w:rPr>
        <w:t xml:space="preserve">pre-clinical </w:t>
      </w:r>
      <w:r w:rsidR="00F57115" w:rsidRPr="007E40FA">
        <w:rPr>
          <w:rFonts w:ascii="Times New Roman" w:eastAsiaTheme="minorHAnsi" w:hAnsi="Times New Roman"/>
          <w:sz w:val="24"/>
          <w:szCs w:val="24"/>
        </w:rPr>
        <w:t>mouse models</w:t>
      </w:r>
      <w:r w:rsidR="00E7248A" w:rsidRPr="007E40FA">
        <w:rPr>
          <w:rFonts w:ascii="Times New Roman" w:eastAsiaTheme="minorHAnsi" w:hAnsi="Times New Roman"/>
          <w:sz w:val="24"/>
          <w:szCs w:val="24"/>
        </w:rPr>
        <w:t xml:space="preserve"> of metastasis</w:t>
      </w:r>
      <w:r w:rsidR="00F57115" w:rsidRPr="007E40FA">
        <w:rPr>
          <w:rFonts w:ascii="Times New Roman" w:eastAsiaTheme="minorHAnsi" w:hAnsi="Times New Roman"/>
          <w:sz w:val="24"/>
          <w:szCs w:val="24"/>
        </w:rPr>
        <w:t xml:space="preserve"> using this </w:t>
      </w:r>
      <w:r w:rsidR="000336C0" w:rsidRPr="007E40FA">
        <w:rPr>
          <w:rFonts w:ascii="Times New Roman" w:eastAsiaTheme="minorHAnsi" w:hAnsi="Times New Roman"/>
          <w:sz w:val="24"/>
          <w:szCs w:val="24"/>
        </w:rPr>
        <w:t>technology</w:t>
      </w:r>
      <w:r w:rsidR="00F57115" w:rsidRPr="007E40FA">
        <w:rPr>
          <w:rFonts w:ascii="Times New Roman" w:eastAsiaTheme="minorHAnsi" w:hAnsi="Times New Roman"/>
          <w:sz w:val="24"/>
          <w:szCs w:val="24"/>
        </w:rPr>
        <w:t xml:space="preserve">.  </w:t>
      </w:r>
    </w:p>
    <w:p w:rsidR="006368B7" w:rsidRPr="007E40FA" w:rsidRDefault="006368B7">
      <w:pPr>
        <w:rPr>
          <w:rFonts w:ascii="Times New Roman" w:eastAsiaTheme="minorHAnsi" w:hAnsi="Times New Roman"/>
          <w:sz w:val="24"/>
          <w:szCs w:val="24"/>
        </w:rPr>
      </w:pPr>
      <w:r w:rsidRPr="007E40FA">
        <w:rPr>
          <w:rFonts w:ascii="Times New Roman" w:eastAsiaTheme="minorHAnsi" w:hAnsi="Times New Roman"/>
          <w:sz w:val="24"/>
          <w:szCs w:val="24"/>
        </w:rPr>
        <w:br w:type="page"/>
      </w:r>
    </w:p>
    <w:p w:rsidR="006368B7" w:rsidRPr="007E40FA" w:rsidRDefault="0090301D" w:rsidP="00052FD7">
      <w:pPr>
        <w:autoSpaceDE w:val="0"/>
        <w:autoSpaceDN w:val="0"/>
        <w:adjustRightInd w:val="0"/>
        <w:spacing w:after="0" w:line="240" w:lineRule="auto"/>
        <w:jc w:val="both"/>
        <w:rPr>
          <w:rFonts w:ascii="Times New Roman" w:eastAsiaTheme="minorHAnsi" w:hAnsi="Times New Roman"/>
          <w:b/>
          <w:bCs/>
          <w:sz w:val="24"/>
          <w:szCs w:val="24"/>
        </w:rPr>
      </w:pPr>
      <w:r w:rsidRPr="007E40FA">
        <w:rPr>
          <w:rFonts w:ascii="Times New Roman" w:eastAsiaTheme="minorHAnsi" w:hAnsi="Times New Roman"/>
          <w:b/>
          <w:bCs/>
          <w:sz w:val="24"/>
          <w:szCs w:val="24"/>
        </w:rPr>
        <w:lastRenderedPageBreak/>
        <w:t>LONG ABSTRACT</w:t>
      </w:r>
      <w:r w:rsidR="00180583" w:rsidRPr="007E40FA">
        <w:rPr>
          <w:rFonts w:ascii="Times New Roman" w:eastAsiaTheme="minorHAnsi" w:hAnsi="Times New Roman"/>
          <w:b/>
          <w:bCs/>
          <w:sz w:val="24"/>
          <w:szCs w:val="24"/>
        </w:rPr>
        <w:t xml:space="preserve">: </w:t>
      </w:r>
    </w:p>
    <w:p w:rsidR="000668F2" w:rsidRPr="007E40FA" w:rsidRDefault="000668F2">
      <w:pPr>
        <w:autoSpaceDE w:val="0"/>
        <w:autoSpaceDN w:val="0"/>
        <w:adjustRightInd w:val="0"/>
        <w:spacing w:after="0" w:line="240" w:lineRule="auto"/>
        <w:jc w:val="both"/>
        <w:rPr>
          <w:rFonts w:ascii="Times New Roman" w:eastAsiaTheme="minorHAnsi" w:hAnsi="Times New Roman"/>
          <w:i/>
          <w:iCs/>
          <w:sz w:val="24"/>
          <w:szCs w:val="24"/>
        </w:rPr>
      </w:pPr>
    </w:p>
    <w:p w:rsidR="000336C0" w:rsidRPr="007E40FA" w:rsidRDefault="002957A6">
      <w:pPr>
        <w:autoSpaceDE w:val="0"/>
        <w:autoSpaceDN w:val="0"/>
        <w:adjustRightInd w:val="0"/>
        <w:spacing w:after="0" w:line="240" w:lineRule="auto"/>
        <w:jc w:val="both"/>
        <w:rPr>
          <w:rFonts w:ascii="Times New Roman" w:eastAsiaTheme="minorHAnsi" w:hAnsi="Times New Roman"/>
          <w:sz w:val="24"/>
          <w:szCs w:val="24"/>
        </w:rPr>
      </w:pPr>
      <w:r w:rsidRPr="007E40FA">
        <w:rPr>
          <w:rFonts w:ascii="Times New Roman" w:hAnsi="Times New Roman"/>
          <w:sz w:val="24"/>
          <w:szCs w:val="24"/>
        </w:rPr>
        <w:t xml:space="preserve">The majority of cancer-related deaths </w:t>
      </w:r>
      <w:r w:rsidR="0020665C" w:rsidRPr="007E40FA">
        <w:rPr>
          <w:rFonts w:ascii="Times New Roman" w:hAnsi="Times New Roman"/>
          <w:sz w:val="24"/>
          <w:szCs w:val="24"/>
        </w:rPr>
        <w:t>occur</w:t>
      </w:r>
      <w:r w:rsidRPr="007E40FA">
        <w:rPr>
          <w:rFonts w:ascii="Times New Roman" w:hAnsi="Times New Roman"/>
          <w:sz w:val="24"/>
          <w:szCs w:val="24"/>
        </w:rPr>
        <w:t xml:space="preserve"> subsequent to the development of metastatic disease. This highly lethal disease stage </w:t>
      </w:r>
      <w:r w:rsidR="004424F5" w:rsidRPr="007E40FA">
        <w:rPr>
          <w:rFonts w:ascii="Times New Roman" w:hAnsi="Times New Roman"/>
          <w:sz w:val="24"/>
          <w:szCs w:val="24"/>
        </w:rPr>
        <w:t>is</w:t>
      </w:r>
      <w:r w:rsidRPr="007E40FA">
        <w:rPr>
          <w:rFonts w:ascii="Times New Roman" w:hAnsi="Times New Roman"/>
          <w:sz w:val="24"/>
          <w:szCs w:val="24"/>
        </w:rPr>
        <w:t xml:space="preserve"> associated with the presence of circulating tumor cells (CTCs).</w:t>
      </w:r>
      <w:r w:rsidR="004424F5" w:rsidRPr="007E40FA">
        <w:rPr>
          <w:rFonts w:ascii="Times New Roman" w:hAnsi="Times New Roman"/>
          <w:sz w:val="24"/>
          <w:szCs w:val="24"/>
        </w:rPr>
        <w:t xml:space="preserve"> These rare cells have been demonstrated to be of clinical significance in metastatic breast, prostate, and colorectal cancers. The current gold standard in </w:t>
      </w:r>
      <w:r w:rsidR="00933B35" w:rsidRPr="007E40FA">
        <w:rPr>
          <w:rFonts w:ascii="Times New Roman" w:hAnsi="Times New Roman"/>
          <w:sz w:val="24"/>
          <w:szCs w:val="24"/>
        </w:rPr>
        <w:t xml:space="preserve">clinical </w:t>
      </w:r>
      <w:r w:rsidR="004424F5" w:rsidRPr="007E40FA">
        <w:rPr>
          <w:rFonts w:ascii="Times New Roman" w:hAnsi="Times New Roman"/>
          <w:sz w:val="24"/>
          <w:szCs w:val="24"/>
        </w:rPr>
        <w:t>CTC detection and enumeration is the FDA</w:t>
      </w:r>
      <w:r w:rsidR="00293670" w:rsidRPr="007E40FA">
        <w:rPr>
          <w:rFonts w:ascii="Times New Roman" w:hAnsi="Times New Roman"/>
          <w:sz w:val="24"/>
          <w:szCs w:val="24"/>
        </w:rPr>
        <w:t>-</w:t>
      </w:r>
      <w:r w:rsidR="004424F5" w:rsidRPr="007E40FA">
        <w:rPr>
          <w:rFonts w:ascii="Times New Roman" w:hAnsi="Times New Roman"/>
          <w:sz w:val="24"/>
          <w:szCs w:val="24"/>
        </w:rPr>
        <w:t xml:space="preserve">cleared </w:t>
      </w:r>
      <w:proofErr w:type="spellStart"/>
      <w:r w:rsidR="004424F5" w:rsidRPr="007E40FA">
        <w:rPr>
          <w:rFonts w:ascii="Times New Roman" w:hAnsi="Times New Roman"/>
          <w:sz w:val="24"/>
          <w:szCs w:val="24"/>
        </w:rPr>
        <w:t>CellSearch</w:t>
      </w:r>
      <w:proofErr w:type="spellEnd"/>
      <w:r w:rsidR="004424F5" w:rsidRPr="007E40FA">
        <w:rPr>
          <w:rFonts w:ascii="Times New Roman" w:hAnsi="Times New Roman"/>
          <w:sz w:val="24"/>
          <w:szCs w:val="24"/>
        </w:rPr>
        <w:t xml:space="preserve"> system</w:t>
      </w:r>
      <w:r w:rsidR="004C0272" w:rsidRPr="007E40FA">
        <w:rPr>
          <w:rFonts w:ascii="Times New Roman" w:hAnsi="Times New Roman"/>
          <w:sz w:val="24"/>
          <w:szCs w:val="24"/>
        </w:rPr>
        <w:t xml:space="preserve"> (CSS)</w:t>
      </w:r>
      <w:r w:rsidR="004424F5" w:rsidRPr="007E40FA">
        <w:rPr>
          <w:rFonts w:ascii="Times New Roman" w:hAnsi="Times New Roman"/>
          <w:sz w:val="24"/>
          <w:szCs w:val="24"/>
        </w:rPr>
        <w:t>.</w:t>
      </w:r>
      <w:r w:rsidRPr="007E40FA">
        <w:rPr>
          <w:rFonts w:ascii="Times New Roman" w:hAnsi="Times New Roman"/>
          <w:sz w:val="24"/>
          <w:szCs w:val="24"/>
        </w:rPr>
        <w:t xml:space="preserve"> </w:t>
      </w:r>
      <w:r w:rsidR="004424F5" w:rsidRPr="007E40FA">
        <w:rPr>
          <w:rFonts w:ascii="Times New Roman" w:hAnsi="Times New Roman"/>
          <w:sz w:val="24"/>
          <w:szCs w:val="24"/>
        </w:rPr>
        <w:t>This manuscript outlines the standard protocol utilized by this p</w:t>
      </w:r>
      <w:r w:rsidR="00BC43B2" w:rsidRPr="007E40FA">
        <w:rPr>
          <w:rFonts w:ascii="Times New Roman" w:hAnsi="Times New Roman"/>
          <w:sz w:val="24"/>
          <w:szCs w:val="24"/>
        </w:rPr>
        <w:t xml:space="preserve">latform as well as 2 </w:t>
      </w:r>
      <w:r w:rsidR="0090301D" w:rsidRPr="007E40FA">
        <w:rPr>
          <w:rFonts w:ascii="Times New Roman" w:hAnsi="Times New Roman"/>
          <w:sz w:val="24"/>
          <w:szCs w:val="24"/>
        </w:rPr>
        <w:t xml:space="preserve">additional </w:t>
      </w:r>
      <w:r w:rsidR="00BC43B2" w:rsidRPr="007E40FA">
        <w:rPr>
          <w:rFonts w:ascii="Times New Roman" w:hAnsi="Times New Roman"/>
          <w:sz w:val="24"/>
          <w:szCs w:val="24"/>
        </w:rPr>
        <w:t xml:space="preserve">adapted protocols that </w:t>
      </w:r>
      <w:r w:rsidR="00E64FE0" w:rsidRPr="007E40FA">
        <w:rPr>
          <w:rFonts w:ascii="Times New Roman" w:hAnsi="Times New Roman"/>
          <w:sz w:val="24"/>
          <w:szCs w:val="24"/>
        </w:rPr>
        <w:t xml:space="preserve">describe the detailed process of user-defined marker optimization for </w:t>
      </w:r>
      <w:r w:rsidR="0090301D" w:rsidRPr="007E40FA">
        <w:rPr>
          <w:rFonts w:ascii="Times New Roman" w:hAnsi="Times New Roman"/>
          <w:sz w:val="24"/>
          <w:szCs w:val="24"/>
        </w:rPr>
        <w:t>protein</w:t>
      </w:r>
      <w:r w:rsidR="00BC43B2" w:rsidRPr="007E40FA">
        <w:rPr>
          <w:rFonts w:ascii="Times New Roman" w:hAnsi="Times New Roman"/>
          <w:sz w:val="24"/>
          <w:szCs w:val="24"/>
        </w:rPr>
        <w:t xml:space="preserve"> characterization of </w:t>
      </w:r>
      <w:r w:rsidR="00293670" w:rsidRPr="007E40FA">
        <w:rPr>
          <w:rFonts w:ascii="Times New Roman" w:hAnsi="Times New Roman"/>
          <w:sz w:val="24"/>
          <w:szCs w:val="24"/>
        </w:rPr>
        <w:t xml:space="preserve">patient </w:t>
      </w:r>
      <w:r w:rsidR="00BC43B2" w:rsidRPr="007E40FA">
        <w:rPr>
          <w:rFonts w:ascii="Times New Roman" w:hAnsi="Times New Roman"/>
          <w:sz w:val="24"/>
          <w:szCs w:val="24"/>
        </w:rPr>
        <w:t>CTCs</w:t>
      </w:r>
      <w:r w:rsidR="00E64FE0" w:rsidRPr="007E40FA">
        <w:rPr>
          <w:rFonts w:ascii="Times New Roman" w:hAnsi="Times New Roman"/>
          <w:sz w:val="24"/>
          <w:szCs w:val="24"/>
        </w:rPr>
        <w:t xml:space="preserve"> </w:t>
      </w:r>
      <w:r w:rsidR="00BC43B2" w:rsidRPr="007E40FA">
        <w:rPr>
          <w:rFonts w:ascii="Times New Roman" w:hAnsi="Times New Roman"/>
          <w:sz w:val="24"/>
          <w:szCs w:val="24"/>
        </w:rPr>
        <w:t>and a comparable protocol for CTC capture</w:t>
      </w:r>
      <w:r w:rsidR="0090301D" w:rsidRPr="007E40FA">
        <w:rPr>
          <w:rFonts w:ascii="Times New Roman" w:hAnsi="Times New Roman"/>
          <w:sz w:val="24"/>
          <w:szCs w:val="24"/>
        </w:rPr>
        <w:t xml:space="preserve"> in very low volumes of blood, using standard </w:t>
      </w:r>
      <w:r w:rsidR="004C0272" w:rsidRPr="007E40FA">
        <w:rPr>
          <w:rFonts w:ascii="Times New Roman" w:hAnsi="Times New Roman"/>
          <w:sz w:val="24"/>
          <w:szCs w:val="24"/>
        </w:rPr>
        <w:t xml:space="preserve">CSS </w:t>
      </w:r>
      <w:r w:rsidR="0090301D" w:rsidRPr="007E40FA">
        <w:rPr>
          <w:rFonts w:ascii="Times New Roman" w:hAnsi="Times New Roman"/>
          <w:sz w:val="24"/>
          <w:szCs w:val="24"/>
        </w:rPr>
        <w:t>reagents,</w:t>
      </w:r>
      <w:r w:rsidR="00BC43B2" w:rsidRPr="007E40FA">
        <w:rPr>
          <w:rFonts w:ascii="Times New Roman" w:hAnsi="Times New Roman"/>
          <w:sz w:val="24"/>
          <w:szCs w:val="24"/>
        </w:rPr>
        <w:t xml:space="preserve"> </w:t>
      </w:r>
      <w:r w:rsidR="0090301D" w:rsidRPr="007E40FA">
        <w:rPr>
          <w:rFonts w:ascii="Times New Roman" w:hAnsi="Times New Roman"/>
          <w:sz w:val="24"/>
          <w:szCs w:val="24"/>
        </w:rPr>
        <w:t>for studying</w:t>
      </w:r>
      <w:r w:rsidR="00BC43B2" w:rsidRPr="007E40FA">
        <w:rPr>
          <w:rFonts w:ascii="Times New Roman" w:hAnsi="Times New Roman"/>
          <w:sz w:val="24"/>
          <w:szCs w:val="24"/>
        </w:rPr>
        <w:t xml:space="preserve"> </w:t>
      </w:r>
      <w:r w:rsidR="00BC43B2" w:rsidRPr="007E40FA">
        <w:rPr>
          <w:rFonts w:ascii="Times New Roman" w:hAnsi="Times New Roman"/>
          <w:i/>
          <w:sz w:val="24"/>
          <w:szCs w:val="24"/>
        </w:rPr>
        <w:t>in vivo</w:t>
      </w:r>
      <w:r w:rsidR="00BC43B2" w:rsidRPr="007E40FA">
        <w:rPr>
          <w:rFonts w:ascii="Times New Roman" w:hAnsi="Times New Roman"/>
          <w:sz w:val="24"/>
          <w:szCs w:val="24"/>
        </w:rPr>
        <w:t xml:space="preserve"> </w:t>
      </w:r>
      <w:r w:rsidR="00293670" w:rsidRPr="007E40FA">
        <w:rPr>
          <w:rFonts w:ascii="Times New Roman" w:hAnsi="Times New Roman"/>
          <w:sz w:val="24"/>
          <w:szCs w:val="24"/>
        </w:rPr>
        <w:t xml:space="preserve">pre-clinical </w:t>
      </w:r>
      <w:r w:rsidR="00BC43B2" w:rsidRPr="007E40FA">
        <w:rPr>
          <w:rFonts w:ascii="Times New Roman" w:hAnsi="Times New Roman"/>
          <w:sz w:val="24"/>
          <w:szCs w:val="24"/>
        </w:rPr>
        <w:t>mouse model</w:t>
      </w:r>
      <w:r w:rsidR="00293670" w:rsidRPr="007E40FA">
        <w:rPr>
          <w:rFonts w:ascii="Times New Roman" w:hAnsi="Times New Roman"/>
          <w:sz w:val="24"/>
          <w:szCs w:val="24"/>
        </w:rPr>
        <w:t>s</w:t>
      </w:r>
      <w:r w:rsidR="00BC43B2" w:rsidRPr="007E40FA">
        <w:rPr>
          <w:rFonts w:ascii="Times New Roman" w:hAnsi="Times New Roman"/>
          <w:sz w:val="24"/>
          <w:szCs w:val="24"/>
        </w:rPr>
        <w:t xml:space="preserve"> of metastasis. In addition, </w:t>
      </w:r>
      <w:r w:rsidR="004424F5" w:rsidRPr="007E40FA">
        <w:rPr>
          <w:rFonts w:ascii="Times New Roman" w:hAnsi="Times New Roman"/>
          <w:sz w:val="24"/>
          <w:szCs w:val="24"/>
        </w:rPr>
        <w:t>differences in CTC quality</w:t>
      </w:r>
      <w:r w:rsidR="00074403" w:rsidRPr="007E40FA">
        <w:rPr>
          <w:rFonts w:ascii="Times New Roman" w:hAnsi="Times New Roman"/>
          <w:sz w:val="24"/>
          <w:szCs w:val="24"/>
        </w:rPr>
        <w:t xml:space="preserve"> between healthy donor </w:t>
      </w:r>
      <w:proofErr w:type="gramStart"/>
      <w:r w:rsidR="00074403" w:rsidRPr="007E40FA">
        <w:rPr>
          <w:rFonts w:ascii="Times New Roman" w:hAnsi="Times New Roman"/>
          <w:sz w:val="24"/>
          <w:szCs w:val="24"/>
        </w:rPr>
        <w:t>blood</w:t>
      </w:r>
      <w:proofErr w:type="gramEnd"/>
      <w:r w:rsidR="00074403" w:rsidRPr="007E40FA">
        <w:rPr>
          <w:rFonts w:ascii="Times New Roman" w:hAnsi="Times New Roman"/>
          <w:sz w:val="24"/>
          <w:szCs w:val="24"/>
        </w:rPr>
        <w:t xml:space="preserve"> spiked with cells from tissue culture versus patient blood samples</w:t>
      </w:r>
      <w:r w:rsidR="004424F5" w:rsidRPr="007E40FA">
        <w:rPr>
          <w:rFonts w:ascii="Times New Roman" w:hAnsi="Times New Roman"/>
          <w:sz w:val="24"/>
          <w:szCs w:val="24"/>
        </w:rPr>
        <w:t xml:space="preserve"> </w:t>
      </w:r>
      <w:r w:rsidR="00074403" w:rsidRPr="007E40FA">
        <w:rPr>
          <w:rFonts w:ascii="Times New Roman" w:hAnsi="Times New Roman"/>
          <w:sz w:val="24"/>
          <w:szCs w:val="24"/>
        </w:rPr>
        <w:t>are highlighted</w:t>
      </w:r>
      <w:r w:rsidR="0090301D" w:rsidRPr="007E40FA">
        <w:rPr>
          <w:rFonts w:ascii="Times New Roman" w:hAnsi="Times New Roman"/>
          <w:sz w:val="24"/>
          <w:szCs w:val="24"/>
        </w:rPr>
        <w:t>. Finally</w:t>
      </w:r>
      <w:r w:rsidR="00293670" w:rsidRPr="007E40FA">
        <w:rPr>
          <w:rFonts w:ascii="Times New Roman" w:hAnsi="Times New Roman"/>
          <w:sz w:val="24"/>
          <w:szCs w:val="24"/>
        </w:rPr>
        <w:t xml:space="preserve">, </w:t>
      </w:r>
      <w:r w:rsidR="00074403" w:rsidRPr="007E40FA">
        <w:rPr>
          <w:rFonts w:ascii="Times New Roman" w:hAnsi="Times New Roman"/>
          <w:sz w:val="24"/>
          <w:szCs w:val="24"/>
        </w:rPr>
        <w:t>several</w:t>
      </w:r>
      <w:r w:rsidR="004424F5" w:rsidRPr="007E40FA">
        <w:rPr>
          <w:rFonts w:ascii="Times New Roman" w:hAnsi="Times New Roman"/>
          <w:sz w:val="24"/>
          <w:szCs w:val="24"/>
        </w:rPr>
        <w:t xml:space="preserve"> commonly discrepant items that can lead to CTC misclassification errors</w:t>
      </w:r>
      <w:r w:rsidR="00074403" w:rsidRPr="007E40FA">
        <w:rPr>
          <w:rFonts w:ascii="Times New Roman" w:hAnsi="Times New Roman"/>
          <w:sz w:val="24"/>
          <w:szCs w:val="24"/>
        </w:rPr>
        <w:t xml:space="preserve"> are outlined</w:t>
      </w:r>
      <w:r w:rsidR="004424F5" w:rsidRPr="007E40FA">
        <w:rPr>
          <w:rFonts w:ascii="Times New Roman" w:hAnsi="Times New Roman"/>
          <w:sz w:val="24"/>
          <w:szCs w:val="24"/>
        </w:rPr>
        <w:t xml:space="preserve">. </w:t>
      </w:r>
      <w:r w:rsidR="0020665C" w:rsidRPr="007E40FA">
        <w:rPr>
          <w:rFonts w:ascii="Times New Roman" w:hAnsi="Times New Roman"/>
          <w:sz w:val="24"/>
          <w:szCs w:val="24"/>
        </w:rPr>
        <w:t>Taken together, these protocols</w:t>
      </w:r>
      <w:r w:rsidR="00EE38E7" w:rsidRPr="007E40FA">
        <w:rPr>
          <w:rFonts w:ascii="Times New Roman" w:hAnsi="Times New Roman"/>
          <w:sz w:val="24"/>
          <w:szCs w:val="24"/>
        </w:rPr>
        <w:t xml:space="preserve"> will provide a useful resource for users of this platform interested in pre-clinical and clinical research</w:t>
      </w:r>
      <w:r w:rsidR="00DB4844" w:rsidRPr="007E40FA">
        <w:rPr>
          <w:rFonts w:ascii="Times New Roman" w:hAnsi="Times New Roman"/>
          <w:sz w:val="24"/>
          <w:szCs w:val="24"/>
        </w:rPr>
        <w:t xml:space="preserve"> pertaining to </w:t>
      </w:r>
      <w:r w:rsidR="00EE38E7" w:rsidRPr="007E40FA">
        <w:rPr>
          <w:rFonts w:ascii="Times New Roman" w:hAnsi="Times New Roman"/>
          <w:sz w:val="24"/>
          <w:szCs w:val="24"/>
        </w:rPr>
        <w:t>metastasis and CTCs.</w:t>
      </w:r>
    </w:p>
    <w:p w:rsidR="000336C0" w:rsidRPr="007E40FA" w:rsidRDefault="000336C0" w:rsidP="00E330A4">
      <w:pPr>
        <w:autoSpaceDE w:val="0"/>
        <w:autoSpaceDN w:val="0"/>
        <w:adjustRightInd w:val="0"/>
        <w:spacing w:after="0" w:line="240" w:lineRule="auto"/>
        <w:jc w:val="both"/>
        <w:rPr>
          <w:rFonts w:ascii="Times New Roman" w:eastAsiaTheme="minorHAnsi" w:hAnsi="Times New Roman"/>
          <w:sz w:val="24"/>
          <w:szCs w:val="24"/>
        </w:rPr>
      </w:pPr>
    </w:p>
    <w:p w:rsidR="00180583" w:rsidRPr="007E40FA" w:rsidRDefault="00180583" w:rsidP="00E330A4">
      <w:pPr>
        <w:spacing w:line="240" w:lineRule="auto"/>
        <w:jc w:val="both"/>
        <w:rPr>
          <w:rFonts w:ascii="Times New Roman" w:hAnsi="Times New Roman"/>
          <w:sz w:val="24"/>
          <w:szCs w:val="24"/>
        </w:rPr>
      </w:pPr>
      <w:r w:rsidRPr="007E40FA">
        <w:rPr>
          <w:rFonts w:ascii="Times New Roman" w:hAnsi="Times New Roman"/>
          <w:sz w:val="24"/>
          <w:szCs w:val="24"/>
        </w:rPr>
        <w:br w:type="page"/>
      </w:r>
    </w:p>
    <w:p w:rsidR="00180583" w:rsidRPr="007E40FA" w:rsidRDefault="00180583" w:rsidP="001F0875">
      <w:pPr>
        <w:autoSpaceDE w:val="0"/>
        <w:autoSpaceDN w:val="0"/>
        <w:adjustRightInd w:val="0"/>
        <w:spacing w:after="0" w:line="240" w:lineRule="auto"/>
        <w:jc w:val="both"/>
        <w:rPr>
          <w:rFonts w:ascii="Times New Roman" w:eastAsiaTheme="minorHAnsi" w:hAnsi="Times New Roman"/>
          <w:i/>
          <w:iCs/>
          <w:sz w:val="24"/>
          <w:szCs w:val="24"/>
        </w:rPr>
      </w:pPr>
      <w:r w:rsidRPr="007E40FA">
        <w:rPr>
          <w:rFonts w:ascii="Times New Roman" w:eastAsiaTheme="minorHAnsi" w:hAnsi="Times New Roman"/>
          <w:b/>
          <w:bCs/>
          <w:sz w:val="24"/>
          <w:szCs w:val="24"/>
        </w:rPr>
        <w:lastRenderedPageBreak/>
        <w:t xml:space="preserve">INTRODUCTION: </w:t>
      </w:r>
    </w:p>
    <w:p w:rsidR="00A379BC" w:rsidRPr="007E40FA" w:rsidRDefault="00A379BC" w:rsidP="001F0875">
      <w:pPr>
        <w:spacing w:after="0" w:line="240" w:lineRule="auto"/>
        <w:jc w:val="both"/>
        <w:rPr>
          <w:rFonts w:ascii="Times New Roman" w:hAnsi="Times New Roman"/>
          <w:sz w:val="24"/>
          <w:szCs w:val="24"/>
        </w:rPr>
      </w:pPr>
    </w:p>
    <w:p w:rsidR="003F0506" w:rsidRPr="007E40FA" w:rsidRDefault="00192C0A" w:rsidP="001F0875">
      <w:pPr>
        <w:spacing w:after="0" w:line="240" w:lineRule="auto"/>
        <w:jc w:val="both"/>
        <w:rPr>
          <w:rFonts w:ascii="Times New Roman" w:hAnsi="Times New Roman"/>
          <w:sz w:val="24"/>
          <w:szCs w:val="24"/>
        </w:rPr>
      </w:pPr>
      <w:r w:rsidRPr="007E40FA">
        <w:rPr>
          <w:rFonts w:ascii="Times New Roman" w:hAnsi="Times New Roman"/>
          <w:sz w:val="24"/>
          <w:szCs w:val="24"/>
        </w:rPr>
        <w:t xml:space="preserve">In 2013 it is estimated that </w:t>
      </w:r>
      <w:r w:rsidRPr="007E40FA">
        <w:rPr>
          <w:rFonts w:ascii="Times New Roman" w:hAnsi="Times New Roman"/>
          <w:sz w:val="24"/>
          <w:szCs w:val="24"/>
          <w:shd w:val="clear" w:color="auto" w:fill="FFFFFF"/>
        </w:rPr>
        <w:t>580,350</w:t>
      </w:r>
      <w:r w:rsidRPr="007E40FA">
        <w:rPr>
          <w:rFonts w:ascii="Times New Roman" w:hAnsi="Times New Roman"/>
          <w:sz w:val="24"/>
          <w:szCs w:val="24"/>
        </w:rPr>
        <w:t xml:space="preserve"> individuals will die</w:t>
      </w:r>
      <w:r w:rsidRPr="007E40FA" w:rsidDel="00192C0A">
        <w:rPr>
          <w:rFonts w:ascii="Times New Roman" w:hAnsi="Times New Roman"/>
          <w:sz w:val="24"/>
          <w:szCs w:val="24"/>
        </w:rPr>
        <w:t xml:space="preserve"> </w:t>
      </w:r>
      <w:r w:rsidRPr="007E40FA">
        <w:rPr>
          <w:rFonts w:ascii="Times New Roman" w:hAnsi="Times New Roman"/>
          <w:sz w:val="24"/>
          <w:szCs w:val="24"/>
        </w:rPr>
        <w:t xml:space="preserve">from </w:t>
      </w:r>
      <w:r w:rsidR="0074455B" w:rsidRPr="007E40FA">
        <w:rPr>
          <w:rFonts w:ascii="Times New Roman" w:hAnsi="Times New Roman"/>
          <w:sz w:val="24"/>
          <w:szCs w:val="24"/>
        </w:rPr>
        <w:t>cancer</w:t>
      </w:r>
      <w:r w:rsidRPr="007E40FA">
        <w:rPr>
          <w:rFonts w:ascii="Times New Roman" w:hAnsi="Times New Roman"/>
          <w:sz w:val="24"/>
          <w:szCs w:val="24"/>
        </w:rPr>
        <w:t xml:space="preserve"> and that </w:t>
      </w:r>
      <w:r w:rsidR="003F0506" w:rsidRPr="007E40FA">
        <w:rPr>
          <w:rFonts w:ascii="Times New Roman" w:hAnsi="Times New Roman"/>
          <w:sz w:val="24"/>
          <w:szCs w:val="24"/>
          <w:shd w:val="clear" w:color="auto" w:fill="FFFFFF"/>
        </w:rPr>
        <w:t>1,660,290</w:t>
      </w:r>
      <w:r w:rsidR="003F0506" w:rsidRPr="007E40FA">
        <w:rPr>
          <w:rFonts w:ascii="Times New Roman" w:hAnsi="Times New Roman"/>
          <w:sz w:val="24"/>
          <w:szCs w:val="24"/>
        </w:rPr>
        <w:t xml:space="preserve"> new cases of </w:t>
      </w:r>
      <w:r w:rsidR="0074455B" w:rsidRPr="007E40FA">
        <w:rPr>
          <w:rFonts w:ascii="Times New Roman" w:hAnsi="Times New Roman"/>
          <w:sz w:val="24"/>
          <w:szCs w:val="24"/>
        </w:rPr>
        <w:t xml:space="preserve">this disease </w:t>
      </w:r>
      <w:r w:rsidR="003F0506" w:rsidRPr="007E40FA">
        <w:rPr>
          <w:rFonts w:ascii="Times New Roman" w:hAnsi="Times New Roman"/>
          <w:sz w:val="24"/>
          <w:szCs w:val="24"/>
        </w:rPr>
        <w:t>will be diagnosed in the United States</w:t>
      </w:r>
      <w:r w:rsidRPr="007E40FA">
        <w:rPr>
          <w:rFonts w:ascii="Times New Roman" w:hAnsi="Times New Roman"/>
          <w:sz w:val="24"/>
          <w:szCs w:val="24"/>
        </w:rPr>
        <w:t xml:space="preserve"> alone</w:t>
      </w:r>
      <w:r w:rsidR="0036708D" w:rsidRPr="007E40FA">
        <w:rPr>
          <w:rFonts w:ascii="Times New Roman" w:hAnsi="Times New Roman"/>
          <w:sz w:val="24"/>
          <w:szCs w:val="24"/>
        </w:rPr>
        <w:fldChar w:fldCharType="begin" w:fldLock="1"/>
      </w:r>
      <w:r w:rsidR="007F0560" w:rsidRPr="007E40FA">
        <w:rPr>
          <w:rFonts w:ascii="Times New Roman" w:hAnsi="Times New Roman"/>
          <w:sz w:val="24"/>
          <w:szCs w:val="24"/>
        </w:rPr>
        <w:instrText>ADDIN CSL_CITATION { "citationItems" : [ { "id" : "ITEM-1", "itemData" : { "DOI" : "10.3322/caac.21166", "ISSN" : "1542-4863", "PMID" : "23335087", "abstract" : "Each year, the American Cancer Society estimates the numbers of new cancer cases and deaths expected in the United States in the current year and compiles the most recent data on cancer incidence, mortality, and survival based on incidence data from the National Cancer Institute, the Centers for Disease Control and Prevention, and the North American Association of Central Cancer Registries and mortality data from the National Center for Health Statistics. A total of 1,660,290 new cancer cases and 580,350 cancer deaths are projected to occur in the United States in 2013. During the most recent 5 years for which there are data (2005-2009), delay-adjusted cancer incidence rates declined slightly in men (by 0.6% per year) and were stable in women, while cancer death rates decreased by 1.8% per year in men and by 1.5% per year in women. Overall, cancer death rates have declined 20% from their peak in 1991 (215.1 per 100,000 population) to 2009 (173.1 per 100,000 population). Death rates continue to decline for all 4 major cancer sites (lung, colorectum, breast, and prostate). Over the past 10 years of data (2000-2009), the largest annual declines in death rates were for chronic myeloid leukemia (8.4%), cancers of the stomach (3.1%) and colorectum (3.0%), and non-Hodgkin lymphoma (3.0%). The reduction in overall cancer death rates since 1990 in men and 1991 in women translates to the avoidance of approximately 1.18 million deaths from cancer, with 152,900 of these deaths averted in 2009 alone. Further progress can be accelerated by applying existing cancer control knowledge across all segments of the population, with an emphasis on those groups in the lowest socioeconomic bracket and other underserved populations.", "author" : [ { "dropping-particle" : "", "family" : "Siegel", "given" : "Rebecca", "non-dropping-particle" : "", "parse-names" : false, "suffix" : "" }, { "dropping-particle" : "", "family" : "Naishadham", "given" : "Deepa", "non-dropping-particle" : "", "parse-names" : false, "suffix" : "" }, { "dropping-particle" : "", "family" : "Jemal", "given" : "Ahmedin", "non-dropping-particle" : "", "parse-names" : false, "suffix" : "" } ], "container-title" : "CA: a cancer journal for clinicians", "id" : "ITEM-1", "issue" : "1", "issued" : { "date-parts" : [ [ "2013", "1" ] ] }, "page" : "11-30", "title" : "Cancer statistics, 2013.", "type" : "article-journal", "volume" : "63" }, "uris" : [ "http://www.mendeley.com/documents/?uuid=9e0d8c4a-30f3-4ee9-b4c3-eb0f4f8ef3ab" ] } ], "mendeley" : { "previouslyFormattedCitation" : "&lt;sup&gt;1&lt;/sup&gt;" }, "properties" : { "noteIndex" : 0 }, "schema" : "https://github.com/citation-style-language/schema/raw/master/csl-citation.json" }</w:instrText>
      </w:r>
      <w:r w:rsidR="0036708D" w:rsidRPr="007E40FA">
        <w:rPr>
          <w:rFonts w:ascii="Times New Roman" w:hAnsi="Times New Roman"/>
          <w:sz w:val="24"/>
          <w:szCs w:val="24"/>
        </w:rPr>
        <w:fldChar w:fldCharType="separate"/>
      </w:r>
      <w:r w:rsidR="007F0560" w:rsidRPr="007E40FA">
        <w:rPr>
          <w:rFonts w:ascii="Times New Roman" w:hAnsi="Times New Roman"/>
          <w:noProof/>
          <w:sz w:val="24"/>
          <w:szCs w:val="24"/>
          <w:vertAlign w:val="superscript"/>
        </w:rPr>
        <w:t>1</w:t>
      </w:r>
      <w:r w:rsidR="0036708D" w:rsidRPr="007E40FA">
        <w:rPr>
          <w:rFonts w:ascii="Times New Roman" w:hAnsi="Times New Roman"/>
          <w:sz w:val="24"/>
          <w:szCs w:val="24"/>
        </w:rPr>
        <w:fldChar w:fldCharType="end"/>
      </w:r>
      <w:r w:rsidR="003F0506" w:rsidRPr="007E40FA">
        <w:rPr>
          <w:rFonts w:ascii="Times New Roman" w:hAnsi="Times New Roman"/>
          <w:sz w:val="24"/>
          <w:szCs w:val="24"/>
        </w:rPr>
        <w:t xml:space="preserve">. The majority of these deaths </w:t>
      </w:r>
      <w:r w:rsidR="00052FD7" w:rsidRPr="007E40FA">
        <w:rPr>
          <w:rFonts w:ascii="Times New Roman" w:hAnsi="Times New Roman"/>
          <w:sz w:val="24"/>
          <w:szCs w:val="24"/>
        </w:rPr>
        <w:t>occur</w:t>
      </w:r>
      <w:r w:rsidR="00E64CE6" w:rsidRPr="007E40FA">
        <w:rPr>
          <w:rFonts w:ascii="Times New Roman" w:hAnsi="Times New Roman"/>
          <w:sz w:val="24"/>
          <w:szCs w:val="24"/>
        </w:rPr>
        <w:t xml:space="preserve"> subsequent to </w:t>
      </w:r>
      <w:r w:rsidR="00DA2034" w:rsidRPr="007E40FA">
        <w:rPr>
          <w:rFonts w:ascii="Times New Roman" w:hAnsi="Times New Roman"/>
          <w:sz w:val="24"/>
          <w:szCs w:val="24"/>
        </w:rPr>
        <w:t>the development of metastatic disease</w:t>
      </w:r>
      <w:r w:rsidR="0036708D" w:rsidRPr="007E40FA">
        <w:rPr>
          <w:rFonts w:ascii="Times New Roman" w:hAnsi="Times New Roman"/>
          <w:sz w:val="24"/>
          <w:szCs w:val="24"/>
        </w:rPr>
        <w:fldChar w:fldCharType="begin" w:fldLock="1"/>
      </w:r>
      <w:r w:rsidR="007F0560" w:rsidRPr="007E40FA">
        <w:rPr>
          <w:rFonts w:ascii="Times New Roman" w:hAnsi="Times New Roman"/>
          <w:sz w:val="24"/>
          <w:szCs w:val="24"/>
        </w:rPr>
        <w:instrText>ADDIN CSL_CITATION { "citationItems" : [ { "id" : "ITEM-1", "itemData" : { "ISSN" : "1474-175X", "PMID" : "12154349", "abstract" : "Metastases, rather than primary tumours, are responsible for most cancer deaths. To prevent these deaths, improved ways to treat metastatic disease are needed. Blood flow and other mechanical factors influence the delivery of cancer cells to specific organs, whereas molecular interactions between the cancer cells and the new organ influence the probability that the cells will grow there. Inhibition of the growth of metastases in secondary sites offers a promising approach for cancer therapy.", "author" : [ { "dropping-particle" : "", "family" : "Chambers", "given" : "Ann F", "non-dropping-particle" : "", "parse-names" : false, "suffix" : "" }, { "dropping-particle" : "", "family" : "Groom", "given" : "Alan C", "non-dropping-particle" : "", "parse-names" : false, "suffix" : "" }, { "dropping-particle" : "", "family" : "MacDonald", "given" : "Ian C", "non-dropping-particle" : "", "parse-names" : false, "suffix" : "" } ], "container-title" : "Nature reviews. Cancer", "id" : "ITEM-1", "issue" : "8", "issued" : { "date-parts" : [ [ "2002", "8" ] ] }, "page" : "563-72", "title" : "Dissemination and growth of cancer cells in metastatic sites.", "type" : "article-journal", "volume" : "2" }, "uris" : [ "http://www.mendeley.com/documents/?uuid=a98f91d8-8177-428c-917c-4591ee6319e6" ] } ], "mendeley" : { "previouslyFormattedCitation" : "&lt;sup&gt;2&lt;/sup&gt;" }, "properties" : { "noteIndex" : 0 }, "schema" : "https://github.com/citation-style-language/schema/raw/master/csl-citation.json" }</w:instrText>
      </w:r>
      <w:r w:rsidR="0036708D" w:rsidRPr="007E40FA">
        <w:rPr>
          <w:rFonts w:ascii="Times New Roman" w:hAnsi="Times New Roman"/>
          <w:sz w:val="24"/>
          <w:szCs w:val="24"/>
        </w:rPr>
        <w:fldChar w:fldCharType="separate"/>
      </w:r>
      <w:r w:rsidR="007F0560" w:rsidRPr="007E40FA">
        <w:rPr>
          <w:rFonts w:ascii="Times New Roman" w:hAnsi="Times New Roman"/>
          <w:noProof/>
          <w:sz w:val="24"/>
          <w:szCs w:val="24"/>
          <w:vertAlign w:val="superscript"/>
        </w:rPr>
        <w:t>2</w:t>
      </w:r>
      <w:r w:rsidR="0036708D" w:rsidRPr="007E40FA">
        <w:rPr>
          <w:rFonts w:ascii="Times New Roman" w:hAnsi="Times New Roman"/>
          <w:sz w:val="24"/>
          <w:szCs w:val="24"/>
        </w:rPr>
        <w:fldChar w:fldCharType="end"/>
      </w:r>
      <w:r w:rsidR="003F0506" w:rsidRPr="007E40FA">
        <w:rPr>
          <w:rFonts w:ascii="Times New Roman" w:hAnsi="Times New Roman"/>
          <w:sz w:val="24"/>
          <w:szCs w:val="24"/>
        </w:rPr>
        <w:t xml:space="preserve">. </w:t>
      </w:r>
      <w:r w:rsidR="00E64CE6" w:rsidRPr="007E40FA">
        <w:rPr>
          <w:rFonts w:ascii="Times New Roman" w:hAnsi="Times New Roman"/>
          <w:sz w:val="24"/>
          <w:szCs w:val="24"/>
        </w:rPr>
        <w:t>The current lack of effective therapies in treating metas</w:t>
      </w:r>
      <w:r w:rsidR="00A379BC" w:rsidRPr="007E40FA">
        <w:rPr>
          <w:rFonts w:ascii="Times New Roman" w:hAnsi="Times New Roman"/>
          <w:sz w:val="24"/>
          <w:szCs w:val="24"/>
        </w:rPr>
        <w:t>tases</w:t>
      </w:r>
      <w:r w:rsidR="00E64CE6" w:rsidRPr="007E40FA">
        <w:rPr>
          <w:rFonts w:ascii="Times New Roman" w:hAnsi="Times New Roman"/>
          <w:sz w:val="24"/>
          <w:szCs w:val="24"/>
        </w:rPr>
        <w:t xml:space="preserve"> and a limited understanding of the metastatic cascade makes this stage of disease highly lethal</w:t>
      </w:r>
      <w:r w:rsidR="00C76CB8" w:rsidRPr="007E40FA">
        <w:fldChar w:fldCharType="begin"/>
      </w:r>
      <w:r w:rsidR="00C76CB8" w:rsidRPr="007E40FA">
        <w:fldChar w:fldCharType="separate"/>
      </w:r>
      <w:r w:rsidR="00E64CE6" w:rsidRPr="007E40FA">
        <w:rPr>
          <w:rFonts w:ascii="Times New Roman" w:hAnsi="Times New Roman"/>
          <w:noProof/>
          <w:sz w:val="24"/>
          <w:szCs w:val="24"/>
        </w:rPr>
        <w:t>{Formatting Citation}</w:t>
      </w:r>
      <w:r w:rsidR="00C76CB8" w:rsidRPr="007E40FA">
        <w:rPr>
          <w:rFonts w:ascii="Times New Roman" w:hAnsi="Times New Roman"/>
          <w:noProof/>
          <w:sz w:val="24"/>
          <w:szCs w:val="24"/>
        </w:rPr>
        <w:fldChar w:fldCharType="end"/>
      </w:r>
      <w:r w:rsidR="00E64CE6" w:rsidRPr="007E40FA">
        <w:rPr>
          <w:rFonts w:ascii="Times New Roman" w:hAnsi="Times New Roman"/>
          <w:sz w:val="24"/>
          <w:szCs w:val="24"/>
        </w:rPr>
        <w:t xml:space="preserve">. </w:t>
      </w:r>
      <w:r w:rsidRPr="007E40FA">
        <w:rPr>
          <w:rFonts w:ascii="Times New Roman" w:hAnsi="Times New Roman"/>
          <w:sz w:val="24"/>
          <w:szCs w:val="24"/>
        </w:rPr>
        <w:t>The presence of circulating tumor cells (CTCs) within the bloodstream have been demonstrated to correlate with m</w:t>
      </w:r>
      <w:r w:rsidR="003F0506" w:rsidRPr="007E40FA">
        <w:rPr>
          <w:rFonts w:ascii="Times New Roman" w:hAnsi="Times New Roman"/>
          <w:sz w:val="24"/>
          <w:szCs w:val="24"/>
        </w:rPr>
        <w:t>etastatic disease</w:t>
      </w:r>
      <w:r w:rsidR="0036708D" w:rsidRPr="007E40FA">
        <w:rPr>
          <w:rFonts w:ascii="Times New Roman" w:hAnsi="Times New Roman"/>
          <w:sz w:val="24"/>
          <w:szCs w:val="24"/>
        </w:rPr>
        <w:fldChar w:fldCharType="begin" w:fldLock="1"/>
      </w:r>
      <w:r w:rsidR="007F0560" w:rsidRPr="007E40FA">
        <w:rPr>
          <w:rFonts w:ascii="Times New Roman" w:hAnsi="Times New Roman"/>
          <w:sz w:val="24"/>
          <w:szCs w:val="24"/>
        </w:rPr>
        <w:instrText>ADDIN CSL_CITATION { "citationItems" : [ { "id" : "ITEM-1", "itemData" : { "DOI" : "10.1038/nrc1370", "ISSN" : "1474-175X", "PMID" : "15170447", "author" : [ { "dropping-particle" : "", "family" : "Pantel", "given" : "Klaus", "non-dropping-particle" : "", "parse-names" : false, "suffix" : "" }, { "dropping-particle" : "", "family" : "Brakenhoff", "given" : "Ruud H", "non-dropping-particle" : "", "parse-names" : false, "suffix" : "" } ], "container-title" : "Nature reviews. Cancer", "id" : "ITEM-1", "issue" : "6", "issued" : { "date-parts" : [ [ "2004", "6" ] ] }, "page" : "448-56", "title" : "Dissecting the metastatic cascade.", "type" : "article-journal", "volume" : "4" }, "uris" : [ "http://www.mendeley.com/documents/?uuid=0b42fc89-2df8-4b51-9281-4d30968ac634" ] } ], "mendeley" : { "previouslyFormattedCitation" : "&lt;sup&gt;3&lt;/sup&gt;" }, "properties" : { "noteIndex" : 0 }, "schema" : "https://github.com/citation-style-language/schema/raw/master/csl-citation.json" }</w:instrText>
      </w:r>
      <w:r w:rsidR="0036708D" w:rsidRPr="007E40FA">
        <w:rPr>
          <w:rFonts w:ascii="Times New Roman" w:hAnsi="Times New Roman"/>
          <w:sz w:val="24"/>
          <w:szCs w:val="24"/>
        </w:rPr>
        <w:fldChar w:fldCharType="separate"/>
      </w:r>
      <w:r w:rsidR="007F0560" w:rsidRPr="007E40FA">
        <w:rPr>
          <w:rFonts w:ascii="Times New Roman" w:hAnsi="Times New Roman"/>
          <w:noProof/>
          <w:sz w:val="24"/>
          <w:szCs w:val="24"/>
          <w:vertAlign w:val="superscript"/>
        </w:rPr>
        <w:t>3</w:t>
      </w:r>
      <w:r w:rsidR="0036708D" w:rsidRPr="007E40FA">
        <w:rPr>
          <w:rFonts w:ascii="Times New Roman" w:hAnsi="Times New Roman"/>
          <w:sz w:val="24"/>
          <w:szCs w:val="24"/>
        </w:rPr>
        <w:fldChar w:fldCharType="end"/>
      </w:r>
      <w:r w:rsidR="003F0506" w:rsidRPr="007E40FA">
        <w:rPr>
          <w:rFonts w:ascii="Times New Roman" w:hAnsi="Times New Roman"/>
          <w:sz w:val="24"/>
          <w:szCs w:val="24"/>
        </w:rPr>
        <w:t xml:space="preserve">. </w:t>
      </w:r>
      <w:r w:rsidR="00E530AE" w:rsidRPr="007E40FA">
        <w:rPr>
          <w:rFonts w:ascii="Times New Roman" w:hAnsi="Times New Roman"/>
          <w:sz w:val="24"/>
          <w:szCs w:val="24"/>
        </w:rPr>
        <w:t>These cells are extremely rare and their d</w:t>
      </w:r>
      <w:r w:rsidR="003F0506" w:rsidRPr="007E40FA">
        <w:rPr>
          <w:rFonts w:ascii="Times New Roman" w:hAnsi="Times New Roman"/>
          <w:sz w:val="24"/>
          <w:szCs w:val="24"/>
        </w:rPr>
        <w:t xml:space="preserve">etection </w:t>
      </w:r>
      <w:r w:rsidR="00E530AE" w:rsidRPr="007E40FA">
        <w:rPr>
          <w:rFonts w:ascii="Times New Roman" w:hAnsi="Times New Roman"/>
          <w:sz w:val="24"/>
          <w:szCs w:val="24"/>
        </w:rPr>
        <w:t>is</w:t>
      </w:r>
      <w:r w:rsidR="003F0506" w:rsidRPr="007E40FA">
        <w:rPr>
          <w:rFonts w:ascii="Times New Roman" w:hAnsi="Times New Roman"/>
          <w:sz w:val="24"/>
          <w:szCs w:val="24"/>
        </w:rPr>
        <w:t xml:space="preserve"> </w:t>
      </w:r>
      <w:r w:rsidR="007F3854" w:rsidRPr="007E40FA">
        <w:rPr>
          <w:rFonts w:ascii="Times New Roman" w:hAnsi="Times New Roman"/>
          <w:sz w:val="24"/>
          <w:szCs w:val="24"/>
        </w:rPr>
        <w:t>indicative</w:t>
      </w:r>
      <w:r w:rsidR="003F0506" w:rsidRPr="007E40FA">
        <w:rPr>
          <w:rFonts w:ascii="Times New Roman" w:hAnsi="Times New Roman"/>
          <w:sz w:val="24"/>
          <w:szCs w:val="24"/>
        </w:rPr>
        <w:t xml:space="preserve"> of overall survival in metastatic breast</w:t>
      </w:r>
      <w:r w:rsidR="0036708D" w:rsidRPr="007E40FA">
        <w:rPr>
          <w:rFonts w:ascii="Times New Roman" w:hAnsi="Times New Roman"/>
          <w:sz w:val="24"/>
          <w:szCs w:val="24"/>
        </w:rPr>
        <w:fldChar w:fldCharType="begin" w:fldLock="1"/>
      </w:r>
      <w:r w:rsidR="007F0560" w:rsidRPr="007E40FA">
        <w:rPr>
          <w:rFonts w:ascii="Times New Roman" w:hAnsi="Times New Roman"/>
          <w:sz w:val="24"/>
          <w:szCs w:val="24"/>
        </w:rPr>
        <w:instrText>ADDIN CSL_CITATION { "citationItems" : [ { "id" : "ITEM-1", "itemData" : { "ISSN" : "1533-4406", "PMID" : "15317891", "abstract" : "BACKGROUND: We tested the hypothesis that the level of circulating tumor cells can predict survival in metastatic breast cancer. METHODS: In a prospective, multicenter study, we tested 177 patients with measurable metastatic breast cancer for levels of circulating tumor cells both before the patients were to start a new line of treatment and at the first follow-up visit. The progression of the disease or the response to treatment was determined with the use of standard imaging studies at the participating centers. RESULTS: Outcomes were assessed according to levels of circulating tumor cells at baseline, before the patients started a new treatment for metastatic disease. Patients in a training set with levels of circulating tumor cells equal to or higher than 5 per 7.5 ml of whole blood, as compared with the group with fewer than 5 circulating tumor cells per 7.5 ml, had a shorter median progression-free survival (2.7 months vs. 7.0 months, P&lt;0.001) and shorter overall survival (10.1 months vs. &gt;18 months, P&lt;0.001). At the first follow-up visit after the initiation of therapy, this difference between the groups persisted (progression-free survival, 2.1 months vs. 7.0 months; P&lt;0.001; overall survival, 8.2 months vs. &gt;18 months; P&lt;0.001), and the reduced proportion of patients (from 49 percent to 30 percent) in the group with an unfavorable prognosis suggested that there was a benefit from therapy. The multivariate Cox proportional-hazards regression showed that, of all the variables in the statistical model, the levels of circulating tumor cells at baseline and at the first follow-up visit were the most significant predictors of progression-free and overall survival. CONCLUSIONS: The number of circulating tumor cells before treatment is an independent predictor of progression-free survival and overall survival in patients with metastatic breast cancer.", "author" : [ { "dropping-particle" : "", "family" : "Cristofanilli", "given" : "Massimo", "non-dropping-particle" : "", "parse-names" : false, "suffix" : "" }, { "dropping-particle" : "", "family" : "Budd", "given" : "G Thomas", "non-dropping-particle" : "", "parse-names" : false, "suffix" : "" }, { "dropping-particle" : "", "family" : "Ellis", "given" : "Matthew J", "non-dropping-particle" : "", "parse-names" : false, "suffix" : "" }, { "dropping-particle" : "", "family" : "Stopeck", "given" : "Alison", "non-dropping-particle" : "", "parse-names" : false, "suffix" : "" }, { "dropping-particle" : "", "family" : "Matera", "given" : "Jeri", "non-dropping-particle" : "", "parse-names" : false, "suffix" : "" }, { "dropping-particle" : "", "family" : "Miller", "given" : "M Craig", "non-dropping-particle" : "", "parse-names" : false, "suffix" : "" }, { "dropping-particle" : "", "family" : "Reuben", "given" : "James M", "non-dropping-particle" : "", "parse-names" : false, "suffix" : "" }, { "dropping-particle" : "V", "family" : "Doyle", "given" : "Gerald", "non-dropping-particle" : "", "parse-names" : false, "suffix" : "" }, { "dropping-particle" : "", "family" : "Allard", "given" : "W Jeffrey", "non-dropping-particle" : "", "parse-names" : false, "suffix" : "" }, { "dropping-particle" : "", "family" : "Terstappen", "given" : "Leon W M M", "non-dropping-particle" : "", "parse-names" : false, "suffix" : "" }, { "dropping-particle" : "", "family" : "Hayes", "given" : "Daniel F", "non-dropping-particle" : "", "parse-names" : false, "suffix" : "" } ], "container-title" : "The New England journal of medicine", "id" : "ITEM-1", "issue" : "8", "issued" : { "date-parts" : [ [ "2004", "8" ] ] }, "page" : "781-91", "title" : "Circulating tumor cells, disease progression, and survival in metastatic breast cancer.", "type" : "article-journal", "volume" : "351" }, "uris" : [ "http://www.mendeley.com/documents/?uuid=f0f96870-40c2-4219-af60-a26756fec374" ] } ], "mendeley" : { "previouslyFormattedCitation" : "&lt;sup&gt;4&lt;/sup&gt;" }, "properties" : { "noteIndex" : 0 }, "schema" : "https://github.com/citation-style-language/schema/raw/master/csl-citation.json" }</w:instrText>
      </w:r>
      <w:r w:rsidR="0036708D" w:rsidRPr="007E40FA">
        <w:rPr>
          <w:rFonts w:ascii="Times New Roman" w:hAnsi="Times New Roman"/>
          <w:sz w:val="24"/>
          <w:szCs w:val="24"/>
        </w:rPr>
        <w:fldChar w:fldCharType="separate"/>
      </w:r>
      <w:r w:rsidR="007F0560" w:rsidRPr="007E40FA">
        <w:rPr>
          <w:rFonts w:ascii="Times New Roman" w:hAnsi="Times New Roman"/>
          <w:noProof/>
          <w:sz w:val="24"/>
          <w:szCs w:val="24"/>
          <w:vertAlign w:val="superscript"/>
        </w:rPr>
        <w:t>4</w:t>
      </w:r>
      <w:r w:rsidR="0036708D" w:rsidRPr="007E40FA">
        <w:rPr>
          <w:rFonts w:ascii="Times New Roman" w:hAnsi="Times New Roman"/>
          <w:sz w:val="24"/>
          <w:szCs w:val="24"/>
        </w:rPr>
        <w:fldChar w:fldCharType="end"/>
      </w:r>
      <w:r w:rsidR="00C76CB8" w:rsidRPr="007E40FA">
        <w:fldChar w:fldCharType="begin"/>
      </w:r>
      <w:r w:rsidR="00C76CB8" w:rsidRPr="007E40FA">
        <w:fldChar w:fldCharType="separate"/>
      </w:r>
      <w:r w:rsidR="003F0506" w:rsidRPr="007E40FA">
        <w:rPr>
          <w:rFonts w:ascii="Times New Roman" w:hAnsi="Times New Roman"/>
          <w:noProof/>
          <w:sz w:val="24"/>
          <w:szCs w:val="24"/>
        </w:rPr>
        <w:t>{Formatting Citation}</w:t>
      </w:r>
      <w:r w:rsidR="00C76CB8" w:rsidRPr="007E40FA">
        <w:rPr>
          <w:rFonts w:ascii="Times New Roman" w:hAnsi="Times New Roman"/>
          <w:noProof/>
          <w:sz w:val="24"/>
          <w:szCs w:val="24"/>
        </w:rPr>
        <w:fldChar w:fldCharType="end"/>
      </w:r>
      <w:r w:rsidR="003F0506" w:rsidRPr="007E40FA">
        <w:rPr>
          <w:rFonts w:ascii="Times New Roman" w:hAnsi="Times New Roman"/>
          <w:sz w:val="24"/>
          <w:szCs w:val="24"/>
        </w:rPr>
        <w:t>, prostate</w:t>
      </w:r>
      <w:r w:rsidR="0036708D" w:rsidRPr="007E40FA">
        <w:rPr>
          <w:rFonts w:ascii="Times New Roman" w:hAnsi="Times New Roman"/>
          <w:sz w:val="24"/>
          <w:szCs w:val="24"/>
        </w:rPr>
        <w:fldChar w:fldCharType="begin" w:fldLock="1"/>
      </w:r>
      <w:r w:rsidR="007F0560" w:rsidRPr="007E40FA">
        <w:rPr>
          <w:rFonts w:ascii="Times New Roman" w:hAnsi="Times New Roman"/>
          <w:sz w:val="24"/>
          <w:szCs w:val="24"/>
        </w:rPr>
        <w:instrText>ADDIN CSL_CITATION { "citationItems" : [ { "id" : "ITEM-1", "itemData" : { "DOI" : "10.1158/1078-0432.CCR-08-0872", "ISSN" : "1078-0432", "PMID" : "18829513", "abstract" : "A method for enumerating circulating tumor cells (CTC) has received regulatory clearance. The primary objective of this prospective study was to establish the relationship between posttreatment CTC count and overall survival (OS) in castration-resistant prostate cancer (CRPC). Secondary objectives included determining the prognostic utility of CTC measurement before initiating therapy, and the relationship of CTC to prostate-specific antigen (PSA) changes and OS at these and other time points.", "author" : [ { "dropping-particle" : "", "family" : "Bono", "given" : "Johann S", "non-dropping-particle" : "de", "parse-names" : false, "suffix" : "" }, { "dropping-particle" : "", "family" : "Scher", "given" : "Howard I", "non-dropping-particle" : "", "parse-names" : false, "suffix" : "" }, { "dropping-particle" : "", "family" : "Montgomery", "given" : "R Bruce", "non-dropping-particle" : "", "parse-names" : false, "suffix" : "" }, { "dropping-particle" : "", "family" : "Parker", "given" : "Christopher", "non-dropping-particle" : "", "parse-names" : false, "suffix" : "" }, { "dropping-particle" : "", "family" : "Miller", "given" : "M Craig", "non-dropping-particle" : "", "parse-names" : false, "suffix" : "" }, { "dropping-particle" : "", "family" : "Tissing", "given" : "Henk", "non-dropping-particle" : "", "parse-names" : false, "suffix" : "" }, { "dropping-particle" : "V", "family" : "Doyle", "given" : "Gerald", "non-dropping-particle" : "", "parse-names" : false, "suffix" : "" }, { "dropping-particle" : "", "family" : "Terstappen", "given" : "Leon W W M", "non-dropping-particle" : "", "parse-names" : false, "suffix" : "" }, { "dropping-particle" : "", "family" : "Pienta", "given" : "Kenneth J", "non-dropping-particle" : "", "parse-names" : false, "suffix" : "" }, { "dropping-particle" : "", "family" : "Raghavan", "given" : "Derek", "non-dropping-particle" : "", "parse-names" : false, "suffix" : "" } ], "container-title" : "Clinical cancer research : an official journal of the American Association for Cancer Research", "id" : "ITEM-1", "issue" : "19", "issued" : { "date-parts" : [ [ "2008", "10", "1" ] ] }, "page" : "6302-9", "title" : "Circulating tumor cells predict survival benefit from treatment in metastatic castration-resistant prostate cancer.", "type" : "article-journal", "volume" : "14" }, "uris" : [ "http://www.mendeley.com/documents/?uuid=3e8de426-4d01-4af7-9b65-80421d93c3a4" ] } ], "mendeley" : { "previouslyFormattedCitation" : "&lt;sup&gt;5&lt;/sup&gt;" }, "properties" : { "noteIndex" : 0 }, "schema" : "https://github.com/citation-style-language/schema/raw/master/csl-citation.json" }</w:instrText>
      </w:r>
      <w:r w:rsidR="0036708D" w:rsidRPr="007E40FA">
        <w:rPr>
          <w:rFonts w:ascii="Times New Roman" w:hAnsi="Times New Roman"/>
          <w:sz w:val="24"/>
          <w:szCs w:val="24"/>
        </w:rPr>
        <w:fldChar w:fldCharType="separate"/>
      </w:r>
      <w:r w:rsidR="007F0560" w:rsidRPr="007E40FA">
        <w:rPr>
          <w:rFonts w:ascii="Times New Roman" w:hAnsi="Times New Roman"/>
          <w:noProof/>
          <w:sz w:val="24"/>
          <w:szCs w:val="24"/>
          <w:vertAlign w:val="superscript"/>
        </w:rPr>
        <w:t>5</w:t>
      </w:r>
      <w:r w:rsidR="0036708D" w:rsidRPr="007E40FA">
        <w:rPr>
          <w:rFonts w:ascii="Times New Roman" w:hAnsi="Times New Roman"/>
          <w:sz w:val="24"/>
          <w:szCs w:val="24"/>
        </w:rPr>
        <w:fldChar w:fldCharType="end"/>
      </w:r>
      <w:r w:rsidR="00C76CB8" w:rsidRPr="007E40FA">
        <w:fldChar w:fldCharType="begin"/>
      </w:r>
      <w:r w:rsidR="00C76CB8" w:rsidRPr="007E40FA">
        <w:fldChar w:fldCharType="separate"/>
      </w:r>
      <w:r w:rsidR="003F0506" w:rsidRPr="007E40FA">
        <w:rPr>
          <w:rFonts w:ascii="Times New Roman" w:hAnsi="Times New Roman"/>
          <w:noProof/>
          <w:sz w:val="24"/>
          <w:szCs w:val="24"/>
        </w:rPr>
        <w:t>(</w:t>
      </w:r>
      <w:hyperlink w:anchor="_ENREF_5" w:tooltip="de Bono, 2008 #245" w:history="1">
        <w:r w:rsidR="003F0506" w:rsidRPr="007E40FA">
          <w:rPr>
            <w:rFonts w:ascii="Times New Roman" w:hAnsi="Times New Roman"/>
            <w:noProof/>
            <w:sz w:val="24"/>
            <w:szCs w:val="24"/>
          </w:rPr>
          <w:t>5</w:t>
        </w:r>
      </w:hyperlink>
      <w:r w:rsidR="003F0506" w:rsidRPr="007E40FA">
        <w:rPr>
          <w:rFonts w:ascii="Times New Roman" w:hAnsi="Times New Roman"/>
          <w:noProof/>
          <w:sz w:val="24"/>
          <w:szCs w:val="24"/>
        </w:rPr>
        <w:t>)</w:t>
      </w:r>
      <w:r w:rsidR="00C76CB8" w:rsidRPr="007E40FA">
        <w:rPr>
          <w:rFonts w:ascii="Times New Roman" w:hAnsi="Times New Roman"/>
          <w:noProof/>
          <w:sz w:val="24"/>
          <w:szCs w:val="24"/>
        </w:rPr>
        <w:fldChar w:fldCharType="end"/>
      </w:r>
      <w:r w:rsidR="003F0506" w:rsidRPr="007E40FA">
        <w:rPr>
          <w:rFonts w:ascii="Times New Roman" w:hAnsi="Times New Roman"/>
          <w:sz w:val="24"/>
          <w:szCs w:val="24"/>
        </w:rPr>
        <w:t>, and colorectal</w:t>
      </w:r>
      <w:r w:rsidR="0036708D" w:rsidRPr="007E40FA">
        <w:rPr>
          <w:rFonts w:ascii="Times New Roman" w:hAnsi="Times New Roman"/>
          <w:sz w:val="24"/>
          <w:szCs w:val="24"/>
        </w:rPr>
        <w:fldChar w:fldCharType="begin" w:fldLock="1"/>
      </w:r>
      <w:r w:rsidR="007F0560" w:rsidRPr="007E40FA">
        <w:rPr>
          <w:rFonts w:ascii="Times New Roman" w:hAnsi="Times New Roman"/>
          <w:sz w:val="24"/>
          <w:szCs w:val="24"/>
        </w:rPr>
        <w:instrText>ADDIN CSL_CITATION { "citationItems" : [ { "id" : "ITEM-1", "itemData" : { "DOI" : "10.1093/annonc/mdn786", "ISSN" : "1569-8041", "PMID" : "19282466", "abstract" : "BACKGROUND: We demonstrated that circulating tumor cell (CTC) number at baseline and follow-up is an independent prognostic factor in metastatic colorectal cancer (mCRC). This analysis was undertaken to explore whether patient and treatment characteristics impact the prognostic value of CTCs. PATIENTS AND METHODS: CTCs were enumerated with immunomagnetic separation from the blood of 430 patients with mCRC at baseline and on therapy. Patients were stratified into unfavorable and favorable prognostic groups based on CTC levels of &gt; or = 3 or &lt;3 CTCs/7.5 ml, respectively. Subgroups were analyzed by line of treatment, liver involvement, receipt of oxaliplatin, irinotecan, or bevacizumab, age, and Eastern Cooperative Oncology Group performance status (ECOG PS). RESULTS: Seventy-one percent of deaths have occurred. Median follow-up for living patients is 25.8 months. For all patients, progression-free survival (PFS) and overall survival (OS) for unfavorable compared with favorable baseline CTCs is shorter (4.4 versus 7.8 m, P = 0.004 for PFS; 9.4 versus 20.6 m, P &lt; 0.0001 for OS). In all patient subgroups, unfavorable baseline CTC was associated with inferior OS (P &lt; 0.001). In patients receiving first- or second-line therapy (P = 0.003), irinotecan (P = 0.0001), having liver involvement (P = 0.002), &gt;/=65 years (P = 0.0007), and ECOG PS of zero (P = 0.04), unfavorable baseline CTC was associated with inferior PFS. CONCLUSION: Baseline CTC count is an important prognostic factor within specific subgroups defined by treatment or patient characteristics.", "author" : [ { "dropping-particle" : "", "family" : "Cohen", "given" : "S J", "non-dropping-particle" : "", "parse-names" : false, "suffix" : "" }, { "dropping-particle" : "", "family" : "Punt", "given" : "C J a", "non-dropping-particle" : "", "parse-names" : false, "suffix" : "" }, { "dropping-particle" : "", "family" : "Iannotti", "given" : "N", "non-dropping-particle" : "", "parse-names" : false, "suffix" : "" }, { "dropping-particle" : "", "family" : "Saidman", "given" : "B H", "non-dropping-particle" : "", "parse-names" : false, "suffix" : "" }, { "dropping-particle" : "", "family" : "Sabbath", "given" : "K D", "non-dropping-particle" : "", "parse-names" : false, "suffix" : "" }, { "dropping-particle" : "", "family" : "Gabrail", "given" : "N Y", "non-dropping-particle" : "", "parse-names" : false, "suffix" : "" }, { "dropping-particle" : "", "family" : "Picus", "given" : "J", "non-dropping-particle" : "", "parse-names" : false, "suffix" : "" }, { "dropping-particle" : "", "family" : "Morse", "given" : "M a", "non-dropping-particle" : "", "parse-names" : false, "suffix" : "" }, { "dropping-particle" : "", "family" : "Mitchell", "given" : "E", "non-dropping-particle" : "", "parse-names" : false, "suffix" : "" }, { "dropping-particle" : "", "family" : "Miller", "given" : "M C", "non-dropping-particle" : "", "parse-names" : false, "suffix" : "" }, { "dropping-particle" : "V", "family" : "Doyle", "given" : "G", "non-dropping-particle" : "", "parse-names" : false, "suffix" : "" }, { "dropping-particle" : "", "family" : "Tissing", "given" : "H", "non-dropping-particle" : "", "parse-names" : false, "suffix" : "" }, { "dropping-particle" : "", "family" : "Terstappen", "given" : "L W M M", "non-dropping-particle" : "", "parse-names" : false, "suffix" : "" }, { "dropping-particle" : "", "family" : "Meropol", "given" : "N J", "non-dropping-particle" : "", "parse-names" : false, "suffix" : "" } ], "container-title" : "Annals of oncology : official journal of the European Society for Medical Oncology / ESMO", "id" : "ITEM-1", "issue" : "7", "issued" : { "date-parts" : [ [ "2009", "7" ] ] }, "page" : "1223-9", "title" : "Prognostic significance of circulating tumor cells in patients with metastatic colorectal cancer.", "type" : "article-journal", "volume" : "20" }, "uris" : [ "http://www.mendeley.com/documents/?uuid=b15dc6ce-cf98-4146-832a-2d1e87856d9e" ] } ], "mendeley" : { "previouslyFormattedCitation" : "&lt;sup&gt;6&lt;/sup&gt;" }, "properties" : { "noteIndex" : 0 }, "schema" : "https://github.com/citation-style-language/schema/raw/master/csl-citation.json" }</w:instrText>
      </w:r>
      <w:r w:rsidR="0036708D" w:rsidRPr="007E40FA">
        <w:rPr>
          <w:rFonts w:ascii="Times New Roman" w:hAnsi="Times New Roman"/>
          <w:sz w:val="24"/>
          <w:szCs w:val="24"/>
        </w:rPr>
        <w:fldChar w:fldCharType="separate"/>
      </w:r>
      <w:r w:rsidR="007F0560" w:rsidRPr="007E40FA">
        <w:rPr>
          <w:rFonts w:ascii="Times New Roman" w:hAnsi="Times New Roman"/>
          <w:noProof/>
          <w:sz w:val="24"/>
          <w:szCs w:val="24"/>
          <w:vertAlign w:val="superscript"/>
        </w:rPr>
        <w:t>6</w:t>
      </w:r>
      <w:r w:rsidR="0036708D" w:rsidRPr="007E40FA">
        <w:rPr>
          <w:rFonts w:ascii="Times New Roman" w:hAnsi="Times New Roman"/>
          <w:sz w:val="24"/>
          <w:szCs w:val="24"/>
        </w:rPr>
        <w:fldChar w:fldCharType="end"/>
      </w:r>
      <w:r w:rsidR="00C76CB8" w:rsidRPr="007E40FA">
        <w:fldChar w:fldCharType="begin"/>
      </w:r>
      <w:r w:rsidR="00C76CB8" w:rsidRPr="007E40FA">
        <w:fldChar w:fldCharType="separate"/>
      </w:r>
      <w:r w:rsidR="003F0506" w:rsidRPr="007E40FA">
        <w:rPr>
          <w:rFonts w:ascii="Times New Roman" w:hAnsi="Times New Roman"/>
          <w:noProof/>
          <w:sz w:val="24"/>
          <w:szCs w:val="24"/>
        </w:rPr>
        <w:t>{Formatting Citation}</w:t>
      </w:r>
      <w:r w:rsidR="00C76CB8" w:rsidRPr="007E40FA">
        <w:rPr>
          <w:rFonts w:ascii="Times New Roman" w:hAnsi="Times New Roman"/>
          <w:noProof/>
          <w:sz w:val="24"/>
          <w:szCs w:val="24"/>
        </w:rPr>
        <w:fldChar w:fldCharType="end"/>
      </w:r>
      <w:r w:rsidR="003F0506" w:rsidRPr="007E40FA">
        <w:rPr>
          <w:rFonts w:ascii="Times New Roman" w:hAnsi="Times New Roman"/>
          <w:sz w:val="24"/>
          <w:szCs w:val="24"/>
        </w:rPr>
        <w:t xml:space="preserve"> cancer</w:t>
      </w:r>
      <w:r w:rsidR="00E530AE" w:rsidRPr="007E40FA">
        <w:rPr>
          <w:rFonts w:ascii="Times New Roman" w:hAnsi="Times New Roman"/>
          <w:sz w:val="24"/>
          <w:szCs w:val="24"/>
        </w:rPr>
        <w:t xml:space="preserve">. In these patients, the presence of </w:t>
      </w:r>
      <w:r w:rsidR="003F0506" w:rsidRPr="007E40FA">
        <w:rPr>
          <w:rFonts w:ascii="Times New Roman" w:hAnsi="Times New Roman"/>
          <w:sz w:val="24"/>
          <w:szCs w:val="24"/>
        </w:rPr>
        <w:t xml:space="preserve"> ≥5 (breast and prostate) or ≥3 (colorectal) CTCs in 7.5ml of blood </w:t>
      </w:r>
      <w:r w:rsidR="00E530AE" w:rsidRPr="007E40FA">
        <w:rPr>
          <w:rFonts w:ascii="Times New Roman" w:hAnsi="Times New Roman"/>
          <w:sz w:val="24"/>
          <w:szCs w:val="24"/>
        </w:rPr>
        <w:t xml:space="preserve">is </w:t>
      </w:r>
      <w:r w:rsidR="007F3854" w:rsidRPr="007E40FA">
        <w:rPr>
          <w:rFonts w:ascii="Times New Roman" w:hAnsi="Times New Roman"/>
          <w:sz w:val="24"/>
          <w:szCs w:val="24"/>
        </w:rPr>
        <w:t>indicative</w:t>
      </w:r>
      <w:r w:rsidR="00E530AE" w:rsidRPr="007E40FA">
        <w:rPr>
          <w:rFonts w:ascii="Times New Roman" w:hAnsi="Times New Roman"/>
          <w:sz w:val="24"/>
          <w:szCs w:val="24"/>
        </w:rPr>
        <w:t xml:space="preserve"> of </w:t>
      </w:r>
      <w:r w:rsidR="003F0506" w:rsidRPr="007E40FA">
        <w:rPr>
          <w:rFonts w:ascii="Times New Roman" w:hAnsi="Times New Roman"/>
          <w:sz w:val="24"/>
          <w:szCs w:val="24"/>
        </w:rPr>
        <w:t>poorer prognosis</w:t>
      </w:r>
      <w:r w:rsidR="00E530AE" w:rsidRPr="007E40FA">
        <w:rPr>
          <w:rFonts w:ascii="Times New Roman" w:hAnsi="Times New Roman"/>
          <w:sz w:val="24"/>
          <w:szCs w:val="24"/>
        </w:rPr>
        <w:t xml:space="preserve"> when compared to </w:t>
      </w:r>
      <w:r w:rsidR="003F0506" w:rsidRPr="007E40FA">
        <w:rPr>
          <w:rFonts w:ascii="Times New Roman" w:hAnsi="Times New Roman"/>
          <w:sz w:val="24"/>
          <w:szCs w:val="24"/>
        </w:rPr>
        <w:t xml:space="preserve">those </w:t>
      </w:r>
      <w:r w:rsidR="00E530AE" w:rsidRPr="007E40FA">
        <w:rPr>
          <w:rFonts w:ascii="Times New Roman" w:hAnsi="Times New Roman"/>
          <w:sz w:val="24"/>
          <w:szCs w:val="24"/>
        </w:rPr>
        <w:t xml:space="preserve">patients </w:t>
      </w:r>
      <w:r w:rsidR="003F0506" w:rsidRPr="007E40FA">
        <w:rPr>
          <w:rFonts w:ascii="Times New Roman" w:hAnsi="Times New Roman"/>
          <w:sz w:val="24"/>
          <w:szCs w:val="24"/>
        </w:rPr>
        <w:t>with fewer or no detectable CTCs</w:t>
      </w:r>
      <w:r w:rsidR="006A3BD5" w:rsidRPr="007E40FA">
        <w:rPr>
          <w:rFonts w:ascii="Times New Roman" w:hAnsi="Times New Roman"/>
          <w:sz w:val="24"/>
          <w:szCs w:val="24"/>
        </w:rPr>
        <w:t xml:space="preserve"> in the same blood volume.</w:t>
      </w:r>
      <w:r w:rsidR="00E64CE6" w:rsidRPr="007E40FA">
        <w:rPr>
          <w:rFonts w:ascii="Times New Roman" w:hAnsi="Times New Roman"/>
          <w:sz w:val="24"/>
          <w:szCs w:val="24"/>
        </w:rPr>
        <w:t xml:space="preserve"> </w:t>
      </w:r>
      <w:r w:rsidR="003A0B84" w:rsidRPr="007E40FA">
        <w:rPr>
          <w:rFonts w:ascii="Times New Roman" w:hAnsi="Times New Roman"/>
          <w:sz w:val="24"/>
          <w:szCs w:val="24"/>
        </w:rPr>
        <w:t xml:space="preserve">In addition, the change in CTC number </w:t>
      </w:r>
      <w:r w:rsidR="00052FD7" w:rsidRPr="007E40FA">
        <w:rPr>
          <w:rFonts w:ascii="Times New Roman" w:hAnsi="Times New Roman"/>
          <w:sz w:val="24"/>
          <w:szCs w:val="24"/>
        </w:rPr>
        <w:t xml:space="preserve">during or after </w:t>
      </w:r>
      <w:r w:rsidR="008F2899" w:rsidRPr="007E40FA">
        <w:rPr>
          <w:rFonts w:ascii="Times New Roman" w:hAnsi="Times New Roman"/>
          <w:sz w:val="24"/>
          <w:szCs w:val="24"/>
        </w:rPr>
        <w:t>therapeutic intervention has</w:t>
      </w:r>
      <w:r w:rsidR="003A0B84" w:rsidRPr="007E40FA">
        <w:rPr>
          <w:rFonts w:ascii="Times New Roman" w:hAnsi="Times New Roman"/>
          <w:sz w:val="24"/>
          <w:szCs w:val="24"/>
        </w:rPr>
        <w:t xml:space="preserve"> been demonstrated to be useful as a predictor of treatment response, often sooner than currently utilized techniques</w:t>
      </w:r>
      <w:r w:rsidR="0036708D" w:rsidRPr="007E40FA">
        <w:rPr>
          <w:rFonts w:ascii="Times New Roman" w:hAnsi="Times New Roman"/>
          <w:sz w:val="24"/>
          <w:szCs w:val="24"/>
        </w:rPr>
        <w:fldChar w:fldCharType="begin" w:fldLock="1"/>
      </w:r>
      <w:r w:rsidR="007F0560" w:rsidRPr="007E40FA">
        <w:rPr>
          <w:rFonts w:ascii="Times New Roman" w:hAnsi="Times New Roman"/>
          <w:sz w:val="24"/>
          <w:szCs w:val="24"/>
        </w:rPr>
        <w:instrText>ADDIN CSL_CITATION { "citationItems" : [ { "id" : "ITEM-1", "itemData" : { "DOI" : "10.1158/1078-0432.CCR-05-2821", "ISSN" : "1078-0432", "PMID" : "16857794", "abstract" : "We reported previously that &gt;or=5 circulating tumor cells (CTC) in 7.5 mL blood at baseline and at first follow-up in 177 patients with metastatic breast cancer (MBC) were associated with poor clinical outcome. In this study, additional follow-up data and CTC levels at subsequent follow-up visits were evaluated.", "author" : [ { "dropping-particle" : "", "family" : "Hayes", "given" : "Daniel F", "non-dropping-particle" : "", "parse-names" : false, "suffix" : "" }, { "dropping-particle" : "", "family" : "Cristofanilli", "given" : "Massimo", "non-dropping-particle" : "", "parse-names" : false, "suffix" : "" }, { "dropping-particle" : "", "family" : "Budd", "given" : "G Thomas", "non-dropping-particle" : "", "parse-names" : false, "suffix" : "" }, { "dropping-particle" : "", "family" : "Ellis", "given" : "Matthew J", "non-dropping-particle" : "", "parse-names" : false, "suffix" : "" }, { "dropping-particle" : "", "family" : "Stopeck", "given" : "Alison", "non-dropping-particle" : "", "parse-names" : false, "suffix" : "" }, { "dropping-particle" : "", "family" : "Miller", "given" : "M Craig", "non-dropping-particle" : "", "parse-names" : false, "suffix" : "" }, { "dropping-particle" : "", "family" : "Matera", "given" : "Jeri", "non-dropping-particle" : "", "parse-names" : false, "suffix" : "" }, { "dropping-particle" : "", "family" : "Allard", "given" : "W Jeffrey", "non-dropping-particle" : "", "parse-names" : false, "suffix" : "" }, { "dropping-particle" : "V", "family" : "Doyle", "given" : "Gerald", "non-dropping-particle" : "", "parse-names" : false, "suffix" : "" }, { "dropping-particle" : "", "family" : "Terstappen", "given" : "Leon W W M", "non-dropping-particle" : "", "parse-names" : false, "suffix" : "" } ], "container-title" : "Clinical cancer research : an official journal of the American Association for Cancer Research", "id" : "ITEM-1", "issue" : "14 Pt 1", "issued" : { "date-parts" : [ [ "2006", "7", "15" ] ] }, "page" : "4218-24", "title" : "Circulating tumor cells at each follow-up time point during therapy of metastatic breast cancer patients predict progression-free and overall survival.", "type" : "article-journal", "volume" : "12" }, "uris" : [ "http://www.mendeley.com/documents/?uuid=f56d37c4-8bb4-4076-9484-2dd5c2800ea9" ] }, { "id" : "ITEM-2", "itemData" : { "DOI" : "10.1158/1078-0432.CCR-05-1769", "ISSN" : "1078-0432", "PMID" : "17085652", "abstract" : "The presence of &gt;or=5 circulating tumor cells (CTC) in 7.5 mL blood from patients with measurable metastatic breast cancer before and/or after initiation of therapy is associated with shorter progression-free and overall survival. In this report, we compared the use of CTCs to radiology for prediction of overall survival.", "author" : [ { "dropping-particle" : "", "family" : "Budd", "given" : "G Thomas", "non-dropping-particle" : "", "parse-names" : false, "suffix" : "" }, { "dropping-particle" : "", "family" : "Cristofanilli", "given" : "Massimo", "non-dropping-particle" : "", "parse-names" : false, "suffix" : "" }, { "dropping-particle" : "", "family" : "Ellis", "given" : "Mathew J", "non-dropping-particle" : "", "parse-names" : false, "suffix" : "" }, { "dropping-particle" : "", "family" : "Stopeck", "given" : "Allison", "non-dropping-particle" : "", "parse-names" : false, "suffix" : "" }, { "dropping-particle" : "", "family" : "Borden", "given" : "Ernest", "non-dropping-particle" : "", "parse-names" : false, "suffix" : "" }, { "dropping-particle" : "", "family" : "Miller", "given" : "M Craig", "non-dropping-particle" : "", "parse-names" : false, "suffix" : "" }, { "dropping-particle" : "", "family" : "Matera", "given" : "Jeri", "non-dropping-particle" : "", "parse-names" : false, "suffix" : "" }, { "dropping-particle" : "", "family" : "Repollet", "given" : "Madeline", "non-dropping-particle" : "", "parse-names" : false, "suffix" : "" }, { "dropping-particle" : "V", "family" : "Doyle", "given" : "Gerald", "non-dropping-particle" : "", "parse-names" : false, "suffix" : "" }, { "dropping-particle" : "", "family" : "Terstappen", "given" : "Leon W M M", "non-dropping-particle" : "", "parse-names" : false, "suffix" : "" }, { "dropping-particle" : "", "family" : "Hayes", "given" : "Daniel F", "non-dropping-particle" : "", "parse-names" : false, "suffix" : "" } ], "container-title" : "Clinical cancer research : an official journal of the American Association for Cancer Research", "id" : "ITEM-2", "issue" : "21", "issued" : { "date-parts" : [ [ "2006", "11", "1" ] ] }, "page" : "6403-9", "title" : "Circulating tumor cells versus imaging--predicting overall survival in metastatic breast cancer.", "type" : "article-journal", "volume" : "12" }, "uris" : [ "http://www.mendeley.com/documents/?uuid=6d332d6c-9357-4dc7-bf32-9db87e950cb0" ] }, { "id" : "ITEM-3", "itemData" : { "DOI" : "10.1093/annonc/mdn544", "ISSN" : "1569-8041", "PMID" : "18695026", "abstract" : "The purpose of this study was to evaluate the association of circulating tumour cell (CTC) counts, before and after commencing treatment, with overall survival (OS) in patients with castration-resistant prostate cancer (CRPC).", "author" : [ { "dropping-particle" : "", "family" : "Olmos", "given" : "D", "non-dropping-particle" : "", "parse-names" : false, "suffix" : "" }, { "dropping-particle" : "", "family" : "Arkenau", "given" : "H-T", "non-dropping-particle" : "", "parse-names" : false, "suffix" : "" }, { "dropping-particle" : "", "family" : "Ang", "given" : "J E", "non-dropping-particle" : "", "parse-names" : false, "suffix" : "" }, { "dropping-particle" : "", "family" : "Ledaki", "given" : "I", "non-dropping-particle" : "", "parse-names" : false, "suffix" : "" }, { "dropping-particle" : "", "family" : "Attard", "given" : "G", "non-dropping-particle" : "", "parse-names" : false, "suffix" : "" }, { "dropping-particle" : "", "family" : "Carden", "given" : "C P", "non-dropping-particle" : "", "parse-names" : false, "suffix" : "" }, { "dropping-particle" : "", "family" : "Reid", "given" : "A H M", "non-dropping-particle" : "", "parse-names" : false, "suffix" : "" }, { "dropping-particle" : "", "family" : "A'Hern", "given" : "R", "non-dropping-particle" : "", "parse-names" : false, "suffix" : "" }, { "dropping-particle" : "", "family" : "Fong", "given" : "P C", "non-dropping-particle" : "", "parse-names" : false, "suffix" : "" }, { "dropping-particle" : "", "family" : "Oomen", "given" : "N B", "non-dropping-particle" : "", "parse-names" : false, "suffix" : "" }, { "dropping-particle" : "", "family" : "Molife", "given" : "R", "non-dropping-particle" : "", "parse-names" : false, "suffix" : "" }, { "dropping-particle" : "", "family" : "Dearnaley", "given" : "D", "non-dropping-particle" : "", "parse-names" : false, "suffix" : "" }, { "dropping-particle" : "", "family" : "Parker", "given" : "C", "non-dropping-particle" : "", "parse-names" : false, "suffix" : "" }, { "dropping-particle" : "", "family" : "Terstappen", "given" : "L W M M", "non-dropping-particle" : "", "parse-names" : false, "suffix" : "" }, { "dropping-particle" : "", "family" : "Bono", "given" : "J S", "non-dropping-particle" : "de", "parse-names" : false, "suffix" : "" } ], "container-title" : "Annals of oncology : official journal of the European Society for Medical Oncology / ESMO", "id" : "ITEM-3", "issue" : "1", "issued" : { "date-parts" : [ [ "2009", "1" ] ] }, "page" : "27-33", "title" : "Circulating tumour cell (CTC) counts as intermediate end points in castration-resistant prostate cancer (CRPC): a single-centre experience.", "type" : "article-journal", "volume" : "20" }, "uris" : [ "http://www.mendeley.com/documents/?uuid=2cce8478-4469-40ab-91bf-dface131ad25" ] }, { "id" : "ITEM-4", "itemData" : { "ISSN" : "1078-0432", "PMID" : "18829513", "abstract" : "PURPOSE: A method for enumerating circulating tumor cells (CTC) has received regulatory clearance. The primary objective of this prospective study was to establish the relationship between posttreatment CTC count and overall survival (OS) in castration-resistant prostate cancer (CRPC). Secondary objectives included determining the prognostic utility of CTC measurement before initiating therapy, and the relationship of CTC to prostate-specific antigen (PSA) changes and OS at these and other time points. EXPERIMENTAL DESIGN: Blood was drawn from CRPC patients with progressive disease starting a new line of chemotherapy before treatment and monthly thereafter. Patients were stratified into predetermined Favorable or Unfavorable groups (&lt;5 and &gt; or =5 CTC/7.5mL). RESULTS: Two hundred thirty-one of 276 enrolled patients (84%) were evaluable. Patients with Unfavorable pretreatment CTC (57%) had shorter OS (median OS, 11.5 versus 21.7 months; Cox hazard ratio, 3.3; P &lt; 0.0001). Unfavorable posttreatment CTC counts also predicted shorter OS at 2 to 5, 6 to 8, 9 to 12, and 13 to 20 weeks (median OS, 6.7-9.5 versus 19.6-20.7 months; Cox hazard ratio, 3.6-6.5; P &lt; 0.0001). CTC counts predicted OS better than PSA decrement algorithms at all time points; area under the receiver operator curve for CTC was 81% to 87% and 58% to 68% for 30% PSA reduction (P = 0.0218). Prognosis for patients with (a) Unfavorable baseline CTC who converted to Favorable CTC improved (6.8 to 21.3 months); (b) Favorable baseline CTC who converted to Unfavorable worsened (&gt;26 to 9.3 months). CONCLUSIONS: CTC are the most accurate and independent predictor of OS in CRPC. These data led to Food and Drug Administration clearance of this assay for the evaluation of CRPC.", "author" : [ { "dropping-particle" : "", "family" : "Bono", "given" : "Johann S", "non-dropping-particle" : "de", "parse-names" : false, "suffix" : "" }, { "dropping-particle" : "", "family" : "Scher", "given" : "Howard I", "non-dropping-particle" : "", "parse-names" : false, "suffix" : "" }, { "dropping-particle" : "", "family" : "Montgomery", "given" : "R Bruce", "non-dropping-particle" : "", "parse-names" : false, "suffix" : "" }, { "dropping-particle" : "", "family" : "Parker", "given" : "Christopher", "non-dropping-particle" : "", "parse-names" : false, "suffix" : "" }, { "dropping-particle" : "", "family" : "Miller", "given" : "M Craig", "non-dropping-particle" : "", "parse-names" : false, "suffix" : "" }, { "dropping-particle" : "", "family" : "Tissing", "given" : "Henk", "non-dropping-particle" : "", "parse-names" : false, "suffix" : "" }, { "dropping-particle" : "V", "family" : "Doyle", "given" : "Gerald", "non-dropping-particle" : "", "parse-names" : false, "suffix" : "" }, { "dropping-particle" : "", "family" : "Terstappen", "given" : "Leon W W M", "non-dropping-particle" : "", "parse-names" : false, "suffix" : "" }, { "dropping-particle" : "", "family" : "Pienta", "given" : "Kenneth J", "non-dropping-particle" : "", "parse-names" : false, "suffix" : "" }, { "dropping-particle" : "", "family" : "Raghavan", "given" : "Derek", "non-dropping-particle" : "", "parse-names" : false, "suffix" : "" } ], "container-title" : "Clinical cancer research : an official journal of the American Association for Cancer Research", "id" : "ITEM-4", "issue" : "19", "issued" : { "date-parts" : [ [ "2008", "10" ] ] }, "page" : "6302-9", "title" : "Circulating tumor cells predict survival benefit from treatment in metastatic castration-resistant prostate cancer.", "type" : "article-journal", "volume" : "14" }, "uris" : [ "http://www.mendeley.com/documents/?uuid=e395c73b-2fe0-47e7-bccd-d72809bcbcca" ] } ], "mendeley" : { "previouslyFormattedCitation" : "&lt;sup&gt;7\u201310&lt;/sup&gt;" }, "properties" : { "noteIndex" : 0 }, "schema" : "https://github.com/citation-style-language/schema/raw/master/csl-citation.json" }</w:instrText>
      </w:r>
      <w:r w:rsidR="0036708D" w:rsidRPr="007E40FA">
        <w:rPr>
          <w:rFonts w:ascii="Times New Roman" w:hAnsi="Times New Roman"/>
          <w:sz w:val="24"/>
          <w:szCs w:val="24"/>
        </w:rPr>
        <w:fldChar w:fldCharType="separate"/>
      </w:r>
      <w:r w:rsidR="007F0560" w:rsidRPr="007E40FA">
        <w:rPr>
          <w:rFonts w:ascii="Times New Roman" w:hAnsi="Times New Roman"/>
          <w:noProof/>
          <w:sz w:val="24"/>
          <w:szCs w:val="24"/>
          <w:vertAlign w:val="superscript"/>
        </w:rPr>
        <w:t>7–10</w:t>
      </w:r>
      <w:r w:rsidR="0036708D" w:rsidRPr="007E40FA">
        <w:rPr>
          <w:rFonts w:ascii="Times New Roman" w:hAnsi="Times New Roman"/>
          <w:sz w:val="24"/>
          <w:szCs w:val="24"/>
        </w:rPr>
        <w:fldChar w:fldCharType="end"/>
      </w:r>
      <w:r w:rsidR="003A0B84" w:rsidRPr="007E40FA">
        <w:rPr>
          <w:rFonts w:ascii="Times New Roman" w:hAnsi="Times New Roman"/>
          <w:sz w:val="24"/>
          <w:szCs w:val="24"/>
        </w:rPr>
        <w:t xml:space="preserve">. </w:t>
      </w:r>
    </w:p>
    <w:p w:rsidR="006A3BD5" w:rsidRPr="007E40FA" w:rsidRDefault="006A3BD5" w:rsidP="001F0875">
      <w:pPr>
        <w:spacing w:after="0" w:line="240" w:lineRule="auto"/>
        <w:jc w:val="both"/>
        <w:rPr>
          <w:rFonts w:ascii="Times New Roman" w:hAnsi="Times New Roman"/>
          <w:sz w:val="24"/>
          <w:szCs w:val="24"/>
        </w:rPr>
      </w:pPr>
    </w:p>
    <w:p w:rsidR="006A3BD5" w:rsidRPr="007E40FA" w:rsidRDefault="00E530AE" w:rsidP="001F0875">
      <w:pPr>
        <w:spacing w:after="0" w:line="240" w:lineRule="auto"/>
        <w:jc w:val="both"/>
        <w:rPr>
          <w:rFonts w:ascii="Times New Roman" w:hAnsi="Times New Roman"/>
          <w:sz w:val="24"/>
          <w:szCs w:val="24"/>
        </w:rPr>
      </w:pPr>
      <w:r w:rsidRPr="007E40FA">
        <w:rPr>
          <w:rFonts w:ascii="Times New Roman" w:hAnsi="Times New Roman"/>
          <w:sz w:val="24"/>
          <w:szCs w:val="24"/>
        </w:rPr>
        <w:t>It has been estimated that, i</w:t>
      </w:r>
      <w:r w:rsidR="00201C52" w:rsidRPr="007E40FA">
        <w:rPr>
          <w:rFonts w:ascii="Times New Roman" w:hAnsi="Times New Roman"/>
          <w:sz w:val="24"/>
          <w:szCs w:val="24"/>
        </w:rPr>
        <w:t>n metastatic cancer patients</w:t>
      </w:r>
      <w:r w:rsidRPr="007E40FA">
        <w:rPr>
          <w:rFonts w:ascii="Times New Roman" w:hAnsi="Times New Roman"/>
          <w:sz w:val="24"/>
          <w:szCs w:val="24"/>
        </w:rPr>
        <w:t xml:space="preserve">, </w:t>
      </w:r>
      <w:r w:rsidR="00201C52" w:rsidRPr="007E40FA">
        <w:rPr>
          <w:rFonts w:ascii="Times New Roman" w:hAnsi="Times New Roman"/>
          <w:sz w:val="24"/>
          <w:szCs w:val="24"/>
        </w:rPr>
        <w:t>C</w:t>
      </w:r>
      <w:r w:rsidR="00052FD7" w:rsidRPr="007E40FA">
        <w:rPr>
          <w:rFonts w:ascii="Times New Roman" w:hAnsi="Times New Roman"/>
          <w:sz w:val="24"/>
          <w:szCs w:val="24"/>
        </w:rPr>
        <w:t xml:space="preserve">TCs </w:t>
      </w:r>
      <w:r w:rsidR="00201C52" w:rsidRPr="007E40FA">
        <w:rPr>
          <w:rFonts w:ascii="Times New Roman" w:hAnsi="Times New Roman"/>
          <w:sz w:val="24"/>
          <w:szCs w:val="24"/>
        </w:rPr>
        <w:t>occur at a frequency of approximately 1 CTC per 10</w:t>
      </w:r>
      <w:r w:rsidR="00201C52" w:rsidRPr="007E40FA">
        <w:rPr>
          <w:rFonts w:ascii="Times New Roman" w:hAnsi="Times New Roman"/>
          <w:sz w:val="24"/>
          <w:szCs w:val="24"/>
          <w:vertAlign w:val="superscript"/>
        </w:rPr>
        <w:t>5</w:t>
      </w:r>
      <w:r w:rsidR="00201C52" w:rsidRPr="007E40FA">
        <w:rPr>
          <w:rFonts w:ascii="Times New Roman" w:hAnsi="Times New Roman"/>
          <w:sz w:val="24"/>
          <w:szCs w:val="24"/>
        </w:rPr>
        <w:t>-10</w:t>
      </w:r>
      <w:r w:rsidR="00201C52" w:rsidRPr="007E40FA">
        <w:rPr>
          <w:rFonts w:ascii="Times New Roman" w:hAnsi="Times New Roman"/>
          <w:sz w:val="24"/>
          <w:szCs w:val="24"/>
          <w:vertAlign w:val="superscript"/>
        </w:rPr>
        <w:t>7</w:t>
      </w:r>
      <w:r w:rsidR="00201C52" w:rsidRPr="007E40FA">
        <w:rPr>
          <w:rFonts w:ascii="Times New Roman" w:hAnsi="Times New Roman"/>
          <w:sz w:val="24"/>
          <w:szCs w:val="24"/>
        </w:rPr>
        <w:t xml:space="preserve"> blood mononuclear cells</w:t>
      </w:r>
      <w:r w:rsidRPr="007E40FA">
        <w:rPr>
          <w:rFonts w:ascii="Times New Roman" w:hAnsi="Times New Roman"/>
          <w:sz w:val="24"/>
          <w:szCs w:val="24"/>
        </w:rPr>
        <w:t xml:space="preserve"> and in patients with localized disease, t</w:t>
      </w:r>
      <w:r w:rsidR="00201C52" w:rsidRPr="007E40FA">
        <w:rPr>
          <w:rFonts w:ascii="Times New Roman" w:hAnsi="Times New Roman"/>
          <w:sz w:val="24"/>
          <w:szCs w:val="24"/>
        </w:rPr>
        <w:t>his frequency may be even lower (~1 in 10</w:t>
      </w:r>
      <w:r w:rsidR="00201C52" w:rsidRPr="007E40FA">
        <w:rPr>
          <w:rFonts w:ascii="Times New Roman" w:hAnsi="Times New Roman"/>
          <w:sz w:val="24"/>
          <w:szCs w:val="24"/>
          <w:vertAlign w:val="superscript"/>
        </w:rPr>
        <w:t>8</w:t>
      </w:r>
      <w:r w:rsidR="00201C52" w:rsidRPr="007E40FA">
        <w:rPr>
          <w:rFonts w:ascii="Times New Roman" w:hAnsi="Times New Roman"/>
          <w:sz w:val="24"/>
          <w:szCs w:val="24"/>
        </w:rPr>
        <w:t>).</w:t>
      </w:r>
      <w:r w:rsidR="00052FD7" w:rsidRPr="007E40FA">
        <w:t xml:space="preserve"> </w:t>
      </w:r>
      <w:r w:rsidR="0001196B" w:rsidRPr="007E40FA">
        <w:rPr>
          <w:rFonts w:ascii="Times New Roman" w:hAnsi="Times New Roman"/>
          <w:sz w:val="24"/>
          <w:szCs w:val="24"/>
        </w:rPr>
        <w:t>The rare nature of these cells can make it difficult to accurately and reliably detect and analyze CTCs</w:t>
      </w:r>
      <w:r w:rsidR="0036708D" w:rsidRPr="007E40FA">
        <w:rPr>
          <w:rFonts w:ascii="Times New Roman" w:hAnsi="Times New Roman"/>
          <w:sz w:val="24"/>
          <w:szCs w:val="24"/>
        </w:rPr>
        <w:fldChar w:fldCharType="begin" w:fldLock="1"/>
      </w:r>
      <w:r w:rsidR="007F0560" w:rsidRPr="007E40FA">
        <w:rPr>
          <w:rFonts w:ascii="Times New Roman" w:hAnsi="Times New Roman"/>
          <w:sz w:val="24"/>
          <w:szCs w:val="24"/>
        </w:rPr>
        <w:instrText>ADDIN CSL_CITATION { "citationItems" : [ { "id" : "ITEM-1", "itemData" : { "ISSN" : "1687-8469", "PMID" : "20049168", "abstract" : "Solid cancers are a leading cause of death worldwide, primarily due to the failure of effective clinical detection and treatment of metastatic disease in distant sites. There is growing evidence that the presence of circulating tumor cells (CTCs) in the blood of cancer patients may be an important indicator of the potential for metastatic disease and poor prognosis. Technological advances have now facilitated the enumeration and characterization of CTCs using methods such as PCR, flow cytometry, image-based immunologic approaches, immunomagnetic techniques, and microchip technology. However, the rare nature of these cells requires that very sensitive and robust detection/enumeration methods be developed and validated in order to implement CTC analysis for widespread use in the clinic. This review will focus on the important technical and statistical considerations that must be taken into account when designing and implementing CTC assays, as well as the subsequent interpretation of these results for the purposes of clinical decision making.", "author" : [ { "dropping-particle" : "", "family" : "Allan", "given" : "Alison L", "non-dropping-particle" : "", "parse-names" : false, "suffix" : "" }, { "dropping-particle" : "", "family" : "Keeney", "given" : "Michael", "non-dropping-particle" : "", "parse-names" : false, "suffix" : "" } ], "container-title" : "Journal of oncology", "id" : "ITEM-1", "issued" : { "date-parts" : [ [ "2010", "1" ] ] }, "page" : "426218", "title" : "Circulating tumor cell analysis: technical and statistical considerations for application to the clinic.", "type" : "article-journal", "volume" : "2010" }, "uris" : [ "http://www.mendeley.com/documents/?uuid=8bac74c2-87cd-4841-989c-7a470477d336" ] } ], "mendeley" : { "previouslyFormattedCitation" : "&lt;sup&gt;11&lt;/sup&gt;" }, "properties" : { "noteIndex" : 0 }, "schema" : "https://github.com/citation-style-language/schema/raw/master/csl-citation.json" }</w:instrText>
      </w:r>
      <w:r w:rsidR="0036708D" w:rsidRPr="007E40FA">
        <w:rPr>
          <w:rFonts w:ascii="Times New Roman" w:hAnsi="Times New Roman"/>
          <w:sz w:val="24"/>
          <w:szCs w:val="24"/>
        </w:rPr>
        <w:fldChar w:fldCharType="separate"/>
      </w:r>
      <w:r w:rsidR="007F0560" w:rsidRPr="007E40FA">
        <w:rPr>
          <w:rFonts w:ascii="Times New Roman" w:hAnsi="Times New Roman"/>
          <w:noProof/>
          <w:sz w:val="24"/>
          <w:szCs w:val="24"/>
          <w:vertAlign w:val="superscript"/>
        </w:rPr>
        <w:t>11</w:t>
      </w:r>
      <w:r w:rsidR="0036708D" w:rsidRPr="007E40FA">
        <w:rPr>
          <w:rFonts w:ascii="Times New Roman" w:hAnsi="Times New Roman"/>
          <w:sz w:val="24"/>
          <w:szCs w:val="24"/>
        </w:rPr>
        <w:fldChar w:fldCharType="end"/>
      </w:r>
      <w:r w:rsidR="0001196B" w:rsidRPr="007E40FA">
        <w:rPr>
          <w:rFonts w:ascii="Times New Roman" w:hAnsi="Times New Roman"/>
          <w:sz w:val="24"/>
          <w:szCs w:val="24"/>
        </w:rPr>
        <w:t xml:space="preserve">. </w:t>
      </w:r>
      <w:r w:rsidR="0036708D" w:rsidRPr="007E40FA">
        <w:rPr>
          <w:rFonts w:ascii="Times New Roman" w:hAnsi="Times New Roman"/>
          <w:sz w:val="24"/>
          <w:szCs w:val="24"/>
        </w:rPr>
        <w:t>Several methods (reviewed previously</w:t>
      </w:r>
      <w:r w:rsidR="0036708D" w:rsidRPr="007E40FA">
        <w:rPr>
          <w:rFonts w:ascii="Times New Roman" w:hAnsi="Times New Roman"/>
          <w:sz w:val="24"/>
          <w:szCs w:val="24"/>
        </w:rPr>
        <w:fldChar w:fldCharType="begin" w:fldLock="1"/>
      </w:r>
      <w:r w:rsidR="0036708D" w:rsidRPr="007E40FA">
        <w:rPr>
          <w:rFonts w:ascii="Times New Roman" w:hAnsi="Times New Roman"/>
          <w:sz w:val="24"/>
          <w:szCs w:val="24"/>
        </w:rPr>
        <w:instrText>ADDIN CSL_CITATION { "citationItems" : [ { "id" : "ITEM-1", "itemData" : { "DOI" : "10.1016/B978-0-12-374912-3.00010-9", "ISSN" : "0091-679X", "PMID" : "21704842", "abstract" : "The majority of cancer-related deaths are as a result of metastatic disease, which has been correlated with the presence of circulating tumor cells (CTCs) in the bloodstream. Therefore the ability to reliably enumerate and characterize these cells could provide useful information about the biology of the metastatic cascade; facilitate patient prognosis; act as a marker of therapeutic response; and/or aid in novel anticancer drug development. Several different techniques have been utilized for the enrichment and detection of these rare CTCs, each having their own unique advantages and disadvantages. In this chapter we will briefly discuss each of these techniques as well as the pros and cons of each approach. In particular, we will provide a comprehensive examination of two image cytometry approaches for CTC analysis that are in routine use in our laboratory; the iCys Laser Scanning Cytometer (Compucyte, Cambridge, MA), and the CellSearch\u00ae system (Veridex, North Raritan, NJ). The ability to detect, enumerate, and characterize CTCs is an important tool for the study of the metastatic cascade and the improved clinical management of cancer patients. These rare cells could shed light on the basic biology behind this highly lethal process and ultimately change current patient treatment guidelines.", "author" : [ { "dropping-particle" : "", "family" : "Lowes", "given" : "Lori E", "non-dropping-particle" : "", "parse-names" : false, "suffix" : "" }, { "dropping-particle" : "", "family" : "Goodale", "given" : "David", "non-dropping-particle" : "", "parse-names" : false, "suffix" : "" }, { "dropping-particle" : "", "family" : "Keeney", "given" : "Michael", "non-dropping-particle" : "", "parse-names" : false, "suffix" : "" }, { "dropping-particle" : "", "family" : "Allan", "given" : "Alison L", "non-dropping-particle" : "", "parse-names" : false, "suffix" : "" } ], "container-title" : "Methods in cell biology", "id" : "ITEM-1", "issued" : { "date-parts" : [ [ "2011", "1" ] ] }, "page" : "261-90", "title" : "Image cytometry analysis of circulating tumor cells.", "type" : "article-journal", "volume" : "102" }, "uris" : [ "http://www.mendeley.com/documents/?uuid=797adc53-8791-4d9f-b613-e32645c5249b" ] }, { "id" : "ITEM-2", "itemData" : { "DOI" : "10.1373/clinchem.2011.165068", "ISSN" : "1530-8561", "PMID" : "21784769", "abstract" : "Circulating tumor cell (CTC) analysis is a promising new diagnostic field for estimating the risk for metastatic relapse and metastatic progression in patients with cancer.", "author" : [ { "dropping-particle" : "", "family" : "Lianidou", "given" : "Evi S", "non-dropping-particle" : "", "parse-names" : false, "suffix" : "" }, { "dropping-particle" : "", "family" : "Markou", "given" : "Athina", "non-dropping-particle" : "", "parse-names" : false, "suffix" : "" } ], "container-title" : "Clinical chemistry", "id" : "ITEM-2", "issue" : "9", "issued" : { "date-parts" : [ [ "2011", "9" ] ] }, "page" : "1242-55", "title" : "Circulating tumor cells in breast cancer: detection systems, molecular characterization, and future challenges.", "type" : "article-journal", "volume" : "57" }, "uris" : [ "http://www.mendeley.com/documents/?uuid=b9827a54-ba75-4d20-99b8-5fe09b2f68f1" ] }, { "id" : "ITEM-3", "itemData" : { "DOI" : "10.1373/clinchem.2012.194258", "ISSN" : "1530-8561", "PMID" : "23014601", "abstract" : "The detection and molecular characterization of circulating tumor cells (CTCs) are one of the most active areas of translational cancer research, with &gt;400 clinical studies having included CTCs as a biomarker. The aims of research on CTCs include (a) estimation of the risk for metastatic relapse or metastatic progression (prognostic information), (b) stratification and real-time monitoring of therapies, (c) identification of therapeutic targets and resistance mechanisms, and (d) understanding metastasis development in cancer patients.", "author" : [ { "dropping-particle" : "", "family" : "Alix-Panabi\u00e8res", "given" : "Catherine", "non-dropping-particle" : "", "parse-names" : false, "suffix" : "" }, { "dropping-particle" : "", "family" : "Pantel", "given" : "Klaus", "non-dropping-particle" : "", "parse-names" : false, "suffix" : "" } ], "container-title" : "Clinical chemistry", "id" : "ITEM-3", "issue" : "1", "issued" : { "date-parts" : [ [ "2013", "1" ] ] }, "page" : "110-8", "title" : "Circulating tumor cells: liquid biopsy of cancer.", "type" : "article-journal", "volume" : "59" }, "uris" : [ "http://www.mendeley.com/documents/?uuid=42f9489f-92ab-4fc9-b0d9-083b108da1f3" ] } ], "mendeley" : { "previouslyFormattedCitation" : "&lt;sup&gt;12\u201314&lt;/sup&gt;" }, "properties" : { "noteIndex" : 0 }, "schema" : "https://github.com/citation-style-language/schema/raw/master/csl-citation.json" }</w:instrText>
      </w:r>
      <w:r w:rsidR="0036708D" w:rsidRPr="007E40FA">
        <w:rPr>
          <w:rFonts w:ascii="Times New Roman" w:hAnsi="Times New Roman"/>
          <w:sz w:val="24"/>
          <w:szCs w:val="24"/>
        </w:rPr>
        <w:fldChar w:fldCharType="separate"/>
      </w:r>
      <w:r w:rsidR="0036708D" w:rsidRPr="007E40FA">
        <w:rPr>
          <w:rFonts w:ascii="Times New Roman" w:hAnsi="Times New Roman"/>
          <w:noProof/>
          <w:sz w:val="24"/>
          <w:szCs w:val="24"/>
          <w:vertAlign w:val="superscript"/>
        </w:rPr>
        <w:t>12–14</w:t>
      </w:r>
      <w:r w:rsidR="0036708D" w:rsidRPr="007E40FA">
        <w:rPr>
          <w:rFonts w:ascii="Times New Roman" w:hAnsi="Times New Roman"/>
          <w:sz w:val="24"/>
          <w:szCs w:val="24"/>
        </w:rPr>
        <w:fldChar w:fldCharType="end"/>
      </w:r>
      <w:r w:rsidR="0036708D" w:rsidRPr="007E40FA">
        <w:rPr>
          <w:rFonts w:ascii="Times New Roman" w:hAnsi="Times New Roman"/>
          <w:sz w:val="24"/>
          <w:szCs w:val="24"/>
        </w:rPr>
        <w:t>) have been utilized to enrich and detect these cells by exploiting properties that differentiate them from surrounding blood components. In general, CTC enumeration is a two-part process that requires both an enrichment step and a detection step. Traditionally, enrichment steps rely on differences in physical properties of CTCs (cell size, density, deformability) or on protein marker expression (i.e., epithelial cell adhesion molecule [</w:t>
      </w:r>
      <w:proofErr w:type="spellStart"/>
      <w:r w:rsidR="0036708D" w:rsidRPr="007E40FA">
        <w:rPr>
          <w:rFonts w:ascii="Times New Roman" w:hAnsi="Times New Roman"/>
          <w:sz w:val="24"/>
          <w:szCs w:val="24"/>
        </w:rPr>
        <w:t>EpCAM</w:t>
      </w:r>
      <w:proofErr w:type="spellEnd"/>
      <w:r w:rsidR="0036708D" w:rsidRPr="007E40FA">
        <w:rPr>
          <w:rFonts w:ascii="Times New Roman" w:hAnsi="Times New Roman"/>
          <w:sz w:val="24"/>
          <w:szCs w:val="24"/>
        </w:rPr>
        <w:t>], cytokeratin [CK]). Following enrichment, CTC detection can be performed in a number of different ways, the most common of which are nucleic acid-based assays</w:t>
      </w:r>
      <w:r w:rsidR="0036708D" w:rsidRPr="007E40FA">
        <w:fldChar w:fldCharType="begin"/>
      </w:r>
      <w:r w:rsidR="0036708D" w:rsidRPr="007E40FA">
        <w:fldChar w:fldCharType="separate"/>
      </w:r>
      <w:r w:rsidR="0036708D" w:rsidRPr="007E40FA">
        <w:rPr>
          <w:rFonts w:ascii="Times New Roman" w:hAnsi="Times New Roman"/>
          <w:noProof/>
          <w:sz w:val="24"/>
          <w:szCs w:val="24"/>
        </w:rPr>
        <w:t>{Formatting Citation}</w:t>
      </w:r>
      <w:r w:rsidR="0036708D" w:rsidRPr="007E40FA">
        <w:rPr>
          <w:rFonts w:ascii="Times New Roman" w:hAnsi="Times New Roman"/>
          <w:noProof/>
          <w:sz w:val="24"/>
          <w:szCs w:val="24"/>
        </w:rPr>
        <w:fldChar w:fldCharType="end"/>
      </w:r>
      <w:r w:rsidR="0036708D" w:rsidRPr="007E40FA">
        <w:fldChar w:fldCharType="begin"/>
      </w:r>
      <w:r w:rsidR="0036708D" w:rsidRPr="007E40FA">
        <w:fldChar w:fldCharType="separate"/>
      </w:r>
      <w:r w:rsidR="0036708D" w:rsidRPr="007E40FA">
        <w:rPr>
          <w:rFonts w:ascii="Times New Roman" w:hAnsi="Times New Roman"/>
          <w:noProof/>
          <w:sz w:val="24"/>
          <w:szCs w:val="24"/>
        </w:rPr>
        <w:t>{Formatting Citation}</w:t>
      </w:r>
      <w:r w:rsidR="0036708D" w:rsidRPr="007E40FA">
        <w:rPr>
          <w:rFonts w:ascii="Times New Roman" w:hAnsi="Times New Roman"/>
          <w:noProof/>
          <w:sz w:val="24"/>
          <w:szCs w:val="24"/>
        </w:rPr>
        <w:fldChar w:fldCharType="end"/>
      </w:r>
      <w:r w:rsidR="0036708D" w:rsidRPr="007E40FA">
        <w:fldChar w:fldCharType="begin"/>
      </w:r>
      <w:r w:rsidR="0036708D" w:rsidRPr="007E40FA">
        <w:fldChar w:fldCharType="separate"/>
      </w:r>
      <w:r w:rsidR="0036708D" w:rsidRPr="007E40FA">
        <w:rPr>
          <w:rFonts w:ascii="Times New Roman" w:hAnsi="Times New Roman"/>
          <w:sz w:val="24"/>
          <w:szCs w:val="24"/>
        </w:rPr>
        <w:t>{Formatting Citation}</w:t>
      </w:r>
      <w:r w:rsidR="0036708D" w:rsidRPr="007E40FA">
        <w:rPr>
          <w:rFonts w:ascii="Times New Roman" w:hAnsi="Times New Roman"/>
          <w:sz w:val="24"/>
          <w:szCs w:val="24"/>
        </w:rPr>
        <w:fldChar w:fldCharType="end"/>
      </w:r>
      <w:r w:rsidR="0036708D" w:rsidRPr="007E40FA">
        <w:fldChar w:fldCharType="begin"/>
      </w:r>
      <w:r w:rsidR="0036708D" w:rsidRPr="007E40FA">
        <w:fldChar w:fldCharType="separate"/>
      </w:r>
      <w:r w:rsidR="0036708D" w:rsidRPr="007E40FA">
        <w:rPr>
          <w:rFonts w:ascii="Times New Roman" w:hAnsi="Times New Roman"/>
          <w:noProof/>
          <w:sz w:val="24"/>
          <w:szCs w:val="24"/>
        </w:rPr>
        <w:t>{Formatting Citation}</w:t>
      </w:r>
      <w:r w:rsidR="0036708D" w:rsidRPr="007E40FA">
        <w:rPr>
          <w:rFonts w:ascii="Times New Roman" w:hAnsi="Times New Roman"/>
          <w:noProof/>
          <w:sz w:val="24"/>
          <w:szCs w:val="24"/>
        </w:rPr>
        <w:fldChar w:fldCharType="end"/>
      </w:r>
      <w:r w:rsidR="0036708D" w:rsidRPr="007E40FA">
        <w:fldChar w:fldCharType="begin"/>
      </w:r>
      <w:r w:rsidR="0036708D" w:rsidRPr="007E40FA">
        <w:fldChar w:fldCharType="separate"/>
      </w:r>
      <w:r w:rsidR="0036708D" w:rsidRPr="007E40FA">
        <w:rPr>
          <w:rFonts w:ascii="Times New Roman" w:hAnsi="Times New Roman"/>
          <w:noProof/>
          <w:sz w:val="24"/>
          <w:szCs w:val="24"/>
        </w:rPr>
        <w:t>{Formatting Citation}</w:t>
      </w:r>
      <w:r w:rsidR="0036708D" w:rsidRPr="007E40FA">
        <w:rPr>
          <w:rFonts w:ascii="Times New Roman" w:hAnsi="Times New Roman"/>
          <w:noProof/>
          <w:sz w:val="24"/>
          <w:szCs w:val="24"/>
        </w:rPr>
        <w:fldChar w:fldCharType="end"/>
      </w:r>
      <w:r w:rsidR="0036708D" w:rsidRPr="007E40FA">
        <w:rPr>
          <w:rFonts w:ascii="Times New Roman" w:hAnsi="Times New Roman"/>
          <w:sz w:val="24"/>
          <w:szCs w:val="24"/>
        </w:rPr>
        <w:t xml:space="preserve"> and/or </w:t>
      </w:r>
      <w:proofErr w:type="spellStart"/>
      <w:r w:rsidR="0036708D" w:rsidRPr="007E40FA">
        <w:rPr>
          <w:rFonts w:ascii="Times New Roman" w:hAnsi="Times New Roman"/>
          <w:sz w:val="24"/>
          <w:szCs w:val="24"/>
        </w:rPr>
        <w:t>cytometric</w:t>
      </w:r>
      <w:proofErr w:type="spellEnd"/>
      <w:r w:rsidR="0036708D" w:rsidRPr="007E40FA">
        <w:rPr>
          <w:rFonts w:ascii="Times New Roman" w:hAnsi="Times New Roman"/>
          <w:sz w:val="24"/>
          <w:szCs w:val="24"/>
        </w:rPr>
        <w:t xml:space="preserve"> approaches</w:t>
      </w:r>
      <w:r w:rsidR="0036708D" w:rsidRPr="007E40FA">
        <w:fldChar w:fldCharType="begin"/>
      </w:r>
      <w:r w:rsidR="0036708D" w:rsidRPr="007E40FA">
        <w:fldChar w:fldCharType="separate"/>
      </w:r>
      <w:r w:rsidR="0036708D" w:rsidRPr="007E40FA">
        <w:rPr>
          <w:rFonts w:ascii="Times New Roman" w:hAnsi="Times New Roman"/>
          <w:noProof/>
          <w:sz w:val="24"/>
          <w:szCs w:val="24"/>
        </w:rPr>
        <w:t>{Formatting Citation}</w:t>
      </w:r>
      <w:r w:rsidR="0036708D" w:rsidRPr="007E40FA">
        <w:rPr>
          <w:rFonts w:ascii="Times New Roman" w:hAnsi="Times New Roman"/>
          <w:noProof/>
          <w:sz w:val="24"/>
          <w:szCs w:val="24"/>
        </w:rPr>
        <w:fldChar w:fldCharType="end"/>
      </w:r>
      <w:r w:rsidR="0036708D" w:rsidRPr="007E40FA">
        <w:rPr>
          <w:rFonts w:ascii="Times New Roman" w:hAnsi="Times New Roman"/>
          <w:sz w:val="24"/>
          <w:szCs w:val="24"/>
        </w:rPr>
        <w:t xml:space="preserve">. Each of these strategies are unique, having distinct advantages and disadvantages, </w:t>
      </w:r>
      <w:r w:rsidR="0036708D" w:rsidRPr="007E40FA">
        <w:fldChar w:fldCharType="begin"/>
      </w:r>
      <w:r w:rsidR="0036708D" w:rsidRPr="007E40FA">
        <w:fldChar w:fldCharType="separate"/>
      </w:r>
      <w:r w:rsidR="0036708D" w:rsidRPr="007E40FA">
        <w:rPr>
          <w:rFonts w:ascii="Times New Roman" w:hAnsi="Times New Roman"/>
          <w:noProof/>
          <w:sz w:val="24"/>
          <w:szCs w:val="24"/>
        </w:rPr>
        <w:t>{Formatting Citation}</w:t>
      </w:r>
      <w:r w:rsidR="0036708D" w:rsidRPr="007E40FA">
        <w:rPr>
          <w:rFonts w:ascii="Times New Roman" w:hAnsi="Times New Roman"/>
          <w:noProof/>
          <w:sz w:val="24"/>
          <w:szCs w:val="24"/>
        </w:rPr>
        <w:fldChar w:fldCharType="end"/>
      </w:r>
      <w:r w:rsidR="0036708D" w:rsidRPr="007E40FA">
        <w:rPr>
          <w:rFonts w:ascii="Times New Roman" w:hAnsi="Times New Roman"/>
          <w:sz w:val="24"/>
          <w:szCs w:val="24"/>
        </w:rPr>
        <w:t xml:space="preserve">however they all lack standardization; a necessity for entrance into the clinical setting. </w:t>
      </w:r>
      <w:r w:rsidR="00FB5225" w:rsidRPr="007E40FA">
        <w:rPr>
          <w:rFonts w:ascii="Times New Roman" w:hAnsi="Times New Roman"/>
          <w:sz w:val="24"/>
          <w:szCs w:val="24"/>
        </w:rPr>
        <w:t xml:space="preserve">The </w:t>
      </w:r>
      <w:proofErr w:type="spellStart"/>
      <w:r w:rsidR="00FB5225" w:rsidRPr="007E40FA">
        <w:rPr>
          <w:rFonts w:ascii="Times New Roman" w:hAnsi="Times New Roman"/>
          <w:sz w:val="24"/>
          <w:szCs w:val="24"/>
        </w:rPr>
        <w:t>CellSearch</w:t>
      </w:r>
      <w:proofErr w:type="spellEnd"/>
      <w:r w:rsidR="00FB5225" w:rsidRPr="007E40FA">
        <w:rPr>
          <w:rFonts w:ascii="Times New Roman" w:hAnsi="Times New Roman"/>
          <w:sz w:val="24"/>
          <w:szCs w:val="24"/>
        </w:rPr>
        <w:t xml:space="preserve"> system</w:t>
      </w:r>
      <w:r w:rsidR="004C0272" w:rsidRPr="007E40FA">
        <w:rPr>
          <w:rFonts w:ascii="Times New Roman" w:hAnsi="Times New Roman"/>
          <w:sz w:val="24"/>
          <w:szCs w:val="24"/>
        </w:rPr>
        <w:t xml:space="preserve"> (CSS)</w:t>
      </w:r>
      <w:r w:rsidR="00FB5225" w:rsidRPr="007E40FA">
        <w:rPr>
          <w:rFonts w:ascii="Times New Roman" w:hAnsi="Times New Roman"/>
          <w:sz w:val="24"/>
          <w:szCs w:val="24"/>
        </w:rPr>
        <w:t xml:space="preserve"> was therefore developed to provide a standardized method for </w:t>
      </w:r>
      <w:r w:rsidR="004B191B" w:rsidRPr="007E40FA">
        <w:rPr>
          <w:rFonts w:ascii="Times New Roman" w:hAnsi="Times New Roman"/>
          <w:sz w:val="24"/>
          <w:szCs w:val="24"/>
        </w:rPr>
        <w:t xml:space="preserve">the detection and enumeration of rare CTCs in human blood </w:t>
      </w:r>
      <w:r w:rsidR="006A3BD5" w:rsidRPr="007E40FA">
        <w:rPr>
          <w:rFonts w:ascii="Times New Roman" w:hAnsi="Times New Roman"/>
          <w:sz w:val="24"/>
          <w:szCs w:val="24"/>
        </w:rPr>
        <w:t xml:space="preserve">using fluorescence microscopy and </w:t>
      </w:r>
      <w:r w:rsidR="004B191B" w:rsidRPr="007E40FA">
        <w:rPr>
          <w:rFonts w:ascii="Times New Roman" w:hAnsi="Times New Roman"/>
          <w:sz w:val="24"/>
          <w:szCs w:val="24"/>
        </w:rPr>
        <w:t>antibody</w:t>
      </w:r>
      <w:r w:rsidR="007F3854" w:rsidRPr="007E40FA">
        <w:rPr>
          <w:rFonts w:ascii="Times New Roman" w:hAnsi="Times New Roman"/>
          <w:sz w:val="24"/>
          <w:szCs w:val="24"/>
        </w:rPr>
        <w:t>-</w:t>
      </w:r>
      <w:r w:rsidR="006A3BD5" w:rsidRPr="007E40FA">
        <w:rPr>
          <w:rFonts w:ascii="Times New Roman" w:hAnsi="Times New Roman"/>
          <w:sz w:val="24"/>
          <w:szCs w:val="24"/>
        </w:rPr>
        <w:t>based techniques</w:t>
      </w:r>
      <w:r w:rsidR="0036708D" w:rsidRPr="007E40FA">
        <w:rPr>
          <w:rFonts w:ascii="Times New Roman" w:hAnsi="Times New Roman"/>
          <w:sz w:val="24"/>
          <w:szCs w:val="24"/>
        </w:rPr>
        <w:fldChar w:fldCharType="begin" w:fldLock="1"/>
      </w:r>
      <w:r w:rsidR="007F0560" w:rsidRPr="007E40FA">
        <w:rPr>
          <w:rFonts w:ascii="Times New Roman" w:hAnsi="Times New Roman"/>
          <w:sz w:val="24"/>
          <w:szCs w:val="24"/>
        </w:rPr>
        <w:instrText>ADDIN CSL_CITATION { "citationItems" : [ { "id" : "ITEM-1", "itemData" : { "ISSN" : "1533-4406", "PMID" : "15317891", "abstract" : "BACKGROUND: We tested the hypothesis that the level of circulating tumor cells can predict survival in metastatic breast cancer. METHODS: In a prospective, multicenter study, we tested 177 patients with measurable metastatic breast cancer for levels of circulating tumor cells both before the patients were to start a new line of treatment and at the first follow-up visit. The progression of the disease or the response to treatment was determined with the use of standard imaging studies at the participating centers. RESULTS: Outcomes were assessed according to levels of circulating tumor cells at baseline, before the patients started a new treatment for metastatic disease. Patients in a training set with levels of circulating tumor cells equal to or higher than 5 per 7.5 ml of whole blood, as compared with the group with fewer than 5 circulating tumor cells per 7.5 ml, had a shorter median progression-free survival (2.7 months vs. 7.0 months, P&lt;0.001) and shorter overall survival (10.1 months vs. &gt;18 months, P&lt;0.001). At the first follow-up visit after the initiation of therapy, this difference between the groups persisted (progression-free survival, 2.1 months vs. 7.0 months; P&lt;0.001; overall survival, 8.2 months vs. &gt;18 months; P&lt;0.001), and the reduced proportion of patients (from 49 percent to 30 percent) in the group with an unfavorable prognosis suggested that there was a benefit from therapy. The multivariate Cox proportional-hazards regression showed that, of all the variables in the statistical model, the levels of circulating tumor cells at baseline and at the first follow-up visit were the most significant predictors of progression-free and overall survival. CONCLUSIONS: The number of circulating tumor cells before treatment is an independent predictor of progression-free survival and overall survival in patients with metastatic breast cancer.", "author" : [ { "dropping-particle" : "", "family" : "Cristofanilli", "given" : "Massimo", "non-dropping-particle" : "", "parse-names" : false, "suffix" : "" }, { "dropping-particle" : "", "family" : "Budd", "given" : "G Thomas", "non-dropping-particle" : "", "parse-names" : false, "suffix" : "" }, { "dropping-particle" : "", "family" : "Ellis", "given" : "Matthew J", "non-dropping-particle" : "", "parse-names" : false, "suffix" : "" }, { "dropping-particle" : "", "family" : "Stopeck", "given" : "Alison", "non-dropping-particle" : "", "parse-names" : false, "suffix" : "" }, { "dropping-particle" : "", "family" : "Matera", "given" : "Jeri", "non-dropping-particle" : "", "parse-names" : false, "suffix" : "" }, { "dropping-particle" : "", "family" : "Miller", "given" : "M Craig", "non-dropping-particle" : "", "parse-names" : false, "suffix" : "" }, { "dropping-particle" : "", "family" : "Reuben", "given" : "James M", "non-dropping-particle" : "", "parse-names" : false, "suffix" : "" }, { "dropping-particle" : "V", "family" : "Doyle", "given" : "Gerald", "non-dropping-particle" : "", "parse-names" : false, "suffix" : "" }, { "dropping-particle" : "", "family" : "Allard", "given" : "W Jeffrey", "non-dropping-particle" : "", "parse-names" : false, "suffix" : "" }, { "dropping-particle" : "", "family" : "Terstappen", "given" : "Leon W M M", "non-dropping-particle" : "", "parse-names" : false, "suffix" : "" }, { "dropping-particle" : "", "family" : "Hayes", "given" : "Daniel F", "non-dropping-particle" : "", "parse-names" : false, "suffix" : "" } ], "container-title" : "The New England journal of medicine", "id" : "ITEM-1", "issue" : "8", "issued" : { "date-parts" : [ [ "2004", "8" ] ] }, "page" : "781-91", "title" : "Circulating tumor cells, disease progression, and survival in metastatic breast cancer.", "type" : "article-journal", "volume" : "351" }, "uris" : [ "http://www.mendeley.com/documents/?uuid=f0f96870-40c2-4219-af60-a26756fec374" ] }, { "id" : "ITEM-2", "itemData" : { "DOI" : "10.1158/1078-0432.CCR-08-0872", "ISSN" : "1078-0432", "PMID" : "18829513", "abstract" : "A method for enumerating circulating tumor cells (CTC) has received regulatory clearance. The primary objective of this prospective study was to establish the relationship between posttreatment CTC count and overall survival (OS) in castration-resistant prostate cancer (CRPC). Secondary objectives included determining the prognostic utility of CTC measurement before initiating therapy, and the relationship of CTC to prostate-specific antigen (PSA) changes and OS at these and other time points.", "author" : [ { "dropping-particle" : "", "family" : "Bono", "given" : "Johann S", "non-dropping-particle" : "de", "parse-names" : false, "suffix" : "" }, { "dropping-particle" : "", "family" : "Scher", "given" : "Howard I", "non-dropping-particle" : "", "parse-names" : false, "suffix" : "" }, { "dropping-particle" : "", "family" : "Montgomery", "given" : "R Bruce", "non-dropping-particle" : "", "parse-names" : false, "suffix" : "" }, { "dropping-particle" : "", "family" : "Parker", "given" : "Christopher", "non-dropping-particle" : "", "parse-names" : false, "suffix" : "" }, { "dropping-particle" : "", "family" : "Miller", "given" : "M Craig", "non-dropping-particle" : "", "parse-names" : false, "suffix" : "" }, { "dropping-particle" : "", "family" : "Tissing", "given" : "Henk", "non-dropping-particle" : "", "parse-names" : false, "suffix" : "" }, { "dropping-particle" : "V", "family" : "Doyle", "given" : "Gerald", "non-dropping-particle" : "", "parse-names" : false, "suffix" : "" }, { "dropping-particle" : "", "family" : "Terstappen", "given" : "Leon W W M", "non-dropping-particle" : "", "parse-names" : false, "suffix" : "" }, { "dropping-particle" : "", "family" : "Pienta", "given" : "Kenneth J", "non-dropping-particle" : "", "parse-names" : false, "suffix" : "" }, { "dropping-particle" : "", "family" : "Raghavan", "given" : "Derek", "non-dropping-particle" : "", "parse-names" : false, "suffix" : "" } ], "container-title" : "Clinical cancer research : an official journal of the American Association for Cancer Research", "id" : "ITEM-2", "issue" : "19", "issued" : { "date-parts" : [ [ "2008", "10", "1" ] ] }, "page" : "6302-9", "title" : "Circulating tumor cells predict survival benefit from treatment in metastatic castration-resistant prostate cancer.", "type" : "article-journal", "volume" : "14" }, "uris" : [ "http://www.mendeley.com/documents/?uuid=3e8de426-4d01-4af7-9b65-80421d93c3a4" ] }, { "id" : "ITEM-3", "itemData" : { "DOI" : "10.1093/annonc/mdn786", "ISSN" : "1569-8041", "PMID" : "19282466", "abstract" : "BACKGROUND: We demonstrated that circulating tumor cell (CTC) number at baseline and follow-up is an independent prognostic factor in metastatic colorectal cancer (mCRC). This analysis was undertaken to explore whether patient and treatment characteristics impact the prognostic value of CTCs. PATIENTS AND METHODS: CTCs were enumerated with immunomagnetic separation from the blood of 430 patients with mCRC at baseline and on therapy. Patients were stratified into unfavorable and favorable prognostic groups based on CTC levels of &gt; or = 3 or &lt;3 CTCs/7.5 ml, respectively. Subgroups were analyzed by line of treatment, liver involvement, receipt of oxaliplatin, irinotecan, or bevacizumab, age, and Eastern Cooperative Oncology Group performance status (ECOG PS). RESULTS: Seventy-one percent of deaths have occurred. Median follow-up for living patients is 25.8 months. For all patients, progression-free survival (PFS) and overall survival (OS) for unfavorable compared with favorable baseline CTCs is shorter (4.4 versus 7.8 m, P = 0.004 for PFS; 9.4 versus 20.6 m, P &lt; 0.0001 for OS). In all patient subgroups, unfavorable baseline CTC was associated with inferior OS (P &lt; 0.001). In patients receiving first- or second-line therapy (P = 0.003), irinotecan (P = 0.0001), having liver involvement (P = 0.002), &gt;/=65 years (P = 0.0007), and ECOG PS of zero (P = 0.04), unfavorable baseline CTC was associated with inferior PFS. CONCLUSION: Baseline CTC count is an important prognostic factor within specific subgroups defined by treatment or patient characteristics.", "author" : [ { "dropping-particle" : "", "family" : "Cohen", "given" : "S J", "non-dropping-particle" : "", "parse-names" : false, "suffix" : "" }, { "dropping-particle" : "", "family" : "Punt", "given" : "C J a", "non-dropping-particle" : "", "parse-names" : false, "suffix" : "" }, { "dropping-particle" : "", "family" : "Iannotti", "given" : "N", "non-dropping-particle" : "", "parse-names" : false, "suffix" : "" }, { "dropping-particle" : "", "family" : "Saidman", "given" : "B H", "non-dropping-particle" : "", "parse-names" : false, "suffix" : "" }, { "dropping-particle" : "", "family" : "Sabbath", "given" : "K D", "non-dropping-particle" : "", "parse-names" : false, "suffix" : "" }, { "dropping-particle" : "", "family" : "Gabrail", "given" : "N Y", "non-dropping-particle" : "", "parse-names" : false, "suffix" : "" }, { "dropping-particle" : "", "family" : "Picus", "given" : "J", "non-dropping-particle" : "", "parse-names" : false, "suffix" : "" }, { "dropping-particle" : "", "family" : "Morse", "given" : "M a", "non-dropping-particle" : "", "parse-names" : false, "suffix" : "" }, { "dropping-particle" : "", "family" : "Mitchell", "given" : "E", "non-dropping-particle" : "", "parse-names" : false, "suffix" : "" }, { "dropping-particle" : "", "family" : "Miller", "given" : "M C", "non-dropping-particle" : "", "parse-names" : false, "suffix" : "" }, { "dropping-particle" : "V", "family" : "Doyle", "given" : "G", "non-dropping-particle" : "", "parse-names" : false, "suffix" : "" }, { "dropping-particle" : "", "family" : "Tissing", "given" : "H", "non-dropping-particle" : "", "parse-names" : false, "suffix" : "" }, { "dropping-particle" : "", "family" : "Terstappen", "given" : "L W M M", "non-dropping-particle" : "", "parse-names" : false, "suffix" : "" }, { "dropping-particle" : "", "family" : "Meropol", "given" : "N J", "non-dropping-particle" : "", "parse-names" : false, "suffix" : "" } ], "container-title" : "Annals of oncology : official journal of the European Society for Medical Oncology / ESMO", "id" : "ITEM-3", "issue" : "7", "issued" : { "date-parts" : [ [ "2009", "7" ] ] }, "page" : "1223-9", "title" : "Prognostic significance of circulating tumor cells in patients with metastatic colorectal cancer.", "type" : "article-journal", "volume" : "20" }, "uris" : [ "http://www.mendeley.com/documents/?uuid=b15dc6ce-cf98-4146-832a-2d1e87856d9e" ] } ], "mendeley" : { "previouslyFormattedCitation" : "&lt;sup&gt;4\u20136&lt;/sup&gt;" }, "properties" : { "noteIndex" : 0 }, "schema" : "https://github.com/citation-style-language/schema/raw/master/csl-citation.json" }</w:instrText>
      </w:r>
      <w:r w:rsidR="0036708D" w:rsidRPr="007E40FA">
        <w:rPr>
          <w:rFonts w:ascii="Times New Roman" w:hAnsi="Times New Roman"/>
          <w:sz w:val="24"/>
          <w:szCs w:val="24"/>
        </w:rPr>
        <w:fldChar w:fldCharType="separate"/>
      </w:r>
      <w:r w:rsidR="007F0560" w:rsidRPr="007E40FA">
        <w:rPr>
          <w:rFonts w:ascii="Times New Roman" w:hAnsi="Times New Roman"/>
          <w:noProof/>
          <w:sz w:val="24"/>
          <w:szCs w:val="24"/>
          <w:vertAlign w:val="superscript"/>
        </w:rPr>
        <w:t>4–6</w:t>
      </w:r>
      <w:r w:rsidR="0036708D" w:rsidRPr="007E40FA">
        <w:rPr>
          <w:rFonts w:ascii="Times New Roman" w:hAnsi="Times New Roman"/>
          <w:sz w:val="24"/>
          <w:szCs w:val="24"/>
        </w:rPr>
        <w:fldChar w:fldCharType="end"/>
      </w:r>
      <w:r w:rsidR="006A3BD5" w:rsidRPr="007E40FA">
        <w:rPr>
          <w:rFonts w:ascii="Times New Roman" w:hAnsi="Times New Roman"/>
          <w:sz w:val="24"/>
          <w:szCs w:val="24"/>
        </w:rPr>
        <w:t xml:space="preserve">. This </w:t>
      </w:r>
      <w:r w:rsidR="004B191B" w:rsidRPr="007E40FA">
        <w:rPr>
          <w:rFonts w:ascii="Times New Roman" w:hAnsi="Times New Roman"/>
          <w:sz w:val="24"/>
          <w:szCs w:val="24"/>
        </w:rPr>
        <w:t xml:space="preserve">platform </w:t>
      </w:r>
      <w:r w:rsidR="006A3BD5" w:rsidRPr="007E40FA">
        <w:rPr>
          <w:rFonts w:ascii="Times New Roman" w:hAnsi="Times New Roman"/>
          <w:sz w:val="24"/>
          <w:szCs w:val="24"/>
        </w:rPr>
        <w:t xml:space="preserve">is currently considered the gold standard in CTC enumeration and </w:t>
      </w:r>
      <w:r w:rsidR="004B191B" w:rsidRPr="007E40FA">
        <w:rPr>
          <w:rFonts w:ascii="Times New Roman" w:hAnsi="Times New Roman"/>
          <w:sz w:val="24"/>
          <w:szCs w:val="24"/>
        </w:rPr>
        <w:t xml:space="preserve">is the </w:t>
      </w:r>
      <w:r w:rsidR="006A3BD5" w:rsidRPr="007E40FA">
        <w:rPr>
          <w:rFonts w:ascii="Times New Roman" w:hAnsi="Times New Roman"/>
          <w:sz w:val="24"/>
          <w:szCs w:val="24"/>
        </w:rPr>
        <w:t>only technique approved</w:t>
      </w:r>
      <w:r w:rsidR="004B191B" w:rsidRPr="007E40FA">
        <w:rPr>
          <w:rFonts w:ascii="Times New Roman" w:hAnsi="Times New Roman"/>
          <w:sz w:val="24"/>
          <w:szCs w:val="24"/>
        </w:rPr>
        <w:t xml:space="preserve"> by the U.S. Food and Drug Administration (FDA) </w:t>
      </w:r>
      <w:r w:rsidR="006A3BD5" w:rsidRPr="007E40FA">
        <w:rPr>
          <w:rFonts w:ascii="Times New Roman" w:hAnsi="Times New Roman"/>
          <w:sz w:val="24"/>
          <w:szCs w:val="24"/>
        </w:rPr>
        <w:t>for use in the clinic</w:t>
      </w:r>
      <w:r w:rsidR="0036708D" w:rsidRPr="007E40FA">
        <w:rPr>
          <w:rFonts w:ascii="Times New Roman" w:hAnsi="Times New Roman"/>
          <w:sz w:val="24"/>
          <w:szCs w:val="24"/>
        </w:rPr>
        <w:fldChar w:fldCharType="begin" w:fldLock="1"/>
      </w:r>
      <w:r w:rsidR="007F0560" w:rsidRPr="007E40FA">
        <w:rPr>
          <w:rFonts w:ascii="Times New Roman" w:hAnsi="Times New Roman"/>
          <w:sz w:val="24"/>
          <w:szCs w:val="24"/>
        </w:rPr>
        <w:instrText>ADDIN CSL_CITATION { "citationItems" : [ { "id" : "ITEM-1", "itemData" : { "DOI" : "10.1186/1479-5876-10-138", "ISSN" : "1479-5876", "PMID" : "22747748", "abstract" : "This manuscript summarizes current thinking on the value and promise of evolving circulating tumor cell (CTC) technologies for cancer patient diagnosis, prognosis, and response to therapy, as well as accelerating oncologic drug development. Moving forward requires the application of the classic steps in biomarker development-analytical and clinical validation and clinical qualification for specific contexts of use. To that end, this review describes methods for interactive comparisons of proprietary new technologies, clinical trial designs, a clinical validation qualification strategy, and an approach for effectively carrying out this work through a public-private partnership that includes test developers, drug developers, clinical trialists, the US Food &amp; Drug Administration (FDA) and the US National Cancer Institute (NCI).", "author" : [ { "dropping-particle" : "", "family" : "Parkinson", "given" : "David R", "non-dropping-particle" : "", "parse-names" : false, "suffix" : "" }, { "dropping-particle" : "", "family" : "Dracopoli", "given" : "Nicholas", "non-dropping-particle" : "", "parse-names" : false, "suffix" : "" }, { "dropping-particle" : "", "family" : "Petty", "given" : "Brenda Gumbs", "non-dropping-particle" : "", "parse-names" : false, "suffix" : "" }, { "dropping-particle" : "", "family" : "Compton", "given" : "Carolyn", "non-dropping-particle" : "", "parse-names" : false, "suffix" : "" }, { "dropping-particle" : "", "family" : "Cristofanilli", "given" : "Massimo", "non-dropping-particle" : "", "parse-names" : false, "suffix" : "" }, { "dropping-particle" : "", "family" : "Deisseroth", "given" : "Albert", "non-dropping-particle" : "", "parse-names" : false, "suffix" : "" }, { "dropping-particle" : "", "family" : "Hayes", "given" : "Daniel F", "non-dropping-particle" : "", "parse-names" : false, "suffix" : "" }, { "dropping-particle" : "", "family" : "Kapke", "given" : "Gordon", "non-dropping-particle" : "", "parse-names" : false, "suffix" : "" }, { "dropping-particle" : "", "family" : "Kumar", "given" : "Prasanna", "non-dropping-particle" : "", "parse-names" : false, "suffix" : "" }, { "dropping-particle" : "", "family" : "Lee", "given" : "Jerry Sh", "non-dropping-particle" : "", "parse-names" : false, "suffix" : "" }, { "dropping-particle" : "", "family" : "Liu", "given" : "Minetta C", "non-dropping-particle" : "", "parse-names" : false, "suffix" : "" }, { "dropping-particle" : "", "family" : "McCormack", "given" : "Robert", "non-dropping-particle" : "", "parse-names" : false, "suffix" : "" }, { "dropping-particle" : "", "family" : "Mikulski", "given" : "Stanislaw", "non-dropping-particle" : "", "parse-names" : false, "suffix" : "" }, { "dropping-particle" : "", "family" : "Nagahara", "given" : "Larry", "non-dropping-particle" : "", "parse-names" : false, "suffix" : "" }, { "dropping-particle" : "", "family" : "Pantel", "given" : "Klaus", "non-dropping-particle" : "", "parse-names" : false, "suffix" : "" }, { "dropping-particle" : "", "family" : "Pearson-White", "given" : "Sonia", "non-dropping-particle" : "", "parse-names" : false, "suffix" : "" }, { "dropping-particle" : "", "family" : "Punnoose", "given" : "Elizabeth A", "non-dropping-particle" : "", "parse-names" : false, "suffix" : "" }, { "dropping-particle" : "", "family" : "Roadcap", "given" : "Lori T", "non-dropping-particle" : "", "parse-names" : false, "suffix" : "" }, { "dropping-particle" : "", "family" : "Schade", "given" : "Andrew E", "non-dropping-particle" : "", "parse-names" : false, "suffix" : "" }, { "dropping-particle" : "", "family" : "Scher", "given" : "Howard I", "non-dropping-particle" : "", "parse-names" : false, "suffix" : "" }, { "dropping-particle" : "", "family" : "Sigman", "given" : "Caroline C", "non-dropping-particle" : "", "parse-names" : false, "suffix" : "" }, { "dropping-particle" : "", "family" : "Kelloff", "given" : "Gary J", "non-dropping-particle" : "", "parse-names" : false, "suffix" : "" } ], "container-title" : "Journal of translational medicine", "id" : "ITEM-1", "issued" : { "date-parts" : [ [ "2012", "1" ] ] }, "page" : "138", "title" : "Considerations in the development of circulating tumor cell technology for clinical use.", "type" : "article-journal", "volume" : "10" }, "uris" : [ "http://www.mendeley.com/documents/?uuid=32f3bec0-b254-4419-8968-8a2fdd5d9acc" ] } ], "mendeley" : { "previouslyFormattedCitation" : "&lt;sup&gt;15&lt;/sup&gt;" }, "properties" : { "noteIndex" : 0 }, "schema" : "https://github.com/citation-style-language/schema/raw/master/csl-citation.json" }</w:instrText>
      </w:r>
      <w:r w:rsidR="0036708D" w:rsidRPr="007E40FA">
        <w:rPr>
          <w:rFonts w:ascii="Times New Roman" w:hAnsi="Times New Roman"/>
          <w:sz w:val="24"/>
          <w:szCs w:val="24"/>
        </w:rPr>
        <w:fldChar w:fldCharType="separate"/>
      </w:r>
      <w:r w:rsidR="007F0560" w:rsidRPr="007E40FA">
        <w:rPr>
          <w:rFonts w:ascii="Times New Roman" w:hAnsi="Times New Roman"/>
          <w:noProof/>
          <w:sz w:val="24"/>
          <w:szCs w:val="24"/>
          <w:vertAlign w:val="superscript"/>
        </w:rPr>
        <w:t>15</w:t>
      </w:r>
      <w:r w:rsidR="0036708D" w:rsidRPr="007E40FA">
        <w:rPr>
          <w:rFonts w:ascii="Times New Roman" w:hAnsi="Times New Roman"/>
          <w:sz w:val="24"/>
          <w:szCs w:val="24"/>
        </w:rPr>
        <w:fldChar w:fldCharType="end"/>
      </w:r>
      <w:r w:rsidR="006A3BD5" w:rsidRPr="007E40FA">
        <w:rPr>
          <w:rFonts w:ascii="Times New Roman" w:hAnsi="Times New Roman"/>
          <w:sz w:val="24"/>
          <w:szCs w:val="24"/>
        </w:rPr>
        <w:t>.</w:t>
      </w:r>
    </w:p>
    <w:p w:rsidR="00041704" w:rsidRPr="007E40FA" w:rsidRDefault="00041704" w:rsidP="001F0875">
      <w:pPr>
        <w:spacing w:after="0" w:line="240" w:lineRule="auto"/>
        <w:jc w:val="both"/>
        <w:rPr>
          <w:rFonts w:ascii="Times New Roman" w:hAnsi="Times New Roman"/>
          <w:sz w:val="24"/>
          <w:szCs w:val="24"/>
        </w:rPr>
      </w:pPr>
    </w:p>
    <w:p w:rsidR="00041704" w:rsidRPr="007E40FA" w:rsidRDefault="00041704" w:rsidP="001F0875">
      <w:pPr>
        <w:spacing w:after="0" w:line="240" w:lineRule="auto"/>
        <w:jc w:val="both"/>
        <w:rPr>
          <w:rFonts w:ascii="Times New Roman" w:hAnsi="Times New Roman"/>
          <w:sz w:val="24"/>
          <w:szCs w:val="24"/>
        </w:rPr>
      </w:pPr>
      <w:r w:rsidRPr="007E40FA">
        <w:rPr>
          <w:rFonts w:ascii="Times New Roman" w:hAnsi="Times New Roman"/>
          <w:sz w:val="24"/>
          <w:szCs w:val="24"/>
        </w:rPr>
        <w:t xml:space="preserve">The </w:t>
      </w:r>
      <w:r w:rsidR="004C0272" w:rsidRPr="007E40FA">
        <w:rPr>
          <w:rFonts w:ascii="Times New Roman" w:hAnsi="Times New Roman"/>
          <w:sz w:val="24"/>
          <w:szCs w:val="24"/>
        </w:rPr>
        <w:t>CSS</w:t>
      </w:r>
      <w:r w:rsidRPr="007E40FA">
        <w:rPr>
          <w:rFonts w:ascii="Times New Roman" w:hAnsi="Times New Roman"/>
          <w:sz w:val="24"/>
          <w:szCs w:val="24"/>
        </w:rPr>
        <w:t xml:space="preserve"> </w:t>
      </w:r>
      <w:r w:rsidR="004B191B" w:rsidRPr="007E40FA">
        <w:rPr>
          <w:rFonts w:ascii="Times New Roman" w:hAnsi="Times New Roman"/>
          <w:sz w:val="24"/>
          <w:szCs w:val="24"/>
        </w:rPr>
        <w:t>is a t</w:t>
      </w:r>
      <w:r w:rsidRPr="007E40FA">
        <w:rPr>
          <w:rFonts w:ascii="Times New Roman" w:hAnsi="Times New Roman"/>
          <w:sz w:val="24"/>
          <w:szCs w:val="24"/>
        </w:rPr>
        <w:t>wo component</w:t>
      </w:r>
      <w:r w:rsidR="004B191B" w:rsidRPr="007E40FA">
        <w:rPr>
          <w:rFonts w:ascii="Times New Roman" w:hAnsi="Times New Roman"/>
          <w:sz w:val="24"/>
          <w:szCs w:val="24"/>
        </w:rPr>
        <w:t xml:space="preserve"> platform consisting of, </w:t>
      </w:r>
      <w:r w:rsidRPr="007E40FA">
        <w:rPr>
          <w:rFonts w:ascii="Times New Roman" w:hAnsi="Times New Roman"/>
          <w:b/>
          <w:i/>
          <w:sz w:val="24"/>
          <w:szCs w:val="24"/>
        </w:rPr>
        <w:t>(1)</w:t>
      </w:r>
      <w:r w:rsidRPr="007E40FA">
        <w:rPr>
          <w:rFonts w:ascii="Times New Roman" w:hAnsi="Times New Roman"/>
          <w:sz w:val="24"/>
          <w:szCs w:val="24"/>
        </w:rPr>
        <w:t xml:space="preserve"> the </w:t>
      </w:r>
      <w:proofErr w:type="spellStart"/>
      <w:r w:rsidRPr="007E40FA">
        <w:rPr>
          <w:rFonts w:ascii="Times New Roman" w:hAnsi="Times New Roman"/>
          <w:sz w:val="24"/>
          <w:szCs w:val="24"/>
        </w:rPr>
        <w:t>CellTracks</w:t>
      </w:r>
      <w:proofErr w:type="spellEnd"/>
      <w:r w:rsidRPr="007E40FA">
        <w:rPr>
          <w:rFonts w:ascii="Times New Roman" w:hAnsi="Times New Roman"/>
          <w:sz w:val="24"/>
          <w:szCs w:val="24"/>
        </w:rPr>
        <w:t xml:space="preserve"> </w:t>
      </w:r>
      <w:proofErr w:type="spellStart"/>
      <w:r w:rsidRPr="007E40FA">
        <w:rPr>
          <w:rFonts w:ascii="Times New Roman" w:hAnsi="Times New Roman"/>
          <w:sz w:val="24"/>
          <w:szCs w:val="24"/>
        </w:rPr>
        <w:t>AutoPrep</w:t>
      </w:r>
      <w:proofErr w:type="spellEnd"/>
      <w:r w:rsidRPr="007E40FA">
        <w:rPr>
          <w:rFonts w:ascii="Times New Roman" w:hAnsi="Times New Roman"/>
          <w:sz w:val="24"/>
          <w:szCs w:val="24"/>
        </w:rPr>
        <w:t xml:space="preserve"> system</w:t>
      </w:r>
      <w:r w:rsidR="004C0272" w:rsidRPr="007E40FA">
        <w:rPr>
          <w:rFonts w:ascii="Times New Roman" w:hAnsi="Times New Roman"/>
          <w:sz w:val="24"/>
          <w:szCs w:val="24"/>
        </w:rPr>
        <w:t xml:space="preserve"> (hereafter referred to as the preparation instrument)</w:t>
      </w:r>
      <w:r w:rsidRPr="007E40FA">
        <w:rPr>
          <w:rFonts w:ascii="Times New Roman" w:hAnsi="Times New Roman"/>
          <w:sz w:val="24"/>
          <w:szCs w:val="24"/>
        </w:rPr>
        <w:t xml:space="preserve">, which automates the </w:t>
      </w:r>
      <w:r w:rsidR="004B191B" w:rsidRPr="007E40FA">
        <w:rPr>
          <w:rFonts w:ascii="Times New Roman" w:hAnsi="Times New Roman"/>
          <w:sz w:val="24"/>
          <w:szCs w:val="24"/>
        </w:rPr>
        <w:t xml:space="preserve">preparation of human </w:t>
      </w:r>
      <w:r w:rsidRPr="007E40FA">
        <w:rPr>
          <w:rFonts w:ascii="Times New Roman" w:hAnsi="Times New Roman"/>
          <w:sz w:val="24"/>
          <w:szCs w:val="24"/>
        </w:rPr>
        <w:t>blood sample</w:t>
      </w:r>
      <w:r w:rsidR="004B191B" w:rsidRPr="007E40FA">
        <w:rPr>
          <w:rFonts w:ascii="Times New Roman" w:hAnsi="Times New Roman"/>
          <w:sz w:val="24"/>
          <w:szCs w:val="24"/>
        </w:rPr>
        <w:t>s</w:t>
      </w:r>
      <w:r w:rsidRPr="007E40FA">
        <w:rPr>
          <w:rFonts w:ascii="Times New Roman" w:hAnsi="Times New Roman"/>
          <w:sz w:val="24"/>
          <w:szCs w:val="24"/>
        </w:rPr>
        <w:t xml:space="preserve">, and </w:t>
      </w:r>
      <w:r w:rsidRPr="007E40FA">
        <w:rPr>
          <w:rFonts w:ascii="Times New Roman" w:hAnsi="Times New Roman"/>
          <w:b/>
          <w:i/>
          <w:sz w:val="24"/>
          <w:szCs w:val="24"/>
        </w:rPr>
        <w:t>(2)</w:t>
      </w:r>
      <w:r w:rsidRPr="007E40FA">
        <w:rPr>
          <w:rFonts w:ascii="Times New Roman" w:hAnsi="Times New Roman"/>
          <w:sz w:val="24"/>
          <w:szCs w:val="24"/>
        </w:rPr>
        <w:t xml:space="preserve"> the </w:t>
      </w:r>
      <w:proofErr w:type="spellStart"/>
      <w:r w:rsidRPr="007E40FA">
        <w:rPr>
          <w:rFonts w:ascii="Times New Roman" w:hAnsi="Times New Roman"/>
          <w:sz w:val="24"/>
          <w:szCs w:val="24"/>
        </w:rPr>
        <w:t>CellTracks</w:t>
      </w:r>
      <w:proofErr w:type="spellEnd"/>
      <w:r w:rsidRPr="007E40FA">
        <w:rPr>
          <w:rFonts w:ascii="Times New Roman" w:hAnsi="Times New Roman"/>
          <w:sz w:val="24"/>
          <w:szCs w:val="24"/>
        </w:rPr>
        <w:t xml:space="preserve"> Analyzer II</w:t>
      </w:r>
      <w:r w:rsidR="004C0272" w:rsidRPr="007E40FA">
        <w:rPr>
          <w:rFonts w:ascii="Times New Roman" w:hAnsi="Times New Roman"/>
          <w:sz w:val="24"/>
          <w:szCs w:val="24"/>
        </w:rPr>
        <w:t xml:space="preserve"> (hereafter referred to as the analysis instrument)</w:t>
      </w:r>
      <w:r w:rsidRPr="007E40FA">
        <w:rPr>
          <w:rFonts w:ascii="Times New Roman" w:hAnsi="Times New Roman"/>
          <w:sz w:val="24"/>
          <w:szCs w:val="24"/>
        </w:rPr>
        <w:t>, which scans the</w:t>
      </w:r>
      <w:r w:rsidR="004B191B" w:rsidRPr="007E40FA">
        <w:rPr>
          <w:rFonts w:ascii="Times New Roman" w:hAnsi="Times New Roman"/>
          <w:sz w:val="24"/>
          <w:szCs w:val="24"/>
        </w:rPr>
        <w:t>se</w:t>
      </w:r>
      <w:r w:rsidRPr="007E40FA">
        <w:rPr>
          <w:rFonts w:ascii="Times New Roman" w:hAnsi="Times New Roman"/>
          <w:sz w:val="24"/>
          <w:szCs w:val="24"/>
        </w:rPr>
        <w:t xml:space="preserve"> </w:t>
      </w:r>
      <w:r w:rsidR="004B191B" w:rsidRPr="007E40FA">
        <w:rPr>
          <w:rFonts w:ascii="Times New Roman" w:hAnsi="Times New Roman"/>
          <w:sz w:val="24"/>
          <w:szCs w:val="24"/>
        </w:rPr>
        <w:t>samples following preparation</w:t>
      </w:r>
      <w:r w:rsidRPr="007E40FA">
        <w:rPr>
          <w:rFonts w:ascii="Times New Roman" w:hAnsi="Times New Roman"/>
          <w:sz w:val="24"/>
          <w:szCs w:val="24"/>
        </w:rPr>
        <w:t>. T</w:t>
      </w:r>
      <w:r w:rsidR="004B191B" w:rsidRPr="007E40FA">
        <w:rPr>
          <w:rFonts w:ascii="Times New Roman" w:hAnsi="Times New Roman"/>
          <w:sz w:val="24"/>
          <w:szCs w:val="24"/>
        </w:rPr>
        <w:t>o distinguish CTCs from contaminating leukocytes t</w:t>
      </w:r>
      <w:r w:rsidRPr="007E40FA">
        <w:rPr>
          <w:rFonts w:ascii="Times New Roman" w:hAnsi="Times New Roman"/>
          <w:sz w:val="24"/>
          <w:szCs w:val="24"/>
        </w:rPr>
        <w:t xml:space="preserve">he </w:t>
      </w:r>
      <w:r w:rsidR="004C0272" w:rsidRPr="007E40FA">
        <w:rPr>
          <w:rFonts w:ascii="Times New Roman" w:hAnsi="Times New Roman"/>
          <w:sz w:val="24"/>
          <w:szCs w:val="24"/>
        </w:rPr>
        <w:t>preparation instrument</w:t>
      </w:r>
      <w:r w:rsidRPr="007E40FA">
        <w:rPr>
          <w:rFonts w:ascii="Times New Roman" w:hAnsi="Times New Roman"/>
          <w:sz w:val="24"/>
          <w:szCs w:val="24"/>
        </w:rPr>
        <w:t xml:space="preserve"> </w:t>
      </w:r>
      <w:r w:rsidR="004B191B" w:rsidRPr="007E40FA">
        <w:rPr>
          <w:rFonts w:ascii="Times New Roman" w:hAnsi="Times New Roman"/>
          <w:sz w:val="24"/>
          <w:szCs w:val="24"/>
        </w:rPr>
        <w:t xml:space="preserve">employs </w:t>
      </w:r>
      <w:r w:rsidRPr="007E40FA">
        <w:rPr>
          <w:rFonts w:ascii="Times New Roman" w:hAnsi="Times New Roman"/>
          <w:sz w:val="24"/>
          <w:szCs w:val="24"/>
        </w:rPr>
        <w:t xml:space="preserve">an antibody mediated, </w:t>
      </w:r>
      <w:proofErr w:type="spellStart"/>
      <w:r w:rsidRPr="007E40FA">
        <w:rPr>
          <w:rFonts w:ascii="Times New Roman" w:hAnsi="Times New Roman"/>
          <w:sz w:val="24"/>
          <w:szCs w:val="24"/>
        </w:rPr>
        <w:t>ferrofluid</w:t>
      </w:r>
      <w:proofErr w:type="spellEnd"/>
      <w:r w:rsidRPr="007E40FA">
        <w:rPr>
          <w:rFonts w:ascii="Times New Roman" w:hAnsi="Times New Roman"/>
          <w:sz w:val="24"/>
          <w:szCs w:val="24"/>
        </w:rPr>
        <w:t xml:space="preserve">-based magnetic separation </w:t>
      </w:r>
      <w:r w:rsidR="004B191B" w:rsidRPr="007E40FA">
        <w:rPr>
          <w:rFonts w:ascii="Times New Roman" w:hAnsi="Times New Roman"/>
          <w:sz w:val="24"/>
          <w:szCs w:val="24"/>
        </w:rPr>
        <w:t xml:space="preserve">approach </w:t>
      </w:r>
      <w:r w:rsidRPr="007E40FA">
        <w:rPr>
          <w:rFonts w:ascii="Times New Roman" w:hAnsi="Times New Roman"/>
          <w:sz w:val="24"/>
          <w:szCs w:val="24"/>
        </w:rPr>
        <w:t xml:space="preserve">and differential </w:t>
      </w:r>
      <w:r w:rsidR="002B1A00" w:rsidRPr="007E40FA">
        <w:rPr>
          <w:rFonts w:ascii="Times New Roman" w:hAnsi="Times New Roman"/>
          <w:sz w:val="24"/>
          <w:szCs w:val="24"/>
        </w:rPr>
        <w:t>fluorescence staining</w:t>
      </w:r>
      <w:r w:rsidRPr="007E40FA">
        <w:rPr>
          <w:rFonts w:ascii="Times New Roman" w:hAnsi="Times New Roman"/>
          <w:sz w:val="24"/>
          <w:szCs w:val="24"/>
        </w:rPr>
        <w:t xml:space="preserve">. Initially, the system </w:t>
      </w:r>
      <w:r w:rsidR="002B1A00" w:rsidRPr="007E40FA">
        <w:rPr>
          <w:rFonts w:ascii="Times New Roman" w:hAnsi="Times New Roman"/>
          <w:sz w:val="24"/>
          <w:szCs w:val="24"/>
        </w:rPr>
        <w:t>labels CTCs using anti-</w:t>
      </w:r>
      <w:proofErr w:type="spellStart"/>
      <w:r w:rsidR="002B1A00" w:rsidRPr="007E40FA">
        <w:rPr>
          <w:rFonts w:ascii="Times New Roman" w:hAnsi="Times New Roman"/>
          <w:sz w:val="24"/>
          <w:szCs w:val="24"/>
        </w:rPr>
        <w:t>EpCAM</w:t>
      </w:r>
      <w:proofErr w:type="spellEnd"/>
      <w:r w:rsidR="002B1A00" w:rsidRPr="007E40FA">
        <w:rPr>
          <w:rFonts w:ascii="Times New Roman" w:hAnsi="Times New Roman"/>
          <w:sz w:val="24"/>
          <w:szCs w:val="24"/>
        </w:rPr>
        <w:t xml:space="preserve"> antibodies conjugated to iron nanoparticles. The sample is then incubated in a magnetic field, and all unlabeled cells are aspirated. S</w:t>
      </w:r>
      <w:r w:rsidRPr="007E40FA">
        <w:rPr>
          <w:rFonts w:ascii="Times New Roman" w:hAnsi="Times New Roman"/>
          <w:sz w:val="24"/>
          <w:szCs w:val="24"/>
        </w:rPr>
        <w:t xml:space="preserve">elected tumor cells are </w:t>
      </w:r>
      <w:proofErr w:type="spellStart"/>
      <w:r w:rsidRPr="007E40FA">
        <w:rPr>
          <w:rFonts w:ascii="Times New Roman" w:hAnsi="Times New Roman"/>
          <w:sz w:val="24"/>
          <w:szCs w:val="24"/>
        </w:rPr>
        <w:t>resuspended</w:t>
      </w:r>
      <w:proofErr w:type="spellEnd"/>
      <w:r w:rsidRPr="007E40FA">
        <w:rPr>
          <w:rFonts w:ascii="Times New Roman" w:hAnsi="Times New Roman"/>
          <w:sz w:val="24"/>
          <w:szCs w:val="24"/>
        </w:rPr>
        <w:t xml:space="preserve">, and </w:t>
      </w:r>
      <w:r w:rsidR="002B1A00" w:rsidRPr="007E40FA">
        <w:rPr>
          <w:rFonts w:ascii="Times New Roman" w:hAnsi="Times New Roman"/>
          <w:sz w:val="24"/>
          <w:szCs w:val="24"/>
        </w:rPr>
        <w:t xml:space="preserve">incubated in a differential fluorescence stain, consisting of </w:t>
      </w:r>
      <w:r w:rsidRPr="007E40FA">
        <w:rPr>
          <w:rFonts w:ascii="Times New Roman" w:hAnsi="Times New Roman"/>
          <w:sz w:val="24"/>
          <w:szCs w:val="24"/>
        </w:rPr>
        <w:t xml:space="preserve">fluorescently-labelled antibodies and </w:t>
      </w:r>
      <w:r w:rsidR="002B1A00" w:rsidRPr="007E40FA">
        <w:rPr>
          <w:rFonts w:ascii="Times New Roman" w:hAnsi="Times New Roman"/>
          <w:sz w:val="24"/>
          <w:szCs w:val="24"/>
        </w:rPr>
        <w:t xml:space="preserve">a </w:t>
      </w:r>
      <w:r w:rsidRPr="007E40FA">
        <w:rPr>
          <w:rFonts w:ascii="Times New Roman" w:hAnsi="Times New Roman"/>
          <w:sz w:val="24"/>
          <w:szCs w:val="24"/>
        </w:rPr>
        <w:t>nuclear stain</w:t>
      </w:r>
      <w:r w:rsidR="002B1A00" w:rsidRPr="007E40FA">
        <w:rPr>
          <w:rFonts w:ascii="Times New Roman" w:hAnsi="Times New Roman"/>
          <w:sz w:val="24"/>
          <w:szCs w:val="24"/>
        </w:rPr>
        <w:t>ing reagent</w:t>
      </w:r>
      <w:r w:rsidRPr="007E40FA">
        <w:rPr>
          <w:rFonts w:ascii="Times New Roman" w:hAnsi="Times New Roman"/>
          <w:sz w:val="24"/>
          <w:szCs w:val="24"/>
        </w:rPr>
        <w:t xml:space="preserve">. </w:t>
      </w:r>
      <w:r w:rsidR="002B1A00" w:rsidRPr="007E40FA">
        <w:rPr>
          <w:rFonts w:ascii="Times New Roman" w:hAnsi="Times New Roman"/>
          <w:sz w:val="24"/>
          <w:szCs w:val="24"/>
        </w:rPr>
        <w:t>Finally, the</w:t>
      </w:r>
      <w:r w:rsidRPr="007E40FA">
        <w:rPr>
          <w:rFonts w:ascii="Times New Roman" w:hAnsi="Times New Roman"/>
          <w:sz w:val="24"/>
          <w:szCs w:val="24"/>
        </w:rPr>
        <w:t xml:space="preserve"> sample</w:t>
      </w:r>
      <w:r w:rsidR="002B1A00" w:rsidRPr="007E40FA">
        <w:rPr>
          <w:rFonts w:ascii="Times New Roman" w:hAnsi="Times New Roman"/>
          <w:sz w:val="24"/>
          <w:szCs w:val="24"/>
        </w:rPr>
        <w:t xml:space="preserve"> is transferred to</w:t>
      </w:r>
      <w:r w:rsidRPr="007E40FA">
        <w:rPr>
          <w:rFonts w:ascii="Times New Roman" w:hAnsi="Times New Roman"/>
          <w:sz w:val="24"/>
          <w:szCs w:val="24"/>
        </w:rPr>
        <w:t xml:space="preserve"> a magnetic cartridge, called a </w:t>
      </w:r>
      <w:proofErr w:type="spellStart"/>
      <w:r w:rsidRPr="007E40FA">
        <w:rPr>
          <w:rFonts w:ascii="Times New Roman" w:hAnsi="Times New Roman"/>
          <w:sz w:val="24"/>
          <w:szCs w:val="24"/>
        </w:rPr>
        <w:t>Mag</w:t>
      </w:r>
      <w:r w:rsidR="00910643" w:rsidRPr="007E40FA">
        <w:rPr>
          <w:rFonts w:ascii="Times New Roman" w:hAnsi="Times New Roman"/>
          <w:sz w:val="24"/>
          <w:szCs w:val="24"/>
        </w:rPr>
        <w:t>N</w:t>
      </w:r>
      <w:r w:rsidRPr="007E40FA">
        <w:rPr>
          <w:rFonts w:ascii="Times New Roman" w:hAnsi="Times New Roman"/>
          <w:sz w:val="24"/>
          <w:szCs w:val="24"/>
        </w:rPr>
        <w:t>est</w:t>
      </w:r>
      <w:proofErr w:type="spellEnd"/>
      <w:r w:rsidR="004C0272" w:rsidRPr="007E40FA">
        <w:rPr>
          <w:rFonts w:ascii="Times New Roman" w:hAnsi="Times New Roman"/>
          <w:sz w:val="24"/>
          <w:szCs w:val="24"/>
        </w:rPr>
        <w:t xml:space="preserve"> (hereafter referred to as the magnetic device)</w:t>
      </w:r>
      <w:r w:rsidRPr="007E40FA">
        <w:rPr>
          <w:rFonts w:ascii="Times New Roman" w:hAnsi="Times New Roman"/>
          <w:sz w:val="24"/>
          <w:szCs w:val="24"/>
        </w:rPr>
        <w:t xml:space="preserve">, and scanned using the </w:t>
      </w:r>
      <w:r w:rsidR="004C0272" w:rsidRPr="007E40FA">
        <w:rPr>
          <w:rFonts w:ascii="Times New Roman" w:hAnsi="Times New Roman"/>
          <w:sz w:val="24"/>
          <w:szCs w:val="24"/>
        </w:rPr>
        <w:t>analysis instrument</w:t>
      </w:r>
      <w:r w:rsidRPr="007E40FA">
        <w:rPr>
          <w:rFonts w:ascii="Times New Roman" w:hAnsi="Times New Roman"/>
          <w:sz w:val="24"/>
          <w:szCs w:val="24"/>
        </w:rPr>
        <w:t xml:space="preserve">. </w:t>
      </w:r>
    </w:p>
    <w:p w:rsidR="00041704" w:rsidRPr="007E40FA" w:rsidRDefault="00041704" w:rsidP="001F0875">
      <w:pPr>
        <w:spacing w:after="0" w:line="240" w:lineRule="auto"/>
        <w:jc w:val="both"/>
        <w:rPr>
          <w:rFonts w:ascii="Times New Roman" w:hAnsi="Times New Roman"/>
          <w:sz w:val="24"/>
          <w:szCs w:val="24"/>
        </w:rPr>
      </w:pPr>
      <w:r w:rsidRPr="007E40FA">
        <w:rPr>
          <w:rFonts w:ascii="Times New Roman" w:hAnsi="Times New Roman"/>
          <w:sz w:val="24"/>
          <w:szCs w:val="24"/>
        </w:rPr>
        <w:tab/>
      </w:r>
    </w:p>
    <w:p w:rsidR="00041704" w:rsidRPr="007E40FA" w:rsidRDefault="00041704" w:rsidP="001F0875">
      <w:pPr>
        <w:spacing w:after="0" w:line="240" w:lineRule="auto"/>
        <w:jc w:val="both"/>
        <w:rPr>
          <w:rFonts w:ascii="Times New Roman" w:hAnsi="Times New Roman"/>
          <w:sz w:val="24"/>
          <w:szCs w:val="24"/>
        </w:rPr>
      </w:pPr>
      <w:r w:rsidRPr="007E40FA">
        <w:rPr>
          <w:rFonts w:ascii="Times New Roman" w:hAnsi="Times New Roman"/>
          <w:sz w:val="24"/>
          <w:szCs w:val="24"/>
        </w:rPr>
        <w:lastRenderedPageBreak/>
        <w:t xml:space="preserve">The </w:t>
      </w:r>
      <w:r w:rsidR="004C0272" w:rsidRPr="007E40FA">
        <w:rPr>
          <w:rFonts w:ascii="Times New Roman" w:hAnsi="Times New Roman"/>
          <w:sz w:val="24"/>
          <w:szCs w:val="24"/>
        </w:rPr>
        <w:t>analysis instrument</w:t>
      </w:r>
      <w:r w:rsidRPr="007E40FA">
        <w:rPr>
          <w:rFonts w:ascii="Times New Roman" w:hAnsi="Times New Roman"/>
          <w:sz w:val="24"/>
          <w:szCs w:val="24"/>
        </w:rPr>
        <w:t xml:space="preserve"> </w:t>
      </w:r>
      <w:r w:rsidR="007F3854" w:rsidRPr="007E40FA">
        <w:rPr>
          <w:rFonts w:ascii="Times New Roman" w:hAnsi="Times New Roman"/>
          <w:sz w:val="24"/>
          <w:szCs w:val="24"/>
        </w:rPr>
        <w:t xml:space="preserve">is used to </w:t>
      </w:r>
      <w:r w:rsidRPr="007E40FA">
        <w:rPr>
          <w:rFonts w:ascii="Times New Roman" w:hAnsi="Times New Roman"/>
          <w:sz w:val="24"/>
          <w:szCs w:val="24"/>
        </w:rPr>
        <w:t>scan</w:t>
      </w:r>
      <w:r w:rsidR="009D3085" w:rsidRPr="007E40FA">
        <w:rPr>
          <w:rFonts w:ascii="Times New Roman" w:hAnsi="Times New Roman"/>
          <w:sz w:val="24"/>
          <w:szCs w:val="24"/>
        </w:rPr>
        <w:t xml:space="preserve"> prepared </w:t>
      </w:r>
      <w:r w:rsidRPr="007E40FA">
        <w:rPr>
          <w:rFonts w:ascii="Times New Roman" w:hAnsi="Times New Roman"/>
          <w:sz w:val="24"/>
          <w:szCs w:val="24"/>
        </w:rPr>
        <w:t xml:space="preserve">samples using different </w:t>
      </w:r>
      <w:r w:rsidR="009D3085" w:rsidRPr="007E40FA">
        <w:rPr>
          <w:rFonts w:ascii="Times New Roman" w:hAnsi="Times New Roman"/>
          <w:sz w:val="24"/>
          <w:szCs w:val="24"/>
        </w:rPr>
        <w:t xml:space="preserve">fluorescence </w:t>
      </w:r>
      <w:r w:rsidRPr="007E40FA">
        <w:rPr>
          <w:rFonts w:ascii="Times New Roman" w:hAnsi="Times New Roman"/>
          <w:sz w:val="24"/>
          <w:szCs w:val="24"/>
        </w:rPr>
        <w:t>filters, each optimized to the appropriate fluorescent particle</w:t>
      </w:r>
      <w:r w:rsidR="0074455B" w:rsidRPr="007E40FA">
        <w:rPr>
          <w:rFonts w:ascii="Times New Roman" w:hAnsi="Times New Roman"/>
          <w:sz w:val="24"/>
          <w:szCs w:val="24"/>
        </w:rPr>
        <w:t>,</w:t>
      </w:r>
      <w:r w:rsidR="009D3085" w:rsidRPr="007E40FA">
        <w:rPr>
          <w:rFonts w:ascii="Times New Roman" w:hAnsi="Times New Roman"/>
          <w:sz w:val="24"/>
          <w:szCs w:val="24"/>
        </w:rPr>
        <w:t xml:space="preserve"> using a 10X objective lens</w:t>
      </w:r>
      <w:r w:rsidRPr="007E40FA">
        <w:rPr>
          <w:rFonts w:ascii="Times New Roman" w:hAnsi="Times New Roman"/>
          <w:sz w:val="24"/>
          <w:szCs w:val="24"/>
        </w:rPr>
        <w:t xml:space="preserve">. CTCs are identified </w:t>
      </w:r>
      <w:r w:rsidR="009D3085" w:rsidRPr="007E40FA">
        <w:rPr>
          <w:rFonts w:ascii="Times New Roman" w:hAnsi="Times New Roman"/>
          <w:sz w:val="24"/>
          <w:szCs w:val="24"/>
        </w:rPr>
        <w:t xml:space="preserve">as cells that are bound by </w:t>
      </w:r>
      <w:r w:rsidRPr="007E40FA">
        <w:rPr>
          <w:rFonts w:ascii="Times New Roman" w:hAnsi="Times New Roman"/>
          <w:sz w:val="24"/>
          <w:szCs w:val="24"/>
        </w:rPr>
        <w:t>anti-</w:t>
      </w:r>
      <w:proofErr w:type="spellStart"/>
      <w:r w:rsidRPr="007E40FA">
        <w:rPr>
          <w:rFonts w:ascii="Times New Roman" w:hAnsi="Times New Roman"/>
          <w:sz w:val="24"/>
          <w:szCs w:val="24"/>
        </w:rPr>
        <w:t>EpCAM</w:t>
      </w:r>
      <w:proofErr w:type="spellEnd"/>
      <w:r w:rsidRPr="007E40FA">
        <w:rPr>
          <w:rFonts w:ascii="Times New Roman" w:hAnsi="Times New Roman"/>
          <w:sz w:val="24"/>
          <w:szCs w:val="24"/>
        </w:rPr>
        <w:t>, anti-pan-CK-</w:t>
      </w:r>
      <w:proofErr w:type="spellStart"/>
      <w:r w:rsidRPr="007E40FA">
        <w:rPr>
          <w:rFonts w:ascii="Times New Roman" w:hAnsi="Times New Roman"/>
          <w:sz w:val="24"/>
          <w:szCs w:val="24"/>
        </w:rPr>
        <w:t>phycoerythrin</w:t>
      </w:r>
      <w:proofErr w:type="spellEnd"/>
      <w:r w:rsidRPr="007E40FA">
        <w:rPr>
          <w:rFonts w:ascii="Times New Roman" w:hAnsi="Times New Roman"/>
          <w:sz w:val="24"/>
          <w:szCs w:val="24"/>
        </w:rPr>
        <w:t xml:space="preserve"> (PE) (CK8, 18 and 19), and the </w:t>
      </w:r>
      <w:r w:rsidR="009D3085" w:rsidRPr="007E40FA">
        <w:rPr>
          <w:rFonts w:ascii="Times New Roman" w:hAnsi="Times New Roman"/>
          <w:sz w:val="24"/>
          <w:szCs w:val="24"/>
        </w:rPr>
        <w:t xml:space="preserve">nuclear </w:t>
      </w:r>
      <w:r w:rsidRPr="007E40FA">
        <w:rPr>
          <w:rFonts w:ascii="Times New Roman" w:hAnsi="Times New Roman"/>
          <w:sz w:val="24"/>
          <w:szCs w:val="24"/>
        </w:rPr>
        <w:t xml:space="preserve">stain 4’, 6-diamidino-2-phenylindole (DAPI). </w:t>
      </w:r>
      <w:r w:rsidR="009D3085" w:rsidRPr="007E40FA">
        <w:rPr>
          <w:rFonts w:ascii="Times New Roman" w:hAnsi="Times New Roman"/>
          <w:sz w:val="24"/>
          <w:szCs w:val="24"/>
        </w:rPr>
        <w:t>Conversely, contaminating l</w:t>
      </w:r>
      <w:r w:rsidRPr="007E40FA">
        <w:rPr>
          <w:rFonts w:ascii="Times New Roman" w:hAnsi="Times New Roman"/>
          <w:sz w:val="24"/>
          <w:szCs w:val="24"/>
        </w:rPr>
        <w:t xml:space="preserve">eukocytes are identified </w:t>
      </w:r>
      <w:r w:rsidR="009D3085" w:rsidRPr="007E40FA">
        <w:rPr>
          <w:rFonts w:ascii="Times New Roman" w:hAnsi="Times New Roman"/>
          <w:sz w:val="24"/>
          <w:szCs w:val="24"/>
        </w:rPr>
        <w:t>as cells that are bound by</w:t>
      </w:r>
      <w:r w:rsidRPr="007E40FA">
        <w:rPr>
          <w:rFonts w:ascii="Times New Roman" w:hAnsi="Times New Roman"/>
          <w:sz w:val="24"/>
          <w:szCs w:val="24"/>
        </w:rPr>
        <w:t xml:space="preserve"> anti-CD45-allophycocyanin (APC) and DAPI. </w:t>
      </w:r>
      <w:r w:rsidR="009D3085" w:rsidRPr="007E40FA">
        <w:rPr>
          <w:rFonts w:ascii="Times New Roman" w:hAnsi="Times New Roman"/>
          <w:sz w:val="24"/>
          <w:szCs w:val="24"/>
        </w:rPr>
        <w:t>Following scanning</w:t>
      </w:r>
      <w:r w:rsidRPr="007E40FA">
        <w:rPr>
          <w:rFonts w:ascii="Times New Roman" w:hAnsi="Times New Roman"/>
          <w:sz w:val="24"/>
          <w:szCs w:val="24"/>
        </w:rPr>
        <w:t xml:space="preserve">, </w:t>
      </w:r>
      <w:r w:rsidR="009D3085" w:rsidRPr="007E40FA">
        <w:rPr>
          <w:rFonts w:ascii="Times New Roman" w:hAnsi="Times New Roman"/>
          <w:sz w:val="24"/>
          <w:szCs w:val="24"/>
        </w:rPr>
        <w:t>computer-defined potential tumor cells are presented to the user. F</w:t>
      </w:r>
      <w:r w:rsidRPr="007E40FA">
        <w:rPr>
          <w:rFonts w:ascii="Times New Roman" w:hAnsi="Times New Roman"/>
          <w:sz w:val="24"/>
          <w:szCs w:val="24"/>
        </w:rPr>
        <w:t xml:space="preserve">rom </w:t>
      </w:r>
      <w:r w:rsidR="009D3085" w:rsidRPr="007E40FA">
        <w:rPr>
          <w:rFonts w:ascii="Times New Roman" w:hAnsi="Times New Roman"/>
          <w:sz w:val="24"/>
          <w:szCs w:val="24"/>
        </w:rPr>
        <w:t xml:space="preserve">these images, </w:t>
      </w:r>
      <w:r w:rsidRPr="007E40FA">
        <w:rPr>
          <w:rFonts w:ascii="Times New Roman" w:hAnsi="Times New Roman"/>
          <w:sz w:val="24"/>
          <w:szCs w:val="24"/>
        </w:rPr>
        <w:t xml:space="preserve">the user must </w:t>
      </w:r>
      <w:r w:rsidR="009D3085" w:rsidRPr="007E40FA">
        <w:rPr>
          <w:rFonts w:ascii="Times New Roman" w:hAnsi="Times New Roman"/>
          <w:sz w:val="24"/>
          <w:szCs w:val="24"/>
        </w:rPr>
        <w:t>employ</w:t>
      </w:r>
      <w:r w:rsidRPr="007E40FA">
        <w:rPr>
          <w:rFonts w:ascii="Times New Roman" w:hAnsi="Times New Roman"/>
          <w:sz w:val="24"/>
          <w:szCs w:val="24"/>
        </w:rPr>
        <w:t xml:space="preserve"> qualitative analysis</w:t>
      </w:r>
      <w:r w:rsidR="009D3085" w:rsidRPr="007E40FA">
        <w:rPr>
          <w:rFonts w:ascii="Times New Roman" w:hAnsi="Times New Roman"/>
          <w:sz w:val="24"/>
          <w:szCs w:val="24"/>
        </w:rPr>
        <w:t xml:space="preserve"> using the defined parameters and differential staining discussed above to determine which events are CTCs.</w:t>
      </w:r>
      <w:r w:rsidR="00D234F3" w:rsidRPr="007E40FA">
        <w:rPr>
          <w:rFonts w:ascii="Times New Roman" w:hAnsi="Times New Roman"/>
          <w:sz w:val="24"/>
          <w:szCs w:val="24"/>
        </w:rPr>
        <w:t xml:space="preserve"> </w:t>
      </w:r>
    </w:p>
    <w:p w:rsidR="006A3BD5" w:rsidRPr="007E40FA" w:rsidRDefault="006A3BD5" w:rsidP="001F0875">
      <w:pPr>
        <w:spacing w:after="0" w:line="240" w:lineRule="auto"/>
        <w:jc w:val="both"/>
        <w:rPr>
          <w:rFonts w:ascii="Times New Roman" w:hAnsi="Times New Roman"/>
          <w:sz w:val="24"/>
          <w:szCs w:val="24"/>
        </w:rPr>
      </w:pPr>
    </w:p>
    <w:p w:rsidR="002051C5" w:rsidRPr="007E40FA" w:rsidRDefault="00796AFA" w:rsidP="001F0875">
      <w:pPr>
        <w:spacing w:after="0" w:line="240" w:lineRule="auto"/>
        <w:jc w:val="both"/>
        <w:rPr>
          <w:rFonts w:ascii="Times New Roman" w:hAnsi="Times New Roman"/>
          <w:sz w:val="24"/>
          <w:szCs w:val="24"/>
        </w:rPr>
      </w:pPr>
      <w:r w:rsidRPr="007E40FA">
        <w:rPr>
          <w:rFonts w:ascii="Times New Roman" w:hAnsi="Times New Roman"/>
          <w:sz w:val="24"/>
          <w:szCs w:val="24"/>
        </w:rPr>
        <w:t xml:space="preserve">In addition to providing a standardized method for CTC enumeration, the </w:t>
      </w:r>
      <w:r w:rsidR="004C0272" w:rsidRPr="007E40FA">
        <w:rPr>
          <w:rFonts w:ascii="Times New Roman" w:hAnsi="Times New Roman"/>
          <w:sz w:val="24"/>
          <w:szCs w:val="24"/>
        </w:rPr>
        <w:t>CSS</w:t>
      </w:r>
      <w:r w:rsidRPr="007E40FA">
        <w:rPr>
          <w:rFonts w:ascii="Times New Roman" w:hAnsi="Times New Roman"/>
          <w:sz w:val="24"/>
          <w:szCs w:val="24"/>
        </w:rPr>
        <w:t xml:space="preserve"> allows for </w:t>
      </w:r>
      <w:r w:rsidR="00436000" w:rsidRPr="007E40FA">
        <w:rPr>
          <w:rFonts w:ascii="Times New Roman" w:hAnsi="Times New Roman"/>
          <w:sz w:val="24"/>
          <w:szCs w:val="24"/>
        </w:rPr>
        <w:t xml:space="preserve">molecular </w:t>
      </w:r>
      <w:r w:rsidR="00D234F3" w:rsidRPr="007E40FA">
        <w:rPr>
          <w:rFonts w:ascii="Times New Roman" w:hAnsi="Times New Roman"/>
          <w:sz w:val="24"/>
          <w:szCs w:val="24"/>
        </w:rPr>
        <w:t xml:space="preserve">characterization of CTCs </w:t>
      </w:r>
      <w:r w:rsidR="00436000" w:rsidRPr="007E40FA">
        <w:rPr>
          <w:rFonts w:ascii="Times New Roman" w:hAnsi="Times New Roman"/>
          <w:sz w:val="24"/>
          <w:szCs w:val="24"/>
        </w:rPr>
        <w:t>based on</w:t>
      </w:r>
      <w:r w:rsidR="00D234F3" w:rsidRPr="007E40FA">
        <w:rPr>
          <w:rFonts w:ascii="Times New Roman" w:hAnsi="Times New Roman"/>
          <w:sz w:val="24"/>
          <w:szCs w:val="24"/>
        </w:rPr>
        <w:t xml:space="preserve"> protein markers </w:t>
      </w:r>
      <w:r w:rsidR="00436000" w:rsidRPr="007E40FA">
        <w:rPr>
          <w:rFonts w:ascii="Times New Roman" w:hAnsi="Times New Roman"/>
          <w:sz w:val="24"/>
          <w:szCs w:val="24"/>
        </w:rPr>
        <w:t>of interest.</w:t>
      </w:r>
      <w:r w:rsidR="00803A51" w:rsidRPr="007E40FA">
        <w:rPr>
          <w:rFonts w:ascii="Times New Roman" w:hAnsi="Times New Roman"/>
          <w:sz w:val="24"/>
          <w:szCs w:val="24"/>
        </w:rPr>
        <w:t xml:space="preserve"> This interrogation can be performed</w:t>
      </w:r>
      <w:r w:rsidR="00D234F3" w:rsidRPr="007E40FA">
        <w:rPr>
          <w:rFonts w:ascii="Times New Roman" w:hAnsi="Times New Roman"/>
          <w:sz w:val="24"/>
          <w:szCs w:val="24"/>
        </w:rPr>
        <w:t xml:space="preserve"> at the single-cell level</w:t>
      </w:r>
      <w:r w:rsidR="00803A51" w:rsidRPr="007E40FA">
        <w:rPr>
          <w:rFonts w:ascii="Times New Roman" w:hAnsi="Times New Roman"/>
          <w:sz w:val="24"/>
          <w:szCs w:val="24"/>
        </w:rPr>
        <w:t xml:space="preserve">, </w:t>
      </w:r>
      <w:r w:rsidR="00D234F3" w:rsidRPr="007E40FA">
        <w:rPr>
          <w:rFonts w:ascii="Times New Roman" w:hAnsi="Times New Roman"/>
          <w:sz w:val="24"/>
          <w:szCs w:val="24"/>
        </w:rPr>
        <w:t xml:space="preserve">using a </w:t>
      </w:r>
      <w:r w:rsidR="00041704" w:rsidRPr="007E40FA">
        <w:rPr>
          <w:rFonts w:ascii="Times New Roman" w:hAnsi="Times New Roman"/>
          <w:sz w:val="24"/>
          <w:szCs w:val="24"/>
        </w:rPr>
        <w:t xml:space="preserve">fluorescein </w:t>
      </w:r>
      <w:proofErr w:type="spellStart"/>
      <w:r w:rsidR="00041704" w:rsidRPr="007E40FA">
        <w:rPr>
          <w:rFonts w:ascii="Times New Roman" w:hAnsi="Times New Roman"/>
          <w:sz w:val="24"/>
          <w:szCs w:val="24"/>
        </w:rPr>
        <w:t>isothiocyanate</w:t>
      </w:r>
      <w:proofErr w:type="spellEnd"/>
      <w:r w:rsidR="00041704" w:rsidRPr="007E40FA">
        <w:rPr>
          <w:rFonts w:ascii="Times New Roman" w:hAnsi="Times New Roman"/>
          <w:sz w:val="24"/>
          <w:szCs w:val="24"/>
        </w:rPr>
        <w:t xml:space="preserve"> (FITC) fluorescence channel not required for CTC identification</w:t>
      </w:r>
      <w:r w:rsidR="0036708D" w:rsidRPr="007E40FA">
        <w:rPr>
          <w:rFonts w:ascii="Times New Roman" w:hAnsi="Times New Roman"/>
          <w:sz w:val="24"/>
          <w:szCs w:val="24"/>
        </w:rPr>
        <w:fldChar w:fldCharType="begin" w:fldLock="1"/>
      </w:r>
      <w:r w:rsidR="007F0560" w:rsidRPr="007E40FA">
        <w:rPr>
          <w:rFonts w:ascii="Times New Roman" w:hAnsi="Times New Roman"/>
          <w:sz w:val="24"/>
          <w:szCs w:val="24"/>
        </w:rPr>
        <w:instrText>ADDIN CSL_CITATION { "citationItems" : [ { "id" : "ITEM-1", "itemData" : { "DOI" : "10.1002/cyto.a.22158", "ISSN" : "1552-4930", "PMID" : "22899576", "abstract" : "The majority of cancer-related deaths result from metastasis, which has been associated with the presence of circulating tumor cells (CTCs). It has been shown that CTC cut-off values exist that predict for poorer overall survival in metastatic breast (\u22655), prostate (\u22655), and colorectal (\u22653) cancer based on assessment of 7.5 ml of blood. Development of the CellSearch\u00ae system (Veridex) has allowed for sensitive enumeration of CTCs. In the current study, protocols were developed and optimized for use with the CellSearch system to characterize CTCs with respect to user-defined protein markers of interest in human blood samples, including the cancer stem cell marker CD44 and the apoptosis marker M-30. Flow cytometry (FCM) experiments were initially carried out to assess expression of CD44 and M-30 on MDA-MB-468 human tumor cells. Human blood samples were then spiked with MDA-MB-468 cells and processed with the appropriate antibody (CD44/M-30) on the CellSearch. Detailed optimization of CD44 was carried out on the CellSearch using various antibody concentrations, exposure times, and cell lines with varying CD44 expression. Troubleshooting experiments were undertaken to explain observed discrepancies between FCM and CellSearch results for the M-30 marker. After extensive optimization, the best CD44/M-30 concentrations and exposure times were determined to be 1.5/3.5 \u03bcg/ml and 0.2/0.8 s, respectively. The percentage of CD44(+) tumor cells was 99.5 \u00b1 0.39% by FCM and 98.8 \u00b1 0.51% by the CellSearch system. The percentage of M-30(+) tumor cells following paclitaxel treatment was 17.6 \u00b1 1.18% by FCM and 10.9 \u00b1 2.41% by CellSearch. Proper optimization of the CD44 marker was achieved; however, M-30 does not appear to be a suitable marker for use in this platform. Taken together, the current study provides a detailed description of the process of user-defined protein marker development and optimization using the CellSearch, and will be an important resource for the future development of protein marker assays by users of this platform.", "author" : [ { "dropping-particle" : "", "family" : "Lowes", "given" : "Lori E", "non-dropping-particle" : "", "parse-names" : false, "suffix" : "" }, { "dropping-particle" : "", "family" : "Hedley", "given" : "Benjamin D", "non-dropping-particle" : "", "parse-names" : false, "suffix" : "" }, { "dropping-particle" : "", "family" : "Keeney", "given" : "Mike", "non-dropping-particle" : "", "parse-names" : false, "suffix" : "" }, { "dropping-particle" : "", "family" : "Allan", "given" : "Alison L", "non-dropping-particle" : "", "parse-names" : false, "suffix" : "" } ], "container-title" : "Cytometry. Part A : the journal of the International Society for Analytical Cytology", "id" : "ITEM-1", "issue" : "11", "issued" : { "date-parts" : [ [ "2012", "11" ] ] }, "page" : "983-95", "title" : "User-defined protein marker assay development for characterization of circulating tumor cells using the CellSearch\u00ae system.", "type" : "article-journal", "volume" : "81" }, "uris" : [ "http://www.mendeley.com/documents/?uuid=a9a3aebd-cff0-4e16-8c3a-76b63633aab6" ] } ], "mendeley" : { "previouslyFormattedCitation" : "&lt;sup&gt;16&lt;/sup&gt;" }, "properties" : { "noteIndex" : 0 }, "schema" : "https://github.com/citation-style-language/schema/raw/master/csl-citation.json" }</w:instrText>
      </w:r>
      <w:r w:rsidR="0036708D" w:rsidRPr="007E40FA">
        <w:rPr>
          <w:rFonts w:ascii="Times New Roman" w:hAnsi="Times New Roman"/>
          <w:sz w:val="24"/>
          <w:szCs w:val="24"/>
        </w:rPr>
        <w:fldChar w:fldCharType="separate"/>
      </w:r>
      <w:r w:rsidR="007F0560" w:rsidRPr="007E40FA">
        <w:rPr>
          <w:rFonts w:ascii="Times New Roman" w:hAnsi="Times New Roman"/>
          <w:noProof/>
          <w:sz w:val="24"/>
          <w:szCs w:val="24"/>
          <w:vertAlign w:val="superscript"/>
        </w:rPr>
        <w:t>16</w:t>
      </w:r>
      <w:r w:rsidR="0036708D" w:rsidRPr="007E40FA">
        <w:rPr>
          <w:rFonts w:ascii="Times New Roman" w:hAnsi="Times New Roman"/>
          <w:sz w:val="24"/>
          <w:szCs w:val="24"/>
        </w:rPr>
        <w:fldChar w:fldCharType="end"/>
      </w:r>
      <w:r w:rsidR="00041704" w:rsidRPr="007E40FA">
        <w:rPr>
          <w:rFonts w:ascii="Times New Roman" w:hAnsi="Times New Roman"/>
          <w:sz w:val="24"/>
          <w:szCs w:val="24"/>
        </w:rPr>
        <w:t xml:space="preserve">. </w:t>
      </w:r>
      <w:r w:rsidR="00D234F3" w:rsidRPr="007E40FA">
        <w:rPr>
          <w:rFonts w:ascii="Times New Roman" w:hAnsi="Times New Roman"/>
          <w:sz w:val="24"/>
          <w:szCs w:val="24"/>
        </w:rPr>
        <w:t xml:space="preserve">Although this platform </w:t>
      </w:r>
      <w:r w:rsidR="0053069B" w:rsidRPr="007E40FA">
        <w:rPr>
          <w:rFonts w:ascii="Times New Roman" w:hAnsi="Times New Roman"/>
          <w:sz w:val="24"/>
          <w:szCs w:val="24"/>
        </w:rPr>
        <w:t xml:space="preserve">provides the capacity for molecular characterization, </w:t>
      </w:r>
      <w:r w:rsidR="00D234F3" w:rsidRPr="007E40FA">
        <w:rPr>
          <w:rFonts w:ascii="Times New Roman" w:hAnsi="Times New Roman"/>
          <w:sz w:val="24"/>
          <w:szCs w:val="24"/>
        </w:rPr>
        <w:t xml:space="preserve">the detailed process </w:t>
      </w:r>
      <w:r w:rsidR="00ED2A1E" w:rsidRPr="007E40FA">
        <w:rPr>
          <w:rFonts w:ascii="Times New Roman" w:hAnsi="Times New Roman"/>
          <w:sz w:val="24"/>
          <w:szCs w:val="24"/>
        </w:rPr>
        <w:t>of</w:t>
      </w:r>
      <w:r w:rsidR="00D234F3" w:rsidRPr="007E40FA">
        <w:rPr>
          <w:rFonts w:ascii="Times New Roman" w:hAnsi="Times New Roman"/>
          <w:sz w:val="24"/>
          <w:szCs w:val="24"/>
        </w:rPr>
        <w:t xml:space="preserve"> protocol development and optimization is not well-defined. </w:t>
      </w:r>
      <w:r w:rsidR="00B25CB7" w:rsidRPr="007E40FA">
        <w:rPr>
          <w:rFonts w:ascii="Times New Roman" w:hAnsi="Times New Roman"/>
          <w:sz w:val="24"/>
          <w:szCs w:val="24"/>
        </w:rPr>
        <w:t>T</w:t>
      </w:r>
      <w:r w:rsidR="00FC5CDC" w:rsidRPr="007E40FA">
        <w:rPr>
          <w:rFonts w:ascii="Times New Roman" w:hAnsi="Times New Roman"/>
          <w:sz w:val="24"/>
          <w:szCs w:val="24"/>
        </w:rPr>
        <w:t>hree</w:t>
      </w:r>
      <w:r w:rsidR="00B25CB7" w:rsidRPr="007E40FA">
        <w:rPr>
          <w:rFonts w:ascii="Times New Roman" w:hAnsi="Times New Roman"/>
          <w:sz w:val="24"/>
          <w:szCs w:val="24"/>
        </w:rPr>
        <w:t xml:space="preserve"> </w:t>
      </w:r>
      <w:r w:rsidR="00FC5CDC" w:rsidRPr="007E40FA">
        <w:rPr>
          <w:rFonts w:ascii="Times New Roman" w:hAnsi="Times New Roman"/>
          <w:sz w:val="24"/>
          <w:szCs w:val="24"/>
        </w:rPr>
        <w:t xml:space="preserve">commercially available </w:t>
      </w:r>
      <w:r w:rsidR="00B25CB7" w:rsidRPr="007E40FA">
        <w:rPr>
          <w:rFonts w:ascii="Times New Roman" w:hAnsi="Times New Roman"/>
          <w:sz w:val="24"/>
          <w:szCs w:val="24"/>
        </w:rPr>
        <w:t>markers</w:t>
      </w:r>
      <w:r w:rsidR="00ED2A1E" w:rsidRPr="007E40FA">
        <w:rPr>
          <w:rFonts w:ascii="Times New Roman" w:hAnsi="Times New Roman"/>
          <w:sz w:val="24"/>
          <w:szCs w:val="24"/>
        </w:rPr>
        <w:t xml:space="preserve"> have been developed </w:t>
      </w:r>
      <w:r w:rsidR="00FC5CDC" w:rsidRPr="007E40FA">
        <w:rPr>
          <w:rFonts w:ascii="Times New Roman" w:hAnsi="Times New Roman"/>
          <w:sz w:val="24"/>
          <w:szCs w:val="24"/>
        </w:rPr>
        <w:t xml:space="preserve">by the manufacturer </w:t>
      </w:r>
      <w:r w:rsidR="00ED2A1E" w:rsidRPr="007E40FA">
        <w:rPr>
          <w:rFonts w:ascii="Times New Roman" w:hAnsi="Times New Roman"/>
          <w:sz w:val="24"/>
          <w:szCs w:val="24"/>
        </w:rPr>
        <w:t>for use with the CSS</w:t>
      </w:r>
      <w:r w:rsidR="00B25CB7" w:rsidRPr="007E40FA">
        <w:rPr>
          <w:rFonts w:ascii="Times New Roman" w:hAnsi="Times New Roman"/>
          <w:sz w:val="24"/>
          <w:szCs w:val="24"/>
        </w:rPr>
        <w:t xml:space="preserve">, </w:t>
      </w:r>
      <w:r w:rsidR="0053069B" w:rsidRPr="007E40FA">
        <w:rPr>
          <w:rFonts w:ascii="Times New Roman" w:hAnsi="Times New Roman"/>
          <w:sz w:val="24"/>
          <w:szCs w:val="24"/>
        </w:rPr>
        <w:t xml:space="preserve">including </w:t>
      </w:r>
      <w:r w:rsidR="00B25CB7" w:rsidRPr="007E40FA">
        <w:rPr>
          <w:rFonts w:ascii="Times New Roman" w:hAnsi="Times New Roman"/>
          <w:sz w:val="24"/>
          <w:szCs w:val="24"/>
        </w:rPr>
        <w:t>epidermal growth factor receptor (EGFR)</w:t>
      </w:r>
      <w:r w:rsidR="00FC5CDC" w:rsidRPr="007E40FA">
        <w:rPr>
          <w:rFonts w:ascii="Times New Roman" w:hAnsi="Times New Roman"/>
          <w:sz w:val="24"/>
          <w:szCs w:val="24"/>
        </w:rPr>
        <w:t xml:space="preserve">, </w:t>
      </w:r>
      <w:r w:rsidR="00B25CB7" w:rsidRPr="007E40FA">
        <w:rPr>
          <w:rFonts w:ascii="Times New Roman" w:hAnsi="Times New Roman"/>
          <w:sz w:val="24"/>
          <w:szCs w:val="24"/>
          <w:shd w:val="clear" w:color="auto" w:fill="FFFFFF"/>
        </w:rPr>
        <w:t>human epidermal growth factor receptor 2</w:t>
      </w:r>
      <w:r w:rsidR="00B25CB7" w:rsidRPr="007E40FA">
        <w:rPr>
          <w:rFonts w:ascii="Times New Roman" w:hAnsi="Times New Roman"/>
          <w:sz w:val="24"/>
          <w:szCs w:val="24"/>
        </w:rPr>
        <w:t xml:space="preserve"> (HER2)</w:t>
      </w:r>
      <w:r w:rsidR="00FC5CDC" w:rsidRPr="007E40FA">
        <w:rPr>
          <w:rFonts w:ascii="Times New Roman" w:hAnsi="Times New Roman"/>
          <w:sz w:val="24"/>
          <w:szCs w:val="24"/>
        </w:rPr>
        <w:t>, and insulin</w:t>
      </w:r>
      <w:r w:rsidR="00FF7709" w:rsidRPr="007E40FA">
        <w:rPr>
          <w:rFonts w:ascii="Times New Roman" w:hAnsi="Times New Roman"/>
          <w:sz w:val="24"/>
          <w:szCs w:val="24"/>
        </w:rPr>
        <w:t>-like</w:t>
      </w:r>
      <w:r w:rsidR="00FC5CDC" w:rsidRPr="007E40FA">
        <w:rPr>
          <w:rFonts w:ascii="Times New Roman" w:hAnsi="Times New Roman"/>
          <w:sz w:val="24"/>
          <w:szCs w:val="24"/>
        </w:rPr>
        <w:t xml:space="preserve"> growth factor </w:t>
      </w:r>
      <w:r w:rsidR="00FF7709" w:rsidRPr="007E40FA">
        <w:rPr>
          <w:rFonts w:ascii="Times New Roman" w:hAnsi="Times New Roman"/>
          <w:sz w:val="24"/>
          <w:szCs w:val="24"/>
        </w:rPr>
        <w:t xml:space="preserve">1 </w:t>
      </w:r>
      <w:r w:rsidR="00FC5CDC" w:rsidRPr="007E40FA">
        <w:rPr>
          <w:rFonts w:ascii="Times New Roman" w:hAnsi="Times New Roman"/>
          <w:sz w:val="24"/>
          <w:szCs w:val="24"/>
        </w:rPr>
        <w:t>receptor</w:t>
      </w:r>
      <w:r w:rsidR="0053069B" w:rsidRPr="007E40FA">
        <w:rPr>
          <w:rFonts w:ascii="Times New Roman" w:hAnsi="Times New Roman"/>
          <w:sz w:val="24"/>
          <w:szCs w:val="24"/>
        </w:rPr>
        <w:t xml:space="preserve"> </w:t>
      </w:r>
      <w:r w:rsidR="00FC5CDC" w:rsidRPr="007E40FA">
        <w:rPr>
          <w:rFonts w:ascii="Times New Roman" w:hAnsi="Times New Roman"/>
          <w:sz w:val="24"/>
          <w:szCs w:val="24"/>
        </w:rPr>
        <w:t>(IGF</w:t>
      </w:r>
      <w:r w:rsidR="00831FC3" w:rsidRPr="007E40FA">
        <w:rPr>
          <w:rFonts w:ascii="Times New Roman" w:hAnsi="Times New Roman"/>
          <w:sz w:val="24"/>
          <w:szCs w:val="24"/>
        </w:rPr>
        <w:t>-1R</w:t>
      </w:r>
      <w:r w:rsidR="00FC5CDC" w:rsidRPr="007E40FA">
        <w:rPr>
          <w:rFonts w:ascii="Times New Roman" w:hAnsi="Times New Roman"/>
          <w:sz w:val="24"/>
          <w:szCs w:val="24"/>
        </w:rPr>
        <w:t>)</w:t>
      </w:r>
      <w:r w:rsidR="00ED2A1E" w:rsidRPr="007E40FA">
        <w:rPr>
          <w:rFonts w:ascii="Times New Roman" w:hAnsi="Times New Roman"/>
          <w:sz w:val="24"/>
          <w:szCs w:val="24"/>
        </w:rPr>
        <w:t>.</w:t>
      </w:r>
      <w:r w:rsidR="00B25CB7" w:rsidRPr="007E40FA">
        <w:rPr>
          <w:rFonts w:ascii="Times New Roman" w:hAnsi="Times New Roman"/>
          <w:sz w:val="24"/>
          <w:szCs w:val="24"/>
        </w:rPr>
        <w:t xml:space="preserve"> HER2 </w:t>
      </w:r>
      <w:r w:rsidR="00021CFF" w:rsidRPr="007E40FA">
        <w:rPr>
          <w:rFonts w:ascii="Times New Roman" w:hAnsi="Times New Roman"/>
          <w:sz w:val="24"/>
          <w:szCs w:val="24"/>
        </w:rPr>
        <w:t>analysis</w:t>
      </w:r>
      <w:r w:rsidR="00B25CB7" w:rsidRPr="007E40FA">
        <w:rPr>
          <w:rFonts w:ascii="Times New Roman" w:hAnsi="Times New Roman"/>
          <w:sz w:val="24"/>
          <w:szCs w:val="24"/>
        </w:rPr>
        <w:t xml:space="preserve">, in combination with the </w:t>
      </w:r>
      <w:r w:rsidR="004C0272" w:rsidRPr="007E40FA">
        <w:rPr>
          <w:rFonts w:ascii="Times New Roman" w:hAnsi="Times New Roman"/>
          <w:sz w:val="24"/>
          <w:szCs w:val="24"/>
        </w:rPr>
        <w:t>CSS</w:t>
      </w:r>
      <w:r w:rsidR="00B25CB7" w:rsidRPr="007E40FA">
        <w:rPr>
          <w:rFonts w:ascii="Times New Roman" w:hAnsi="Times New Roman"/>
          <w:sz w:val="24"/>
          <w:szCs w:val="24"/>
        </w:rPr>
        <w:t xml:space="preserve">, has been utilized by several groups to illustrate </w:t>
      </w:r>
      <w:r w:rsidR="004636EF" w:rsidRPr="007E40FA">
        <w:rPr>
          <w:rFonts w:ascii="Times New Roman" w:hAnsi="Times New Roman"/>
          <w:sz w:val="24"/>
          <w:szCs w:val="24"/>
        </w:rPr>
        <w:t xml:space="preserve">the potential </w:t>
      </w:r>
      <w:r w:rsidR="00021CFF" w:rsidRPr="007E40FA">
        <w:rPr>
          <w:rFonts w:ascii="Times New Roman" w:hAnsi="Times New Roman"/>
          <w:sz w:val="24"/>
          <w:szCs w:val="24"/>
        </w:rPr>
        <w:t>for</w:t>
      </w:r>
      <w:r w:rsidR="004636EF" w:rsidRPr="007E40FA">
        <w:rPr>
          <w:rFonts w:ascii="Times New Roman" w:hAnsi="Times New Roman"/>
          <w:sz w:val="24"/>
          <w:szCs w:val="24"/>
        </w:rPr>
        <w:t xml:space="preserve"> CTC characterization</w:t>
      </w:r>
      <w:r w:rsidR="00021CFF" w:rsidRPr="007E40FA">
        <w:rPr>
          <w:rFonts w:ascii="Times New Roman" w:hAnsi="Times New Roman"/>
          <w:sz w:val="24"/>
          <w:szCs w:val="24"/>
        </w:rPr>
        <w:t xml:space="preserve"> to inform clinical decision-making and to </w:t>
      </w:r>
      <w:r w:rsidR="00625FA1" w:rsidRPr="007E40FA">
        <w:rPr>
          <w:rFonts w:ascii="Times New Roman" w:hAnsi="Times New Roman"/>
          <w:sz w:val="24"/>
          <w:szCs w:val="24"/>
        </w:rPr>
        <w:t xml:space="preserve">potentially </w:t>
      </w:r>
      <w:r w:rsidR="00021CFF" w:rsidRPr="007E40FA">
        <w:rPr>
          <w:rFonts w:ascii="Times New Roman" w:hAnsi="Times New Roman"/>
          <w:sz w:val="24"/>
          <w:szCs w:val="24"/>
        </w:rPr>
        <w:t xml:space="preserve">change existing treatment guidelines. For example, </w:t>
      </w:r>
      <w:proofErr w:type="spellStart"/>
      <w:r w:rsidR="001931ED" w:rsidRPr="007E40FA">
        <w:rPr>
          <w:rFonts w:ascii="Times New Roman" w:hAnsi="Times New Roman"/>
          <w:sz w:val="24"/>
          <w:szCs w:val="24"/>
        </w:rPr>
        <w:t>Fehm</w:t>
      </w:r>
      <w:proofErr w:type="spellEnd"/>
      <w:r w:rsidR="001931ED" w:rsidRPr="007E40FA">
        <w:rPr>
          <w:rFonts w:ascii="Times New Roman" w:hAnsi="Times New Roman"/>
          <w:sz w:val="24"/>
          <w:szCs w:val="24"/>
        </w:rPr>
        <w:t xml:space="preserve"> et al. (2010</w:t>
      </w:r>
      <w:r w:rsidR="00E73953" w:rsidRPr="007E40FA">
        <w:rPr>
          <w:rFonts w:ascii="Times New Roman" w:hAnsi="Times New Roman"/>
          <w:sz w:val="24"/>
          <w:szCs w:val="24"/>
        </w:rPr>
        <w:t xml:space="preserve">) demonstrated that approximately one third of breast cancer patients with </w:t>
      </w:r>
      <w:r w:rsidR="00021CFF" w:rsidRPr="007E40FA">
        <w:rPr>
          <w:rFonts w:ascii="Times New Roman" w:hAnsi="Times New Roman"/>
          <w:sz w:val="24"/>
          <w:szCs w:val="24"/>
        </w:rPr>
        <w:t>HER2</w:t>
      </w:r>
      <w:r w:rsidR="00021CFF" w:rsidRPr="007E40FA">
        <w:rPr>
          <w:rFonts w:ascii="Times New Roman" w:hAnsi="Times New Roman"/>
          <w:sz w:val="24"/>
          <w:szCs w:val="24"/>
          <w:vertAlign w:val="superscript"/>
        </w:rPr>
        <w:t>-</w:t>
      </w:r>
      <w:r w:rsidR="00021CFF" w:rsidRPr="007E40FA">
        <w:rPr>
          <w:rFonts w:ascii="Times New Roman" w:hAnsi="Times New Roman"/>
          <w:sz w:val="24"/>
          <w:szCs w:val="24"/>
        </w:rPr>
        <w:t xml:space="preserve"> </w:t>
      </w:r>
      <w:r w:rsidR="00E73953" w:rsidRPr="007E40FA">
        <w:rPr>
          <w:rFonts w:ascii="Times New Roman" w:hAnsi="Times New Roman"/>
          <w:sz w:val="24"/>
          <w:szCs w:val="24"/>
        </w:rPr>
        <w:t>primary tumors had HER2</w:t>
      </w:r>
      <w:r w:rsidR="00E73953" w:rsidRPr="007E40FA">
        <w:rPr>
          <w:rFonts w:ascii="Times New Roman" w:hAnsi="Times New Roman"/>
          <w:sz w:val="24"/>
          <w:szCs w:val="24"/>
          <w:vertAlign w:val="superscript"/>
        </w:rPr>
        <w:t>+</w:t>
      </w:r>
      <w:r w:rsidR="00E73953" w:rsidRPr="007E40FA">
        <w:rPr>
          <w:rFonts w:ascii="Times New Roman" w:hAnsi="Times New Roman"/>
          <w:sz w:val="24"/>
          <w:szCs w:val="24"/>
        </w:rPr>
        <w:t xml:space="preserve"> CTCs</w:t>
      </w:r>
      <w:r w:rsidR="0036708D" w:rsidRPr="007E40FA">
        <w:rPr>
          <w:rFonts w:ascii="Times New Roman" w:hAnsi="Times New Roman"/>
          <w:sz w:val="24"/>
          <w:szCs w:val="24"/>
        </w:rPr>
        <w:fldChar w:fldCharType="begin" w:fldLock="1"/>
      </w:r>
      <w:r w:rsidR="007F0560" w:rsidRPr="007E40FA">
        <w:rPr>
          <w:rFonts w:ascii="Times New Roman" w:hAnsi="Times New Roman"/>
          <w:sz w:val="24"/>
          <w:szCs w:val="24"/>
        </w:rPr>
        <w:instrText>ADDIN CSL_CITATION { "citationItems" : [ { "id" : "ITEM-1", "itemData" : { "ISSN" : "1573-7217", "PMID" : "20859679", "abstract" : "There is a growing body of evidence that HER2 status can change during disease recurrence or progression in breast cancer patients. In this context, re-evaluation of HER2 status by assessment of HER2 expression on circulating tumor cells (CTCs) is a strategy with potential clinical application. The aim of this trial was to determine the HER2 status of CTCs in metastatic breast cancer patients comparing two CTC assays. A total of 254 patients with metastatic breast cancer from nine German university breast cancer centers were enrolled in this prospective study. HER2 status of CTCs was assessed using both the FDA-approved CellSearch\u00ae assay and AdnaTest BreastCancer\u2122. Using the CellSearch assay, 122 of 245 (50%) patients had \u22655 CTCs, and HER2-positive CTCs were observed in 50 (41%) of these patients. Ninety of 229 (39%) patients were CTC positive using AdnaTest BreastCancer, and HER2 positivity rate was 47% (42 of 90). The rate of breast cancer patients with HER2-negative primary tumors but HER2-positive CTCs was 32% (25 of 78) and 49% (28 of 57) using the CellSearch assay and AdnaTest BreastCancer, respectively. Considering only those patients who had CTCs on both tests (n = 62), concordant results regarding HER2 positivity were obtained in 50% of the patients (31/62) (P = 0.96, \u03ba = -0.006). HER2-positive CTCs can be detected in a relevant number of patients with HER2 negative primary tumors. Therefore, it will be mandatory to correlate the assay-dependent HER2 status of CTCs to the clinical response on HER2-targeted therapies.", "author" : [ { "dropping-particle" : "", "family" : "Fehm", "given" : "Tanja", "non-dropping-particle" : "", "parse-names" : false, "suffix" : "" }, { "dropping-particle" : "", "family" : "M\u00fcller", "given" : "Volkmar", "non-dropping-particle" : "", "parse-names" : false, "suffix" : "" }, { "dropping-particle" : "", "family" : "Aktas", "given" : "Bahriye", "non-dropping-particle" : "", "parse-names" : false, "suffix" : "" }, { "dropping-particle" : "", "family" : "Janni", "given" : "Wolfgang", "non-dropping-particle" : "", "parse-names" : false, "suffix" : "" }, { "dropping-particle" : "", "family" : "Schneeweiss", "given" : "Andreas", "non-dropping-particle" : "", "parse-names" : false, "suffix" : "" }, { "dropping-particle" : "", "family" : "Stickeler", "given" : "Elmar", "non-dropping-particle" : "", "parse-names" : false, "suffix" : "" }, { "dropping-particle" : "", "family" : "Lattrich", "given" : "Claus", "non-dropping-particle" : "", "parse-names" : false, "suffix" : "" }, { "dropping-particle" : "", "family" : "L\u00f6hberg", "given" : "Christian R", "non-dropping-particle" : "", "parse-names" : false, "suffix" : "" }, { "dropping-particle" : "", "family" : "Solomayer", "given" : "Erich", "non-dropping-particle" : "", "parse-names" : false, "suffix" : "" }, { "dropping-particle" : "", "family" : "Rack", "given" : "Brigitte", "non-dropping-particle" : "", "parse-names" : false, "suffix" : "" }, { "dropping-particle" : "", "family" : "Riethdorf", "given" : "Sabine", "non-dropping-particle" : "", "parse-names" : false, "suffix" : "" }, { "dropping-particle" : "", "family" : "Klein", "given" : "Christoph", "non-dropping-particle" : "", "parse-names" : false, "suffix" : "" }, { "dropping-particle" : "", "family" : "Schindlbeck", "given" : "Christian", "non-dropping-particle" : "", "parse-names" : false, "suffix" : "" }, { "dropping-particle" : "", "family" : "Brocker", "given" : "Kerstin", "non-dropping-particle" : "", "parse-names" : false, "suffix" : "" }, { "dropping-particle" : "", "family" : "Kasimir-Bauer", "given" : "Sabine", "non-dropping-particle" : "", "parse-names" : false, "suffix" : "" }, { "dropping-particle" : "", "family" : "Wallwiener", "given" : "Diethelm", "non-dropping-particle" : "", "parse-names" : false, "suffix" : "" }, { "dropping-particle" : "", "family" : "Pantel", "given" : "Klaus", "non-dropping-particle" : "", "parse-names" : false, "suffix" : "" } ], "container-title" : "Breast cancer research and treatment", "id" : "ITEM-1", "issue" : "2", "issued" : { "date-parts" : [ [ "2010", "11" ] ] }, "page" : "403-12", "title" : "HER2 status of circulating tumor cells in patients with metastatic breast cancer: a prospective, multicenter trial.", "type" : "article-journal", "volume" : "124" }, "uris" : [ "http://www.mendeley.com/documents/?uuid=0dd72e35-08ca-43d0-8074-e6a951f31ae5" ] } ], "mendeley" : { "previouslyFormattedCitation" : "&lt;sup&gt;17&lt;/sup&gt;" }, "properties" : { "noteIndex" : 0 }, "schema" : "https://github.com/citation-style-language/schema/raw/master/csl-citation.json" }</w:instrText>
      </w:r>
      <w:r w:rsidR="0036708D" w:rsidRPr="007E40FA">
        <w:rPr>
          <w:rFonts w:ascii="Times New Roman" w:hAnsi="Times New Roman"/>
          <w:sz w:val="24"/>
          <w:szCs w:val="24"/>
        </w:rPr>
        <w:fldChar w:fldCharType="separate"/>
      </w:r>
      <w:r w:rsidR="007F0560" w:rsidRPr="007E40FA">
        <w:rPr>
          <w:rFonts w:ascii="Times New Roman" w:hAnsi="Times New Roman"/>
          <w:noProof/>
          <w:sz w:val="24"/>
          <w:szCs w:val="24"/>
          <w:vertAlign w:val="superscript"/>
        </w:rPr>
        <w:t>17</w:t>
      </w:r>
      <w:r w:rsidR="0036708D" w:rsidRPr="007E40FA">
        <w:rPr>
          <w:rFonts w:ascii="Times New Roman" w:hAnsi="Times New Roman"/>
          <w:sz w:val="24"/>
          <w:szCs w:val="24"/>
        </w:rPr>
        <w:fldChar w:fldCharType="end"/>
      </w:r>
      <w:r w:rsidR="00E73953" w:rsidRPr="007E40FA">
        <w:rPr>
          <w:rFonts w:ascii="Times New Roman" w:hAnsi="Times New Roman"/>
          <w:sz w:val="24"/>
          <w:szCs w:val="24"/>
        </w:rPr>
        <w:t>.</w:t>
      </w:r>
      <w:r w:rsidR="001931ED" w:rsidRPr="007E40FA">
        <w:rPr>
          <w:rFonts w:ascii="Times New Roman" w:hAnsi="Times New Roman"/>
          <w:sz w:val="24"/>
          <w:szCs w:val="24"/>
        </w:rPr>
        <w:t xml:space="preserve"> In addition, Liu et al. (2013) recently reported that up to 50% of patients with HER</w:t>
      </w:r>
      <w:r w:rsidR="001931ED" w:rsidRPr="007E40FA">
        <w:rPr>
          <w:rFonts w:ascii="Times New Roman" w:hAnsi="Times New Roman"/>
          <w:sz w:val="24"/>
          <w:szCs w:val="24"/>
          <w:vertAlign w:val="superscript"/>
        </w:rPr>
        <w:t>+</w:t>
      </w:r>
      <w:r w:rsidR="001931ED" w:rsidRPr="007E40FA">
        <w:rPr>
          <w:rFonts w:ascii="Times New Roman" w:hAnsi="Times New Roman"/>
          <w:sz w:val="24"/>
          <w:szCs w:val="24"/>
        </w:rPr>
        <w:t xml:space="preserve"> metastatic breast cancer </w:t>
      </w:r>
      <w:r w:rsidR="00625FA1" w:rsidRPr="007E40FA">
        <w:rPr>
          <w:rFonts w:ascii="Times New Roman" w:hAnsi="Times New Roman"/>
          <w:sz w:val="24"/>
          <w:szCs w:val="24"/>
        </w:rPr>
        <w:t>did not have H</w:t>
      </w:r>
      <w:r w:rsidR="001931ED" w:rsidRPr="007E40FA">
        <w:rPr>
          <w:rFonts w:ascii="Times New Roman" w:hAnsi="Times New Roman"/>
          <w:sz w:val="24"/>
          <w:szCs w:val="24"/>
        </w:rPr>
        <w:t>ER2</w:t>
      </w:r>
      <w:r w:rsidR="00625FA1" w:rsidRPr="007E40FA">
        <w:rPr>
          <w:rFonts w:ascii="Times New Roman" w:hAnsi="Times New Roman"/>
          <w:sz w:val="24"/>
          <w:szCs w:val="24"/>
          <w:vertAlign w:val="superscript"/>
        </w:rPr>
        <w:t>+</w:t>
      </w:r>
      <w:r w:rsidR="00625FA1" w:rsidRPr="007E40FA">
        <w:rPr>
          <w:rFonts w:ascii="Times New Roman" w:hAnsi="Times New Roman"/>
          <w:sz w:val="24"/>
          <w:szCs w:val="24"/>
        </w:rPr>
        <w:t xml:space="preserve"> CTCs</w:t>
      </w:r>
      <w:r w:rsidR="0036708D" w:rsidRPr="007E40FA">
        <w:rPr>
          <w:rFonts w:ascii="Times New Roman" w:hAnsi="Times New Roman"/>
          <w:sz w:val="24"/>
          <w:szCs w:val="24"/>
        </w:rPr>
        <w:fldChar w:fldCharType="begin" w:fldLock="1"/>
      </w:r>
      <w:r w:rsidR="007F0560" w:rsidRPr="007E40FA">
        <w:rPr>
          <w:rFonts w:ascii="Times New Roman" w:hAnsi="Times New Roman"/>
          <w:sz w:val="24"/>
          <w:szCs w:val="24"/>
        </w:rPr>
        <w:instrText>ADDIN CSL_CITATION { "citationItems" : [ { "id" : "ITEM-1", "itemData" : { "DOI" : "10.1186/1471-2407-13-202", "ISSN" : "1471-2407", "PMID" : "23617715", "abstract" : "This study was initiated to investigate the prognostic significance of circulating tumor cell (CTC) enumeration and the predictive value of CTC HER2 expression for efficient anti-HER2 therapy in HER2-positive metastatic breast cancer (MBC) patients.", "author" : [ { "dropping-particle" : "", "family" : "Liu", "given" : "Yi", "non-dropping-particle" : "", "parse-names" : false, "suffix" : "" }, { "dropping-particle" : "", "family" : "Liu", "given" : "Qian", "non-dropping-particle" : "", "parse-names" : false, "suffix" : "" }, { "dropping-particle" : "", "family" : "Wang", "given" : "Tao", "non-dropping-particle" : "", "parse-names" : false, "suffix" : "" }, { "dropping-particle" : "", "family" : "Bian", "given" : "Li", "non-dropping-particle" : "", "parse-names" : false, "suffix" : "" }, { "dropping-particle" : "", "family" : "Zhang", "given" : "Shaohua", "non-dropping-particle" : "", "parse-names" : false, "suffix" : "" }, { "dropping-particle" : "", "family" : "Hu", "given" : "Haixu", "non-dropping-particle" : "", "parse-names" : false, "suffix" : "" }, { "dropping-particle" : "", "family" : "Li", "given" : "Sha", "non-dropping-particle" : "", "parse-names" : false, "suffix" : "" }, { "dropping-particle" : "", "family" : "Hu", "given" : "Zhiyuan", "non-dropping-particle" : "", "parse-names" : false, "suffix" : "" }, { "dropping-particle" : "", "family" : "Wu", "given" : "Shikai", "non-dropping-particle" : "", "parse-names" : false, "suffix" : "" }, { "dropping-particle" : "", "family" : "Liu", "given" : "Bing", "non-dropping-particle" : "", "parse-names" : false, "suffix" : "" }, { "dropping-particle" : "", "family" : "Jiang", "given" : "Zefei", "non-dropping-particle" : "", "parse-names" : false, "suffix" : "" } ], "container-title" : "BMC cancer", "id" : "ITEM-1", "issued" : { "date-parts" : [ [ "2013", "1" ] ] }, "page" : "202", "title" : "Circulating tumor cells in HER2-positive metastatic breast cancer patients: a valuable prognostic and predictive biomarker.", "type" : "article-journal", "volume" : "13" }, "uris" : [ "http://www.mendeley.com/documents/?uuid=52ecd1e5-01bf-4533-9822-dfd231bd17f2" ] } ], "mendeley" : { "previouslyFormattedCitation" : "&lt;sup&gt;18&lt;/sup&gt;" }, "properties" : { "noteIndex" : 0 }, "schema" : "https://github.com/citation-style-language/schema/raw/master/csl-citation.json" }</w:instrText>
      </w:r>
      <w:r w:rsidR="0036708D" w:rsidRPr="007E40FA">
        <w:rPr>
          <w:rFonts w:ascii="Times New Roman" w:hAnsi="Times New Roman"/>
          <w:sz w:val="24"/>
          <w:szCs w:val="24"/>
        </w:rPr>
        <w:fldChar w:fldCharType="separate"/>
      </w:r>
      <w:r w:rsidR="007F0560" w:rsidRPr="007E40FA">
        <w:rPr>
          <w:rFonts w:ascii="Times New Roman" w:hAnsi="Times New Roman"/>
          <w:noProof/>
          <w:sz w:val="24"/>
          <w:szCs w:val="24"/>
          <w:vertAlign w:val="superscript"/>
        </w:rPr>
        <w:t>18</w:t>
      </w:r>
      <w:r w:rsidR="0036708D" w:rsidRPr="007E40FA">
        <w:rPr>
          <w:rFonts w:ascii="Times New Roman" w:hAnsi="Times New Roman"/>
          <w:sz w:val="24"/>
          <w:szCs w:val="24"/>
        </w:rPr>
        <w:fldChar w:fldCharType="end"/>
      </w:r>
      <w:r w:rsidR="00625FA1" w:rsidRPr="007E40FA">
        <w:rPr>
          <w:rFonts w:ascii="Times New Roman" w:hAnsi="Times New Roman"/>
          <w:sz w:val="24"/>
          <w:szCs w:val="24"/>
        </w:rPr>
        <w:t>.</w:t>
      </w:r>
      <w:r w:rsidR="001931ED" w:rsidRPr="007E40FA">
        <w:rPr>
          <w:rFonts w:ascii="Times New Roman" w:hAnsi="Times New Roman"/>
          <w:sz w:val="24"/>
          <w:szCs w:val="24"/>
        </w:rPr>
        <w:t xml:space="preserve"> Herceptin, a HER</w:t>
      </w:r>
      <w:r w:rsidR="00625FA1" w:rsidRPr="007E40FA">
        <w:rPr>
          <w:rFonts w:ascii="Times New Roman" w:hAnsi="Times New Roman"/>
          <w:sz w:val="24"/>
          <w:szCs w:val="24"/>
        </w:rPr>
        <w:t xml:space="preserve">2 </w:t>
      </w:r>
      <w:proofErr w:type="spellStart"/>
      <w:r w:rsidR="00625FA1" w:rsidRPr="007E40FA">
        <w:rPr>
          <w:rFonts w:ascii="Times New Roman" w:hAnsi="Times New Roman"/>
          <w:sz w:val="24"/>
          <w:szCs w:val="24"/>
        </w:rPr>
        <w:t>recepter</w:t>
      </w:r>
      <w:proofErr w:type="spellEnd"/>
      <w:r w:rsidR="00625FA1" w:rsidRPr="007E40FA">
        <w:rPr>
          <w:rFonts w:ascii="Times New Roman" w:hAnsi="Times New Roman"/>
          <w:sz w:val="24"/>
          <w:szCs w:val="24"/>
        </w:rPr>
        <w:t xml:space="preserve"> interfering monoclon</w:t>
      </w:r>
      <w:r w:rsidR="001931ED" w:rsidRPr="007E40FA">
        <w:rPr>
          <w:rFonts w:ascii="Times New Roman" w:hAnsi="Times New Roman"/>
          <w:sz w:val="24"/>
          <w:szCs w:val="24"/>
        </w:rPr>
        <w:t>al antibody demonstrated to greatly benefit patients whose tumors express sufficient levels of HER2</w:t>
      </w:r>
      <w:r w:rsidR="00625FA1" w:rsidRPr="007E40FA">
        <w:rPr>
          <w:rFonts w:ascii="Times New Roman" w:hAnsi="Times New Roman"/>
          <w:sz w:val="24"/>
          <w:szCs w:val="24"/>
        </w:rPr>
        <w:t>,</w:t>
      </w:r>
      <w:r w:rsidR="001931ED" w:rsidRPr="007E40FA">
        <w:rPr>
          <w:rFonts w:ascii="Times New Roman" w:hAnsi="Times New Roman"/>
          <w:sz w:val="24"/>
          <w:szCs w:val="24"/>
        </w:rPr>
        <w:t xml:space="preserve"> </w:t>
      </w:r>
      <w:r w:rsidR="00625FA1" w:rsidRPr="007E40FA">
        <w:rPr>
          <w:rFonts w:ascii="Times New Roman" w:hAnsi="Times New Roman"/>
          <w:sz w:val="24"/>
          <w:szCs w:val="24"/>
        </w:rPr>
        <w:t>is a commonly utilized treatment for patients with HER2</w:t>
      </w:r>
      <w:r w:rsidR="00625FA1" w:rsidRPr="007E40FA">
        <w:rPr>
          <w:rFonts w:ascii="Times New Roman" w:hAnsi="Times New Roman"/>
          <w:sz w:val="24"/>
          <w:szCs w:val="24"/>
          <w:vertAlign w:val="superscript"/>
        </w:rPr>
        <w:t>+</w:t>
      </w:r>
      <w:r w:rsidR="00625FA1" w:rsidRPr="007E40FA">
        <w:rPr>
          <w:rFonts w:ascii="Times New Roman" w:hAnsi="Times New Roman"/>
          <w:sz w:val="24"/>
          <w:szCs w:val="24"/>
        </w:rPr>
        <w:t xml:space="preserve"> primary tumors</w:t>
      </w:r>
      <w:r w:rsidR="0036708D" w:rsidRPr="007E40FA">
        <w:rPr>
          <w:rFonts w:ascii="Times New Roman" w:hAnsi="Times New Roman"/>
          <w:sz w:val="24"/>
          <w:szCs w:val="24"/>
        </w:rPr>
        <w:fldChar w:fldCharType="begin" w:fldLock="1"/>
      </w:r>
      <w:r w:rsidR="007F0560" w:rsidRPr="007E40FA">
        <w:rPr>
          <w:rFonts w:ascii="Times New Roman" w:hAnsi="Times New Roman"/>
          <w:sz w:val="24"/>
          <w:szCs w:val="24"/>
        </w:rPr>
        <w:instrText>ADDIN CSL_CITATION { "citationItems" : [ { "id" : "ITEM-1", "itemData" : { "DOI" : "10.1056/NEJM200103153441101", "ISSN" : "0028-4793", "PMID" : "11248153", "abstract" : "The HER2 gene, which encodes the growth factor receptor HER2, is amplified and HER2 is overexpressed in 25 to 30 percent of breast cancers, increasing the aggressiveness of the tumor.", "author" : [ { "dropping-particle" : "", "family" : "Slamon", "given" : "D J", "non-dropping-particle" : "", "parse-names" : false, "suffix" : "" }, { "dropping-particle" : "", "family" : "Leyland-Jones", "given" : "B", "non-dropping-particle" : "", "parse-names" : false, "suffix" : "" }, { "dropping-particle" : "", "family" : "Shak", "given" : "S", "non-dropping-particle" : "", "parse-names" : false, "suffix" : "" }, { "dropping-particle" : "", "family" : "Fuchs", "given" : "H", "non-dropping-particle" : "", "parse-names" : false, "suffix" : "" }, { "dropping-particle" : "", "family" : "Paton", "given" : "V", "non-dropping-particle" : "", "parse-names" : false, "suffix" : "" }, { "dropping-particle" : "", "family" : "Bajamonde", "given" : "A", "non-dropping-particle" : "", "parse-names" : false, "suffix" : "" }, { "dropping-particle" : "", "family" : "Fleming", "given" : "T", "non-dropping-particle" : "", "parse-names" : false, "suffix" : "" }, { "dropping-particle" : "", "family" : "Eiermann", "given" : "W", "non-dropping-particle" : "", "parse-names" : false, "suffix" : "" }, { "dropping-particle" : "", "family" : "Wolter", "given" : "J", "non-dropping-particle" : "", "parse-names" : false, "suffix" : "" }, { "dropping-particle" : "", "family" : "Pegram", "given" : "M", "non-dropping-particle" : "", "parse-names" : false, "suffix" : "" }, { "dropping-particle" : "", "family" : "Baselga", "given" : "J", "non-dropping-particle" : "", "parse-names" : false, "suffix" : "" }, { "dropping-particle" : "", "family" : "Norton", "given" : "L", "non-dropping-particle" : "", "parse-names" : false, "suffix" : "" } ], "container-title" : "The New England journal of medicine", "id" : "ITEM-1", "issue" : "11", "issued" : { "date-parts" : [ [ "2001", "3", "15" ] ] }, "page" : "783-92", "title" : "Use of chemotherapy plus a monoclonal antibody against HER2 for metastatic breast cancer that overexpresses HER2.", "type" : "article-journal", "volume" : "344" }, "uris" : [ "http://www.mendeley.com/documents/?uuid=b94313d0-d656-4f69-9b02-c4fecc95c2d9" ] }, { "id" : "ITEM-2", "itemData" : { "DOI" : "10.1200/JCO.2005.04.173", "ISSN" : "0732-183X", "PMID" : "15911866", "abstract" : "This randomized, multicenter trial compared first-line trastuzumab plus docetaxel versus docetaxel alone in patients with human epidermal growth factor receptor 2 (HER2) -positive metastatic breast cancer (MBC).", "author" : [ { "dropping-particle" : "", "family" : "Marty", "given" : "Michel", "non-dropping-particle" : "", "parse-names" : false, "suffix" : "" }, { "dropping-particle" : "", "family" : "Cognetti", "given" : "Francesco", "non-dropping-particle" : "", "parse-names" : false, "suffix" : "" }, { "dropping-particle" : "", "family" : "Maraninchi", "given" : "Dominique", "non-dropping-particle" : "", "parse-names" : false, "suffix" : "" }, { "dropping-particle" : "", "family" : "Snyder", "given" : "Ray", "non-dropping-particle" : "", "parse-names" : false, "suffix" : "" }, { "dropping-particle" : "", "family" : "Mauriac", "given" : "Louis", "non-dropping-particle" : "", "parse-names" : false, "suffix" : "" }, { "dropping-particle" : "", "family" : "Tubiana-Hulin", "given" : "Mich\u00e8le", "non-dropping-particle" : "", "parse-names" : false, "suffix" : "" }, { "dropping-particle" : "", "family" : "Chan", "given" : "Stephen", "non-dropping-particle" : "", "parse-names" : false, "suffix" : "" }, { "dropping-particle" : "", "family" : "Grimes", "given" : "David", "non-dropping-particle" : "", "parse-names" : false, "suffix" : "" }, { "dropping-particle" : "", "family" : "Ant\u00f3n", "given" : "Antonio", "non-dropping-particle" : "", "parse-names" : false, "suffix" : "" }, { "dropping-particle" : "", "family" : "Lluch", "given" : "Ana", "non-dropping-particle" : "", "parse-names" : false, "suffix" : "" }, { "dropping-particle" : "", "family" : "Kennedy", "given" : "John", "non-dropping-particle" : "", "parse-names" : false, "suffix" : "" }, { "dropping-particle" : "", "family" : "O'Byrne", "given" : "Kenneth", "non-dropping-particle" : "", "parse-names" : false, "suffix" : "" }, { "dropping-particle" : "", "family" : "Conte", "given" : "PierFranco", "non-dropping-particle" : "", "parse-names" : false, "suffix" : "" }, { "dropping-particle" : "", "family" : "Green", "given" : "Michael", "non-dropping-particle" : "", "parse-names" : false, "suffix" : "" }, { "dropping-particle" : "", "family" : "Ward", "given" : "Carol", "non-dropping-particle" : "", "parse-names" : false, "suffix" : "" }, { "dropping-particle" : "", "family" : "Mayne", "given" : "Karen", "non-dropping-particle" : "", "parse-names" : false, "suffix" : "" }, { "dropping-particle" : "", "family" : "Extra", "given" : "Jean-Marc", "non-dropping-particle" : "", "parse-names" : false, "suffix" : "" } ], "container-title" : "Journal of clinical oncology : official journal of the American Society of Clinical Oncology", "id" : "ITEM-2", "issue" : "19", "issued" : { "date-parts" : [ [ "2005", "7", "1" ] ] }, "page" : "4265-74", "title" : "Randomized phase II trial of the efficacy and safety of trastuzumab combined with docetaxel in patients with human epidermal growth factor receptor 2-positive metastatic breast cancer administered as first-line treatment: the M77001 study group.", "type" : "article-journal", "volume" : "23" }, "uris" : [ "http://www.mendeley.com/documents/?uuid=9f423b3e-49f5-4a61-84a0-9a5d7b54006e" ] }, { "id" : "ITEM-3", "itemData" : { "DOI" : "10.1056/NEJMoa0910383", "ISSN" : "1533-4406", "PMID" : "21991949", "abstract" : "Trastuzumab improves survival in the adjuvant treatment of HER-positive breast cancer, although combined therapy with anthracycline-based regimens has been associated with cardiac toxicity. We wanted to evaluate the efficacy and safety of a new nonanthracycline regimen with trastuzumab.", "author" : [ { "dropping-particle" : "", "family" : "Slamon", "given" : "Dennis", "non-dropping-particle" : "", "parse-names" : false, "suffix" : "" }, { "dropping-particle" : "", "family" : "Eiermann", "given" : "Wolfgang", "non-dropping-particle" : "", "parse-names" : false, "suffix" : "" }, { "dropping-particle" : "", "family" : "Robert", "given" : "Nicholas", "non-dropping-particle" : "", "parse-names" : false, "suffix" : "" }, { "dropping-particle" : "", "family" : "Pienkowski", "given" : "Tadeusz", "non-dropping-particle" : "", "parse-names" : false, "suffix" : "" }, { "dropping-particle" : "", "family" : "Martin", "given" : "Miguel", "non-dropping-particle" : "", "parse-names" : false, "suffix" : "" }, { "dropping-particle" : "", "family" : "Press", "given" : "Michael", "non-dropping-particle" : "", "parse-names" : false, "suffix" : "" }, { "dropping-particle" : "", "family" : "Mackey", "given" : "John", "non-dropping-particle" : "", "parse-names" : false, "suffix" : "" }, { "dropping-particle" : "", "family" : "Glaspy", "given" : "John", "non-dropping-particle" : "", "parse-names" : false, "suffix" : "" }, { "dropping-particle" : "", "family" : "Chan", "given" : "Arlene", "non-dropping-particle" : "", "parse-names" : false, "suffix" : "" }, { "dropping-particle" : "", "family" : "Pawlicki", "given" : "Marek", "non-dropping-particle" : "", "parse-names" : false, "suffix" : "" }, { "dropping-particle" : "", "family" : "Pinter", "given" : "Tamas", "non-dropping-particle" : "", "parse-names" : false, "suffix" : "" }, { "dropping-particle" : "", "family" : "Valero", "given" : "Vicente", "non-dropping-particle" : "", "parse-names" : false, "suffix" : "" }, { "dropping-particle" : "", "family" : "Liu", "given" : "Mei-Ching", "non-dropping-particle" : "", "parse-names" : false, "suffix" : "" }, { "dropping-particle" : "", "family" : "Sauter", "given" : "Guido", "non-dropping-particle" : "", "parse-names" : false, "suffix" : "" }, { "dropping-particle" : "", "family" : "Minckwitz", "given" : "Gunter", "non-dropping-particle" : "von", "parse-names" : false, "suffix" : "" }, { "dropping-particle" : "", "family" : "Visco", "given" : "Frances", "non-dropping-particle" : "", "parse-names" : false, "suffix" : "" }, { "dropping-particle" : "", "family" : "Bee", "given" : "Valerie", "non-dropping-particle" : "", "parse-names" : false, "suffix" : "" }, { "dropping-particle" : "", "family" : "Buyse", "given" : "Marc", "non-dropping-particle" : "", "parse-names" : false, "suffix" : "" }, { "dropping-particle" : "", "family" : "Bendahmane", "given" : "Belguendouz", "non-dropping-particle" : "", "parse-names" : false, "suffix" : "" }, { "dropping-particle" : "", "family" : "Tabah-Fisch", "given" : "Isabelle", "non-dropping-particle" : "", "parse-names" : false, "suffix" : "" }, { "dropping-particle" : "", "family" : "Lindsay", "given" : "Mary-Ann", "non-dropping-particle" : "", "parse-names" : false, "suffix" : "" }, { "dropping-particle" : "", "family" : "Riva", "given" : "Alessandro", "non-dropping-particle" : "", "parse-names" : false, "suffix" : "" }, { "dropping-particle" : "", "family" : "Crown", "given" : "John", "non-dropping-particle" : "", "parse-names" : false, "suffix" : "" } ], "container-title" : "The New England journal of medicine", "id" : "ITEM-3", "issue" : "14", "issued" : { "date-parts" : [ [ "2011", "10", "6" ] ] }, "page" : "1273-83", "title" : "Adjuvant trastuzumab in HER2-positive breast cancer.", "type" : "article-journal", "volume" : "365" }, "uris" : [ "http://www.mendeley.com/documents/?uuid=2d2e9819-e2ea-4a01-9454-d2fa21ef8b2a" ] } ], "mendeley" : { "previouslyFormattedCitation" : "&lt;sup&gt;19\u201321&lt;/sup&gt;" }, "properties" : { "noteIndex" : 0 }, "schema" : "https://github.com/citation-style-language/schema/raw/master/csl-citation.json" }</w:instrText>
      </w:r>
      <w:r w:rsidR="0036708D" w:rsidRPr="007E40FA">
        <w:rPr>
          <w:rFonts w:ascii="Times New Roman" w:hAnsi="Times New Roman"/>
          <w:sz w:val="24"/>
          <w:szCs w:val="24"/>
        </w:rPr>
        <w:fldChar w:fldCharType="separate"/>
      </w:r>
      <w:r w:rsidR="007F0560" w:rsidRPr="007E40FA">
        <w:rPr>
          <w:rFonts w:ascii="Times New Roman" w:hAnsi="Times New Roman"/>
          <w:noProof/>
          <w:sz w:val="24"/>
          <w:szCs w:val="24"/>
          <w:vertAlign w:val="superscript"/>
        </w:rPr>
        <w:t>19–21</w:t>
      </w:r>
      <w:r w:rsidR="0036708D" w:rsidRPr="007E40FA">
        <w:rPr>
          <w:rFonts w:ascii="Times New Roman" w:hAnsi="Times New Roman"/>
          <w:sz w:val="24"/>
          <w:szCs w:val="24"/>
        </w:rPr>
        <w:fldChar w:fldCharType="end"/>
      </w:r>
      <w:r w:rsidR="00625FA1" w:rsidRPr="007E40FA">
        <w:rPr>
          <w:rFonts w:ascii="Times New Roman" w:hAnsi="Times New Roman"/>
          <w:sz w:val="24"/>
          <w:szCs w:val="24"/>
        </w:rPr>
        <w:t xml:space="preserve">. However, these studies suggest that Herceptin may be being </w:t>
      </w:r>
      <w:r w:rsidR="008E7ED2" w:rsidRPr="007E40FA">
        <w:rPr>
          <w:rFonts w:ascii="Times New Roman" w:hAnsi="Times New Roman"/>
          <w:sz w:val="24"/>
          <w:szCs w:val="24"/>
        </w:rPr>
        <w:t>sub-</w:t>
      </w:r>
      <w:r w:rsidR="00796AED" w:rsidRPr="007E40FA">
        <w:rPr>
          <w:rFonts w:ascii="Times New Roman" w:hAnsi="Times New Roman"/>
          <w:sz w:val="24"/>
          <w:szCs w:val="24"/>
        </w:rPr>
        <w:t>optimally utilized</w:t>
      </w:r>
      <w:r w:rsidR="00625FA1" w:rsidRPr="007E40FA">
        <w:rPr>
          <w:rFonts w:ascii="Times New Roman" w:hAnsi="Times New Roman"/>
          <w:sz w:val="24"/>
          <w:szCs w:val="24"/>
        </w:rPr>
        <w:t xml:space="preserve"> and that CTC characterization may aid in predicting treatment response. Ultimately, </w:t>
      </w:r>
      <w:r w:rsidR="00D178C2" w:rsidRPr="007E40FA">
        <w:rPr>
          <w:rFonts w:ascii="Times New Roman" w:hAnsi="Times New Roman"/>
          <w:sz w:val="24"/>
          <w:szCs w:val="24"/>
        </w:rPr>
        <w:t xml:space="preserve">CTC </w:t>
      </w:r>
      <w:r w:rsidR="00480999" w:rsidRPr="007E40FA">
        <w:rPr>
          <w:rFonts w:ascii="Times New Roman" w:hAnsi="Times New Roman"/>
          <w:sz w:val="24"/>
          <w:szCs w:val="24"/>
        </w:rPr>
        <w:t>characterization</w:t>
      </w:r>
      <w:r w:rsidR="00D178C2" w:rsidRPr="007E40FA">
        <w:rPr>
          <w:rFonts w:ascii="Times New Roman" w:hAnsi="Times New Roman"/>
          <w:sz w:val="24"/>
          <w:szCs w:val="24"/>
        </w:rPr>
        <w:t xml:space="preserve"> may have the potential to improve</w:t>
      </w:r>
      <w:r w:rsidR="00E73953" w:rsidRPr="007E40FA">
        <w:rPr>
          <w:rFonts w:ascii="Times New Roman" w:hAnsi="Times New Roman"/>
          <w:sz w:val="24"/>
          <w:szCs w:val="24"/>
        </w:rPr>
        <w:t xml:space="preserve"> personalized </w:t>
      </w:r>
      <w:r w:rsidR="00625FA1" w:rsidRPr="007E40FA">
        <w:rPr>
          <w:rFonts w:ascii="Times New Roman" w:hAnsi="Times New Roman"/>
          <w:sz w:val="24"/>
          <w:szCs w:val="24"/>
        </w:rPr>
        <w:t>care</w:t>
      </w:r>
      <w:r w:rsidR="00E73953" w:rsidRPr="007E40FA">
        <w:rPr>
          <w:rFonts w:ascii="Times New Roman" w:hAnsi="Times New Roman"/>
          <w:sz w:val="24"/>
          <w:szCs w:val="24"/>
        </w:rPr>
        <w:t>.</w:t>
      </w:r>
    </w:p>
    <w:p w:rsidR="002051C5" w:rsidRPr="007E40FA" w:rsidRDefault="002051C5" w:rsidP="001F0875">
      <w:pPr>
        <w:spacing w:after="0" w:line="240" w:lineRule="auto"/>
        <w:jc w:val="both"/>
        <w:rPr>
          <w:rFonts w:ascii="Times New Roman" w:hAnsi="Times New Roman"/>
          <w:sz w:val="24"/>
          <w:szCs w:val="24"/>
        </w:rPr>
      </w:pPr>
    </w:p>
    <w:p w:rsidR="00E73953" w:rsidRPr="007E40FA" w:rsidRDefault="00E73953" w:rsidP="001F0875">
      <w:pPr>
        <w:autoSpaceDE w:val="0"/>
        <w:autoSpaceDN w:val="0"/>
        <w:adjustRightInd w:val="0"/>
        <w:spacing w:after="0" w:line="240" w:lineRule="auto"/>
        <w:jc w:val="both"/>
        <w:rPr>
          <w:rFonts w:ascii="Times New Roman" w:hAnsi="Times New Roman"/>
          <w:sz w:val="24"/>
          <w:szCs w:val="24"/>
        </w:rPr>
      </w:pPr>
      <w:r w:rsidRPr="007E40FA">
        <w:rPr>
          <w:rFonts w:ascii="Times New Roman" w:hAnsi="Times New Roman"/>
          <w:sz w:val="24"/>
          <w:szCs w:val="24"/>
        </w:rPr>
        <w:t>CTC research is unique in that it has largely utilized a bedside-to-</w:t>
      </w:r>
      <w:proofErr w:type="spellStart"/>
      <w:r w:rsidRPr="007E40FA">
        <w:rPr>
          <w:rFonts w:ascii="Times New Roman" w:hAnsi="Times New Roman"/>
          <w:sz w:val="24"/>
          <w:szCs w:val="24"/>
        </w:rPr>
        <w:t>benchtop</w:t>
      </w:r>
      <w:proofErr w:type="spellEnd"/>
      <w:r w:rsidRPr="007E40FA">
        <w:rPr>
          <w:rFonts w:ascii="Times New Roman" w:hAnsi="Times New Roman"/>
          <w:sz w:val="24"/>
          <w:szCs w:val="24"/>
        </w:rPr>
        <w:t xml:space="preserve"> approach. This method, unlike </w:t>
      </w:r>
      <w:proofErr w:type="spellStart"/>
      <w:r w:rsidRPr="007E40FA">
        <w:rPr>
          <w:rFonts w:ascii="Times New Roman" w:hAnsi="Times New Roman"/>
          <w:sz w:val="24"/>
          <w:szCs w:val="24"/>
        </w:rPr>
        <w:t>benchtop</w:t>
      </w:r>
      <w:proofErr w:type="spellEnd"/>
      <w:r w:rsidRPr="007E40FA">
        <w:rPr>
          <w:rFonts w:ascii="Times New Roman" w:hAnsi="Times New Roman"/>
          <w:sz w:val="24"/>
          <w:szCs w:val="24"/>
        </w:rPr>
        <w:t xml:space="preserve">-to-bedside research, which can often take years to impact patient care, has allowed CTCs quick entry into the clinical setting. However, physicians are hesitant to use results from CTC analysis in patient treatment decision-making due to a lack of understanding of their underlying biology. Therefore appropriate </w:t>
      </w:r>
      <w:r w:rsidR="00480999" w:rsidRPr="007E40FA">
        <w:rPr>
          <w:rFonts w:ascii="Times New Roman" w:hAnsi="Times New Roman"/>
          <w:sz w:val="24"/>
          <w:szCs w:val="24"/>
        </w:rPr>
        <w:t xml:space="preserve">pre-clinical </w:t>
      </w:r>
      <w:r w:rsidRPr="007E40FA">
        <w:rPr>
          <w:rFonts w:ascii="Times New Roman" w:hAnsi="Times New Roman"/>
          <w:sz w:val="24"/>
          <w:szCs w:val="24"/>
        </w:rPr>
        <w:t xml:space="preserve">mouse models </w:t>
      </w:r>
      <w:r w:rsidR="00480999" w:rsidRPr="007E40FA">
        <w:rPr>
          <w:rFonts w:ascii="Times New Roman" w:hAnsi="Times New Roman"/>
          <w:sz w:val="24"/>
          <w:szCs w:val="24"/>
        </w:rPr>
        <w:t xml:space="preserve">of metastasis </w:t>
      </w:r>
      <w:r w:rsidRPr="007E40FA">
        <w:rPr>
          <w:rFonts w:ascii="Times New Roman" w:hAnsi="Times New Roman"/>
          <w:sz w:val="24"/>
          <w:szCs w:val="24"/>
        </w:rPr>
        <w:t xml:space="preserve">and complementary CTC analysis techniques must be utilized in order to </w:t>
      </w:r>
      <w:r w:rsidR="00480999" w:rsidRPr="007E40FA">
        <w:rPr>
          <w:rFonts w:ascii="Times New Roman" w:hAnsi="Times New Roman"/>
          <w:sz w:val="24"/>
          <w:szCs w:val="24"/>
        </w:rPr>
        <w:t>investigate</w:t>
      </w:r>
      <w:r w:rsidRPr="007E40FA">
        <w:rPr>
          <w:rFonts w:ascii="Times New Roman" w:hAnsi="Times New Roman"/>
          <w:sz w:val="24"/>
          <w:szCs w:val="24"/>
        </w:rPr>
        <w:t xml:space="preserve"> these outstanding questions.</w:t>
      </w:r>
      <w:r w:rsidR="00D55ADC" w:rsidRPr="007E40FA">
        <w:rPr>
          <w:rFonts w:ascii="Times New Roman" w:hAnsi="Times New Roman"/>
          <w:sz w:val="24"/>
          <w:szCs w:val="24"/>
        </w:rPr>
        <w:t xml:space="preserve"> </w:t>
      </w:r>
      <w:r w:rsidR="00D55ADC" w:rsidRPr="007E40FA">
        <w:rPr>
          <w:rFonts w:ascii="Times New Roman" w:eastAsiaTheme="minorHAnsi" w:hAnsi="Times New Roman"/>
          <w:sz w:val="24"/>
          <w:szCs w:val="24"/>
        </w:rPr>
        <w:t xml:space="preserve">In general, there are 2 types of </w:t>
      </w:r>
      <w:r w:rsidR="0074233A" w:rsidRPr="007E40FA">
        <w:rPr>
          <w:rFonts w:ascii="Times New Roman" w:eastAsiaTheme="minorHAnsi" w:hAnsi="Times New Roman"/>
          <w:sz w:val="24"/>
          <w:szCs w:val="24"/>
        </w:rPr>
        <w:t>pre</w:t>
      </w:r>
      <w:r w:rsidR="00FB75F9" w:rsidRPr="007E40FA">
        <w:rPr>
          <w:rFonts w:ascii="Times New Roman" w:eastAsiaTheme="minorHAnsi" w:hAnsi="Times New Roman"/>
          <w:sz w:val="24"/>
          <w:szCs w:val="24"/>
        </w:rPr>
        <w:t>-</w:t>
      </w:r>
      <w:r w:rsidR="0074233A" w:rsidRPr="007E40FA">
        <w:rPr>
          <w:rFonts w:ascii="Times New Roman" w:eastAsiaTheme="minorHAnsi" w:hAnsi="Times New Roman"/>
          <w:sz w:val="24"/>
          <w:szCs w:val="24"/>
        </w:rPr>
        <w:t xml:space="preserve">clinical </w:t>
      </w:r>
      <w:r w:rsidR="00D55ADC" w:rsidRPr="007E40FA">
        <w:rPr>
          <w:rFonts w:ascii="Times New Roman" w:eastAsiaTheme="minorHAnsi" w:hAnsi="Times New Roman"/>
          <w:sz w:val="24"/>
          <w:szCs w:val="24"/>
        </w:rPr>
        <w:t xml:space="preserve">models used </w:t>
      </w:r>
      <w:r w:rsidR="0074233A" w:rsidRPr="007E40FA">
        <w:rPr>
          <w:rFonts w:ascii="Times New Roman" w:eastAsiaTheme="minorHAnsi" w:hAnsi="Times New Roman"/>
          <w:sz w:val="24"/>
          <w:szCs w:val="24"/>
        </w:rPr>
        <w:t xml:space="preserve">to study the metastatic cascade, </w:t>
      </w:r>
      <w:r w:rsidR="00FB75F9" w:rsidRPr="007E40FA">
        <w:rPr>
          <w:rFonts w:ascii="Times New Roman" w:eastAsiaTheme="minorHAnsi" w:hAnsi="Times New Roman"/>
          <w:b/>
          <w:i/>
          <w:sz w:val="24"/>
          <w:szCs w:val="24"/>
        </w:rPr>
        <w:t xml:space="preserve">(1) </w:t>
      </w:r>
      <w:r w:rsidR="00D55ADC" w:rsidRPr="007E40FA">
        <w:rPr>
          <w:rFonts w:ascii="Times New Roman" w:eastAsiaTheme="minorHAnsi" w:hAnsi="Times New Roman"/>
          <w:sz w:val="24"/>
          <w:szCs w:val="24"/>
        </w:rPr>
        <w:t>spontaneous metastasis models</w:t>
      </w:r>
      <w:r w:rsidR="00FB75F9" w:rsidRPr="007E40FA">
        <w:rPr>
          <w:rFonts w:ascii="Times New Roman" w:eastAsiaTheme="minorHAnsi" w:hAnsi="Times New Roman"/>
          <w:sz w:val="24"/>
          <w:szCs w:val="24"/>
        </w:rPr>
        <w:t>, which allow for the study of all the steps in the metastatic cascade,</w:t>
      </w:r>
      <w:r w:rsidR="00D55ADC" w:rsidRPr="007E40FA">
        <w:rPr>
          <w:rFonts w:ascii="Times New Roman" w:eastAsiaTheme="minorHAnsi" w:hAnsi="Times New Roman"/>
          <w:sz w:val="24"/>
          <w:szCs w:val="24"/>
        </w:rPr>
        <w:t xml:space="preserve"> and </w:t>
      </w:r>
      <w:r w:rsidR="00FB75F9" w:rsidRPr="007E40FA">
        <w:rPr>
          <w:rFonts w:ascii="Times New Roman" w:eastAsiaTheme="minorHAnsi" w:hAnsi="Times New Roman"/>
          <w:b/>
          <w:i/>
          <w:sz w:val="24"/>
          <w:szCs w:val="24"/>
        </w:rPr>
        <w:t>(2)</w:t>
      </w:r>
      <w:r w:rsidR="00FB75F9" w:rsidRPr="007E40FA">
        <w:rPr>
          <w:rFonts w:ascii="Times New Roman" w:eastAsiaTheme="minorHAnsi" w:hAnsi="Times New Roman"/>
          <w:sz w:val="24"/>
          <w:szCs w:val="24"/>
        </w:rPr>
        <w:t xml:space="preserve"> </w:t>
      </w:r>
      <w:r w:rsidR="00D55ADC" w:rsidRPr="007E40FA">
        <w:rPr>
          <w:rFonts w:ascii="Times New Roman" w:eastAsiaTheme="minorHAnsi" w:hAnsi="Times New Roman"/>
          <w:sz w:val="24"/>
          <w:szCs w:val="24"/>
        </w:rPr>
        <w:t>experimental metastasis models</w:t>
      </w:r>
      <w:r w:rsidR="00FB75F9" w:rsidRPr="007E40FA">
        <w:rPr>
          <w:rFonts w:ascii="Times New Roman" w:eastAsiaTheme="minorHAnsi" w:hAnsi="Times New Roman"/>
          <w:sz w:val="24"/>
          <w:szCs w:val="24"/>
        </w:rPr>
        <w:t>, which only allow for the study of later steps in the metastatic process such as extravasation and secondary tumor formation</w:t>
      </w:r>
      <w:r w:rsidR="0036708D" w:rsidRPr="007E40FA">
        <w:rPr>
          <w:rFonts w:ascii="Times New Roman" w:eastAsiaTheme="minorHAnsi" w:hAnsi="Times New Roman"/>
          <w:sz w:val="24"/>
          <w:szCs w:val="24"/>
        </w:rPr>
        <w:fldChar w:fldCharType="begin" w:fldLock="1"/>
      </w:r>
      <w:r w:rsidR="007F0560" w:rsidRPr="007E40FA">
        <w:rPr>
          <w:rFonts w:ascii="Times New Roman" w:eastAsiaTheme="minorHAnsi" w:hAnsi="Times New Roman"/>
          <w:sz w:val="24"/>
          <w:szCs w:val="24"/>
        </w:rPr>
        <w:instrText>ADDIN CSL_CITATION { "citationItems" : [ { "id" : "ITEM-1", "itemData" : { "ISSN" : "0262-0898", "PMID" : "9174129", "author" : [ { "dropping-particle" : "", "family" : "Welch", "given" : "D R", "non-dropping-particle" : "", "parse-names" : false, "suffix" : "" } ], "container-title" : "Clinical &amp; experimental metastasis", "id" : "ITEM-1", "issue" : "3", "issued" : { "date-parts" : [ [ "1997", "5" ] ] }, "page" : "272-306", "title" : "Technical considerations for studying cancer metastasis in vivo.", "type" : "article-journal", "volume" : "15" }, "uris" : [ "http://www.mendeley.com/documents/?uuid=70d9cca5-0dd3-444e-b11c-66fd3f88a165" ] } ], "mendeley" : { "previouslyFormattedCitation" : "&lt;sup&gt;22&lt;/sup&gt;" }, "properties" : { "noteIndex" : 0 }, "schema" : "https://github.com/citation-style-language/schema/raw/master/csl-citation.json" }</w:instrText>
      </w:r>
      <w:r w:rsidR="0036708D" w:rsidRPr="007E40FA">
        <w:rPr>
          <w:rFonts w:ascii="Times New Roman" w:eastAsiaTheme="minorHAnsi" w:hAnsi="Times New Roman"/>
          <w:sz w:val="24"/>
          <w:szCs w:val="24"/>
        </w:rPr>
        <w:fldChar w:fldCharType="separate"/>
      </w:r>
      <w:r w:rsidR="007F0560" w:rsidRPr="007E40FA">
        <w:rPr>
          <w:rFonts w:ascii="Times New Roman" w:eastAsiaTheme="minorHAnsi" w:hAnsi="Times New Roman"/>
          <w:noProof/>
          <w:sz w:val="24"/>
          <w:szCs w:val="24"/>
          <w:vertAlign w:val="superscript"/>
        </w:rPr>
        <w:t>22</w:t>
      </w:r>
      <w:r w:rsidR="0036708D" w:rsidRPr="007E40FA">
        <w:rPr>
          <w:rFonts w:ascii="Times New Roman" w:eastAsiaTheme="minorHAnsi" w:hAnsi="Times New Roman"/>
          <w:sz w:val="24"/>
          <w:szCs w:val="24"/>
        </w:rPr>
        <w:fldChar w:fldCharType="end"/>
      </w:r>
      <w:r w:rsidR="00FB75F9" w:rsidRPr="007E40FA">
        <w:rPr>
          <w:rFonts w:ascii="Times New Roman" w:eastAsiaTheme="minorHAnsi" w:hAnsi="Times New Roman"/>
          <w:sz w:val="24"/>
          <w:szCs w:val="24"/>
        </w:rPr>
        <w:t>.</w:t>
      </w:r>
      <w:r w:rsidR="00D55ADC" w:rsidRPr="007E40FA">
        <w:rPr>
          <w:rFonts w:ascii="Times New Roman" w:eastAsiaTheme="minorHAnsi" w:hAnsi="Times New Roman"/>
          <w:sz w:val="24"/>
          <w:szCs w:val="24"/>
        </w:rPr>
        <w:t xml:space="preserve"> Spontaneous metastasis models, </w:t>
      </w:r>
      <w:r w:rsidR="00FB75F9" w:rsidRPr="007E40FA">
        <w:rPr>
          <w:rFonts w:ascii="Times New Roman" w:eastAsiaTheme="minorHAnsi" w:hAnsi="Times New Roman"/>
          <w:sz w:val="24"/>
          <w:szCs w:val="24"/>
        </w:rPr>
        <w:t xml:space="preserve">involve </w:t>
      </w:r>
      <w:r w:rsidR="00D55ADC" w:rsidRPr="007E40FA">
        <w:rPr>
          <w:rFonts w:ascii="Times New Roman" w:eastAsiaTheme="minorHAnsi" w:hAnsi="Times New Roman"/>
          <w:sz w:val="24"/>
          <w:szCs w:val="24"/>
        </w:rPr>
        <w:t>tumor ce</w:t>
      </w:r>
      <w:r w:rsidR="0074233A" w:rsidRPr="007E40FA">
        <w:rPr>
          <w:rFonts w:ascii="Times New Roman" w:eastAsiaTheme="minorHAnsi" w:hAnsi="Times New Roman"/>
          <w:sz w:val="24"/>
          <w:szCs w:val="24"/>
        </w:rPr>
        <w:t xml:space="preserve">ll injections into </w:t>
      </w:r>
      <w:r w:rsidR="00D55ADC" w:rsidRPr="007E40FA">
        <w:rPr>
          <w:rFonts w:ascii="Times New Roman" w:eastAsiaTheme="minorHAnsi" w:hAnsi="Times New Roman"/>
          <w:sz w:val="24"/>
          <w:szCs w:val="24"/>
        </w:rPr>
        <w:t xml:space="preserve">appropriate </w:t>
      </w:r>
      <w:proofErr w:type="spellStart"/>
      <w:r w:rsidR="00D55ADC" w:rsidRPr="007E40FA">
        <w:rPr>
          <w:rFonts w:ascii="Times New Roman" w:eastAsiaTheme="minorHAnsi" w:hAnsi="Times New Roman"/>
          <w:sz w:val="24"/>
          <w:szCs w:val="24"/>
        </w:rPr>
        <w:t>orthotopic</w:t>
      </w:r>
      <w:proofErr w:type="spellEnd"/>
      <w:r w:rsidR="00D55ADC" w:rsidRPr="007E40FA">
        <w:rPr>
          <w:rFonts w:ascii="Times New Roman" w:eastAsiaTheme="minorHAnsi" w:hAnsi="Times New Roman"/>
          <w:sz w:val="24"/>
          <w:szCs w:val="24"/>
        </w:rPr>
        <w:t xml:space="preserve"> location</w:t>
      </w:r>
      <w:r w:rsidR="0074233A" w:rsidRPr="007E40FA">
        <w:rPr>
          <w:rFonts w:ascii="Times New Roman" w:eastAsiaTheme="minorHAnsi" w:hAnsi="Times New Roman"/>
          <w:sz w:val="24"/>
          <w:szCs w:val="24"/>
        </w:rPr>
        <w:t>s</w:t>
      </w:r>
      <w:r w:rsidR="00D55ADC" w:rsidRPr="007E40FA">
        <w:rPr>
          <w:rFonts w:ascii="Times New Roman" w:eastAsiaTheme="minorHAnsi" w:hAnsi="Times New Roman"/>
          <w:sz w:val="24"/>
          <w:szCs w:val="24"/>
        </w:rPr>
        <w:t xml:space="preserve"> (</w:t>
      </w:r>
      <w:r w:rsidR="000C7419" w:rsidRPr="007E40FA">
        <w:rPr>
          <w:rFonts w:ascii="Times New Roman" w:eastAsiaTheme="minorHAnsi" w:hAnsi="Times New Roman"/>
          <w:sz w:val="24"/>
          <w:szCs w:val="24"/>
        </w:rPr>
        <w:t>e.g.</w:t>
      </w:r>
      <w:r w:rsidR="00D55ADC" w:rsidRPr="007E40FA">
        <w:rPr>
          <w:rFonts w:ascii="Times New Roman" w:eastAsiaTheme="minorHAnsi" w:hAnsi="Times New Roman"/>
          <w:sz w:val="24"/>
          <w:szCs w:val="24"/>
        </w:rPr>
        <w:t xml:space="preserve"> injection of </w:t>
      </w:r>
      <w:r w:rsidR="0074233A" w:rsidRPr="007E40FA">
        <w:rPr>
          <w:rFonts w:ascii="Times New Roman" w:eastAsiaTheme="minorHAnsi" w:hAnsi="Times New Roman"/>
          <w:sz w:val="24"/>
          <w:szCs w:val="24"/>
        </w:rPr>
        <w:t>prostate</w:t>
      </w:r>
      <w:r w:rsidR="00D55ADC" w:rsidRPr="007E40FA">
        <w:rPr>
          <w:rFonts w:ascii="Times New Roman" w:eastAsiaTheme="minorHAnsi" w:hAnsi="Times New Roman"/>
          <w:sz w:val="24"/>
          <w:szCs w:val="24"/>
        </w:rPr>
        <w:t xml:space="preserve"> cancer cells into the </w:t>
      </w:r>
      <w:r w:rsidR="0074233A" w:rsidRPr="007E40FA">
        <w:rPr>
          <w:rFonts w:ascii="Times New Roman" w:eastAsiaTheme="minorHAnsi" w:hAnsi="Times New Roman"/>
          <w:sz w:val="24"/>
          <w:szCs w:val="24"/>
        </w:rPr>
        <w:t>prostate gland</w:t>
      </w:r>
      <w:r w:rsidR="00D55ADC" w:rsidRPr="007E40FA">
        <w:rPr>
          <w:rFonts w:ascii="Times New Roman" w:eastAsiaTheme="minorHAnsi" w:hAnsi="Times New Roman"/>
          <w:sz w:val="24"/>
          <w:szCs w:val="24"/>
        </w:rPr>
        <w:t xml:space="preserve"> for </w:t>
      </w:r>
      <w:r w:rsidR="0074233A" w:rsidRPr="007E40FA">
        <w:rPr>
          <w:rFonts w:ascii="Times New Roman" w:eastAsiaTheme="minorHAnsi" w:hAnsi="Times New Roman"/>
          <w:sz w:val="24"/>
          <w:szCs w:val="24"/>
        </w:rPr>
        <w:t xml:space="preserve">the </w:t>
      </w:r>
      <w:r w:rsidR="00D55ADC" w:rsidRPr="007E40FA">
        <w:rPr>
          <w:rFonts w:ascii="Times New Roman" w:eastAsiaTheme="minorHAnsi" w:hAnsi="Times New Roman"/>
          <w:sz w:val="24"/>
          <w:szCs w:val="24"/>
        </w:rPr>
        <w:t>study</w:t>
      </w:r>
      <w:r w:rsidR="0074233A" w:rsidRPr="007E40FA">
        <w:rPr>
          <w:rFonts w:ascii="Times New Roman" w:eastAsiaTheme="minorHAnsi" w:hAnsi="Times New Roman"/>
          <w:sz w:val="24"/>
          <w:szCs w:val="24"/>
        </w:rPr>
        <w:t xml:space="preserve"> of prostate</w:t>
      </w:r>
      <w:r w:rsidR="00D55ADC" w:rsidRPr="007E40FA">
        <w:rPr>
          <w:rFonts w:ascii="Times New Roman" w:eastAsiaTheme="minorHAnsi" w:hAnsi="Times New Roman"/>
          <w:sz w:val="24"/>
          <w:szCs w:val="24"/>
        </w:rPr>
        <w:t xml:space="preserve"> cancer)</w:t>
      </w:r>
      <w:r w:rsidR="00EA3C29" w:rsidRPr="007E40FA">
        <w:rPr>
          <w:rFonts w:ascii="Times New Roman" w:eastAsiaTheme="minorHAnsi" w:hAnsi="Times New Roman"/>
          <w:sz w:val="24"/>
          <w:szCs w:val="24"/>
        </w:rPr>
        <w:t>. C</w:t>
      </w:r>
      <w:r w:rsidR="00D55ADC" w:rsidRPr="007E40FA">
        <w:rPr>
          <w:rFonts w:ascii="Times New Roman" w:eastAsiaTheme="minorHAnsi" w:hAnsi="Times New Roman"/>
          <w:sz w:val="24"/>
          <w:szCs w:val="24"/>
        </w:rPr>
        <w:t>ells are</w:t>
      </w:r>
      <w:r w:rsidR="00EA3C29" w:rsidRPr="007E40FA">
        <w:rPr>
          <w:rFonts w:ascii="Times New Roman" w:eastAsiaTheme="minorHAnsi" w:hAnsi="Times New Roman"/>
          <w:sz w:val="24"/>
          <w:szCs w:val="24"/>
        </w:rPr>
        <w:t xml:space="preserve"> then</w:t>
      </w:r>
      <w:r w:rsidR="00D55ADC" w:rsidRPr="007E40FA">
        <w:rPr>
          <w:rFonts w:ascii="Times New Roman" w:eastAsiaTheme="minorHAnsi" w:hAnsi="Times New Roman"/>
          <w:sz w:val="24"/>
          <w:szCs w:val="24"/>
        </w:rPr>
        <w:t xml:space="preserve"> given time to form primary tumors and spontaneously metastasize to secondary sites such as the </w:t>
      </w:r>
      <w:r w:rsidR="0074233A" w:rsidRPr="007E40FA">
        <w:rPr>
          <w:rFonts w:ascii="Times New Roman" w:eastAsiaTheme="minorHAnsi" w:hAnsi="Times New Roman"/>
          <w:sz w:val="24"/>
          <w:szCs w:val="24"/>
        </w:rPr>
        <w:t>bone, lung, and lymph nodes</w:t>
      </w:r>
      <w:r w:rsidR="00D55ADC" w:rsidRPr="007E40FA">
        <w:rPr>
          <w:rFonts w:ascii="Times New Roman" w:eastAsiaTheme="minorHAnsi" w:hAnsi="Times New Roman"/>
          <w:sz w:val="24"/>
          <w:szCs w:val="24"/>
        </w:rPr>
        <w:t xml:space="preserve">. In contrast, experimental metastasis models involve </w:t>
      </w:r>
      <w:r w:rsidR="00FB75F9" w:rsidRPr="007E40FA">
        <w:rPr>
          <w:rFonts w:ascii="Times New Roman" w:eastAsiaTheme="minorHAnsi" w:hAnsi="Times New Roman"/>
          <w:sz w:val="24"/>
          <w:szCs w:val="24"/>
        </w:rPr>
        <w:t xml:space="preserve">direct </w:t>
      </w:r>
      <w:r w:rsidR="00D55ADC" w:rsidRPr="007E40FA">
        <w:rPr>
          <w:rFonts w:ascii="Times New Roman" w:eastAsiaTheme="minorHAnsi" w:hAnsi="Times New Roman"/>
          <w:sz w:val="24"/>
          <w:szCs w:val="24"/>
        </w:rPr>
        <w:t xml:space="preserve">injection </w:t>
      </w:r>
      <w:r w:rsidR="00FB75F9" w:rsidRPr="007E40FA">
        <w:rPr>
          <w:rFonts w:ascii="Times New Roman" w:eastAsiaTheme="minorHAnsi" w:hAnsi="Times New Roman"/>
          <w:sz w:val="24"/>
          <w:szCs w:val="24"/>
        </w:rPr>
        <w:t xml:space="preserve">of tumor cells </w:t>
      </w:r>
      <w:r w:rsidR="00D55ADC" w:rsidRPr="007E40FA">
        <w:rPr>
          <w:rFonts w:ascii="Times New Roman" w:eastAsiaTheme="minorHAnsi" w:hAnsi="Times New Roman"/>
          <w:sz w:val="24"/>
          <w:szCs w:val="24"/>
        </w:rPr>
        <w:t>into the bloodstream (</w:t>
      </w:r>
      <w:r w:rsidR="000C7419" w:rsidRPr="007E40FA">
        <w:rPr>
          <w:rFonts w:ascii="Times New Roman" w:eastAsiaTheme="minorHAnsi" w:hAnsi="Times New Roman"/>
          <w:sz w:val="24"/>
          <w:szCs w:val="24"/>
        </w:rPr>
        <w:t>e.g.</w:t>
      </w:r>
      <w:r w:rsidR="00D55ADC" w:rsidRPr="007E40FA">
        <w:rPr>
          <w:rFonts w:ascii="Times New Roman" w:eastAsiaTheme="minorHAnsi" w:hAnsi="Times New Roman"/>
          <w:sz w:val="24"/>
          <w:szCs w:val="24"/>
        </w:rPr>
        <w:t xml:space="preserve">. </w:t>
      </w:r>
      <w:r w:rsidR="00EA3C29" w:rsidRPr="007E40FA">
        <w:rPr>
          <w:rFonts w:ascii="Times New Roman" w:eastAsiaTheme="minorHAnsi" w:hAnsi="Times New Roman"/>
          <w:sz w:val="24"/>
          <w:szCs w:val="24"/>
        </w:rPr>
        <w:t xml:space="preserve">via </w:t>
      </w:r>
      <w:r w:rsidR="00D55ADC" w:rsidRPr="007E40FA">
        <w:rPr>
          <w:rFonts w:ascii="Times New Roman" w:eastAsiaTheme="minorHAnsi" w:hAnsi="Times New Roman"/>
          <w:sz w:val="24"/>
          <w:szCs w:val="24"/>
        </w:rPr>
        <w:t>tail</w:t>
      </w:r>
      <w:r w:rsidR="0074233A" w:rsidRPr="007E40FA">
        <w:rPr>
          <w:rFonts w:ascii="Times New Roman" w:eastAsiaTheme="minorHAnsi" w:hAnsi="Times New Roman"/>
          <w:sz w:val="24"/>
          <w:szCs w:val="24"/>
        </w:rPr>
        <w:t xml:space="preserve"> </w:t>
      </w:r>
      <w:r w:rsidR="00D55ADC" w:rsidRPr="007E40FA">
        <w:rPr>
          <w:rFonts w:ascii="Times New Roman" w:eastAsiaTheme="minorHAnsi" w:hAnsi="Times New Roman"/>
          <w:sz w:val="24"/>
          <w:szCs w:val="24"/>
        </w:rPr>
        <w:t xml:space="preserve">vein </w:t>
      </w:r>
      <w:r w:rsidR="00EA3C29" w:rsidRPr="007E40FA">
        <w:rPr>
          <w:rFonts w:ascii="Times New Roman" w:eastAsiaTheme="minorHAnsi" w:hAnsi="Times New Roman"/>
          <w:sz w:val="24"/>
          <w:szCs w:val="24"/>
        </w:rPr>
        <w:t xml:space="preserve">or </w:t>
      </w:r>
      <w:proofErr w:type="spellStart"/>
      <w:r w:rsidR="00EA3C29" w:rsidRPr="007E40FA">
        <w:rPr>
          <w:rFonts w:ascii="Times New Roman" w:eastAsiaTheme="minorHAnsi" w:hAnsi="Times New Roman"/>
          <w:sz w:val="24"/>
          <w:szCs w:val="24"/>
        </w:rPr>
        <w:t>intracardiac</w:t>
      </w:r>
      <w:proofErr w:type="spellEnd"/>
      <w:r w:rsidR="00EA3C29" w:rsidRPr="007E40FA">
        <w:rPr>
          <w:rFonts w:ascii="Times New Roman" w:eastAsiaTheme="minorHAnsi" w:hAnsi="Times New Roman"/>
          <w:sz w:val="24"/>
          <w:szCs w:val="24"/>
        </w:rPr>
        <w:t xml:space="preserve"> injection </w:t>
      </w:r>
      <w:r w:rsidR="00D55ADC" w:rsidRPr="007E40FA">
        <w:rPr>
          <w:rFonts w:ascii="Times New Roman" w:eastAsiaTheme="minorHAnsi" w:hAnsi="Times New Roman"/>
          <w:sz w:val="24"/>
          <w:szCs w:val="24"/>
        </w:rPr>
        <w:t xml:space="preserve">to target </w:t>
      </w:r>
      <w:r w:rsidR="00EA3C29" w:rsidRPr="007E40FA">
        <w:rPr>
          <w:rFonts w:ascii="Times New Roman" w:eastAsiaTheme="minorHAnsi" w:hAnsi="Times New Roman"/>
          <w:sz w:val="24"/>
          <w:szCs w:val="24"/>
        </w:rPr>
        <w:t>cells to specific locations</w:t>
      </w:r>
      <w:r w:rsidR="00D55ADC" w:rsidRPr="007E40FA">
        <w:rPr>
          <w:rFonts w:ascii="Times New Roman" w:eastAsiaTheme="minorHAnsi" w:hAnsi="Times New Roman"/>
          <w:sz w:val="24"/>
          <w:szCs w:val="24"/>
        </w:rPr>
        <w:t xml:space="preserve">) and therefore skip the initial steps of </w:t>
      </w:r>
      <w:proofErr w:type="spellStart"/>
      <w:r w:rsidR="00D55ADC" w:rsidRPr="007E40FA">
        <w:rPr>
          <w:rFonts w:ascii="Times New Roman" w:eastAsiaTheme="minorHAnsi" w:hAnsi="Times New Roman"/>
          <w:sz w:val="24"/>
          <w:szCs w:val="24"/>
        </w:rPr>
        <w:t>intravasation</w:t>
      </w:r>
      <w:proofErr w:type="spellEnd"/>
      <w:r w:rsidR="00D55ADC" w:rsidRPr="007E40FA">
        <w:rPr>
          <w:rFonts w:ascii="Times New Roman" w:eastAsiaTheme="minorHAnsi" w:hAnsi="Times New Roman"/>
          <w:sz w:val="24"/>
          <w:szCs w:val="24"/>
        </w:rPr>
        <w:t xml:space="preserve"> and dissemination to secondary organs</w:t>
      </w:r>
      <w:r w:rsidR="0036708D" w:rsidRPr="007E40FA">
        <w:rPr>
          <w:rFonts w:ascii="Times New Roman" w:eastAsiaTheme="minorHAnsi" w:hAnsi="Times New Roman"/>
          <w:sz w:val="24"/>
          <w:szCs w:val="24"/>
        </w:rPr>
        <w:fldChar w:fldCharType="begin" w:fldLock="1"/>
      </w:r>
      <w:r w:rsidR="007F0560" w:rsidRPr="007E40FA">
        <w:rPr>
          <w:rFonts w:ascii="Times New Roman" w:eastAsiaTheme="minorHAnsi" w:hAnsi="Times New Roman"/>
          <w:sz w:val="24"/>
          <w:szCs w:val="24"/>
        </w:rPr>
        <w:instrText>ADDIN CSL_CITATION { "citationItems" : [ { "id" : "ITEM-1", "itemData" : { "ISSN" : "0262-0898", "PMID" : "9174129", "author" : [ { "dropping-particle" : "", "family" : "Welch", "given" : "D R", "non-dropping-particle" : "", "parse-names" : false, "suffix" : "" } ], "container-title" : "Clinical &amp; experimental metastasis", "id" : "ITEM-1", "issue" : "3", "issued" : { "date-parts" : [ [ "1997", "5" ] ] }, "page" : "272-306", "title" : "Technical considerations for studying cancer metastasis in vivo.", "type" : "article-journal", "volume" : "15" }, "uris" : [ "http://www.mendeley.com/documents/?uuid=70d9cca5-0dd3-444e-b11c-66fd3f88a165" ] } ], "mendeley" : { "previouslyFormattedCitation" : "&lt;sup&gt;22&lt;/sup&gt;" }, "properties" : { "noteIndex" : 0 }, "schema" : "https://github.com/citation-style-language/schema/raw/master/csl-citation.json" }</w:instrText>
      </w:r>
      <w:r w:rsidR="0036708D" w:rsidRPr="007E40FA">
        <w:rPr>
          <w:rFonts w:ascii="Times New Roman" w:eastAsiaTheme="minorHAnsi" w:hAnsi="Times New Roman"/>
          <w:sz w:val="24"/>
          <w:szCs w:val="24"/>
        </w:rPr>
        <w:fldChar w:fldCharType="separate"/>
      </w:r>
      <w:r w:rsidR="007F0560" w:rsidRPr="007E40FA">
        <w:rPr>
          <w:rFonts w:ascii="Times New Roman" w:eastAsiaTheme="minorHAnsi" w:hAnsi="Times New Roman"/>
          <w:noProof/>
          <w:sz w:val="24"/>
          <w:szCs w:val="24"/>
          <w:vertAlign w:val="superscript"/>
        </w:rPr>
        <w:t>22</w:t>
      </w:r>
      <w:r w:rsidR="0036708D" w:rsidRPr="007E40FA">
        <w:rPr>
          <w:rFonts w:ascii="Times New Roman" w:eastAsiaTheme="minorHAnsi" w:hAnsi="Times New Roman"/>
          <w:sz w:val="24"/>
          <w:szCs w:val="24"/>
        </w:rPr>
        <w:fldChar w:fldCharType="end"/>
      </w:r>
      <w:r w:rsidR="00D55ADC" w:rsidRPr="007E40FA">
        <w:rPr>
          <w:rFonts w:ascii="Times New Roman" w:eastAsiaTheme="minorHAnsi" w:hAnsi="Times New Roman"/>
          <w:sz w:val="24"/>
          <w:szCs w:val="24"/>
        </w:rPr>
        <w:t>.</w:t>
      </w:r>
      <w:r w:rsidR="00EA3C29" w:rsidRPr="007E40FA">
        <w:rPr>
          <w:rFonts w:ascii="Times New Roman" w:eastAsiaTheme="minorHAnsi" w:hAnsi="Times New Roman"/>
          <w:sz w:val="24"/>
          <w:szCs w:val="24"/>
        </w:rPr>
        <w:t xml:space="preserve"> </w:t>
      </w:r>
      <w:r w:rsidR="00FE4028" w:rsidRPr="007E40FA">
        <w:rPr>
          <w:rFonts w:ascii="Times New Roman" w:eastAsiaTheme="minorHAnsi" w:hAnsi="Times New Roman"/>
          <w:sz w:val="24"/>
          <w:szCs w:val="24"/>
        </w:rPr>
        <w:t xml:space="preserve">Thus far the majority of CTC </w:t>
      </w:r>
      <w:r w:rsidR="00B8186E" w:rsidRPr="007E40FA">
        <w:rPr>
          <w:rFonts w:ascii="Times New Roman" w:eastAsiaTheme="minorHAnsi" w:hAnsi="Times New Roman"/>
          <w:sz w:val="24"/>
          <w:szCs w:val="24"/>
        </w:rPr>
        <w:t>analysis</w:t>
      </w:r>
      <w:r w:rsidR="00FE4028" w:rsidRPr="007E40FA">
        <w:rPr>
          <w:rFonts w:ascii="Times New Roman" w:eastAsiaTheme="minorHAnsi" w:hAnsi="Times New Roman"/>
          <w:sz w:val="24"/>
          <w:szCs w:val="24"/>
        </w:rPr>
        <w:t xml:space="preserve"> in </w:t>
      </w:r>
      <w:r w:rsidR="0036708D" w:rsidRPr="007E40FA">
        <w:rPr>
          <w:rFonts w:ascii="Times New Roman" w:eastAsiaTheme="minorHAnsi" w:hAnsi="Times New Roman"/>
          <w:i/>
          <w:sz w:val="24"/>
          <w:szCs w:val="24"/>
        </w:rPr>
        <w:lastRenderedPageBreak/>
        <w:t>in vivo</w:t>
      </w:r>
      <w:r w:rsidR="00FE4028" w:rsidRPr="007E40FA">
        <w:rPr>
          <w:rFonts w:ascii="Times New Roman" w:eastAsiaTheme="minorHAnsi" w:hAnsi="Times New Roman"/>
          <w:sz w:val="24"/>
          <w:szCs w:val="24"/>
        </w:rPr>
        <w:t xml:space="preserve"> model systems has been performed using either cytometry</w:t>
      </w:r>
      <w:r w:rsidR="00FF7709" w:rsidRPr="007E40FA">
        <w:rPr>
          <w:rFonts w:ascii="Times New Roman" w:eastAsiaTheme="minorHAnsi" w:hAnsi="Times New Roman"/>
          <w:sz w:val="24"/>
          <w:szCs w:val="24"/>
        </w:rPr>
        <w:t>-based</w:t>
      </w:r>
      <w:r w:rsidR="0036708D" w:rsidRPr="007E40FA">
        <w:rPr>
          <w:rFonts w:ascii="Times New Roman" w:eastAsiaTheme="minorHAnsi" w:hAnsi="Times New Roman"/>
          <w:sz w:val="24"/>
          <w:szCs w:val="24"/>
        </w:rPr>
        <w:fldChar w:fldCharType="begin" w:fldLock="1"/>
      </w:r>
      <w:r w:rsidR="007F0560" w:rsidRPr="007E40FA">
        <w:rPr>
          <w:rFonts w:ascii="Times New Roman" w:eastAsiaTheme="minorHAnsi" w:hAnsi="Times New Roman"/>
          <w:sz w:val="24"/>
          <w:szCs w:val="24"/>
        </w:rPr>
        <w:instrText>ADDIN CSL_CITATION { "citationItems" : [ { "id" : "ITEM-1", "itemData" : { "ISSN" : "1552-4930", "PMID" : "18855920", "abstract" : "The inability to sensitively detect metastatic cells in preclinical models of cancer has created challenges for studying metastasis in experimental systems. We previously developed a flow cytometry (FCM) method for quantifying circulating tumor cells (CTCs) in mouse models of breast cancer. We have adapted this methodology for analysis of tumor dissemination to bone marrow (BM) and lymph node (LN), and for analysis of these samples by laser scanning cytometry (LSC). Our objective was to implement these methodologies for characterization of tumor cell dissemination in preclinical models of cancer metastasis. Human cancer cells were injected into mice via mammary fat pad (MFP; spontaneous metastasis), tail vein (TV; targets lung), or intracardiac (IC; targets bone) routes. At several time points postinjection (4 h to 8 weeks), mice were sacrificed and blood, LNs, and BM were collected. Samples were immunomagnetically enriched and labeled with human leukocytic antigen-fluorescein isothiocyanate and CD45-PE antibodies (FCM/LSC), and propidium iodide (FCM) prior to quantitative analysis. Following MFP injection, CTCs increased over time, as did disseminated cells to the LN. Interestingly, tumor cells also spontaneously disseminated to BM, peaking at 2 weeks postinjection. Following TV injection, CTCs were initially high but decreased rapidly by 1 week before increasing to peak at endpoint. Combined with an observed concurrent increase in disseminated cells to LN and BM, this suggests that tumor cells may shed into the circulation from lung metastases that establish following initial cell delivery. Following IC injection, CTCs increased over time, peaking at 4 weeks. Tumor cells in the BM (most prevalent site of metastasis after IC injection) remained at moderate levels until peaking at endpoint. Combined use of FCM and LSC allows sensitive quantification of disseminated tumor cells in preclinical models of metastasis. These methods will be valuable for future studies aimed at testing new therapeutics in the metastatic setting.", "author" : [ { "dropping-particle" : "", "family" : "Goodale", "given" : "David", "non-dropping-particle" : "", "parse-names" : false, "suffix" : "" }, { "dropping-particle" : "", "family" : "Phay", "given" : "Carolina", "non-dropping-particle" : "", "parse-names" : false, "suffix" : "" }, { "dropping-particle" : "", "family" : "Postenka", "given" : "Carl O", "non-dropping-particle" : "", "parse-names" : false, "suffix" : "" }, { "dropping-particle" : "", "family" : "Keeney", "given" : "Michael", "non-dropping-particle" : "", "parse-names" : false, "suffix" : "" }, { "dropping-particle" : "", "family" : "Allan", "given" : "Alison L", "non-dropping-particle" : "", "parse-names" : false, "suffix" : "" } ], "container-title" : "Cytometry. Part A : the journal of the International Society for Analytical Cytology", "id" : "ITEM-1", "issue" : "4", "issued" : { "date-parts" : [ [ "2009", "4" ] ] }, "page" : "344-55", "title" : "Characterization of tumor cell dissemination patterns in preclinical models of cancer metastasis using flow cytometry and laser scanning cytometry.", "type" : "article-journal", "volume" : "75" }, "uris" : [ "http://www.mendeley.com/documents/?uuid=72708c5a-259f-42b0-9d89-76cc6095575c" ] } ], "mendeley" : { "previouslyFormattedCitation" : "&lt;sup&gt;23&lt;/sup&gt;" }, "properties" : { "noteIndex" : 0 }, "schema" : "https://github.com/citation-style-language/schema/raw/master/csl-citation.json" }</w:instrText>
      </w:r>
      <w:r w:rsidR="0036708D" w:rsidRPr="007E40FA">
        <w:rPr>
          <w:rFonts w:ascii="Times New Roman" w:eastAsiaTheme="minorHAnsi" w:hAnsi="Times New Roman"/>
          <w:sz w:val="24"/>
          <w:szCs w:val="24"/>
        </w:rPr>
        <w:fldChar w:fldCharType="separate"/>
      </w:r>
      <w:r w:rsidR="007F0560" w:rsidRPr="007E40FA">
        <w:rPr>
          <w:rFonts w:ascii="Times New Roman" w:eastAsiaTheme="minorHAnsi" w:hAnsi="Times New Roman"/>
          <w:noProof/>
          <w:sz w:val="24"/>
          <w:szCs w:val="24"/>
          <w:vertAlign w:val="superscript"/>
        </w:rPr>
        <w:t>23</w:t>
      </w:r>
      <w:r w:rsidR="0036708D" w:rsidRPr="007E40FA">
        <w:rPr>
          <w:rFonts w:ascii="Times New Roman" w:eastAsiaTheme="minorHAnsi" w:hAnsi="Times New Roman"/>
          <w:sz w:val="24"/>
          <w:szCs w:val="24"/>
        </w:rPr>
        <w:fldChar w:fldCharType="end"/>
      </w:r>
      <w:r w:rsidR="00FE4028" w:rsidRPr="007E40FA">
        <w:rPr>
          <w:rFonts w:ascii="Times New Roman" w:eastAsiaTheme="minorHAnsi" w:hAnsi="Times New Roman"/>
          <w:sz w:val="24"/>
          <w:szCs w:val="24"/>
        </w:rPr>
        <w:t xml:space="preserve"> or adapted human-based CTC techniques (e.g., </w:t>
      </w:r>
      <w:proofErr w:type="spellStart"/>
      <w:r w:rsidR="00FE4028" w:rsidRPr="007E40FA">
        <w:rPr>
          <w:rFonts w:ascii="Times New Roman" w:eastAsiaTheme="minorHAnsi" w:hAnsi="Times New Roman"/>
          <w:sz w:val="24"/>
          <w:szCs w:val="24"/>
        </w:rPr>
        <w:t>AdnaTest</w:t>
      </w:r>
      <w:proofErr w:type="spellEnd"/>
      <w:r w:rsidR="00FE4028" w:rsidRPr="007E40FA">
        <w:rPr>
          <w:rFonts w:ascii="Times New Roman" w:eastAsiaTheme="minorHAnsi" w:hAnsi="Times New Roman"/>
          <w:sz w:val="24"/>
          <w:szCs w:val="24"/>
        </w:rPr>
        <w:t>)</w:t>
      </w:r>
      <w:r w:rsidR="0036708D" w:rsidRPr="007E40FA">
        <w:rPr>
          <w:rFonts w:ascii="Times New Roman" w:eastAsiaTheme="minorHAnsi" w:hAnsi="Times New Roman"/>
          <w:sz w:val="24"/>
          <w:szCs w:val="24"/>
        </w:rPr>
        <w:fldChar w:fldCharType="begin" w:fldLock="1"/>
      </w:r>
      <w:r w:rsidR="007F0560" w:rsidRPr="007E40FA">
        <w:rPr>
          <w:rFonts w:ascii="Times New Roman" w:eastAsiaTheme="minorHAnsi" w:hAnsi="Times New Roman"/>
          <w:sz w:val="24"/>
          <w:szCs w:val="24"/>
        </w:rPr>
        <w:instrText>ADDIN CSL_CITATION { "citationItems" : [ { "id" : "ITEM-1", "itemData" : { "DOI" : "10.1186/1471-2407-12-178", "ISSN" : "1471-2407", "PMID" : "22591372", "abstract" : "Circulating tumour cells (CTCs) have shown prognostic relevance in metastatic breast, prostate, colon and pancreatic cancer. For further development of CTCs as a biomarker, we compared the performance of different protocols for CTC detection in murine breast cancer xenograft models (MDA-MB-231, MDA-MB-468 and KPL-4). Blood samples were taken from tumour bearing animals (20 to 200\u2009mm2) and analysed for CTCs using 1. an epithelial marker based enrichment method (AdnaTest), 2. an antibody independent technique, targeting human gene transcripts (qualitative PCR), and 3. an antibody-independent approach, targeting human DNA-sequences (quantitative PCR). Further, gene expression changes associated with epithelial-to-mesenchymal transition (EMT) were determined with an EMT-specific PCR assay.", "author" : [ { "dropping-particle" : "", "family" : "Gorges", "given" : "Tobias M", "non-dropping-particle" : "", "parse-names" : false, "suffix" : "" }, { "dropping-particle" : "", "family" : "Tinhofer", "given" : "Ingeborg", "non-dropping-particle" : "", "parse-names" : false, "suffix" : "" }, { "dropping-particle" : "", "family" : "Drosch", "given" : "Michael", "non-dropping-particle" : "", "parse-names" : false, "suffix" : "" }, { "dropping-particle" : "", "family" : "R\u00f6se", "given" : "Lars", "non-dropping-particle" : "", "parse-names" : false, "suffix" : "" }, { "dropping-particle" : "", "family" : "Zollner", "given" : "Thomas M", "non-dropping-particle" : "", "parse-names" : false, "suffix" : "" }, { "dropping-particle" : "", "family" : "Krahn", "given" : "Thomas", "non-dropping-particle" : "", "parse-names" : false, "suffix" : "" }, { "dropping-particle" : "", "family" : "Ahsen", "given" : "Oliver", "non-dropping-particle" : "von", "parse-names" : false, "suffix" : "" } ], "container-title" : "BMC cancer", "id" : "ITEM-1", "issued" : { "date-parts" : [ [ "2012", "1" ] ] }, "page" : "178", "title" : "Circulating tumour cells escape from EpCAM-based detection due to epithelial-to-mesenchymal transition.", "type" : "article-journal", "volume" : "12" }, "uris" : [ "http://www.mendeley.com/documents/?uuid=8a1b6d65-8451-481f-9516-38d7108d6767" ] } ], "mendeley" : { "previouslyFormattedCitation" : "&lt;sup&gt;24&lt;/sup&gt;" }, "properties" : { "noteIndex" : 0 }, "schema" : "https://github.com/citation-style-language/schema/raw/master/csl-citation.json" }</w:instrText>
      </w:r>
      <w:r w:rsidR="0036708D" w:rsidRPr="007E40FA">
        <w:rPr>
          <w:rFonts w:ascii="Times New Roman" w:eastAsiaTheme="minorHAnsi" w:hAnsi="Times New Roman"/>
          <w:sz w:val="24"/>
          <w:szCs w:val="24"/>
        </w:rPr>
        <w:fldChar w:fldCharType="separate"/>
      </w:r>
      <w:r w:rsidR="007F0560" w:rsidRPr="007E40FA">
        <w:rPr>
          <w:rFonts w:ascii="Times New Roman" w:eastAsiaTheme="minorHAnsi" w:hAnsi="Times New Roman"/>
          <w:noProof/>
          <w:sz w:val="24"/>
          <w:szCs w:val="24"/>
          <w:vertAlign w:val="superscript"/>
        </w:rPr>
        <w:t>24</w:t>
      </w:r>
      <w:r w:rsidR="0036708D" w:rsidRPr="007E40FA">
        <w:rPr>
          <w:rFonts w:ascii="Times New Roman" w:eastAsiaTheme="minorHAnsi" w:hAnsi="Times New Roman"/>
          <w:sz w:val="24"/>
          <w:szCs w:val="24"/>
        </w:rPr>
        <w:fldChar w:fldCharType="end"/>
      </w:r>
      <w:r w:rsidR="00FE4028" w:rsidRPr="007E40FA">
        <w:rPr>
          <w:rFonts w:ascii="Times New Roman" w:eastAsiaTheme="minorHAnsi" w:hAnsi="Times New Roman"/>
          <w:sz w:val="24"/>
          <w:szCs w:val="24"/>
        </w:rPr>
        <w:t xml:space="preserve">. Although useful, none of these techniques adequately reflect CTC enumeration using the gold standard CSS. </w:t>
      </w:r>
      <w:r w:rsidR="00480999" w:rsidRPr="007E40FA">
        <w:rPr>
          <w:rFonts w:ascii="Times New Roman" w:hAnsi="Times New Roman"/>
          <w:sz w:val="24"/>
          <w:szCs w:val="24"/>
        </w:rPr>
        <w:t xml:space="preserve">Based on the clinical approval, standardized nature, and widespread usage of the </w:t>
      </w:r>
      <w:r w:rsidR="004C0272" w:rsidRPr="007E40FA">
        <w:rPr>
          <w:rFonts w:ascii="Times New Roman" w:hAnsi="Times New Roman"/>
          <w:sz w:val="24"/>
          <w:szCs w:val="24"/>
        </w:rPr>
        <w:t>CSS</w:t>
      </w:r>
      <w:r w:rsidR="00480999" w:rsidRPr="007E40FA">
        <w:rPr>
          <w:rFonts w:ascii="Times New Roman" w:hAnsi="Times New Roman"/>
          <w:sz w:val="24"/>
          <w:szCs w:val="24"/>
        </w:rPr>
        <w:t xml:space="preserve">, </w:t>
      </w:r>
      <w:r w:rsidR="00041704" w:rsidRPr="007E40FA">
        <w:rPr>
          <w:rFonts w:ascii="Times New Roman" w:hAnsi="Times New Roman"/>
          <w:sz w:val="24"/>
          <w:szCs w:val="24"/>
        </w:rPr>
        <w:t xml:space="preserve">the development of </w:t>
      </w:r>
      <w:r w:rsidR="00480999" w:rsidRPr="007E40FA">
        <w:rPr>
          <w:rFonts w:ascii="Times New Roman" w:hAnsi="Times New Roman"/>
          <w:sz w:val="24"/>
          <w:szCs w:val="24"/>
        </w:rPr>
        <w:t xml:space="preserve">a CTC capture and detection technique </w:t>
      </w:r>
      <w:r w:rsidR="00041704" w:rsidRPr="007E40FA">
        <w:rPr>
          <w:rFonts w:ascii="Times New Roman" w:hAnsi="Times New Roman"/>
          <w:sz w:val="24"/>
          <w:szCs w:val="24"/>
        </w:rPr>
        <w:t xml:space="preserve">for </w:t>
      </w:r>
      <w:r w:rsidR="00041704" w:rsidRPr="007E40FA">
        <w:rPr>
          <w:rFonts w:ascii="Times New Roman" w:hAnsi="Times New Roman"/>
          <w:i/>
          <w:sz w:val="24"/>
          <w:szCs w:val="24"/>
        </w:rPr>
        <w:t>in vivo</w:t>
      </w:r>
      <w:r w:rsidR="00041704" w:rsidRPr="007E40FA">
        <w:rPr>
          <w:rFonts w:ascii="Times New Roman" w:hAnsi="Times New Roman"/>
          <w:sz w:val="24"/>
          <w:szCs w:val="24"/>
        </w:rPr>
        <w:t xml:space="preserve"> modeling </w:t>
      </w:r>
      <w:r w:rsidR="00480999" w:rsidRPr="007E40FA">
        <w:rPr>
          <w:rFonts w:ascii="Times New Roman" w:hAnsi="Times New Roman"/>
          <w:sz w:val="24"/>
          <w:szCs w:val="24"/>
        </w:rPr>
        <w:t>that utilize</w:t>
      </w:r>
      <w:r w:rsidR="00257A1E" w:rsidRPr="007E40FA">
        <w:rPr>
          <w:rFonts w:ascii="Times New Roman" w:hAnsi="Times New Roman"/>
          <w:sz w:val="24"/>
          <w:szCs w:val="24"/>
        </w:rPr>
        <w:t xml:space="preserve">s </w:t>
      </w:r>
      <w:r w:rsidR="00041704" w:rsidRPr="007E40FA">
        <w:rPr>
          <w:rFonts w:ascii="Times New Roman" w:hAnsi="Times New Roman"/>
          <w:sz w:val="24"/>
          <w:szCs w:val="24"/>
        </w:rPr>
        <w:t>equivalent</w:t>
      </w:r>
      <w:r w:rsidR="00480999" w:rsidRPr="007E40FA">
        <w:rPr>
          <w:rFonts w:ascii="Times New Roman" w:hAnsi="Times New Roman"/>
          <w:sz w:val="24"/>
          <w:szCs w:val="24"/>
        </w:rPr>
        <w:t xml:space="preserve"> sample preparation, processing, and identification criteria</w:t>
      </w:r>
      <w:r w:rsidR="00041704" w:rsidRPr="007E40FA">
        <w:rPr>
          <w:rFonts w:ascii="Times New Roman" w:hAnsi="Times New Roman"/>
          <w:sz w:val="24"/>
          <w:szCs w:val="24"/>
        </w:rPr>
        <w:t xml:space="preserve"> </w:t>
      </w:r>
      <w:r w:rsidR="00480999" w:rsidRPr="007E40FA">
        <w:rPr>
          <w:rFonts w:ascii="Times New Roman" w:hAnsi="Times New Roman"/>
          <w:sz w:val="24"/>
          <w:szCs w:val="24"/>
        </w:rPr>
        <w:t xml:space="preserve">would be </w:t>
      </w:r>
      <w:r w:rsidR="007B14DD" w:rsidRPr="007E40FA">
        <w:rPr>
          <w:rFonts w:ascii="Times New Roman" w:hAnsi="Times New Roman"/>
          <w:sz w:val="24"/>
          <w:szCs w:val="24"/>
        </w:rPr>
        <w:t xml:space="preserve">advantageous as </w:t>
      </w:r>
      <w:r w:rsidR="00480999" w:rsidRPr="007E40FA">
        <w:rPr>
          <w:rFonts w:ascii="Times New Roman" w:hAnsi="Times New Roman"/>
          <w:sz w:val="24"/>
          <w:szCs w:val="24"/>
        </w:rPr>
        <w:t xml:space="preserve">results </w:t>
      </w:r>
      <w:r w:rsidR="007B14DD" w:rsidRPr="007E40FA">
        <w:rPr>
          <w:rFonts w:ascii="Times New Roman" w:hAnsi="Times New Roman"/>
          <w:sz w:val="24"/>
          <w:szCs w:val="24"/>
        </w:rPr>
        <w:t xml:space="preserve">would be </w:t>
      </w:r>
      <w:r w:rsidR="00041704" w:rsidRPr="007E40FA">
        <w:rPr>
          <w:rFonts w:ascii="Times New Roman" w:hAnsi="Times New Roman"/>
          <w:sz w:val="24"/>
          <w:szCs w:val="24"/>
        </w:rPr>
        <w:t>comparable to those</w:t>
      </w:r>
      <w:r w:rsidR="007B14DD" w:rsidRPr="007E40FA">
        <w:rPr>
          <w:rFonts w:ascii="Times New Roman" w:hAnsi="Times New Roman"/>
          <w:sz w:val="24"/>
          <w:szCs w:val="24"/>
        </w:rPr>
        <w:t xml:space="preserve"> </w:t>
      </w:r>
      <w:r w:rsidR="00041704" w:rsidRPr="007E40FA">
        <w:rPr>
          <w:rFonts w:ascii="Times New Roman" w:hAnsi="Times New Roman"/>
          <w:sz w:val="24"/>
          <w:szCs w:val="24"/>
        </w:rPr>
        <w:t xml:space="preserve">obtained </w:t>
      </w:r>
      <w:r w:rsidR="007B14DD" w:rsidRPr="007E40FA">
        <w:rPr>
          <w:rFonts w:ascii="Times New Roman" w:hAnsi="Times New Roman"/>
          <w:sz w:val="24"/>
          <w:szCs w:val="24"/>
        </w:rPr>
        <w:t xml:space="preserve">from patient samples. However, due to the volume requirements of </w:t>
      </w:r>
      <w:r w:rsidR="00FC1CA6" w:rsidRPr="007E40FA">
        <w:rPr>
          <w:rFonts w:ascii="Times New Roman" w:hAnsi="Times New Roman"/>
          <w:sz w:val="24"/>
          <w:szCs w:val="24"/>
        </w:rPr>
        <w:t xml:space="preserve">the </w:t>
      </w:r>
      <w:r w:rsidR="00ED2A1E" w:rsidRPr="007E40FA">
        <w:rPr>
          <w:rFonts w:ascii="Times New Roman" w:hAnsi="Times New Roman"/>
          <w:sz w:val="24"/>
          <w:szCs w:val="24"/>
        </w:rPr>
        <w:t>p</w:t>
      </w:r>
      <w:r w:rsidR="004C0272" w:rsidRPr="007E40FA">
        <w:rPr>
          <w:rFonts w:ascii="Times New Roman" w:hAnsi="Times New Roman"/>
          <w:sz w:val="24"/>
          <w:szCs w:val="24"/>
        </w:rPr>
        <w:t>reparation instrument</w:t>
      </w:r>
      <w:r w:rsidR="007B14DD" w:rsidRPr="007E40FA">
        <w:rPr>
          <w:rFonts w:ascii="Times New Roman" w:hAnsi="Times New Roman"/>
          <w:sz w:val="24"/>
          <w:szCs w:val="24"/>
        </w:rPr>
        <w:t xml:space="preserve"> it is not possible to process </w:t>
      </w:r>
      <w:r w:rsidR="00041704" w:rsidRPr="007E40FA">
        <w:rPr>
          <w:rFonts w:ascii="Times New Roman" w:hAnsi="Times New Roman"/>
          <w:sz w:val="24"/>
          <w:szCs w:val="24"/>
        </w:rPr>
        <w:t>small volumes of blood us</w:t>
      </w:r>
      <w:r w:rsidR="00FC1CA6" w:rsidRPr="007E40FA">
        <w:rPr>
          <w:rFonts w:ascii="Times New Roman" w:hAnsi="Times New Roman"/>
          <w:sz w:val="24"/>
          <w:szCs w:val="24"/>
        </w:rPr>
        <w:t>ing this</w:t>
      </w:r>
      <w:r w:rsidR="00041704" w:rsidRPr="007E40FA">
        <w:rPr>
          <w:rFonts w:ascii="Times New Roman" w:hAnsi="Times New Roman"/>
          <w:sz w:val="24"/>
          <w:szCs w:val="24"/>
        </w:rPr>
        <w:t xml:space="preserve"> automated </w:t>
      </w:r>
      <w:r w:rsidR="00FC1CA6" w:rsidRPr="007E40FA">
        <w:rPr>
          <w:rFonts w:ascii="Times New Roman" w:hAnsi="Times New Roman"/>
          <w:sz w:val="24"/>
          <w:szCs w:val="24"/>
        </w:rPr>
        <w:t>platform</w:t>
      </w:r>
      <w:r w:rsidR="007B14DD" w:rsidRPr="007E40FA">
        <w:rPr>
          <w:rFonts w:ascii="Times New Roman" w:hAnsi="Times New Roman"/>
          <w:sz w:val="24"/>
          <w:szCs w:val="24"/>
        </w:rPr>
        <w:t xml:space="preserve">. </w:t>
      </w:r>
      <w:r w:rsidR="00E72801" w:rsidRPr="007E40FA">
        <w:rPr>
          <w:rFonts w:ascii="Times New Roman" w:hAnsi="Times New Roman"/>
          <w:sz w:val="24"/>
          <w:szCs w:val="24"/>
        </w:rPr>
        <w:t xml:space="preserve">In addition, previous work by </w:t>
      </w:r>
      <w:proofErr w:type="spellStart"/>
      <w:r w:rsidR="004E3D16" w:rsidRPr="007E40FA">
        <w:rPr>
          <w:rFonts w:ascii="Times New Roman" w:hAnsi="Times New Roman"/>
          <w:sz w:val="24"/>
          <w:szCs w:val="24"/>
        </w:rPr>
        <w:t>Eliane</w:t>
      </w:r>
      <w:proofErr w:type="spellEnd"/>
      <w:r w:rsidR="00E72801" w:rsidRPr="007E40FA">
        <w:rPr>
          <w:rFonts w:ascii="Times New Roman" w:hAnsi="Times New Roman"/>
          <w:sz w:val="24"/>
          <w:szCs w:val="24"/>
        </w:rPr>
        <w:t xml:space="preserve"> et al.,</w:t>
      </w:r>
      <w:r w:rsidR="004E3D16" w:rsidRPr="007E40FA">
        <w:rPr>
          <w:rFonts w:ascii="Times New Roman" w:hAnsi="Times New Roman"/>
          <w:sz w:val="24"/>
          <w:szCs w:val="24"/>
        </w:rPr>
        <w:t xml:space="preserve"> (2008)</w:t>
      </w:r>
      <w:r w:rsidR="00E72801" w:rsidRPr="007E40FA">
        <w:rPr>
          <w:rFonts w:ascii="Times New Roman" w:hAnsi="Times New Roman"/>
          <w:sz w:val="24"/>
          <w:szCs w:val="24"/>
        </w:rPr>
        <w:t xml:space="preserve"> has demonstrated that contamination of samples with mouse epithelial cells (which also meet the standard CTC definition [EpCAM</w:t>
      </w:r>
      <w:r w:rsidR="00E72801" w:rsidRPr="007E40FA">
        <w:rPr>
          <w:rFonts w:ascii="Times New Roman" w:hAnsi="Times New Roman"/>
          <w:sz w:val="24"/>
          <w:szCs w:val="24"/>
          <w:vertAlign w:val="superscript"/>
        </w:rPr>
        <w:t>+</w:t>
      </w:r>
      <w:r w:rsidR="00E72801" w:rsidRPr="007E40FA">
        <w:rPr>
          <w:rFonts w:ascii="Times New Roman" w:hAnsi="Times New Roman"/>
          <w:sz w:val="24"/>
          <w:szCs w:val="24"/>
        </w:rPr>
        <w:t>CK</w:t>
      </w:r>
      <w:r w:rsidR="00E72801" w:rsidRPr="007E40FA">
        <w:rPr>
          <w:rFonts w:ascii="Times New Roman" w:hAnsi="Times New Roman"/>
          <w:sz w:val="24"/>
          <w:szCs w:val="24"/>
          <w:vertAlign w:val="superscript"/>
        </w:rPr>
        <w:t>+</w:t>
      </w:r>
      <w:r w:rsidR="00E72801" w:rsidRPr="007E40FA">
        <w:rPr>
          <w:rFonts w:ascii="Times New Roman" w:hAnsi="Times New Roman"/>
          <w:sz w:val="24"/>
          <w:szCs w:val="24"/>
        </w:rPr>
        <w:t>DAPI</w:t>
      </w:r>
      <w:r w:rsidR="00E72801" w:rsidRPr="007E40FA">
        <w:rPr>
          <w:rFonts w:ascii="Times New Roman" w:hAnsi="Times New Roman"/>
          <w:sz w:val="24"/>
          <w:szCs w:val="24"/>
          <w:vertAlign w:val="superscript"/>
        </w:rPr>
        <w:t>+</w:t>
      </w:r>
      <w:r w:rsidR="00E72801" w:rsidRPr="007E40FA">
        <w:rPr>
          <w:rFonts w:ascii="Times New Roman" w:hAnsi="Times New Roman"/>
          <w:sz w:val="24"/>
          <w:szCs w:val="24"/>
        </w:rPr>
        <w:t>CD45</w:t>
      </w:r>
      <w:r w:rsidR="00E72801" w:rsidRPr="007E40FA">
        <w:rPr>
          <w:rFonts w:ascii="Times New Roman" w:hAnsi="Times New Roman"/>
          <w:sz w:val="24"/>
          <w:szCs w:val="24"/>
          <w:vertAlign w:val="superscript"/>
        </w:rPr>
        <w:t>-</w:t>
      </w:r>
      <w:r w:rsidR="00E72801" w:rsidRPr="007E40FA">
        <w:rPr>
          <w:rFonts w:ascii="Times New Roman" w:hAnsi="Times New Roman"/>
          <w:sz w:val="24"/>
          <w:szCs w:val="24"/>
        </w:rPr>
        <w:t xml:space="preserve">]) can lead to misclassification of mouse </w:t>
      </w:r>
      <w:r w:rsidR="00803880" w:rsidRPr="007E40FA">
        <w:rPr>
          <w:rFonts w:ascii="Times New Roman" w:hAnsi="Times New Roman"/>
          <w:sz w:val="24"/>
          <w:szCs w:val="24"/>
        </w:rPr>
        <w:t xml:space="preserve">squamous epithelial </w:t>
      </w:r>
      <w:r w:rsidR="00E72801" w:rsidRPr="007E40FA">
        <w:rPr>
          <w:rFonts w:ascii="Times New Roman" w:hAnsi="Times New Roman"/>
          <w:sz w:val="24"/>
          <w:szCs w:val="24"/>
        </w:rPr>
        <w:t>cells as CTCs</w:t>
      </w:r>
      <w:r w:rsidR="0036708D" w:rsidRPr="007E40FA">
        <w:rPr>
          <w:rFonts w:ascii="Times New Roman" w:hAnsi="Times New Roman"/>
          <w:sz w:val="24"/>
          <w:szCs w:val="24"/>
        </w:rPr>
        <w:fldChar w:fldCharType="begin" w:fldLock="1"/>
      </w:r>
      <w:r w:rsidR="007F0560" w:rsidRPr="007E40FA">
        <w:rPr>
          <w:rFonts w:ascii="Times New Roman" w:hAnsi="Times New Roman"/>
          <w:sz w:val="24"/>
          <w:szCs w:val="24"/>
        </w:rPr>
        <w:instrText>ADDIN CSL_CITATION { "citationItems" : [ { "id" : "ITEM-1", "itemData" : { "DOI" : "10.1158/0008-5472.CAN-08-0630", "ISSN" : "1538-7445", "PMID" : "18632603", "abstract" : "Circulating tumor cells (CTC) are emerging as a powerful prognostic and predictive biomarker in several types of cancer, including breast, colon, and prostate. Studies of CTC in metastasis and further development of CTC as a biomarker in cancer have been limited by the inability to repetitively monitor CTC in mouse models of cancer. We have validated a method to enumerate CTC in blood samples obtained from living mice using a modified version of an in vitro diagnostic system for quantifying CTC in patients. Different routes of blood collection were tested to identify a method to reproducibly recover CTC from tumor-bearing mice without interference from contaminating normal murine epithelial cells. CTC are present in blood samples from mice bearing orthotopic xenografts of several different breast cancer cell lines and primary breast cancer cells from patient biopsies. We also show that this technology can be used for serial monitoring of CTC in mouse xenograft models of human breast cancer. These results establish a new method for studying CTC in mouse models of epithelial cancer, providing the foundation for studies of molecular regulation of CTC in cancer and CTC as biomarker for therapeutic efficacy.", "author" : [ { "dropping-particle" : "", "family" : "Eliane", "given" : "Jean-Pierre", "non-dropping-particle" : "", "parse-names" : false, "suffix" : "" }, { "dropping-particle" : "", "family" : "Repollet", "given" : "Madeline", "non-dropping-particle" : "", "parse-names" : false, "suffix" : "" }, { "dropping-particle" : "", "family" : "Luker", "given" : "Kathryn E", "non-dropping-particle" : "", "parse-names" : false, "suffix" : "" }, { "dropping-particle" : "", "family" : "Brown", "given" : "Martha", "non-dropping-particle" : "", "parse-names" : false, "suffix" : "" }, { "dropping-particle" : "", "family" : "Rae", "given" : "James M", "non-dropping-particle" : "", "parse-names" : false, "suffix" : "" }, { "dropping-particle" : "", "family" : "Dontu", "given" : "Gabriela", "non-dropping-particle" : "", "parse-names" : false, "suffix" : "" }, { "dropping-particle" : "", "family" : "Schott", "given" : "Anne F", "non-dropping-particle" : "", "parse-names" : false, "suffix" : "" }, { "dropping-particle" : "", "family" : "Wicha", "given" : "Max", "non-dropping-particle" : "", "parse-names" : false, "suffix" : "" }, { "dropping-particle" : "V", "family" : "Doyle", "given" : "Gerald", "non-dropping-particle" : "", "parse-names" : false, "suffix" : "" }, { "dropping-particle" : "", "family" : "Hayes", "given" : "Daniel F", "non-dropping-particle" : "", "parse-names" : false, "suffix" : "" }, { "dropping-particle" : "", "family" : "Luker", "given" : "Gary D", "non-dropping-particle" : "", "parse-names" : false, "suffix" : "" } ], "container-title" : "Cancer research", "id" : "ITEM-1", "issue" : "14", "issued" : { "date-parts" : [ [ "2008", "7", "15" ] ] }, "page" : "5529-32", "title" : "Monitoring serial changes in circulating human breast cancer cells in murine xenograft models.", "type" : "article-journal", "volume" : "68" }, "uris" : [ "http://www.mendeley.com/documents/?uuid=15fedbed-25a3-4774-880f-49dcf911f9e3" ] } ], "mendeley" : { "previouslyFormattedCitation" : "&lt;sup&gt;25&lt;/sup&gt;" }, "properties" : { "noteIndex" : 0 }, "schema" : "https://github.com/citation-style-language/schema/raw/master/csl-citation.json" }</w:instrText>
      </w:r>
      <w:r w:rsidR="0036708D" w:rsidRPr="007E40FA">
        <w:rPr>
          <w:rFonts w:ascii="Times New Roman" w:hAnsi="Times New Roman"/>
          <w:sz w:val="24"/>
          <w:szCs w:val="24"/>
        </w:rPr>
        <w:fldChar w:fldCharType="separate"/>
      </w:r>
      <w:r w:rsidR="007F0560" w:rsidRPr="007E40FA">
        <w:rPr>
          <w:rFonts w:ascii="Times New Roman" w:hAnsi="Times New Roman"/>
          <w:noProof/>
          <w:sz w:val="24"/>
          <w:szCs w:val="24"/>
          <w:vertAlign w:val="superscript"/>
        </w:rPr>
        <w:t>25</w:t>
      </w:r>
      <w:r w:rsidR="0036708D" w:rsidRPr="007E40FA">
        <w:rPr>
          <w:rFonts w:ascii="Times New Roman" w:hAnsi="Times New Roman"/>
          <w:sz w:val="24"/>
          <w:szCs w:val="24"/>
        </w:rPr>
        <w:fldChar w:fldCharType="end"/>
      </w:r>
      <w:r w:rsidR="00E72801" w:rsidRPr="007E40FA">
        <w:rPr>
          <w:rFonts w:ascii="Times New Roman" w:hAnsi="Times New Roman"/>
          <w:sz w:val="24"/>
          <w:szCs w:val="24"/>
        </w:rPr>
        <w:t xml:space="preserve">. To address these issues </w:t>
      </w:r>
      <w:r w:rsidR="00ED2A1E" w:rsidRPr="007E40FA">
        <w:rPr>
          <w:rFonts w:ascii="Times New Roman" w:hAnsi="Times New Roman"/>
          <w:sz w:val="24"/>
          <w:szCs w:val="24"/>
        </w:rPr>
        <w:t xml:space="preserve">an adapted technique that allows the utilization of the CSS CTC kit reagents combined with a manual isolation procedure was developed. The addition of a FITC labelled human leukocyte antigen (HLA) antibody to the assay allows </w:t>
      </w:r>
      <w:r w:rsidR="004E3D16" w:rsidRPr="007E40FA">
        <w:rPr>
          <w:rFonts w:ascii="Times New Roman" w:hAnsi="Times New Roman"/>
          <w:sz w:val="24"/>
          <w:szCs w:val="24"/>
        </w:rPr>
        <w:t xml:space="preserve">human tumor cells </w:t>
      </w:r>
      <w:r w:rsidR="00ED2A1E" w:rsidRPr="007E40FA">
        <w:rPr>
          <w:rFonts w:ascii="Times New Roman" w:hAnsi="Times New Roman"/>
          <w:sz w:val="24"/>
          <w:szCs w:val="24"/>
        </w:rPr>
        <w:t xml:space="preserve">to be distinguished </w:t>
      </w:r>
      <w:r w:rsidR="004E3D16" w:rsidRPr="007E40FA">
        <w:rPr>
          <w:rFonts w:ascii="Times New Roman" w:hAnsi="Times New Roman"/>
          <w:sz w:val="24"/>
          <w:szCs w:val="24"/>
        </w:rPr>
        <w:t>from mouse</w:t>
      </w:r>
      <w:r w:rsidR="00803880" w:rsidRPr="007E40FA">
        <w:rPr>
          <w:rFonts w:ascii="Times New Roman" w:hAnsi="Times New Roman"/>
          <w:sz w:val="24"/>
          <w:szCs w:val="24"/>
        </w:rPr>
        <w:t xml:space="preserve"> squamous</w:t>
      </w:r>
      <w:r w:rsidR="004E3D16" w:rsidRPr="007E40FA">
        <w:rPr>
          <w:rFonts w:ascii="Times New Roman" w:hAnsi="Times New Roman"/>
          <w:sz w:val="24"/>
          <w:szCs w:val="24"/>
        </w:rPr>
        <w:t xml:space="preserve"> epithelial cells</w:t>
      </w:r>
      <w:r w:rsidR="007B14DD" w:rsidRPr="007E40FA">
        <w:rPr>
          <w:rFonts w:ascii="Times New Roman" w:hAnsi="Times New Roman"/>
          <w:sz w:val="24"/>
          <w:szCs w:val="24"/>
        </w:rPr>
        <w:t xml:space="preserve">.   </w:t>
      </w:r>
    </w:p>
    <w:p w:rsidR="001F0875" w:rsidRPr="007E40FA" w:rsidRDefault="001F0875" w:rsidP="001F0875">
      <w:pPr>
        <w:autoSpaceDE w:val="0"/>
        <w:autoSpaceDN w:val="0"/>
        <w:adjustRightInd w:val="0"/>
        <w:spacing w:after="0" w:line="240" w:lineRule="auto"/>
        <w:jc w:val="both"/>
        <w:rPr>
          <w:rFonts w:ascii="Times New Roman" w:hAnsi="Times New Roman"/>
          <w:sz w:val="24"/>
          <w:szCs w:val="24"/>
        </w:rPr>
      </w:pPr>
    </w:p>
    <w:p w:rsidR="004B1B1C" w:rsidRPr="007E40FA" w:rsidRDefault="00FC1CA6" w:rsidP="001F0875">
      <w:pPr>
        <w:spacing w:after="0" w:line="240" w:lineRule="auto"/>
        <w:jc w:val="both"/>
        <w:rPr>
          <w:rFonts w:ascii="Times New Roman" w:eastAsiaTheme="minorHAnsi" w:hAnsi="Times New Roman"/>
          <w:sz w:val="24"/>
          <w:szCs w:val="24"/>
        </w:rPr>
      </w:pPr>
      <w:r w:rsidRPr="007E40FA">
        <w:rPr>
          <w:rFonts w:ascii="Times New Roman" w:eastAsiaTheme="minorHAnsi" w:hAnsi="Times New Roman"/>
          <w:sz w:val="24"/>
          <w:szCs w:val="24"/>
        </w:rPr>
        <w:t>T</w:t>
      </w:r>
      <w:r w:rsidR="009D2E8B" w:rsidRPr="007E40FA">
        <w:rPr>
          <w:rFonts w:ascii="Times New Roman" w:eastAsiaTheme="minorHAnsi" w:hAnsi="Times New Roman"/>
          <w:sz w:val="24"/>
          <w:szCs w:val="24"/>
        </w:rPr>
        <w:t>his manuscript describe</w:t>
      </w:r>
      <w:r w:rsidRPr="007E40FA">
        <w:rPr>
          <w:rFonts w:ascii="Times New Roman" w:eastAsiaTheme="minorHAnsi" w:hAnsi="Times New Roman"/>
          <w:sz w:val="24"/>
          <w:szCs w:val="24"/>
        </w:rPr>
        <w:t>s</w:t>
      </w:r>
      <w:r w:rsidR="009D2E8B" w:rsidRPr="007E40FA">
        <w:rPr>
          <w:rFonts w:ascii="Times New Roman" w:eastAsiaTheme="minorHAnsi" w:hAnsi="Times New Roman"/>
          <w:sz w:val="24"/>
          <w:szCs w:val="24"/>
        </w:rPr>
        <w:t xml:space="preserve"> the</w:t>
      </w:r>
      <w:r w:rsidR="002C3864" w:rsidRPr="007E40FA">
        <w:rPr>
          <w:rFonts w:ascii="Times New Roman" w:eastAsiaTheme="minorHAnsi" w:hAnsi="Times New Roman"/>
          <w:sz w:val="24"/>
          <w:szCs w:val="24"/>
        </w:rPr>
        <w:t xml:space="preserve"> </w:t>
      </w:r>
      <w:r w:rsidR="009D2E8B" w:rsidRPr="007E40FA">
        <w:rPr>
          <w:rFonts w:ascii="Times New Roman" w:eastAsiaTheme="minorHAnsi" w:hAnsi="Times New Roman"/>
          <w:sz w:val="24"/>
          <w:szCs w:val="24"/>
        </w:rPr>
        <w:t>standard</w:t>
      </w:r>
      <w:r w:rsidR="002C3864" w:rsidRPr="007E40FA">
        <w:rPr>
          <w:rFonts w:ascii="Times New Roman" w:eastAsiaTheme="minorHAnsi" w:hAnsi="Times New Roman"/>
          <w:sz w:val="24"/>
          <w:szCs w:val="24"/>
        </w:rPr>
        <w:t>,</w:t>
      </w:r>
      <w:r w:rsidR="009D2E8B" w:rsidRPr="007E40FA">
        <w:rPr>
          <w:rFonts w:ascii="Times New Roman" w:eastAsiaTheme="minorHAnsi" w:hAnsi="Times New Roman"/>
          <w:sz w:val="24"/>
          <w:szCs w:val="24"/>
        </w:rPr>
        <w:t xml:space="preserve"> </w:t>
      </w:r>
      <w:r w:rsidR="00257A1E" w:rsidRPr="007E40FA">
        <w:rPr>
          <w:rFonts w:ascii="Times New Roman" w:eastAsiaTheme="minorHAnsi" w:hAnsi="Times New Roman"/>
          <w:sz w:val="24"/>
          <w:szCs w:val="24"/>
        </w:rPr>
        <w:t xml:space="preserve">commercially </w:t>
      </w:r>
      <w:r w:rsidR="009D2E8B" w:rsidRPr="007E40FA">
        <w:rPr>
          <w:rFonts w:ascii="Times New Roman" w:eastAsiaTheme="minorHAnsi" w:hAnsi="Times New Roman"/>
          <w:sz w:val="24"/>
          <w:szCs w:val="24"/>
        </w:rPr>
        <w:t>developed and optimized</w:t>
      </w:r>
      <w:r w:rsidR="00257A1E" w:rsidRPr="007E40FA">
        <w:rPr>
          <w:rFonts w:ascii="Times New Roman" w:eastAsiaTheme="minorHAnsi" w:hAnsi="Times New Roman"/>
          <w:sz w:val="24"/>
          <w:szCs w:val="24"/>
        </w:rPr>
        <w:t xml:space="preserve"> </w:t>
      </w:r>
      <w:r w:rsidR="004C0272" w:rsidRPr="007E40FA">
        <w:rPr>
          <w:rFonts w:ascii="Times New Roman" w:eastAsiaTheme="minorHAnsi" w:hAnsi="Times New Roman"/>
          <w:sz w:val="24"/>
          <w:szCs w:val="24"/>
        </w:rPr>
        <w:t>CSS</w:t>
      </w:r>
      <w:r w:rsidR="009D2E8B" w:rsidRPr="007E40FA">
        <w:rPr>
          <w:rFonts w:ascii="Times New Roman" w:eastAsiaTheme="minorHAnsi" w:hAnsi="Times New Roman"/>
          <w:sz w:val="24"/>
          <w:szCs w:val="24"/>
        </w:rPr>
        <w:t xml:space="preserve"> protocol for </w:t>
      </w:r>
      <w:r w:rsidR="002C3864" w:rsidRPr="007E40FA">
        <w:rPr>
          <w:rFonts w:ascii="Times New Roman" w:eastAsiaTheme="minorHAnsi" w:hAnsi="Times New Roman"/>
          <w:sz w:val="24"/>
          <w:szCs w:val="24"/>
        </w:rPr>
        <w:t>processing</w:t>
      </w:r>
      <w:r w:rsidR="009D2E8B" w:rsidRPr="007E40FA">
        <w:rPr>
          <w:rFonts w:ascii="Times New Roman" w:eastAsiaTheme="minorHAnsi" w:hAnsi="Times New Roman"/>
          <w:sz w:val="24"/>
          <w:szCs w:val="24"/>
        </w:rPr>
        <w:t xml:space="preserve"> patient </w:t>
      </w:r>
      <w:r w:rsidR="002C3864" w:rsidRPr="007E40FA">
        <w:rPr>
          <w:rFonts w:ascii="Times New Roman" w:eastAsiaTheme="minorHAnsi" w:hAnsi="Times New Roman"/>
          <w:sz w:val="24"/>
          <w:szCs w:val="24"/>
        </w:rPr>
        <w:t xml:space="preserve">blood </w:t>
      </w:r>
      <w:r w:rsidR="009D2E8B" w:rsidRPr="007E40FA">
        <w:rPr>
          <w:rFonts w:ascii="Times New Roman" w:eastAsiaTheme="minorHAnsi" w:hAnsi="Times New Roman"/>
          <w:sz w:val="24"/>
          <w:szCs w:val="24"/>
        </w:rPr>
        <w:t xml:space="preserve">samples and </w:t>
      </w:r>
      <w:r w:rsidR="00257A1E" w:rsidRPr="007E40FA">
        <w:rPr>
          <w:rFonts w:ascii="Times New Roman" w:eastAsiaTheme="minorHAnsi" w:hAnsi="Times New Roman"/>
          <w:sz w:val="24"/>
          <w:szCs w:val="24"/>
        </w:rPr>
        <w:t xml:space="preserve">common pitfalls that may be encountered, including </w:t>
      </w:r>
      <w:r w:rsidR="00257A1E" w:rsidRPr="007E40FA">
        <w:rPr>
          <w:rFonts w:ascii="Times New Roman" w:hAnsi="Times New Roman"/>
          <w:sz w:val="24"/>
          <w:szCs w:val="24"/>
        </w:rPr>
        <w:t xml:space="preserve">discrepant items that can lead to CTC misclassification errors. In addition, </w:t>
      </w:r>
      <w:r w:rsidR="00ED2A1E" w:rsidRPr="007E40FA">
        <w:rPr>
          <w:rFonts w:ascii="Times New Roman" w:hAnsi="Times New Roman"/>
          <w:sz w:val="24"/>
          <w:szCs w:val="24"/>
        </w:rPr>
        <w:t xml:space="preserve">customization of the </w:t>
      </w:r>
      <w:r w:rsidR="004C0272" w:rsidRPr="007E40FA">
        <w:rPr>
          <w:rFonts w:ascii="Times New Roman" w:eastAsiaTheme="minorHAnsi" w:hAnsi="Times New Roman"/>
          <w:sz w:val="24"/>
          <w:szCs w:val="24"/>
        </w:rPr>
        <w:t>CSS</w:t>
      </w:r>
      <w:r w:rsidR="00257A1E" w:rsidRPr="007E40FA">
        <w:rPr>
          <w:rFonts w:ascii="Times New Roman" w:eastAsiaTheme="minorHAnsi" w:hAnsi="Times New Roman"/>
          <w:sz w:val="24"/>
          <w:szCs w:val="24"/>
        </w:rPr>
        <w:t xml:space="preserve"> assay</w:t>
      </w:r>
      <w:r w:rsidR="002C3864" w:rsidRPr="007E40FA">
        <w:rPr>
          <w:rFonts w:ascii="Times New Roman" w:eastAsiaTheme="minorHAnsi" w:hAnsi="Times New Roman"/>
          <w:sz w:val="24"/>
          <w:szCs w:val="24"/>
        </w:rPr>
        <w:t xml:space="preserve"> </w:t>
      </w:r>
      <w:r w:rsidR="009D2E8B" w:rsidRPr="007E40FA">
        <w:rPr>
          <w:rFonts w:ascii="Times New Roman" w:eastAsiaTheme="minorHAnsi" w:hAnsi="Times New Roman"/>
          <w:sz w:val="24"/>
          <w:szCs w:val="24"/>
        </w:rPr>
        <w:t xml:space="preserve">to examine </w:t>
      </w:r>
      <w:r w:rsidRPr="007E40FA">
        <w:rPr>
          <w:rFonts w:ascii="Times New Roman" w:eastAsiaTheme="minorHAnsi" w:hAnsi="Times New Roman"/>
          <w:sz w:val="24"/>
          <w:szCs w:val="24"/>
        </w:rPr>
        <w:t>user-defined protein</w:t>
      </w:r>
      <w:r w:rsidR="009D2E8B" w:rsidRPr="007E40FA">
        <w:rPr>
          <w:rFonts w:ascii="Times New Roman" w:eastAsiaTheme="minorHAnsi" w:hAnsi="Times New Roman"/>
          <w:sz w:val="24"/>
          <w:szCs w:val="24"/>
        </w:rPr>
        <w:t xml:space="preserve"> characteristics of captured CTCs</w:t>
      </w:r>
      <w:r w:rsidR="00257A1E" w:rsidRPr="007E40FA">
        <w:rPr>
          <w:rFonts w:ascii="Times New Roman" w:eastAsiaTheme="minorHAnsi" w:hAnsi="Times New Roman"/>
          <w:sz w:val="24"/>
          <w:szCs w:val="24"/>
        </w:rPr>
        <w:t xml:space="preserve"> and </w:t>
      </w:r>
      <w:r w:rsidRPr="007E40FA">
        <w:rPr>
          <w:rFonts w:ascii="Times New Roman" w:eastAsiaTheme="minorHAnsi" w:hAnsi="Times New Roman"/>
          <w:sz w:val="24"/>
          <w:szCs w:val="24"/>
        </w:rPr>
        <w:t xml:space="preserve">a comparable </w:t>
      </w:r>
      <w:r w:rsidR="002C3864" w:rsidRPr="007E40FA">
        <w:rPr>
          <w:rFonts w:ascii="Times New Roman" w:eastAsiaTheme="minorHAnsi" w:hAnsi="Times New Roman"/>
          <w:sz w:val="24"/>
          <w:szCs w:val="24"/>
        </w:rPr>
        <w:t xml:space="preserve">adapted </w:t>
      </w:r>
      <w:r w:rsidR="004C0272" w:rsidRPr="007E40FA">
        <w:rPr>
          <w:rFonts w:ascii="Times New Roman" w:eastAsiaTheme="minorHAnsi" w:hAnsi="Times New Roman"/>
          <w:sz w:val="24"/>
          <w:szCs w:val="24"/>
        </w:rPr>
        <w:t>CSS</w:t>
      </w:r>
      <w:r w:rsidR="002C3864" w:rsidRPr="007E40FA">
        <w:rPr>
          <w:rFonts w:ascii="Times New Roman" w:eastAsiaTheme="minorHAnsi" w:hAnsi="Times New Roman"/>
          <w:sz w:val="24"/>
          <w:szCs w:val="24"/>
        </w:rPr>
        <w:t xml:space="preserve"> technique that allows for the enrichment and detection of CTCs from small volumes of blood in</w:t>
      </w:r>
      <w:r w:rsidR="009D2E8B" w:rsidRPr="007E40FA">
        <w:rPr>
          <w:rFonts w:ascii="Times New Roman" w:eastAsiaTheme="minorHAnsi" w:hAnsi="Times New Roman"/>
          <w:sz w:val="24"/>
          <w:szCs w:val="24"/>
        </w:rPr>
        <w:t xml:space="preserve"> pre-clinical mouse models of </w:t>
      </w:r>
      <w:r w:rsidR="00257A1E" w:rsidRPr="007E40FA">
        <w:rPr>
          <w:rFonts w:ascii="Times New Roman" w:eastAsiaTheme="minorHAnsi" w:hAnsi="Times New Roman"/>
          <w:sz w:val="24"/>
          <w:szCs w:val="24"/>
        </w:rPr>
        <w:t>metastasis</w:t>
      </w:r>
      <w:r w:rsidR="00DF5DE3" w:rsidRPr="007E40FA">
        <w:rPr>
          <w:rFonts w:ascii="Times New Roman" w:eastAsiaTheme="minorHAnsi" w:hAnsi="Times New Roman"/>
          <w:sz w:val="24"/>
          <w:szCs w:val="24"/>
        </w:rPr>
        <w:t xml:space="preserve"> </w:t>
      </w:r>
      <w:r w:rsidR="007F3854" w:rsidRPr="007E40FA">
        <w:rPr>
          <w:rFonts w:ascii="Times New Roman" w:eastAsiaTheme="minorHAnsi" w:hAnsi="Times New Roman"/>
          <w:sz w:val="24"/>
          <w:szCs w:val="24"/>
        </w:rPr>
        <w:t>are</w:t>
      </w:r>
      <w:r w:rsidR="00DF5DE3" w:rsidRPr="007E40FA">
        <w:rPr>
          <w:rFonts w:ascii="Times New Roman" w:eastAsiaTheme="minorHAnsi" w:hAnsi="Times New Roman"/>
          <w:sz w:val="24"/>
          <w:szCs w:val="24"/>
        </w:rPr>
        <w:t xml:space="preserve"> described</w:t>
      </w:r>
      <w:r w:rsidR="009D2E8B" w:rsidRPr="007E40FA">
        <w:rPr>
          <w:rFonts w:ascii="Times New Roman" w:eastAsiaTheme="minorHAnsi" w:hAnsi="Times New Roman"/>
          <w:sz w:val="24"/>
          <w:szCs w:val="24"/>
        </w:rPr>
        <w:t>.</w:t>
      </w:r>
      <w:r w:rsidR="00257A1E" w:rsidRPr="007E40FA">
        <w:rPr>
          <w:rFonts w:ascii="Times New Roman" w:eastAsiaTheme="minorHAnsi" w:hAnsi="Times New Roman"/>
          <w:sz w:val="24"/>
          <w:szCs w:val="24"/>
        </w:rPr>
        <w:t xml:space="preserve"> </w:t>
      </w:r>
    </w:p>
    <w:p w:rsidR="004B1B1C" w:rsidRPr="007E40FA" w:rsidRDefault="004B1B1C" w:rsidP="001F0875">
      <w:pPr>
        <w:jc w:val="both"/>
        <w:rPr>
          <w:rFonts w:ascii="Times New Roman" w:eastAsiaTheme="minorHAnsi" w:hAnsi="Times New Roman"/>
          <w:sz w:val="24"/>
          <w:szCs w:val="24"/>
        </w:rPr>
      </w:pPr>
      <w:r w:rsidRPr="007E40FA">
        <w:rPr>
          <w:rFonts w:ascii="Times New Roman" w:eastAsiaTheme="minorHAnsi" w:hAnsi="Times New Roman"/>
          <w:sz w:val="24"/>
          <w:szCs w:val="24"/>
        </w:rPr>
        <w:br w:type="page"/>
      </w:r>
    </w:p>
    <w:p w:rsidR="00180583" w:rsidRPr="007E40FA" w:rsidRDefault="00606B83" w:rsidP="0053484E">
      <w:pPr>
        <w:spacing w:after="0" w:line="240" w:lineRule="auto"/>
        <w:jc w:val="both"/>
        <w:rPr>
          <w:rFonts w:ascii="Times New Roman" w:eastAsiaTheme="minorHAnsi" w:hAnsi="Times New Roman"/>
          <w:b/>
          <w:sz w:val="24"/>
          <w:szCs w:val="24"/>
        </w:rPr>
      </w:pPr>
      <w:r w:rsidRPr="007E40FA">
        <w:rPr>
          <w:rFonts w:ascii="Times New Roman" w:eastAsiaTheme="minorHAnsi" w:hAnsi="Times New Roman"/>
          <w:b/>
          <w:sz w:val="24"/>
          <w:szCs w:val="24"/>
        </w:rPr>
        <w:lastRenderedPageBreak/>
        <w:t>PROTOCOL:</w:t>
      </w:r>
    </w:p>
    <w:p w:rsidR="00FC6428" w:rsidRPr="007E40FA" w:rsidRDefault="00FC6428" w:rsidP="0053484E">
      <w:pPr>
        <w:spacing w:after="0" w:line="240" w:lineRule="auto"/>
        <w:jc w:val="both"/>
        <w:rPr>
          <w:rFonts w:ascii="Times New Roman" w:eastAsiaTheme="minorHAnsi" w:hAnsi="Times New Roman"/>
          <w:sz w:val="24"/>
          <w:szCs w:val="24"/>
          <w:u w:val="single"/>
        </w:rPr>
      </w:pPr>
      <w:r w:rsidRPr="007E40FA">
        <w:rPr>
          <w:rFonts w:ascii="Times New Roman" w:hAnsi="Times New Roman"/>
          <w:sz w:val="24"/>
        </w:rPr>
        <w:t xml:space="preserve">All human studies described in this manuscript were carried out under protocols approved by Western University’s </w:t>
      </w:r>
      <w:r w:rsidR="007F3854" w:rsidRPr="007E40FA">
        <w:rPr>
          <w:rFonts w:ascii="Times New Roman" w:hAnsi="Times New Roman"/>
          <w:sz w:val="24"/>
        </w:rPr>
        <w:t xml:space="preserve">Human </w:t>
      </w:r>
      <w:r w:rsidRPr="007E40FA">
        <w:rPr>
          <w:rFonts w:ascii="Times New Roman" w:hAnsi="Times New Roman"/>
          <w:sz w:val="24"/>
        </w:rPr>
        <w:t>Research Ethics Board.</w:t>
      </w:r>
      <w:r w:rsidR="007F3854" w:rsidRPr="007E40FA">
        <w:rPr>
          <w:rFonts w:ascii="Times New Roman" w:hAnsi="Times New Roman"/>
          <w:sz w:val="24"/>
        </w:rPr>
        <w:t xml:space="preserve"> All </w:t>
      </w:r>
      <w:r w:rsidR="007F3854" w:rsidRPr="007E40FA">
        <w:rPr>
          <w:rFonts w:ascii="Times New Roman" w:hAnsi="Times New Roman"/>
          <w:sz w:val="24"/>
          <w:szCs w:val="24"/>
        </w:rPr>
        <w:t>Animal studies were conducted in accordance with the recommendations of the Canadian Council on Animal Care, under protocol</w:t>
      </w:r>
      <w:r w:rsidR="000C7822" w:rsidRPr="007E40FA">
        <w:rPr>
          <w:rFonts w:ascii="Times New Roman" w:hAnsi="Times New Roman"/>
          <w:sz w:val="24"/>
          <w:szCs w:val="24"/>
        </w:rPr>
        <w:t>s</w:t>
      </w:r>
      <w:r w:rsidR="007F3854" w:rsidRPr="007E40FA">
        <w:rPr>
          <w:rFonts w:ascii="Times New Roman" w:hAnsi="Times New Roman"/>
          <w:sz w:val="24"/>
          <w:szCs w:val="24"/>
        </w:rPr>
        <w:t xml:space="preserve"> approved by the Western University Animal Use Subcommittee.</w:t>
      </w:r>
    </w:p>
    <w:p w:rsidR="00FC6428" w:rsidRPr="007E40FA" w:rsidRDefault="00FC6428" w:rsidP="0053484E">
      <w:pPr>
        <w:spacing w:after="0" w:line="240" w:lineRule="auto"/>
        <w:jc w:val="both"/>
        <w:rPr>
          <w:rFonts w:ascii="Times New Roman" w:eastAsiaTheme="minorHAnsi" w:hAnsi="Times New Roman"/>
          <w:b/>
          <w:sz w:val="24"/>
          <w:szCs w:val="24"/>
          <w:u w:val="single"/>
        </w:rPr>
      </w:pPr>
    </w:p>
    <w:p w:rsidR="00606B83" w:rsidRPr="007E40FA" w:rsidRDefault="00FC1CA6" w:rsidP="0053484E">
      <w:pPr>
        <w:spacing w:after="0" w:line="240" w:lineRule="auto"/>
        <w:jc w:val="both"/>
        <w:rPr>
          <w:rFonts w:ascii="Times New Roman" w:eastAsiaTheme="minorHAnsi" w:hAnsi="Times New Roman"/>
          <w:b/>
          <w:sz w:val="24"/>
          <w:szCs w:val="24"/>
          <w:u w:val="single"/>
        </w:rPr>
      </w:pPr>
      <w:r w:rsidRPr="007E40FA">
        <w:rPr>
          <w:rFonts w:ascii="Times New Roman" w:eastAsiaTheme="minorHAnsi" w:hAnsi="Times New Roman"/>
          <w:b/>
          <w:sz w:val="24"/>
          <w:szCs w:val="24"/>
          <w:u w:val="single"/>
        </w:rPr>
        <w:t xml:space="preserve">Standard </w:t>
      </w:r>
      <w:r w:rsidR="00606B83" w:rsidRPr="007E40FA">
        <w:rPr>
          <w:rFonts w:ascii="Times New Roman" w:eastAsiaTheme="minorHAnsi" w:hAnsi="Times New Roman"/>
          <w:b/>
          <w:sz w:val="24"/>
          <w:szCs w:val="24"/>
          <w:u w:val="single"/>
        </w:rPr>
        <w:t xml:space="preserve">CTC Enumeration </w:t>
      </w:r>
      <w:r w:rsidRPr="007E40FA">
        <w:rPr>
          <w:rFonts w:ascii="Times New Roman" w:eastAsiaTheme="minorHAnsi" w:hAnsi="Times New Roman"/>
          <w:b/>
          <w:sz w:val="24"/>
          <w:szCs w:val="24"/>
          <w:u w:val="single"/>
        </w:rPr>
        <w:t xml:space="preserve">from Patient Blood Samples </w:t>
      </w:r>
      <w:r w:rsidR="00606B83" w:rsidRPr="007E40FA">
        <w:rPr>
          <w:rFonts w:ascii="Times New Roman" w:eastAsiaTheme="minorHAnsi" w:hAnsi="Times New Roman"/>
          <w:b/>
          <w:sz w:val="24"/>
          <w:szCs w:val="24"/>
          <w:u w:val="single"/>
        </w:rPr>
        <w:t xml:space="preserve">using the </w:t>
      </w:r>
      <w:r w:rsidR="004C0272" w:rsidRPr="007E40FA">
        <w:rPr>
          <w:rFonts w:ascii="Times New Roman" w:eastAsiaTheme="minorHAnsi" w:hAnsi="Times New Roman"/>
          <w:b/>
          <w:sz w:val="24"/>
          <w:szCs w:val="24"/>
          <w:u w:val="single"/>
        </w:rPr>
        <w:t>CSS</w:t>
      </w:r>
    </w:p>
    <w:p w:rsidR="00606B83" w:rsidRPr="007E40FA" w:rsidRDefault="00606B83" w:rsidP="0053484E">
      <w:pPr>
        <w:spacing w:after="0" w:line="240" w:lineRule="auto"/>
        <w:jc w:val="both"/>
        <w:rPr>
          <w:rFonts w:ascii="Times New Roman" w:eastAsiaTheme="minorHAnsi" w:hAnsi="Times New Roman"/>
          <w:sz w:val="24"/>
          <w:szCs w:val="24"/>
          <w:u w:val="single"/>
        </w:rPr>
      </w:pPr>
    </w:p>
    <w:p w:rsidR="004E34F9" w:rsidRPr="00E429F0" w:rsidRDefault="004B1B1C" w:rsidP="0053484E">
      <w:pPr>
        <w:pStyle w:val="ListParagraph"/>
        <w:numPr>
          <w:ilvl w:val="0"/>
          <w:numId w:val="4"/>
        </w:numPr>
        <w:spacing w:after="0" w:line="240" w:lineRule="auto"/>
        <w:ind w:left="0" w:firstLine="0"/>
        <w:jc w:val="both"/>
        <w:rPr>
          <w:rFonts w:ascii="Times New Roman" w:eastAsiaTheme="minorHAnsi" w:hAnsi="Times New Roman"/>
          <w:b/>
          <w:sz w:val="24"/>
          <w:szCs w:val="24"/>
        </w:rPr>
      </w:pPr>
      <w:r w:rsidRPr="007E40FA">
        <w:rPr>
          <w:rFonts w:ascii="Times New Roman" w:eastAsiaTheme="minorHAnsi" w:hAnsi="Times New Roman"/>
          <w:b/>
          <w:sz w:val="24"/>
          <w:szCs w:val="24"/>
        </w:rPr>
        <w:t xml:space="preserve">Human </w:t>
      </w:r>
      <w:r w:rsidR="00606B83" w:rsidRPr="007E40FA">
        <w:rPr>
          <w:rFonts w:ascii="Times New Roman" w:eastAsiaTheme="minorHAnsi" w:hAnsi="Times New Roman"/>
          <w:b/>
          <w:sz w:val="24"/>
          <w:szCs w:val="24"/>
        </w:rPr>
        <w:t>Blood Sample Collection</w:t>
      </w:r>
      <w:r w:rsidR="00FC1CA6" w:rsidRPr="007E40FA">
        <w:rPr>
          <w:rFonts w:ascii="Times New Roman" w:eastAsiaTheme="minorHAnsi" w:hAnsi="Times New Roman"/>
          <w:b/>
          <w:sz w:val="24"/>
          <w:szCs w:val="24"/>
        </w:rPr>
        <w:t xml:space="preserve"> and </w:t>
      </w:r>
      <w:r w:rsidR="00606B83" w:rsidRPr="007E40FA">
        <w:rPr>
          <w:rFonts w:ascii="Times New Roman" w:eastAsiaTheme="minorHAnsi" w:hAnsi="Times New Roman"/>
          <w:b/>
          <w:sz w:val="24"/>
          <w:szCs w:val="24"/>
        </w:rPr>
        <w:t xml:space="preserve">Preparation for Processing on the </w:t>
      </w:r>
      <w:r w:rsidR="004C0272" w:rsidRPr="007E40FA">
        <w:rPr>
          <w:rFonts w:ascii="Times New Roman" w:eastAsiaTheme="minorHAnsi" w:hAnsi="Times New Roman"/>
          <w:b/>
          <w:sz w:val="24"/>
          <w:szCs w:val="24"/>
        </w:rPr>
        <w:t>Preparation Instrument</w:t>
      </w:r>
    </w:p>
    <w:p w:rsidR="004E34F9" w:rsidRPr="007E40FA" w:rsidRDefault="004E34F9" w:rsidP="0053484E">
      <w:pPr>
        <w:pStyle w:val="ListParagraph"/>
        <w:numPr>
          <w:ilvl w:val="1"/>
          <w:numId w:val="4"/>
        </w:numPr>
        <w:spacing w:after="0" w:line="240" w:lineRule="auto"/>
        <w:ind w:left="0" w:firstLine="0"/>
        <w:jc w:val="both"/>
        <w:rPr>
          <w:rFonts w:ascii="Times New Roman" w:eastAsiaTheme="minorHAnsi" w:hAnsi="Times New Roman"/>
          <w:sz w:val="24"/>
          <w:szCs w:val="24"/>
        </w:rPr>
      </w:pPr>
      <w:r w:rsidRPr="007E40FA">
        <w:rPr>
          <w:rFonts w:ascii="Times New Roman" w:eastAsiaTheme="minorHAnsi" w:hAnsi="Times New Roman"/>
          <w:sz w:val="24"/>
          <w:szCs w:val="24"/>
        </w:rPr>
        <w:t xml:space="preserve">Using </w:t>
      </w:r>
      <w:r w:rsidR="007B17E2" w:rsidRPr="007E40FA">
        <w:rPr>
          <w:rFonts w:ascii="Times New Roman" w:eastAsiaTheme="minorHAnsi" w:hAnsi="Times New Roman"/>
          <w:sz w:val="24"/>
          <w:szCs w:val="24"/>
        </w:rPr>
        <w:t xml:space="preserve">standard aseptic </w:t>
      </w:r>
      <w:r w:rsidR="004B1B1C" w:rsidRPr="007E40FA">
        <w:rPr>
          <w:rFonts w:ascii="Times New Roman" w:eastAsiaTheme="minorHAnsi" w:hAnsi="Times New Roman"/>
          <w:sz w:val="24"/>
          <w:szCs w:val="24"/>
        </w:rPr>
        <w:t xml:space="preserve">phlebotomy </w:t>
      </w:r>
      <w:r w:rsidR="007B17E2" w:rsidRPr="007E40FA">
        <w:rPr>
          <w:rFonts w:ascii="Times New Roman" w:eastAsiaTheme="minorHAnsi" w:hAnsi="Times New Roman"/>
          <w:sz w:val="24"/>
          <w:szCs w:val="24"/>
        </w:rPr>
        <w:t>technique</w:t>
      </w:r>
      <w:r w:rsidR="004B1B1C" w:rsidRPr="007E40FA">
        <w:rPr>
          <w:rFonts w:ascii="Times New Roman" w:eastAsiaTheme="minorHAnsi" w:hAnsi="Times New Roman"/>
          <w:sz w:val="24"/>
          <w:szCs w:val="24"/>
        </w:rPr>
        <w:t>s</w:t>
      </w:r>
      <w:r w:rsidR="004244FF" w:rsidRPr="007E40FA">
        <w:rPr>
          <w:rFonts w:ascii="Times New Roman" w:eastAsiaTheme="minorHAnsi" w:hAnsi="Times New Roman"/>
          <w:sz w:val="24"/>
          <w:szCs w:val="24"/>
        </w:rPr>
        <w:t>,</w:t>
      </w:r>
      <w:r w:rsidRPr="007E40FA">
        <w:rPr>
          <w:rFonts w:ascii="Times New Roman" w:eastAsiaTheme="minorHAnsi" w:hAnsi="Times New Roman"/>
          <w:sz w:val="24"/>
          <w:szCs w:val="24"/>
        </w:rPr>
        <w:t xml:space="preserve"> draw a minimum of 8.0 ml of </w:t>
      </w:r>
      <w:r w:rsidR="004B1B1C" w:rsidRPr="007E40FA">
        <w:rPr>
          <w:rFonts w:ascii="Times New Roman" w:eastAsiaTheme="minorHAnsi" w:hAnsi="Times New Roman"/>
          <w:sz w:val="24"/>
          <w:szCs w:val="24"/>
        </w:rPr>
        <w:t xml:space="preserve">human </w:t>
      </w:r>
      <w:r w:rsidRPr="007E40FA">
        <w:rPr>
          <w:rFonts w:ascii="Times New Roman" w:eastAsiaTheme="minorHAnsi" w:hAnsi="Times New Roman"/>
          <w:sz w:val="24"/>
          <w:szCs w:val="24"/>
        </w:rPr>
        <w:t xml:space="preserve">blood into a 10 ml </w:t>
      </w:r>
      <w:proofErr w:type="spellStart"/>
      <w:r w:rsidRPr="007E40FA">
        <w:rPr>
          <w:rFonts w:ascii="Times New Roman" w:eastAsiaTheme="minorHAnsi" w:hAnsi="Times New Roman"/>
          <w:sz w:val="24"/>
          <w:szCs w:val="24"/>
        </w:rPr>
        <w:t>CellSave</w:t>
      </w:r>
      <w:proofErr w:type="spellEnd"/>
      <w:r w:rsidRPr="007E40FA">
        <w:rPr>
          <w:rFonts w:ascii="Times New Roman" w:eastAsiaTheme="minorHAnsi" w:hAnsi="Times New Roman"/>
          <w:sz w:val="24"/>
          <w:szCs w:val="24"/>
        </w:rPr>
        <w:t xml:space="preserve"> tube</w:t>
      </w:r>
      <w:r w:rsidR="00F131F9" w:rsidRPr="007E40FA">
        <w:rPr>
          <w:rFonts w:ascii="Times New Roman" w:eastAsiaTheme="minorHAnsi" w:hAnsi="Times New Roman"/>
          <w:sz w:val="24"/>
          <w:szCs w:val="24"/>
        </w:rPr>
        <w:t xml:space="preserve"> (hereafter referred to as the </w:t>
      </w:r>
      <w:r w:rsidR="00210B3A" w:rsidRPr="007E40FA">
        <w:rPr>
          <w:rFonts w:ascii="Times New Roman" w:eastAsiaTheme="minorHAnsi" w:hAnsi="Times New Roman"/>
          <w:sz w:val="24"/>
          <w:szCs w:val="24"/>
        </w:rPr>
        <w:t xml:space="preserve">CTC </w:t>
      </w:r>
      <w:r w:rsidR="00F131F9" w:rsidRPr="007E40FA">
        <w:rPr>
          <w:rFonts w:ascii="Times New Roman" w:eastAsiaTheme="minorHAnsi" w:hAnsi="Times New Roman"/>
          <w:sz w:val="24"/>
          <w:szCs w:val="24"/>
        </w:rPr>
        <w:t>preservative tube)</w:t>
      </w:r>
      <w:r w:rsidRPr="007E40FA">
        <w:rPr>
          <w:rFonts w:ascii="Times New Roman" w:eastAsiaTheme="minorHAnsi" w:hAnsi="Times New Roman"/>
          <w:sz w:val="24"/>
          <w:szCs w:val="24"/>
        </w:rPr>
        <w:t xml:space="preserve">, </w:t>
      </w:r>
      <w:r w:rsidR="004B1B1C" w:rsidRPr="007E40FA">
        <w:rPr>
          <w:rFonts w:ascii="Times New Roman" w:eastAsiaTheme="minorHAnsi" w:hAnsi="Times New Roman"/>
          <w:sz w:val="24"/>
          <w:szCs w:val="24"/>
        </w:rPr>
        <w:t xml:space="preserve">which </w:t>
      </w:r>
      <w:r w:rsidRPr="007E40FA">
        <w:rPr>
          <w:rFonts w:ascii="Times New Roman" w:eastAsiaTheme="minorHAnsi" w:hAnsi="Times New Roman"/>
          <w:sz w:val="24"/>
          <w:szCs w:val="24"/>
        </w:rPr>
        <w:t>contain</w:t>
      </w:r>
      <w:r w:rsidR="004B1B1C" w:rsidRPr="007E40FA">
        <w:rPr>
          <w:rFonts w:ascii="Times New Roman" w:eastAsiaTheme="minorHAnsi" w:hAnsi="Times New Roman"/>
          <w:sz w:val="24"/>
          <w:szCs w:val="24"/>
        </w:rPr>
        <w:t>s</w:t>
      </w:r>
      <w:r w:rsidRPr="007E40FA">
        <w:rPr>
          <w:rFonts w:ascii="Times New Roman" w:eastAsiaTheme="minorHAnsi" w:hAnsi="Times New Roman"/>
          <w:sz w:val="24"/>
          <w:szCs w:val="24"/>
        </w:rPr>
        <w:t xml:space="preserve"> </w:t>
      </w:r>
      <w:proofErr w:type="spellStart"/>
      <w:r w:rsidR="00210B3A" w:rsidRPr="007E40FA">
        <w:rPr>
          <w:rFonts w:ascii="Times New Roman" w:hAnsi="Times New Roman"/>
          <w:bCs/>
          <w:sz w:val="24"/>
          <w:szCs w:val="24"/>
          <w:shd w:val="clear" w:color="auto" w:fill="FFFFFF"/>
        </w:rPr>
        <w:t>e</w:t>
      </w:r>
      <w:r w:rsidRPr="007E40FA">
        <w:rPr>
          <w:rFonts w:ascii="Times New Roman" w:hAnsi="Times New Roman"/>
          <w:bCs/>
          <w:sz w:val="24"/>
          <w:szCs w:val="24"/>
          <w:shd w:val="clear" w:color="auto" w:fill="FFFFFF"/>
        </w:rPr>
        <w:t>thylenediaminetetraacetic</w:t>
      </w:r>
      <w:proofErr w:type="spellEnd"/>
      <w:r w:rsidRPr="007E40FA">
        <w:rPr>
          <w:rFonts w:ascii="Times New Roman" w:hAnsi="Times New Roman"/>
          <w:bCs/>
          <w:sz w:val="24"/>
          <w:szCs w:val="24"/>
          <w:shd w:val="clear" w:color="auto" w:fill="FFFFFF"/>
        </w:rPr>
        <w:t xml:space="preserve"> acid</w:t>
      </w:r>
      <w:r w:rsidRPr="007E40FA">
        <w:rPr>
          <w:rFonts w:ascii="Times New Roman" w:eastAsiaTheme="minorHAnsi" w:hAnsi="Times New Roman"/>
          <w:sz w:val="24"/>
          <w:szCs w:val="24"/>
        </w:rPr>
        <w:t xml:space="preserve"> (EDTA) and a proprietary cellular preservative. Invert the tube 5 times to prevent blood from clotting. </w:t>
      </w:r>
      <w:r w:rsidR="007B17E2" w:rsidRPr="007E40FA">
        <w:rPr>
          <w:rFonts w:ascii="Times New Roman" w:eastAsiaTheme="minorHAnsi" w:hAnsi="Times New Roman"/>
          <w:sz w:val="24"/>
          <w:szCs w:val="24"/>
        </w:rPr>
        <w:t>S</w:t>
      </w:r>
      <w:r w:rsidRPr="007E40FA">
        <w:rPr>
          <w:rFonts w:ascii="Times New Roman" w:eastAsiaTheme="minorHAnsi" w:hAnsi="Times New Roman"/>
          <w:sz w:val="24"/>
          <w:szCs w:val="24"/>
        </w:rPr>
        <w:t>ample</w:t>
      </w:r>
      <w:r w:rsidR="007B17E2" w:rsidRPr="007E40FA">
        <w:rPr>
          <w:rFonts w:ascii="Times New Roman" w:eastAsiaTheme="minorHAnsi" w:hAnsi="Times New Roman"/>
          <w:sz w:val="24"/>
          <w:szCs w:val="24"/>
        </w:rPr>
        <w:t>s</w:t>
      </w:r>
      <w:r w:rsidRPr="007E40FA">
        <w:rPr>
          <w:rFonts w:ascii="Times New Roman" w:eastAsiaTheme="minorHAnsi" w:hAnsi="Times New Roman"/>
          <w:sz w:val="24"/>
          <w:szCs w:val="24"/>
        </w:rPr>
        <w:t xml:space="preserve"> may be p</w:t>
      </w:r>
      <w:r w:rsidR="002D4866" w:rsidRPr="007E40FA">
        <w:rPr>
          <w:rFonts w:ascii="Times New Roman" w:eastAsiaTheme="minorHAnsi" w:hAnsi="Times New Roman"/>
          <w:sz w:val="24"/>
          <w:szCs w:val="24"/>
        </w:rPr>
        <w:t xml:space="preserve">rocessed immediately or </w:t>
      </w:r>
      <w:r w:rsidRPr="007E40FA">
        <w:rPr>
          <w:rFonts w:ascii="Times New Roman" w:eastAsiaTheme="minorHAnsi" w:hAnsi="Times New Roman"/>
          <w:sz w:val="24"/>
          <w:szCs w:val="24"/>
        </w:rPr>
        <w:t xml:space="preserve">stored at room temperature for up to 96 hours. </w:t>
      </w:r>
    </w:p>
    <w:p w:rsidR="004E34F9" w:rsidRPr="007E40FA" w:rsidRDefault="004E34F9" w:rsidP="0053484E">
      <w:pPr>
        <w:pStyle w:val="ListParagraph"/>
        <w:spacing w:after="0" w:line="240" w:lineRule="auto"/>
        <w:ind w:left="0"/>
        <w:jc w:val="both"/>
        <w:rPr>
          <w:rFonts w:ascii="Times New Roman" w:eastAsiaTheme="minorHAnsi" w:hAnsi="Times New Roman"/>
          <w:sz w:val="24"/>
          <w:szCs w:val="24"/>
        </w:rPr>
      </w:pPr>
      <w:r w:rsidRPr="007E40FA">
        <w:rPr>
          <w:rFonts w:ascii="Times New Roman" w:eastAsiaTheme="minorHAnsi" w:hAnsi="Times New Roman"/>
          <w:sz w:val="24"/>
          <w:szCs w:val="24"/>
        </w:rPr>
        <w:t xml:space="preserve"> </w:t>
      </w:r>
    </w:p>
    <w:p w:rsidR="004E34F9" w:rsidRPr="007E40FA" w:rsidRDefault="004B1B1C" w:rsidP="0053484E">
      <w:pPr>
        <w:pStyle w:val="ListParagraph"/>
        <w:numPr>
          <w:ilvl w:val="1"/>
          <w:numId w:val="4"/>
        </w:numPr>
        <w:spacing w:after="0" w:line="240" w:lineRule="auto"/>
        <w:ind w:left="0" w:firstLine="0"/>
        <w:jc w:val="both"/>
        <w:rPr>
          <w:rFonts w:ascii="Times New Roman" w:eastAsiaTheme="minorHAnsi" w:hAnsi="Times New Roman"/>
          <w:sz w:val="24"/>
          <w:szCs w:val="24"/>
        </w:rPr>
      </w:pPr>
      <w:r w:rsidRPr="007E40FA">
        <w:rPr>
          <w:rFonts w:ascii="Times New Roman" w:eastAsiaTheme="minorHAnsi" w:hAnsi="Times New Roman"/>
          <w:sz w:val="24"/>
          <w:szCs w:val="24"/>
        </w:rPr>
        <w:t xml:space="preserve">Remove </w:t>
      </w:r>
      <w:r w:rsidR="004C0272" w:rsidRPr="007E40FA">
        <w:rPr>
          <w:rFonts w:ascii="Times New Roman" w:eastAsiaTheme="minorHAnsi" w:hAnsi="Times New Roman"/>
          <w:sz w:val="24"/>
          <w:szCs w:val="24"/>
        </w:rPr>
        <w:t>CSS</w:t>
      </w:r>
      <w:r w:rsidR="002D4866" w:rsidRPr="007E40FA">
        <w:rPr>
          <w:rFonts w:ascii="Times New Roman" w:eastAsiaTheme="minorHAnsi" w:hAnsi="Times New Roman"/>
          <w:sz w:val="24"/>
          <w:szCs w:val="24"/>
        </w:rPr>
        <w:t xml:space="preserve"> </w:t>
      </w:r>
      <w:r w:rsidR="004E34F9" w:rsidRPr="007E40FA">
        <w:rPr>
          <w:rFonts w:ascii="Times New Roman" w:eastAsiaTheme="minorHAnsi" w:hAnsi="Times New Roman"/>
          <w:sz w:val="24"/>
          <w:szCs w:val="24"/>
        </w:rPr>
        <w:t>reagents</w:t>
      </w:r>
      <w:r w:rsidRPr="007E40FA">
        <w:rPr>
          <w:rFonts w:ascii="Times New Roman" w:eastAsiaTheme="minorHAnsi" w:hAnsi="Times New Roman"/>
          <w:sz w:val="24"/>
          <w:szCs w:val="24"/>
        </w:rPr>
        <w:t xml:space="preserve"> from the fridge and allow</w:t>
      </w:r>
      <w:r w:rsidR="007B17E2" w:rsidRPr="007E40FA">
        <w:rPr>
          <w:rFonts w:ascii="Times New Roman" w:eastAsiaTheme="minorHAnsi" w:hAnsi="Times New Roman"/>
          <w:sz w:val="24"/>
          <w:szCs w:val="24"/>
        </w:rPr>
        <w:t xml:space="preserve"> </w:t>
      </w:r>
      <w:r w:rsidRPr="007E40FA">
        <w:rPr>
          <w:rFonts w:ascii="Times New Roman" w:eastAsiaTheme="minorHAnsi" w:hAnsi="Times New Roman"/>
          <w:sz w:val="24"/>
          <w:szCs w:val="24"/>
        </w:rPr>
        <w:t xml:space="preserve">them </w:t>
      </w:r>
      <w:r w:rsidR="007B17E2" w:rsidRPr="007E40FA">
        <w:rPr>
          <w:rFonts w:ascii="Times New Roman" w:eastAsiaTheme="minorHAnsi" w:hAnsi="Times New Roman"/>
          <w:sz w:val="24"/>
          <w:szCs w:val="24"/>
        </w:rPr>
        <w:t>to warm</w:t>
      </w:r>
      <w:r w:rsidR="004E34F9" w:rsidRPr="007E40FA">
        <w:rPr>
          <w:rFonts w:ascii="Times New Roman" w:eastAsiaTheme="minorHAnsi" w:hAnsi="Times New Roman"/>
          <w:sz w:val="24"/>
          <w:szCs w:val="24"/>
        </w:rPr>
        <w:t xml:space="preserve"> to room temperature before using.</w:t>
      </w:r>
    </w:p>
    <w:p w:rsidR="004E34F9" w:rsidRPr="007E40FA" w:rsidRDefault="004E34F9" w:rsidP="0053484E">
      <w:pPr>
        <w:pStyle w:val="ListParagraph"/>
        <w:spacing w:after="0" w:line="240" w:lineRule="auto"/>
        <w:ind w:left="0"/>
        <w:jc w:val="both"/>
        <w:rPr>
          <w:rFonts w:ascii="Times New Roman" w:eastAsiaTheme="minorHAnsi" w:hAnsi="Times New Roman"/>
          <w:sz w:val="24"/>
          <w:szCs w:val="24"/>
        </w:rPr>
      </w:pPr>
    </w:p>
    <w:p w:rsidR="004E34F9" w:rsidRPr="007E40FA" w:rsidRDefault="004B1B1C" w:rsidP="0053484E">
      <w:pPr>
        <w:pStyle w:val="ListParagraph"/>
        <w:numPr>
          <w:ilvl w:val="1"/>
          <w:numId w:val="4"/>
        </w:numPr>
        <w:spacing w:after="0" w:line="240" w:lineRule="auto"/>
        <w:ind w:left="0" w:firstLine="0"/>
        <w:jc w:val="both"/>
        <w:rPr>
          <w:rFonts w:ascii="Times New Roman" w:eastAsiaTheme="minorHAnsi" w:hAnsi="Times New Roman"/>
          <w:sz w:val="24"/>
          <w:szCs w:val="24"/>
        </w:rPr>
      </w:pPr>
      <w:r w:rsidRPr="007E40FA">
        <w:rPr>
          <w:rFonts w:ascii="Times New Roman" w:eastAsiaTheme="minorHAnsi" w:hAnsi="Times New Roman"/>
          <w:sz w:val="24"/>
          <w:szCs w:val="24"/>
          <w:highlight w:val="yellow"/>
        </w:rPr>
        <w:t xml:space="preserve">Using a disposable 10 ml pipette and automated </w:t>
      </w:r>
      <w:proofErr w:type="spellStart"/>
      <w:proofErr w:type="gramStart"/>
      <w:r w:rsidRPr="007E40FA">
        <w:rPr>
          <w:rFonts w:ascii="Times New Roman" w:eastAsiaTheme="minorHAnsi" w:hAnsi="Times New Roman"/>
          <w:sz w:val="24"/>
          <w:szCs w:val="24"/>
          <w:highlight w:val="yellow"/>
        </w:rPr>
        <w:t>pipettor</w:t>
      </w:r>
      <w:proofErr w:type="spellEnd"/>
      <w:r w:rsidRPr="007E40FA">
        <w:rPr>
          <w:rFonts w:ascii="Times New Roman" w:eastAsiaTheme="minorHAnsi" w:hAnsi="Times New Roman"/>
          <w:sz w:val="24"/>
          <w:szCs w:val="24"/>
          <w:highlight w:val="yellow"/>
        </w:rPr>
        <w:t>,</w:t>
      </w:r>
      <w:proofErr w:type="gramEnd"/>
      <w:r w:rsidRPr="007E40FA">
        <w:rPr>
          <w:rFonts w:ascii="Times New Roman" w:eastAsiaTheme="minorHAnsi" w:hAnsi="Times New Roman"/>
          <w:sz w:val="24"/>
          <w:szCs w:val="24"/>
          <w:highlight w:val="yellow"/>
        </w:rPr>
        <w:t xml:space="preserve"> </w:t>
      </w:r>
      <w:r w:rsidR="00AD6C70" w:rsidRPr="007E40FA">
        <w:rPr>
          <w:rFonts w:ascii="Times New Roman" w:eastAsiaTheme="minorHAnsi" w:hAnsi="Times New Roman"/>
          <w:sz w:val="24"/>
          <w:szCs w:val="24"/>
          <w:highlight w:val="yellow"/>
        </w:rPr>
        <w:t>collect</w:t>
      </w:r>
      <w:r w:rsidR="004E34F9" w:rsidRPr="007E40FA">
        <w:rPr>
          <w:rFonts w:ascii="Times New Roman" w:eastAsiaTheme="minorHAnsi" w:hAnsi="Times New Roman"/>
          <w:sz w:val="24"/>
          <w:szCs w:val="24"/>
          <w:highlight w:val="yellow"/>
        </w:rPr>
        <w:t xml:space="preserve"> 7.5 ml of blood from the </w:t>
      </w:r>
      <w:r w:rsidR="00210B3A" w:rsidRPr="007E40FA">
        <w:rPr>
          <w:rFonts w:ascii="Times New Roman" w:eastAsiaTheme="minorHAnsi" w:hAnsi="Times New Roman"/>
          <w:sz w:val="24"/>
          <w:szCs w:val="24"/>
          <w:highlight w:val="yellow"/>
        </w:rPr>
        <w:t xml:space="preserve">CTC </w:t>
      </w:r>
      <w:r w:rsidR="004E34F9" w:rsidRPr="007E40FA">
        <w:rPr>
          <w:rFonts w:ascii="Times New Roman" w:eastAsiaTheme="minorHAnsi" w:hAnsi="Times New Roman"/>
          <w:sz w:val="24"/>
          <w:szCs w:val="24"/>
          <w:highlight w:val="yellow"/>
        </w:rPr>
        <w:t>preservative tube and slowly di</w:t>
      </w:r>
      <w:r w:rsidR="007B17E2" w:rsidRPr="007E40FA">
        <w:rPr>
          <w:rFonts w:ascii="Times New Roman" w:eastAsiaTheme="minorHAnsi" w:hAnsi="Times New Roman"/>
          <w:sz w:val="24"/>
          <w:szCs w:val="24"/>
          <w:highlight w:val="yellow"/>
        </w:rPr>
        <w:t>spense blood into an</w:t>
      </w:r>
      <w:r w:rsidR="004E34F9" w:rsidRPr="007E40FA">
        <w:rPr>
          <w:rFonts w:ascii="Times New Roman" w:eastAsiaTheme="minorHAnsi" w:hAnsi="Times New Roman"/>
          <w:sz w:val="24"/>
          <w:szCs w:val="24"/>
          <w:highlight w:val="yellow"/>
        </w:rPr>
        <w:t xml:space="preserve"> appropriate</w:t>
      </w:r>
      <w:r w:rsidR="007B17E2" w:rsidRPr="007E40FA">
        <w:rPr>
          <w:rFonts w:ascii="Times New Roman" w:eastAsiaTheme="minorHAnsi" w:hAnsi="Times New Roman"/>
          <w:sz w:val="24"/>
          <w:szCs w:val="24"/>
          <w:highlight w:val="yellow"/>
        </w:rPr>
        <w:t>ly labelled</w:t>
      </w:r>
      <w:r w:rsidR="004E34F9" w:rsidRPr="007E40FA">
        <w:rPr>
          <w:rFonts w:ascii="Times New Roman" w:eastAsiaTheme="minorHAnsi" w:hAnsi="Times New Roman"/>
          <w:sz w:val="24"/>
          <w:szCs w:val="24"/>
          <w:highlight w:val="yellow"/>
        </w:rPr>
        <w:t xml:space="preserve"> </w:t>
      </w:r>
      <w:r w:rsidR="004C0272" w:rsidRPr="007E40FA">
        <w:rPr>
          <w:rFonts w:ascii="Times New Roman" w:eastAsiaTheme="minorHAnsi" w:hAnsi="Times New Roman"/>
          <w:sz w:val="24"/>
          <w:szCs w:val="24"/>
          <w:highlight w:val="yellow"/>
        </w:rPr>
        <w:t>preparation instrument</w:t>
      </w:r>
      <w:r w:rsidR="004E34F9" w:rsidRPr="007E40FA">
        <w:rPr>
          <w:rFonts w:ascii="Times New Roman" w:eastAsiaTheme="minorHAnsi" w:hAnsi="Times New Roman"/>
          <w:sz w:val="24"/>
          <w:szCs w:val="24"/>
          <w:highlight w:val="yellow"/>
        </w:rPr>
        <w:t xml:space="preserve"> processing tube.</w:t>
      </w:r>
      <w:r w:rsidR="004E34F9" w:rsidRPr="007E40FA">
        <w:rPr>
          <w:rFonts w:ascii="Times New Roman" w:eastAsiaTheme="minorHAnsi" w:hAnsi="Times New Roman"/>
          <w:sz w:val="24"/>
          <w:szCs w:val="24"/>
        </w:rPr>
        <w:t xml:space="preserve"> </w:t>
      </w:r>
    </w:p>
    <w:p w:rsidR="004E34F9" w:rsidRPr="007E40FA" w:rsidRDefault="004E34F9" w:rsidP="0053484E">
      <w:pPr>
        <w:pStyle w:val="ListParagraph"/>
        <w:spacing w:after="0" w:line="240" w:lineRule="auto"/>
        <w:ind w:left="0"/>
        <w:jc w:val="both"/>
        <w:rPr>
          <w:rFonts w:ascii="Times New Roman" w:eastAsiaTheme="minorHAnsi" w:hAnsi="Times New Roman"/>
          <w:sz w:val="24"/>
          <w:szCs w:val="24"/>
        </w:rPr>
      </w:pPr>
    </w:p>
    <w:p w:rsidR="00FB75F9" w:rsidRPr="00BD4EF3" w:rsidRDefault="004E34F9" w:rsidP="0053484E">
      <w:pPr>
        <w:pStyle w:val="ListParagraph"/>
        <w:numPr>
          <w:ilvl w:val="1"/>
          <w:numId w:val="4"/>
        </w:numPr>
        <w:spacing w:after="0" w:line="240" w:lineRule="auto"/>
        <w:ind w:left="0" w:firstLine="0"/>
        <w:jc w:val="both"/>
        <w:rPr>
          <w:rFonts w:ascii="Times New Roman" w:eastAsiaTheme="minorHAnsi" w:hAnsi="Times New Roman"/>
          <w:sz w:val="24"/>
          <w:szCs w:val="24"/>
        </w:rPr>
      </w:pPr>
      <w:r w:rsidRPr="007E40FA">
        <w:rPr>
          <w:rFonts w:ascii="Times New Roman" w:eastAsiaTheme="minorHAnsi" w:hAnsi="Times New Roman"/>
          <w:sz w:val="24"/>
          <w:szCs w:val="24"/>
          <w:highlight w:val="yellow"/>
        </w:rPr>
        <w:t xml:space="preserve">Add 6.5 ml of </w:t>
      </w:r>
      <w:r w:rsidR="007B17E2" w:rsidRPr="007E40FA">
        <w:rPr>
          <w:rFonts w:ascii="Times New Roman" w:eastAsiaTheme="minorHAnsi" w:hAnsi="Times New Roman"/>
          <w:sz w:val="24"/>
          <w:szCs w:val="24"/>
          <w:highlight w:val="yellow"/>
        </w:rPr>
        <w:t>dilution buffer to each sample. Mix by inverting sample 5 times.</w:t>
      </w:r>
      <w:r w:rsidR="00637B50" w:rsidRPr="007E40FA">
        <w:rPr>
          <w:rFonts w:ascii="Times New Roman" w:eastAsiaTheme="minorHAnsi" w:hAnsi="Times New Roman"/>
          <w:sz w:val="24"/>
          <w:szCs w:val="24"/>
          <w:highlight w:val="yellow"/>
        </w:rPr>
        <w:t xml:space="preserve"> </w:t>
      </w:r>
      <w:r w:rsidR="007B17E2" w:rsidRPr="007E40FA">
        <w:rPr>
          <w:rFonts w:ascii="Times New Roman" w:eastAsiaTheme="minorHAnsi" w:hAnsi="Times New Roman"/>
          <w:sz w:val="24"/>
          <w:szCs w:val="24"/>
          <w:highlight w:val="yellow"/>
        </w:rPr>
        <w:t>Centrifuge sample at 800 x g for 10 min with the br</w:t>
      </w:r>
      <w:r w:rsidR="00AD6C70" w:rsidRPr="007E40FA">
        <w:rPr>
          <w:rFonts w:ascii="Times New Roman" w:eastAsiaTheme="minorHAnsi" w:hAnsi="Times New Roman"/>
          <w:sz w:val="24"/>
          <w:szCs w:val="24"/>
          <w:highlight w:val="yellow"/>
        </w:rPr>
        <w:t>ake</w:t>
      </w:r>
      <w:r w:rsidR="007B17E2" w:rsidRPr="007E40FA">
        <w:rPr>
          <w:rFonts w:ascii="Times New Roman" w:eastAsiaTheme="minorHAnsi" w:hAnsi="Times New Roman"/>
          <w:sz w:val="24"/>
          <w:szCs w:val="24"/>
          <w:highlight w:val="yellow"/>
        </w:rPr>
        <w:t xml:space="preserve"> in the </w:t>
      </w:r>
      <w:r w:rsidR="00AD6C70" w:rsidRPr="007E40FA">
        <w:rPr>
          <w:rFonts w:ascii="Times New Roman" w:eastAsiaTheme="minorHAnsi" w:hAnsi="Times New Roman"/>
          <w:sz w:val="24"/>
          <w:szCs w:val="24"/>
          <w:highlight w:val="yellow"/>
        </w:rPr>
        <w:t>“</w:t>
      </w:r>
      <w:r w:rsidR="007B17E2" w:rsidRPr="007E40FA">
        <w:rPr>
          <w:rFonts w:ascii="Times New Roman" w:eastAsiaTheme="minorHAnsi" w:hAnsi="Times New Roman"/>
          <w:sz w:val="24"/>
          <w:szCs w:val="24"/>
          <w:highlight w:val="yellow"/>
        </w:rPr>
        <w:t>off</w:t>
      </w:r>
      <w:r w:rsidR="00AD6C70" w:rsidRPr="007E40FA">
        <w:rPr>
          <w:rFonts w:ascii="Times New Roman" w:eastAsiaTheme="minorHAnsi" w:hAnsi="Times New Roman"/>
          <w:sz w:val="24"/>
          <w:szCs w:val="24"/>
          <w:highlight w:val="yellow"/>
        </w:rPr>
        <w:t>”</w:t>
      </w:r>
      <w:r w:rsidR="007B17E2" w:rsidRPr="007E40FA">
        <w:rPr>
          <w:rFonts w:ascii="Times New Roman" w:eastAsiaTheme="minorHAnsi" w:hAnsi="Times New Roman"/>
          <w:sz w:val="24"/>
          <w:szCs w:val="24"/>
          <w:highlight w:val="yellow"/>
        </w:rPr>
        <w:t xml:space="preserve"> </w:t>
      </w:r>
      <w:r w:rsidR="007B17E2" w:rsidRPr="0053484E">
        <w:rPr>
          <w:rFonts w:ascii="Times New Roman" w:eastAsiaTheme="minorHAnsi" w:hAnsi="Times New Roman"/>
          <w:sz w:val="24"/>
          <w:szCs w:val="24"/>
          <w:highlight w:val="yellow"/>
        </w:rPr>
        <w:t xml:space="preserve">position. </w:t>
      </w:r>
      <w:r w:rsidR="00AC3BF4" w:rsidRPr="00BD4EF3">
        <w:rPr>
          <w:rFonts w:ascii="Times New Roman" w:eastAsiaTheme="minorHAnsi" w:hAnsi="Times New Roman"/>
          <w:sz w:val="24"/>
          <w:szCs w:val="24"/>
        </w:rPr>
        <w:t xml:space="preserve">Follow the on-screen instructions </w:t>
      </w:r>
      <w:r w:rsidR="00F131F9" w:rsidRPr="00BD4EF3">
        <w:rPr>
          <w:rFonts w:ascii="Times New Roman" w:eastAsiaTheme="minorHAnsi" w:hAnsi="Times New Roman"/>
          <w:sz w:val="24"/>
          <w:szCs w:val="24"/>
        </w:rPr>
        <w:t xml:space="preserve">on the preparation instrument </w:t>
      </w:r>
      <w:r w:rsidR="00AC3BF4" w:rsidRPr="00BD4EF3">
        <w:rPr>
          <w:rFonts w:ascii="Times New Roman" w:eastAsiaTheme="minorHAnsi" w:hAnsi="Times New Roman"/>
          <w:sz w:val="24"/>
          <w:szCs w:val="24"/>
        </w:rPr>
        <w:t>to load all patient samples onto the system for processing.</w:t>
      </w:r>
      <w:r w:rsidR="006975D9" w:rsidRPr="00BD4EF3">
        <w:rPr>
          <w:rFonts w:ascii="Times New Roman" w:eastAsiaTheme="minorHAnsi" w:hAnsi="Times New Roman"/>
          <w:sz w:val="24"/>
          <w:szCs w:val="24"/>
        </w:rPr>
        <w:t xml:space="preserve"> Samples must be processed within 1 hour of preparation.</w:t>
      </w:r>
    </w:p>
    <w:p w:rsidR="00FB75F9" w:rsidRPr="007E40FA" w:rsidRDefault="00FB75F9" w:rsidP="0053484E">
      <w:pPr>
        <w:pStyle w:val="ListParagraph"/>
        <w:spacing w:after="0" w:line="240" w:lineRule="auto"/>
        <w:ind w:left="0"/>
        <w:jc w:val="both"/>
        <w:rPr>
          <w:rFonts w:ascii="Times New Roman" w:eastAsiaTheme="minorHAnsi" w:hAnsi="Times New Roman"/>
          <w:sz w:val="24"/>
          <w:szCs w:val="24"/>
        </w:rPr>
      </w:pPr>
    </w:p>
    <w:p w:rsidR="00AC3BF4" w:rsidRPr="00E429F0" w:rsidRDefault="00AC3BF4" w:rsidP="0053484E">
      <w:pPr>
        <w:pStyle w:val="ListParagraph"/>
        <w:numPr>
          <w:ilvl w:val="0"/>
          <w:numId w:val="4"/>
        </w:numPr>
        <w:spacing w:after="0" w:line="240" w:lineRule="auto"/>
        <w:ind w:left="0" w:firstLine="0"/>
        <w:jc w:val="both"/>
        <w:rPr>
          <w:rFonts w:ascii="Times New Roman" w:eastAsiaTheme="minorHAnsi" w:hAnsi="Times New Roman"/>
          <w:b/>
          <w:sz w:val="24"/>
          <w:szCs w:val="24"/>
        </w:rPr>
      </w:pPr>
      <w:r w:rsidRPr="007E40FA">
        <w:rPr>
          <w:rFonts w:ascii="Times New Roman" w:eastAsiaTheme="minorHAnsi" w:hAnsi="Times New Roman"/>
          <w:b/>
          <w:sz w:val="24"/>
          <w:szCs w:val="24"/>
        </w:rPr>
        <w:t xml:space="preserve">Control Preparation for Processing on the </w:t>
      </w:r>
      <w:r w:rsidR="004C0272" w:rsidRPr="007E40FA">
        <w:rPr>
          <w:rFonts w:ascii="Times New Roman" w:eastAsiaTheme="minorHAnsi" w:hAnsi="Times New Roman"/>
          <w:b/>
          <w:sz w:val="24"/>
          <w:szCs w:val="24"/>
        </w:rPr>
        <w:t>Preparation Instrument</w:t>
      </w:r>
    </w:p>
    <w:p w:rsidR="00AC3BF4" w:rsidRPr="007E40FA" w:rsidRDefault="00AC3BF4" w:rsidP="0053484E">
      <w:pPr>
        <w:pStyle w:val="ListParagraph"/>
        <w:numPr>
          <w:ilvl w:val="1"/>
          <w:numId w:val="4"/>
        </w:numPr>
        <w:spacing w:after="0" w:line="240" w:lineRule="auto"/>
        <w:ind w:left="0" w:firstLine="0"/>
        <w:jc w:val="both"/>
        <w:rPr>
          <w:rFonts w:ascii="Times New Roman" w:eastAsiaTheme="minorHAnsi" w:hAnsi="Times New Roman"/>
          <w:sz w:val="24"/>
          <w:szCs w:val="24"/>
        </w:rPr>
      </w:pPr>
      <w:r w:rsidRPr="007E40FA">
        <w:rPr>
          <w:rFonts w:ascii="Times New Roman" w:eastAsiaTheme="minorHAnsi" w:hAnsi="Times New Roman"/>
          <w:sz w:val="24"/>
          <w:szCs w:val="24"/>
          <w:highlight w:val="yellow"/>
        </w:rPr>
        <w:t>Gently vortex the control vial and invert 5 times to mix.</w:t>
      </w:r>
    </w:p>
    <w:p w:rsidR="00AC3BF4" w:rsidRPr="007E40FA" w:rsidRDefault="00AC3BF4" w:rsidP="0053484E">
      <w:pPr>
        <w:pStyle w:val="ListParagraph"/>
        <w:spacing w:after="0" w:line="240" w:lineRule="auto"/>
        <w:ind w:left="0"/>
        <w:jc w:val="both"/>
        <w:rPr>
          <w:rFonts w:ascii="Times New Roman" w:eastAsiaTheme="minorHAnsi" w:hAnsi="Times New Roman"/>
          <w:sz w:val="24"/>
          <w:szCs w:val="24"/>
        </w:rPr>
      </w:pPr>
    </w:p>
    <w:p w:rsidR="00517ADF" w:rsidRPr="007E40FA" w:rsidRDefault="00AC3BF4" w:rsidP="0053484E">
      <w:pPr>
        <w:pStyle w:val="ListParagraph"/>
        <w:numPr>
          <w:ilvl w:val="1"/>
          <w:numId w:val="4"/>
        </w:numPr>
        <w:spacing w:after="0" w:line="240" w:lineRule="auto"/>
        <w:ind w:left="0" w:firstLine="0"/>
        <w:jc w:val="both"/>
        <w:rPr>
          <w:rFonts w:ascii="Times New Roman" w:eastAsiaTheme="minorHAnsi" w:hAnsi="Times New Roman"/>
          <w:sz w:val="24"/>
          <w:szCs w:val="24"/>
        </w:rPr>
      </w:pPr>
      <w:r w:rsidRPr="007E40FA">
        <w:rPr>
          <w:rFonts w:ascii="Times New Roman" w:eastAsiaTheme="minorHAnsi" w:hAnsi="Times New Roman"/>
          <w:sz w:val="24"/>
          <w:szCs w:val="24"/>
          <w:highlight w:val="yellow"/>
        </w:rPr>
        <w:t xml:space="preserve">Carefully remove the cap from the control vial </w:t>
      </w:r>
      <w:r w:rsidR="00517ADF" w:rsidRPr="007E40FA">
        <w:rPr>
          <w:rFonts w:ascii="Times New Roman" w:eastAsiaTheme="minorHAnsi" w:hAnsi="Times New Roman"/>
          <w:sz w:val="24"/>
          <w:szCs w:val="24"/>
          <w:highlight w:val="yellow"/>
        </w:rPr>
        <w:t xml:space="preserve">and place an inverted </w:t>
      </w:r>
      <w:r w:rsidR="004C0272" w:rsidRPr="007E40FA">
        <w:rPr>
          <w:rFonts w:ascii="Times New Roman" w:eastAsiaTheme="minorHAnsi" w:hAnsi="Times New Roman"/>
          <w:sz w:val="24"/>
          <w:szCs w:val="24"/>
          <w:highlight w:val="yellow"/>
        </w:rPr>
        <w:t>preparation instrument</w:t>
      </w:r>
      <w:r w:rsidR="00517ADF" w:rsidRPr="007E40FA">
        <w:rPr>
          <w:rFonts w:ascii="Times New Roman" w:eastAsiaTheme="minorHAnsi" w:hAnsi="Times New Roman"/>
          <w:sz w:val="24"/>
          <w:szCs w:val="24"/>
          <w:highlight w:val="yellow"/>
        </w:rPr>
        <w:t xml:space="preserve"> processing tube </w:t>
      </w:r>
      <w:r w:rsidR="004244FF" w:rsidRPr="007E40FA">
        <w:rPr>
          <w:rFonts w:ascii="Times New Roman" w:eastAsiaTheme="minorHAnsi" w:hAnsi="Times New Roman"/>
          <w:sz w:val="24"/>
          <w:szCs w:val="24"/>
          <w:highlight w:val="yellow"/>
        </w:rPr>
        <w:t>on top</w:t>
      </w:r>
      <w:r w:rsidR="00517ADF" w:rsidRPr="007E40FA">
        <w:rPr>
          <w:rFonts w:ascii="Times New Roman" w:eastAsiaTheme="minorHAnsi" w:hAnsi="Times New Roman"/>
          <w:sz w:val="24"/>
          <w:szCs w:val="24"/>
          <w:highlight w:val="yellow"/>
        </w:rPr>
        <w:t xml:space="preserve"> of the</w:t>
      </w:r>
      <w:r w:rsidR="00FC1CA6" w:rsidRPr="007E40FA">
        <w:rPr>
          <w:rFonts w:ascii="Times New Roman" w:eastAsiaTheme="minorHAnsi" w:hAnsi="Times New Roman"/>
          <w:sz w:val="24"/>
          <w:szCs w:val="24"/>
          <w:highlight w:val="yellow"/>
        </w:rPr>
        <w:t xml:space="preserve"> uncapped </w:t>
      </w:r>
      <w:r w:rsidR="00517ADF" w:rsidRPr="007E40FA">
        <w:rPr>
          <w:rFonts w:ascii="Times New Roman" w:eastAsiaTheme="minorHAnsi" w:hAnsi="Times New Roman"/>
          <w:sz w:val="24"/>
          <w:szCs w:val="24"/>
          <w:highlight w:val="yellow"/>
        </w:rPr>
        <w:t xml:space="preserve">vial. In one swift motion, invert the control vial, and pour the contents into the processing tube. While inverted, gently flick the </w:t>
      </w:r>
      <w:r w:rsidR="00FC1CA6" w:rsidRPr="007E40FA">
        <w:rPr>
          <w:rFonts w:ascii="Times New Roman" w:eastAsiaTheme="minorHAnsi" w:hAnsi="Times New Roman"/>
          <w:sz w:val="24"/>
          <w:szCs w:val="24"/>
          <w:highlight w:val="yellow"/>
        </w:rPr>
        <w:t>sides</w:t>
      </w:r>
      <w:r w:rsidR="00517ADF" w:rsidRPr="007E40FA">
        <w:rPr>
          <w:rFonts w:ascii="Times New Roman" w:eastAsiaTheme="minorHAnsi" w:hAnsi="Times New Roman"/>
          <w:sz w:val="24"/>
          <w:szCs w:val="24"/>
          <w:highlight w:val="yellow"/>
        </w:rPr>
        <w:t xml:space="preserve"> of the control vial to release any remaining contents.</w:t>
      </w:r>
      <w:r w:rsidR="00517ADF" w:rsidRPr="007E40FA">
        <w:rPr>
          <w:rFonts w:ascii="Times New Roman" w:eastAsiaTheme="minorHAnsi" w:hAnsi="Times New Roman"/>
          <w:sz w:val="24"/>
          <w:szCs w:val="24"/>
        </w:rPr>
        <w:t xml:space="preserve"> </w:t>
      </w:r>
    </w:p>
    <w:p w:rsidR="00517ADF" w:rsidRPr="007E40FA" w:rsidRDefault="00517ADF" w:rsidP="0053484E">
      <w:pPr>
        <w:pStyle w:val="ListParagraph"/>
        <w:spacing w:after="0" w:line="240" w:lineRule="auto"/>
        <w:ind w:left="0"/>
        <w:jc w:val="both"/>
        <w:rPr>
          <w:rFonts w:ascii="Times New Roman" w:eastAsiaTheme="minorHAnsi" w:hAnsi="Times New Roman"/>
          <w:sz w:val="24"/>
          <w:szCs w:val="24"/>
        </w:rPr>
      </w:pPr>
    </w:p>
    <w:p w:rsidR="00517ADF" w:rsidRPr="007E40FA" w:rsidRDefault="00517ADF" w:rsidP="0053484E">
      <w:pPr>
        <w:pStyle w:val="ListParagraph"/>
        <w:numPr>
          <w:ilvl w:val="1"/>
          <w:numId w:val="4"/>
        </w:numPr>
        <w:spacing w:after="0" w:line="240" w:lineRule="auto"/>
        <w:ind w:left="0" w:firstLine="0"/>
        <w:jc w:val="both"/>
        <w:rPr>
          <w:rFonts w:ascii="Times New Roman" w:eastAsiaTheme="minorHAnsi" w:hAnsi="Times New Roman"/>
          <w:sz w:val="24"/>
          <w:szCs w:val="24"/>
        </w:rPr>
      </w:pPr>
      <w:r w:rsidRPr="007E40FA">
        <w:rPr>
          <w:rFonts w:ascii="Times New Roman" w:eastAsiaTheme="minorHAnsi" w:hAnsi="Times New Roman"/>
          <w:sz w:val="24"/>
          <w:szCs w:val="24"/>
          <w:highlight w:val="yellow"/>
        </w:rPr>
        <w:t>Carefully remove the inverted control vial from the processing tube, ensuring that no liquid is lost and place aside.</w:t>
      </w:r>
      <w:r w:rsidR="00637B50" w:rsidRPr="007E40FA">
        <w:rPr>
          <w:rFonts w:ascii="Times New Roman" w:eastAsiaTheme="minorHAnsi" w:hAnsi="Times New Roman"/>
          <w:sz w:val="24"/>
          <w:szCs w:val="24"/>
          <w:highlight w:val="yellow"/>
        </w:rPr>
        <w:t xml:space="preserve"> </w:t>
      </w:r>
      <w:r w:rsidR="004244FF" w:rsidRPr="007E40FA">
        <w:rPr>
          <w:rFonts w:ascii="Times New Roman" w:eastAsiaTheme="minorHAnsi" w:hAnsi="Times New Roman"/>
          <w:sz w:val="24"/>
          <w:szCs w:val="24"/>
          <w:highlight w:val="yellow"/>
        </w:rPr>
        <w:t>Using a 1</w:t>
      </w:r>
      <w:r w:rsidR="000C7419" w:rsidRPr="007E40FA">
        <w:rPr>
          <w:rFonts w:ascii="Times New Roman" w:eastAsiaTheme="minorHAnsi" w:hAnsi="Times New Roman"/>
          <w:sz w:val="24"/>
          <w:szCs w:val="24"/>
          <w:highlight w:val="yellow"/>
        </w:rPr>
        <w:t>,</w:t>
      </w:r>
      <w:r w:rsidR="004244FF" w:rsidRPr="007E40FA">
        <w:rPr>
          <w:rFonts w:ascii="Times New Roman" w:eastAsiaTheme="minorHAnsi" w:hAnsi="Times New Roman"/>
          <w:sz w:val="24"/>
          <w:szCs w:val="24"/>
          <w:highlight w:val="yellow"/>
        </w:rPr>
        <w:t>000</w:t>
      </w:r>
      <w:r w:rsidR="00036BF0" w:rsidRPr="007E40FA">
        <w:rPr>
          <w:rFonts w:ascii="Times New Roman" w:eastAsiaTheme="minorHAnsi" w:hAnsi="Times New Roman"/>
          <w:sz w:val="24"/>
          <w:szCs w:val="24"/>
          <w:highlight w:val="yellow"/>
        </w:rPr>
        <w:t xml:space="preserve"> </w:t>
      </w:r>
      <w:r w:rsidRPr="007E40FA">
        <w:rPr>
          <w:rFonts w:ascii="Times New Roman" w:eastAsiaTheme="minorHAnsi" w:hAnsi="Times New Roman"/>
          <w:sz w:val="24"/>
          <w:szCs w:val="24"/>
          <w:highlight w:val="yellow"/>
        </w:rPr>
        <w:t>µl pipette</w:t>
      </w:r>
      <w:r w:rsidR="004244FF" w:rsidRPr="007E40FA">
        <w:rPr>
          <w:rFonts w:ascii="Times New Roman" w:eastAsiaTheme="minorHAnsi" w:hAnsi="Times New Roman"/>
          <w:sz w:val="24"/>
          <w:szCs w:val="24"/>
          <w:highlight w:val="yellow"/>
        </w:rPr>
        <w:t>,</w:t>
      </w:r>
      <w:r w:rsidRPr="007E40FA">
        <w:rPr>
          <w:rFonts w:ascii="Times New Roman" w:eastAsiaTheme="minorHAnsi" w:hAnsi="Times New Roman"/>
          <w:sz w:val="24"/>
          <w:szCs w:val="24"/>
          <w:highlight w:val="yellow"/>
        </w:rPr>
        <w:t xml:space="preserve"> collect any remaining contents from the vial and lid and gently pipette into the processing tube.</w:t>
      </w:r>
    </w:p>
    <w:p w:rsidR="006975D9" w:rsidRPr="007E40FA" w:rsidRDefault="006975D9" w:rsidP="0053484E">
      <w:pPr>
        <w:pStyle w:val="ListParagraph"/>
        <w:spacing w:after="0" w:line="240" w:lineRule="auto"/>
        <w:ind w:left="0"/>
        <w:jc w:val="both"/>
        <w:rPr>
          <w:rFonts w:ascii="Times New Roman" w:eastAsiaTheme="minorHAnsi" w:hAnsi="Times New Roman"/>
          <w:sz w:val="24"/>
          <w:szCs w:val="24"/>
        </w:rPr>
      </w:pPr>
    </w:p>
    <w:p w:rsidR="006B0E63" w:rsidRPr="007E40FA" w:rsidRDefault="006975D9" w:rsidP="0053484E">
      <w:pPr>
        <w:pStyle w:val="ListParagraph"/>
        <w:numPr>
          <w:ilvl w:val="1"/>
          <w:numId w:val="4"/>
        </w:numPr>
        <w:spacing w:after="0" w:line="240" w:lineRule="auto"/>
        <w:ind w:left="0" w:firstLine="0"/>
        <w:jc w:val="both"/>
        <w:rPr>
          <w:rFonts w:ascii="Times New Roman" w:eastAsiaTheme="minorHAnsi" w:hAnsi="Times New Roman"/>
          <w:sz w:val="24"/>
          <w:szCs w:val="24"/>
        </w:rPr>
      </w:pPr>
      <w:r w:rsidRPr="007E40FA">
        <w:rPr>
          <w:rFonts w:ascii="Times New Roman" w:eastAsiaTheme="minorHAnsi" w:hAnsi="Times New Roman"/>
          <w:sz w:val="24"/>
          <w:szCs w:val="24"/>
        </w:rPr>
        <w:t xml:space="preserve">Follow the on-screen instructions </w:t>
      </w:r>
      <w:r w:rsidR="00F131F9" w:rsidRPr="007E40FA">
        <w:rPr>
          <w:rFonts w:ascii="Times New Roman" w:eastAsiaTheme="minorHAnsi" w:hAnsi="Times New Roman"/>
          <w:sz w:val="24"/>
          <w:szCs w:val="24"/>
        </w:rPr>
        <w:t xml:space="preserve">on the preparation instrument </w:t>
      </w:r>
      <w:r w:rsidRPr="007E40FA">
        <w:rPr>
          <w:rFonts w:ascii="Times New Roman" w:eastAsiaTheme="minorHAnsi" w:hAnsi="Times New Roman"/>
          <w:sz w:val="24"/>
          <w:szCs w:val="24"/>
        </w:rPr>
        <w:t>to load the control onto the</w:t>
      </w:r>
      <w:r w:rsidR="00AD6C70" w:rsidRPr="007E40FA">
        <w:rPr>
          <w:rFonts w:ascii="Times New Roman" w:eastAsiaTheme="minorHAnsi" w:hAnsi="Times New Roman"/>
          <w:sz w:val="24"/>
          <w:szCs w:val="24"/>
        </w:rPr>
        <w:t xml:space="preserve"> </w:t>
      </w:r>
      <w:r w:rsidRPr="007E40FA">
        <w:rPr>
          <w:rFonts w:ascii="Times New Roman" w:eastAsiaTheme="minorHAnsi" w:hAnsi="Times New Roman"/>
          <w:sz w:val="24"/>
          <w:szCs w:val="24"/>
        </w:rPr>
        <w:t>system for processing.</w:t>
      </w:r>
    </w:p>
    <w:p w:rsidR="006B0E63" w:rsidRPr="007E40FA" w:rsidRDefault="006B0E63" w:rsidP="0053484E">
      <w:pPr>
        <w:pStyle w:val="ListParagraph"/>
        <w:spacing w:after="0" w:line="240" w:lineRule="auto"/>
        <w:ind w:left="0"/>
        <w:jc w:val="both"/>
        <w:rPr>
          <w:rFonts w:ascii="Times New Roman" w:eastAsiaTheme="minorHAnsi" w:hAnsi="Times New Roman"/>
          <w:sz w:val="24"/>
          <w:szCs w:val="24"/>
        </w:rPr>
      </w:pPr>
    </w:p>
    <w:p w:rsidR="006F6BBE" w:rsidRPr="00E429F0" w:rsidRDefault="006F6BBE" w:rsidP="0053484E">
      <w:pPr>
        <w:pStyle w:val="ListParagraph"/>
        <w:numPr>
          <w:ilvl w:val="0"/>
          <w:numId w:val="4"/>
        </w:numPr>
        <w:spacing w:after="0" w:line="240" w:lineRule="auto"/>
        <w:ind w:left="0" w:firstLine="0"/>
        <w:jc w:val="both"/>
        <w:rPr>
          <w:rFonts w:ascii="Times New Roman" w:eastAsiaTheme="minorHAnsi" w:hAnsi="Times New Roman"/>
          <w:b/>
          <w:sz w:val="24"/>
          <w:szCs w:val="24"/>
        </w:rPr>
      </w:pPr>
      <w:r w:rsidRPr="007E40FA">
        <w:rPr>
          <w:rFonts w:ascii="Times New Roman" w:eastAsiaTheme="minorHAnsi" w:hAnsi="Times New Roman"/>
          <w:b/>
          <w:sz w:val="24"/>
          <w:szCs w:val="24"/>
        </w:rPr>
        <w:t xml:space="preserve">Sample Scanning on the </w:t>
      </w:r>
      <w:r w:rsidR="00F131F9" w:rsidRPr="007E40FA">
        <w:rPr>
          <w:rFonts w:ascii="Times New Roman" w:eastAsiaTheme="minorHAnsi" w:hAnsi="Times New Roman"/>
          <w:b/>
          <w:sz w:val="24"/>
          <w:szCs w:val="24"/>
        </w:rPr>
        <w:t>Analysis Instrument</w:t>
      </w:r>
    </w:p>
    <w:p w:rsidR="006F6BBE" w:rsidRPr="007E40FA" w:rsidRDefault="00FC1CA6" w:rsidP="0053484E">
      <w:pPr>
        <w:pStyle w:val="ListParagraph"/>
        <w:numPr>
          <w:ilvl w:val="1"/>
          <w:numId w:val="4"/>
        </w:numPr>
        <w:spacing w:after="0" w:line="240" w:lineRule="auto"/>
        <w:ind w:left="0" w:firstLine="0"/>
        <w:jc w:val="both"/>
        <w:rPr>
          <w:rFonts w:ascii="Times New Roman" w:eastAsiaTheme="minorHAnsi" w:hAnsi="Times New Roman"/>
          <w:sz w:val="24"/>
          <w:szCs w:val="24"/>
        </w:rPr>
      </w:pPr>
      <w:r w:rsidRPr="007E40FA">
        <w:rPr>
          <w:rFonts w:ascii="Times New Roman" w:eastAsiaTheme="minorHAnsi" w:hAnsi="Times New Roman"/>
          <w:sz w:val="24"/>
          <w:szCs w:val="24"/>
          <w:highlight w:val="yellow"/>
        </w:rPr>
        <w:t>Follow the on-screen instructions</w:t>
      </w:r>
      <w:r w:rsidR="00F131F9" w:rsidRPr="007E40FA">
        <w:rPr>
          <w:rFonts w:ascii="Times New Roman" w:eastAsiaTheme="minorHAnsi" w:hAnsi="Times New Roman"/>
          <w:sz w:val="24"/>
          <w:szCs w:val="24"/>
          <w:highlight w:val="yellow"/>
        </w:rPr>
        <w:t xml:space="preserve"> on the preparation instrument</w:t>
      </w:r>
      <w:r w:rsidRPr="007E40FA">
        <w:rPr>
          <w:rFonts w:ascii="Times New Roman" w:eastAsiaTheme="minorHAnsi" w:hAnsi="Times New Roman"/>
          <w:sz w:val="24"/>
          <w:szCs w:val="24"/>
          <w:highlight w:val="yellow"/>
        </w:rPr>
        <w:t xml:space="preserve"> to u</w:t>
      </w:r>
      <w:r w:rsidR="006F6BBE" w:rsidRPr="007E40FA">
        <w:rPr>
          <w:rFonts w:ascii="Times New Roman" w:eastAsiaTheme="minorHAnsi" w:hAnsi="Times New Roman"/>
          <w:sz w:val="24"/>
          <w:szCs w:val="24"/>
          <w:highlight w:val="yellow"/>
        </w:rPr>
        <w:t xml:space="preserve">nload all samples from the </w:t>
      </w:r>
      <w:r w:rsidR="004244FF" w:rsidRPr="007E40FA">
        <w:rPr>
          <w:rFonts w:ascii="Times New Roman" w:eastAsiaTheme="minorHAnsi" w:hAnsi="Times New Roman"/>
          <w:sz w:val="24"/>
          <w:szCs w:val="24"/>
          <w:highlight w:val="yellow"/>
        </w:rPr>
        <w:t>system</w:t>
      </w:r>
      <w:r w:rsidR="00637B50" w:rsidRPr="007E40FA">
        <w:rPr>
          <w:rFonts w:ascii="Times New Roman" w:eastAsiaTheme="minorHAnsi" w:hAnsi="Times New Roman"/>
          <w:sz w:val="24"/>
          <w:szCs w:val="24"/>
          <w:highlight w:val="yellow"/>
        </w:rPr>
        <w:t xml:space="preserve">. </w:t>
      </w:r>
      <w:r w:rsidR="006F6BBE" w:rsidRPr="007E40FA">
        <w:rPr>
          <w:rFonts w:ascii="Times New Roman" w:eastAsiaTheme="minorHAnsi" w:hAnsi="Times New Roman"/>
          <w:sz w:val="24"/>
          <w:szCs w:val="24"/>
          <w:highlight w:val="yellow"/>
        </w:rPr>
        <w:t xml:space="preserve">Loosely cap </w:t>
      </w:r>
      <w:r w:rsidR="004244FF" w:rsidRPr="007E40FA">
        <w:rPr>
          <w:rFonts w:ascii="Times New Roman" w:eastAsiaTheme="minorHAnsi" w:hAnsi="Times New Roman"/>
          <w:sz w:val="24"/>
          <w:szCs w:val="24"/>
          <w:highlight w:val="yellow"/>
        </w:rPr>
        <w:t xml:space="preserve">each </w:t>
      </w:r>
      <w:r w:rsidR="00F131F9" w:rsidRPr="007E40FA">
        <w:rPr>
          <w:rFonts w:ascii="Times New Roman" w:eastAsiaTheme="minorHAnsi" w:hAnsi="Times New Roman"/>
          <w:sz w:val="24"/>
          <w:szCs w:val="24"/>
          <w:highlight w:val="yellow"/>
        </w:rPr>
        <w:t xml:space="preserve">magnetic device </w:t>
      </w:r>
      <w:r w:rsidR="004244FF" w:rsidRPr="007E40FA">
        <w:rPr>
          <w:rFonts w:ascii="Times New Roman" w:eastAsiaTheme="minorHAnsi" w:hAnsi="Times New Roman"/>
          <w:sz w:val="24"/>
          <w:szCs w:val="24"/>
          <w:highlight w:val="yellow"/>
        </w:rPr>
        <w:t>ca</w:t>
      </w:r>
      <w:r w:rsidR="006F6BBE" w:rsidRPr="007E40FA">
        <w:rPr>
          <w:rFonts w:ascii="Times New Roman" w:eastAsiaTheme="minorHAnsi" w:hAnsi="Times New Roman"/>
          <w:sz w:val="24"/>
          <w:szCs w:val="24"/>
          <w:highlight w:val="yellow"/>
        </w:rPr>
        <w:t>rtridge and t</w:t>
      </w:r>
      <w:r w:rsidR="004244FF" w:rsidRPr="007E40FA">
        <w:rPr>
          <w:rFonts w:ascii="Times New Roman" w:eastAsiaTheme="minorHAnsi" w:hAnsi="Times New Roman"/>
          <w:sz w:val="24"/>
          <w:szCs w:val="24"/>
          <w:highlight w:val="yellow"/>
        </w:rPr>
        <w:t>ap</w:t>
      </w:r>
      <w:r w:rsidRPr="007E40FA">
        <w:rPr>
          <w:rFonts w:ascii="Times New Roman" w:eastAsiaTheme="minorHAnsi" w:hAnsi="Times New Roman"/>
          <w:sz w:val="24"/>
          <w:szCs w:val="24"/>
          <w:highlight w:val="yellow"/>
        </w:rPr>
        <w:t xml:space="preserve"> the</w:t>
      </w:r>
      <w:r w:rsidR="004244FF" w:rsidRPr="007E40FA">
        <w:rPr>
          <w:rFonts w:ascii="Times New Roman" w:eastAsiaTheme="minorHAnsi" w:hAnsi="Times New Roman"/>
          <w:sz w:val="24"/>
          <w:szCs w:val="24"/>
          <w:highlight w:val="yellow"/>
        </w:rPr>
        <w:t xml:space="preserve"> </w:t>
      </w:r>
      <w:r w:rsidR="00F131F9" w:rsidRPr="007E40FA">
        <w:rPr>
          <w:rFonts w:ascii="Times New Roman" w:eastAsiaTheme="minorHAnsi" w:hAnsi="Times New Roman"/>
          <w:sz w:val="24"/>
          <w:szCs w:val="24"/>
          <w:highlight w:val="yellow"/>
        </w:rPr>
        <w:t xml:space="preserve">magnetic </w:t>
      </w:r>
      <w:r w:rsidR="004244FF" w:rsidRPr="007E40FA">
        <w:rPr>
          <w:rFonts w:ascii="Times New Roman" w:eastAsiaTheme="minorHAnsi" w:hAnsi="Times New Roman"/>
          <w:sz w:val="24"/>
          <w:szCs w:val="24"/>
          <w:highlight w:val="yellow"/>
        </w:rPr>
        <w:t xml:space="preserve">device using </w:t>
      </w:r>
      <w:r w:rsidR="004244FF" w:rsidRPr="007E40FA">
        <w:rPr>
          <w:rFonts w:ascii="Times New Roman" w:eastAsiaTheme="minorHAnsi" w:hAnsi="Times New Roman"/>
          <w:sz w:val="24"/>
          <w:szCs w:val="24"/>
          <w:highlight w:val="yellow"/>
        </w:rPr>
        <w:lastRenderedPageBreak/>
        <w:t>hands or</w:t>
      </w:r>
      <w:r w:rsidR="006F6BBE" w:rsidRPr="007E40FA">
        <w:rPr>
          <w:rFonts w:ascii="Times New Roman" w:eastAsiaTheme="minorHAnsi" w:hAnsi="Times New Roman"/>
          <w:sz w:val="24"/>
          <w:szCs w:val="24"/>
          <w:highlight w:val="yellow"/>
        </w:rPr>
        <w:t xml:space="preserve"> lab bench to release any bubbles that are stuck to the edges of the cartridge.</w:t>
      </w:r>
      <w:r w:rsidR="00637B50" w:rsidRPr="007E40FA">
        <w:rPr>
          <w:rFonts w:ascii="Times New Roman" w:eastAsiaTheme="minorHAnsi" w:hAnsi="Times New Roman"/>
          <w:sz w:val="24"/>
          <w:szCs w:val="24"/>
          <w:highlight w:val="yellow"/>
        </w:rPr>
        <w:t xml:space="preserve"> </w:t>
      </w:r>
      <w:r w:rsidR="006F6BBE" w:rsidRPr="007E40FA">
        <w:rPr>
          <w:rFonts w:ascii="Times New Roman" w:eastAsiaTheme="minorHAnsi" w:hAnsi="Times New Roman"/>
          <w:sz w:val="24"/>
          <w:szCs w:val="24"/>
          <w:highlight w:val="yellow"/>
        </w:rPr>
        <w:t xml:space="preserve">Once all the bubbles have been removed, firmly cap </w:t>
      </w:r>
      <w:r w:rsidRPr="007E40FA">
        <w:rPr>
          <w:rFonts w:ascii="Times New Roman" w:eastAsiaTheme="minorHAnsi" w:hAnsi="Times New Roman"/>
          <w:sz w:val="24"/>
          <w:szCs w:val="24"/>
          <w:highlight w:val="yellow"/>
        </w:rPr>
        <w:t xml:space="preserve">the </w:t>
      </w:r>
      <w:r w:rsidR="006F6BBE" w:rsidRPr="007E40FA">
        <w:rPr>
          <w:rFonts w:ascii="Times New Roman" w:eastAsiaTheme="minorHAnsi" w:hAnsi="Times New Roman"/>
          <w:sz w:val="24"/>
          <w:szCs w:val="24"/>
          <w:highlight w:val="yellow"/>
        </w:rPr>
        <w:t xml:space="preserve">cartridge, lay </w:t>
      </w:r>
      <w:r w:rsidRPr="007E40FA">
        <w:rPr>
          <w:rFonts w:ascii="Times New Roman" w:eastAsiaTheme="minorHAnsi" w:hAnsi="Times New Roman"/>
          <w:sz w:val="24"/>
          <w:szCs w:val="24"/>
          <w:highlight w:val="yellow"/>
        </w:rPr>
        <w:t xml:space="preserve">the </w:t>
      </w:r>
      <w:r w:rsidR="00F131F9" w:rsidRPr="007E40FA">
        <w:rPr>
          <w:rFonts w:ascii="Times New Roman" w:eastAsiaTheme="minorHAnsi" w:hAnsi="Times New Roman"/>
          <w:sz w:val="24"/>
          <w:szCs w:val="24"/>
          <w:highlight w:val="yellow"/>
        </w:rPr>
        <w:t xml:space="preserve">magnetic </w:t>
      </w:r>
      <w:r w:rsidR="006F6BBE" w:rsidRPr="007E40FA">
        <w:rPr>
          <w:rFonts w:ascii="Times New Roman" w:eastAsiaTheme="minorHAnsi" w:hAnsi="Times New Roman"/>
          <w:sz w:val="24"/>
          <w:szCs w:val="24"/>
          <w:highlight w:val="yellow"/>
        </w:rPr>
        <w:t xml:space="preserve">device flat, and incubate in the dark for </w:t>
      </w:r>
      <w:r w:rsidR="004244FF" w:rsidRPr="007E40FA">
        <w:rPr>
          <w:rFonts w:ascii="Times New Roman" w:eastAsiaTheme="minorHAnsi" w:hAnsi="Times New Roman"/>
          <w:sz w:val="24"/>
          <w:szCs w:val="24"/>
          <w:highlight w:val="yellow"/>
        </w:rPr>
        <w:t>a</w:t>
      </w:r>
      <w:r w:rsidRPr="007E40FA">
        <w:rPr>
          <w:rFonts w:ascii="Times New Roman" w:eastAsiaTheme="minorHAnsi" w:hAnsi="Times New Roman"/>
          <w:sz w:val="24"/>
          <w:szCs w:val="24"/>
          <w:highlight w:val="yellow"/>
        </w:rPr>
        <w:t>t</w:t>
      </w:r>
      <w:r w:rsidR="004244FF" w:rsidRPr="007E40FA">
        <w:rPr>
          <w:rFonts w:ascii="Times New Roman" w:eastAsiaTheme="minorHAnsi" w:hAnsi="Times New Roman"/>
          <w:sz w:val="24"/>
          <w:szCs w:val="24"/>
          <w:highlight w:val="yellow"/>
        </w:rPr>
        <w:t xml:space="preserve"> </w:t>
      </w:r>
      <w:r w:rsidRPr="007E40FA">
        <w:rPr>
          <w:rFonts w:ascii="Times New Roman" w:eastAsiaTheme="minorHAnsi" w:hAnsi="Times New Roman"/>
          <w:sz w:val="24"/>
          <w:szCs w:val="24"/>
          <w:highlight w:val="yellow"/>
        </w:rPr>
        <w:t>least</w:t>
      </w:r>
      <w:r w:rsidR="006F6BBE" w:rsidRPr="007E40FA">
        <w:rPr>
          <w:rFonts w:ascii="Times New Roman" w:eastAsiaTheme="minorHAnsi" w:hAnsi="Times New Roman"/>
          <w:sz w:val="24"/>
          <w:szCs w:val="24"/>
          <w:highlight w:val="yellow"/>
        </w:rPr>
        <w:t xml:space="preserve"> 20 minutes.</w:t>
      </w:r>
      <w:r w:rsidR="004244FF" w:rsidRPr="007E40FA">
        <w:rPr>
          <w:rFonts w:ascii="Times New Roman" w:eastAsiaTheme="minorHAnsi" w:hAnsi="Times New Roman"/>
          <w:sz w:val="24"/>
          <w:szCs w:val="24"/>
        </w:rPr>
        <w:t xml:space="preserve"> Samples must be scanned within 24 hours of preparation.</w:t>
      </w:r>
    </w:p>
    <w:p w:rsidR="006F6BBE" w:rsidRPr="007E40FA" w:rsidRDefault="006F6BBE" w:rsidP="0053484E">
      <w:pPr>
        <w:pStyle w:val="ListParagraph"/>
        <w:spacing w:after="0" w:line="240" w:lineRule="auto"/>
        <w:ind w:left="0"/>
        <w:jc w:val="both"/>
        <w:rPr>
          <w:rFonts w:ascii="Times New Roman" w:eastAsiaTheme="minorHAnsi" w:hAnsi="Times New Roman"/>
          <w:sz w:val="24"/>
          <w:szCs w:val="24"/>
        </w:rPr>
      </w:pPr>
    </w:p>
    <w:p w:rsidR="006F6BBE" w:rsidRPr="007E40FA" w:rsidRDefault="004244FF" w:rsidP="0053484E">
      <w:pPr>
        <w:pStyle w:val="ListParagraph"/>
        <w:numPr>
          <w:ilvl w:val="1"/>
          <w:numId w:val="4"/>
        </w:numPr>
        <w:spacing w:after="0" w:line="240" w:lineRule="auto"/>
        <w:ind w:left="0" w:firstLine="0"/>
        <w:jc w:val="both"/>
        <w:rPr>
          <w:rFonts w:ascii="Times New Roman" w:eastAsiaTheme="minorHAnsi" w:hAnsi="Times New Roman"/>
          <w:sz w:val="24"/>
          <w:szCs w:val="24"/>
        </w:rPr>
      </w:pPr>
      <w:r w:rsidRPr="007E40FA">
        <w:rPr>
          <w:rFonts w:ascii="Times New Roman" w:eastAsiaTheme="minorHAnsi" w:hAnsi="Times New Roman"/>
          <w:sz w:val="24"/>
          <w:szCs w:val="24"/>
          <w:highlight w:val="yellow"/>
        </w:rPr>
        <w:t xml:space="preserve">Turn on </w:t>
      </w:r>
      <w:r w:rsidR="00F03D5A" w:rsidRPr="007E40FA">
        <w:rPr>
          <w:rFonts w:ascii="Times New Roman" w:eastAsiaTheme="minorHAnsi" w:hAnsi="Times New Roman"/>
          <w:sz w:val="24"/>
          <w:szCs w:val="24"/>
          <w:highlight w:val="yellow"/>
        </w:rPr>
        <w:t xml:space="preserve">the </w:t>
      </w:r>
      <w:r w:rsidR="00F131F9" w:rsidRPr="007E40FA">
        <w:rPr>
          <w:rFonts w:ascii="Times New Roman" w:eastAsiaTheme="minorHAnsi" w:hAnsi="Times New Roman"/>
          <w:sz w:val="24"/>
          <w:szCs w:val="24"/>
          <w:highlight w:val="yellow"/>
        </w:rPr>
        <w:t>analysis instrument</w:t>
      </w:r>
      <w:r w:rsidR="00F03D5A" w:rsidRPr="007E40FA">
        <w:rPr>
          <w:rFonts w:ascii="Times New Roman" w:eastAsiaTheme="minorHAnsi" w:hAnsi="Times New Roman"/>
          <w:sz w:val="24"/>
          <w:szCs w:val="24"/>
          <w:highlight w:val="yellow"/>
        </w:rPr>
        <w:t xml:space="preserve"> and initialize the lamp. Once warmed</w:t>
      </w:r>
      <w:r w:rsidR="006925ED" w:rsidRPr="007E40FA">
        <w:rPr>
          <w:rFonts w:ascii="Times New Roman" w:eastAsiaTheme="minorHAnsi" w:hAnsi="Times New Roman"/>
          <w:sz w:val="24"/>
          <w:szCs w:val="24"/>
          <w:highlight w:val="yellow"/>
        </w:rPr>
        <w:t xml:space="preserve"> (~ 15 minutes)</w:t>
      </w:r>
      <w:r w:rsidR="00F03D5A" w:rsidRPr="007E40FA">
        <w:rPr>
          <w:rFonts w:ascii="Times New Roman" w:eastAsiaTheme="minorHAnsi" w:hAnsi="Times New Roman"/>
          <w:sz w:val="24"/>
          <w:szCs w:val="24"/>
          <w:highlight w:val="yellow"/>
        </w:rPr>
        <w:t>, load the system verification cartridge on</w:t>
      </w:r>
      <w:r w:rsidR="00DF5DE3" w:rsidRPr="007E40FA">
        <w:rPr>
          <w:rFonts w:ascii="Times New Roman" w:eastAsiaTheme="minorHAnsi" w:hAnsi="Times New Roman"/>
          <w:sz w:val="24"/>
          <w:szCs w:val="24"/>
          <w:highlight w:val="yellow"/>
        </w:rPr>
        <w:t>to</w:t>
      </w:r>
      <w:r w:rsidR="00F03D5A" w:rsidRPr="007E40FA">
        <w:rPr>
          <w:rFonts w:ascii="Times New Roman" w:eastAsiaTheme="minorHAnsi" w:hAnsi="Times New Roman"/>
          <w:sz w:val="24"/>
          <w:szCs w:val="24"/>
          <w:highlight w:val="yellow"/>
        </w:rPr>
        <w:t xml:space="preserve"> the </w:t>
      </w:r>
      <w:r w:rsidR="00F131F9" w:rsidRPr="007E40FA">
        <w:rPr>
          <w:rFonts w:ascii="Times New Roman" w:eastAsiaTheme="minorHAnsi" w:hAnsi="Times New Roman"/>
          <w:sz w:val="24"/>
          <w:szCs w:val="24"/>
          <w:highlight w:val="yellow"/>
        </w:rPr>
        <w:t>analysis instrument</w:t>
      </w:r>
      <w:r w:rsidR="006B0E63" w:rsidRPr="007E40FA">
        <w:rPr>
          <w:rFonts w:ascii="Times New Roman" w:eastAsiaTheme="minorHAnsi" w:hAnsi="Times New Roman"/>
          <w:sz w:val="24"/>
          <w:szCs w:val="24"/>
          <w:highlight w:val="yellow"/>
        </w:rPr>
        <w:t xml:space="preserve"> and select the </w:t>
      </w:r>
      <w:r w:rsidR="006B0E63" w:rsidRPr="007E40FA">
        <w:rPr>
          <w:rFonts w:ascii="Times New Roman" w:eastAsiaTheme="minorHAnsi" w:hAnsi="Times New Roman"/>
          <w:i/>
          <w:sz w:val="24"/>
          <w:szCs w:val="24"/>
          <w:highlight w:val="yellow"/>
        </w:rPr>
        <w:t>QC Test</w:t>
      </w:r>
      <w:r w:rsidR="006B0E63" w:rsidRPr="007E40FA">
        <w:rPr>
          <w:rFonts w:ascii="Times New Roman" w:eastAsiaTheme="minorHAnsi" w:hAnsi="Times New Roman"/>
          <w:sz w:val="24"/>
          <w:szCs w:val="24"/>
          <w:highlight w:val="yellow"/>
        </w:rPr>
        <w:t xml:space="preserve"> tab. </w:t>
      </w:r>
      <w:r w:rsidR="006B0E63" w:rsidRPr="004F6ADB">
        <w:rPr>
          <w:rFonts w:ascii="Times New Roman" w:eastAsiaTheme="minorHAnsi" w:hAnsi="Times New Roman"/>
          <w:sz w:val="24"/>
          <w:szCs w:val="24"/>
        </w:rPr>
        <w:t>F</w:t>
      </w:r>
      <w:r w:rsidR="00FC1CA6" w:rsidRPr="004F6ADB">
        <w:rPr>
          <w:rFonts w:ascii="Times New Roman" w:eastAsiaTheme="minorHAnsi" w:hAnsi="Times New Roman"/>
          <w:sz w:val="24"/>
          <w:szCs w:val="24"/>
        </w:rPr>
        <w:t xml:space="preserve">ollow the on-screen instructions to </w:t>
      </w:r>
      <w:r w:rsidR="00F03D5A" w:rsidRPr="004F6ADB">
        <w:rPr>
          <w:rFonts w:ascii="Times New Roman" w:eastAsiaTheme="minorHAnsi" w:hAnsi="Times New Roman"/>
          <w:sz w:val="24"/>
          <w:szCs w:val="24"/>
        </w:rPr>
        <w:t xml:space="preserve">perform </w:t>
      </w:r>
      <w:r w:rsidR="006B0E63" w:rsidRPr="004F6ADB">
        <w:rPr>
          <w:rFonts w:ascii="Times New Roman" w:eastAsiaTheme="minorHAnsi" w:hAnsi="Times New Roman"/>
          <w:sz w:val="24"/>
          <w:szCs w:val="24"/>
        </w:rPr>
        <w:t>the necessary quality control measures</w:t>
      </w:r>
      <w:r w:rsidR="00F03D5A" w:rsidRPr="004F6ADB">
        <w:rPr>
          <w:rFonts w:ascii="Times New Roman" w:eastAsiaTheme="minorHAnsi" w:hAnsi="Times New Roman"/>
          <w:sz w:val="24"/>
          <w:szCs w:val="24"/>
        </w:rPr>
        <w:t>.</w:t>
      </w:r>
      <w:r w:rsidR="00F03D5A" w:rsidRPr="007E40FA">
        <w:rPr>
          <w:rFonts w:ascii="Times New Roman" w:eastAsiaTheme="minorHAnsi" w:hAnsi="Times New Roman"/>
          <w:sz w:val="24"/>
          <w:szCs w:val="24"/>
        </w:rPr>
        <w:t xml:space="preserve"> </w:t>
      </w:r>
    </w:p>
    <w:p w:rsidR="008907C6" w:rsidRPr="007E40FA" w:rsidRDefault="008907C6" w:rsidP="0053484E">
      <w:pPr>
        <w:pStyle w:val="ListParagraph"/>
        <w:spacing w:after="0" w:line="240" w:lineRule="auto"/>
        <w:ind w:left="0"/>
        <w:jc w:val="both"/>
        <w:rPr>
          <w:rFonts w:ascii="Times New Roman" w:eastAsiaTheme="minorHAnsi" w:hAnsi="Times New Roman"/>
          <w:sz w:val="24"/>
          <w:szCs w:val="24"/>
        </w:rPr>
      </w:pPr>
    </w:p>
    <w:p w:rsidR="008907C6" w:rsidRPr="007E40FA" w:rsidRDefault="008907C6" w:rsidP="0053484E">
      <w:pPr>
        <w:pStyle w:val="ListParagraph"/>
        <w:numPr>
          <w:ilvl w:val="1"/>
          <w:numId w:val="4"/>
        </w:numPr>
        <w:spacing w:after="0" w:line="240" w:lineRule="auto"/>
        <w:ind w:left="0" w:firstLine="0"/>
        <w:jc w:val="both"/>
        <w:rPr>
          <w:rFonts w:ascii="Times New Roman" w:eastAsiaTheme="minorHAnsi" w:hAnsi="Times New Roman"/>
          <w:sz w:val="24"/>
          <w:szCs w:val="24"/>
        </w:rPr>
      </w:pPr>
      <w:r w:rsidRPr="007E40FA">
        <w:rPr>
          <w:rFonts w:ascii="Times New Roman" w:eastAsiaTheme="minorHAnsi" w:hAnsi="Times New Roman"/>
          <w:sz w:val="24"/>
          <w:szCs w:val="24"/>
          <w:highlight w:val="yellow"/>
        </w:rPr>
        <w:t xml:space="preserve">Load </w:t>
      </w:r>
      <w:r w:rsidR="006B0E63" w:rsidRPr="007E40FA">
        <w:rPr>
          <w:rFonts w:ascii="Times New Roman" w:eastAsiaTheme="minorHAnsi" w:hAnsi="Times New Roman"/>
          <w:sz w:val="24"/>
          <w:szCs w:val="24"/>
          <w:highlight w:val="yellow"/>
        </w:rPr>
        <w:t xml:space="preserve">a </w:t>
      </w:r>
      <w:r w:rsidRPr="007E40FA">
        <w:rPr>
          <w:rFonts w:ascii="Times New Roman" w:eastAsiaTheme="minorHAnsi" w:hAnsi="Times New Roman"/>
          <w:sz w:val="24"/>
          <w:szCs w:val="24"/>
          <w:highlight w:val="yellow"/>
        </w:rPr>
        <w:t xml:space="preserve">sample onto the </w:t>
      </w:r>
      <w:r w:rsidR="00F131F9" w:rsidRPr="007E40FA">
        <w:rPr>
          <w:rFonts w:ascii="Times New Roman" w:eastAsiaTheme="minorHAnsi" w:hAnsi="Times New Roman"/>
          <w:sz w:val="24"/>
          <w:szCs w:val="24"/>
          <w:highlight w:val="yellow"/>
        </w:rPr>
        <w:t>analysis instrument</w:t>
      </w:r>
      <w:r w:rsidRPr="007E40FA">
        <w:rPr>
          <w:rFonts w:ascii="Times New Roman" w:eastAsiaTheme="minorHAnsi" w:hAnsi="Times New Roman"/>
          <w:sz w:val="24"/>
          <w:szCs w:val="24"/>
          <w:highlight w:val="yellow"/>
        </w:rPr>
        <w:t xml:space="preserve"> and select the </w:t>
      </w:r>
      <w:r w:rsidRPr="007E40FA">
        <w:rPr>
          <w:rFonts w:ascii="Times New Roman" w:eastAsiaTheme="minorHAnsi" w:hAnsi="Times New Roman"/>
          <w:i/>
          <w:sz w:val="24"/>
          <w:szCs w:val="24"/>
          <w:highlight w:val="yellow"/>
        </w:rPr>
        <w:t>Patient Test</w:t>
      </w:r>
      <w:r w:rsidRPr="007E40FA">
        <w:rPr>
          <w:rFonts w:ascii="Times New Roman" w:eastAsiaTheme="minorHAnsi" w:hAnsi="Times New Roman"/>
          <w:sz w:val="24"/>
          <w:szCs w:val="24"/>
          <w:highlight w:val="yellow"/>
        </w:rPr>
        <w:t xml:space="preserve"> tab. </w:t>
      </w:r>
      <w:r w:rsidRPr="007E40FA">
        <w:rPr>
          <w:rFonts w:ascii="Times New Roman" w:eastAsiaTheme="minorHAnsi" w:hAnsi="Times New Roman"/>
          <w:sz w:val="24"/>
          <w:szCs w:val="24"/>
        </w:rPr>
        <w:t xml:space="preserve">All saved information from the </w:t>
      </w:r>
      <w:r w:rsidR="00F131F9" w:rsidRPr="007E40FA">
        <w:rPr>
          <w:rFonts w:ascii="Times New Roman" w:eastAsiaTheme="minorHAnsi" w:hAnsi="Times New Roman"/>
          <w:sz w:val="24"/>
          <w:szCs w:val="24"/>
        </w:rPr>
        <w:t>p</w:t>
      </w:r>
      <w:r w:rsidR="004C0272" w:rsidRPr="007E40FA">
        <w:rPr>
          <w:rFonts w:ascii="Times New Roman" w:eastAsiaTheme="minorHAnsi" w:hAnsi="Times New Roman"/>
          <w:sz w:val="24"/>
          <w:szCs w:val="24"/>
        </w:rPr>
        <w:t>reparation instrument</w:t>
      </w:r>
      <w:r w:rsidRPr="007E40FA">
        <w:rPr>
          <w:rFonts w:ascii="Times New Roman" w:eastAsiaTheme="minorHAnsi" w:hAnsi="Times New Roman"/>
          <w:sz w:val="24"/>
          <w:szCs w:val="24"/>
        </w:rPr>
        <w:t xml:space="preserve"> will be displayed. </w:t>
      </w:r>
      <w:r w:rsidRPr="007E40FA">
        <w:rPr>
          <w:rFonts w:ascii="Times New Roman" w:eastAsiaTheme="minorHAnsi" w:hAnsi="Times New Roman"/>
          <w:sz w:val="24"/>
          <w:szCs w:val="24"/>
          <w:highlight w:val="yellow"/>
        </w:rPr>
        <w:t xml:space="preserve">Click </w:t>
      </w:r>
      <w:r w:rsidRPr="007E40FA">
        <w:rPr>
          <w:rFonts w:ascii="Times New Roman" w:eastAsiaTheme="minorHAnsi" w:hAnsi="Times New Roman"/>
          <w:i/>
          <w:sz w:val="24"/>
          <w:szCs w:val="24"/>
          <w:highlight w:val="yellow"/>
        </w:rPr>
        <w:t>Start</w:t>
      </w:r>
      <w:r w:rsidRPr="007E40FA">
        <w:rPr>
          <w:rFonts w:ascii="Times New Roman" w:eastAsiaTheme="minorHAnsi" w:hAnsi="Times New Roman"/>
          <w:sz w:val="24"/>
          <w:szCs w:val="24"/>
          <w:highlight w:val="yellow"/>
        </w:rPr>
        <w:t xml:space="preserve"> to initialize sample scanning.</w:t>
      </w:r>
      <w:r w:rsidR="009F3ABD" w:rsidRPr="009F3ABD">
        <w:rPr>
          <w:rFonts w:ascii="Times New Roman" w:eastAsiaTheme="minorHAnsi" w:hAnsi="Times New Roman"/>
          <w:sz w:val="24"/>
          <w:szCs w:val="24"/>
        </w:rPr>
        <w:t xml:space="preserve"> </w:t>
      </w:r>
      <w:r w:rsidR="009F3ABD" w:rsidRPr="009F3ABD">
        <w:rPr>
          <w:rFonts w:ascii="Times New Roman" w:eastAsiaTheme="minorHAnsi" w:hAnsi="Times New Roman"/>
          <w:sz w:val="24"/>
          <w:szCs w:val="24"/>
        </w:rPr>
        <w:t>The system will perform a coarse focus and edge detection on the magnetic device cartridge.</w:t>
      </w:r>
    </w:p>
    <w:p w:rsidR="008907C6" w:rsidRPr="007E40FA" w:rsidRDefault="008907C6" w:rsidP="0053484E">
      <w:pPr>
        <w:pStyle w:val="ListParagraph"/>
        <w:spacing w:after="0" w:line="240" w:lineRule="auto"/>
        <w:ind w:left="0"/>
        <w:jc w:val="both"/>
        <w:rPr>
          <w:rFonts w:ascii="Times New Roman" w:eastAsiaTheme="minorHAnsi" w:hAnsi="Times New Roman"/>
          <w:sz w:val="24"/>
          <w:szCs w:val="24"/>
        </w:rPr>
      </w:pPr>
    </w:p>
    <w:p w:rsidR="008907C6" w:rsidRPr="009F3ABD" w:rsidRDefault="008907C6" w:rsidP="0053484E">
      <w:pPr>
        <w:pStyle w:val="ListParagraph"/>
        <w:numPr>
          <w:ilvl w:val="1"/>
          <w:numId w:val="4"/>
        </w:numPr>
        <w:spacing w:after="0" w:line="240" w:lineRule="auto"/>
        <w:ind w:left="0" w:firstLine="0"/>
        <w:jc w:val="both"/>
        <w:rPr>
          <w:rFonts w:ascii="Times New Roman" w:eastAsiaTheme="minorHAnsi" w:hAnsi="Times New Roman"/>
          <w:sz w:val="24"/>
          <w:szCs w:val="24"/>
        </w:rPr>
      </w:pPr>
      <w:r w:rsidRPr="007E40FA">
        <w:rPr>
          <w:rFonts w:ascii="Times New Roman" w:eastAsiaTheme="minorHAnsi" w:hAnsi="Times New Roman"/>
          <w:sz w:val="24"/>
          <w:szCs w:val="24"/>
          <w:highlight w:val="yellow"/>
        </w:rPr>
        <w:t xml:space="preserve">Adjust </w:t>
      </w:r>
      <w:r w:rsidR="006B0E63" w:rsidRPr="007E40FA">
        <w:rPr>
          <w:rFonts w:ascii="Times New Roman" w:eastAsiaTheme="minorHAnsi" w:hAnsi="Times New Roman"/>
          <w:sz w:val="24"/>
          <w:szCs w:val="24"/>
          <w:highlight w:val="yellow"/>
        </w:rPr>
        <w:t xml:space="preserve">all </w:t>
      </w:r>
      <w:r w:rsidRPr="007E40FA">
        <w:rPr>
          <w:rFonts w:ascii="Times New Roman" w:eastAsiaTheme="minorHAnsi" w:hAnsi="Times New Roman"/>
          <w:sz w:val="24"/>
          <w:szCs w:val="24"/>
          <w:highlight w:val="yellow"/>
        </w:rPr>
        <w:t xml:space="preserve">edges as necessary using the directional keys. Select </w:t>
      </w:r>
      <w:r w:rsidRPr="007E40FA">
        <w:rPr>
          <w:rFonts w:ascii="Times New Roman" w:eastAsiaTheme="minorHAnsi" w:hAnsi="Times New Roman"/>
          <w:i/>
          <w:sz w:val="24"/>
          <w:szCs w:val="24"/>
          <w:highlight w:val="yellow"/>
        </w:rPr>
        <w:t>Accept</w:t>
      </w:r>
      <w:r w:rsidRPr="007E40FA">
        <w:rPr>
          <w:rFonts w:ascii="Times New Roman" w:eastAsiaTheme="minorHAnsi" w:hAnsi="Times New Roman"/>
          <w:sz w:val="24"/>
          <w:szCs w:val="24"/>
          <w:highlight w:val="yellow"/>
        </w:rPr>
        <w:t xml:space="preserve">. </w:t>
      </w:r>
      <w:r w:rsidRPr="009F3ABD">
        <w:rPr>
          <w:rFonts w:ascii="Times New Roman" w:eastAsiaTheme="minorHAnsi" w:hAnsi="Times New Roman"/>
          <w:sz w:val="24"/>
          <w:szCs w:val="24"/>
        </w:rPr>
        <w:t>The system will perform a fine focus and begin sample scanning.</w:t>
      </w:r>
    </w:p>
    <w:p w:rsidR="006B0E63" w:rsidRPr="007E40FA" w:rsidRDefault="006B0E63" w:rsidP="0053484E">
      <w:pPr>
        <w:pStyle w:val="ListParagraph"/>
        <w:spacing w:after="0" w:line="240" w:lineRule="auto"/>
        <w:ind w:left="0"/>
        <w:jc w:val="both"/>
        <w:rPr>
          <w:rFonts w:ascii="Times New Roman" w:eastAsiaTheme="minorHAnsi" w:hAnsi="Times New Roman"/>
          <w:sz w:val="24"/>
          <w:szCs w:val="24"/>
        </w:rPr>
      </w:pPr>
    </w:p>
    <w:p w:rsidR="006B0E63" w:rsidRPr="003C131A" w:rsidRDefault="00AD6C70" w:rsidP="0053484E">
      <w:pPr>
        <w:pStyle w:val="ListParagraph"/>
        <w:numPr>
          <w:ilvl w:val="1"/>
          <w:numId w:val="4"/>
        </w:numPr>
        <w:spacing w:after="0" w:line="240" w:lineRule="auto"/>
        <w:ind w:left="0" w:firstLine="0"/>
        <w:jc w:val="both"/>
        <w:rPr>
          <w:rFonts w:ascii="Times New Roman" w:eastAsiaTheme="minorHAnsi" w:hAnsi="Times New Roman"/>
          <w:sz w:val="24"/>
          <w:szCs w:val="24"/>
        </w:rPr>
      </w:pPr>
      <w:bookmarkStart w:id="0" w:name="_GoBack"/>
      <w:bookmarkEnd w:id="0"/>
      <w:r w:rsidRPr="003C131A">
        <w:rPr>
          <w:rFonts w:ascii="Times New Roman" w:eastAsiaTheme="minorHAnsi" w:hAnsi="Times New Roman"/>
          <w:sz w:val="24"/>
          <w:szCs w:val="24"/>
        </w:rPr>
        <w:t xml:space="preserve">Following control scanning the results should be </w:t>
      </w:r>
      <w:r w:rsidR="006925ED" w:rsidRPr="003C131A">
        <w:rPr>
          <w:rFonts w:ascii="Times New Roman" w:eastAsiaTheme="minorHAnsi" w:hAnsi="Times New Roman"/>
          <w:sz w:val="24"/>
          <w:szCs w:val="24"/>
        </w:rPr>
        <w:t>validated</w:t>
      </w:r>
      <w:r w:rsidRPr="003C131A">
        <w:rPr>
          <w:rFonts w:ascii="Times New Roman" w:eastAsiaTheme="minorHAnsi" w:hAnsi="Times New Roman"/>
          <w:sz w:val="24"/>
          <w:szCs w:val="24"/>
        </w:rPr>
        <w:t xml:space="preserve"> using the defined criteria for cells spiked at high (CK</w:t>
      </w:r>
      <w:r w:rsidRPr="003C131A">
        <w:rPr>
          <w:rFonts w:ascii="Times New Roman" w:eastAsiaTheme="minorHAnsi" w:hAnsi="Times New Roman"/>
          <w:sz w:val="24"/>
          <w:szCs w:val="24"/>
          <w:vertAlign w:val="superscript"/>
        </w:rPr>
        <w:t>+</w:t>
      </w:r>
      <w:r w:rsidRPr="003C131A">
        <w:rPr>
          <w:rFonts w:ascii="Times New Roman" w:eastAsiaTheme="minorHAnsi" w:hAnsi="Times New Roman"/>
          <w:sz w:val="24"/>
          <w:szCs w:val="24"/>
        </w:rPr>
        <w:t>DAPI</w:t>
      </w:r>
      <w:r w:rsidRPr="003C131A">
        <w:rPr>
          <w:rFonts w:ascii="Times New Roman" w:eastAsiaTheme="minorHAnsi" w:hAnsi="Times New Roman"/>
          <w:sz w:val="24"/>
          <w:szCs w:val="24"/>
          <w:vertAlign w:val="superscript"/>
        </w:rPr>
        <w:t>+</w:t>
      </w:r>
      <w:r w:rsidRPr="003C131A">
        <w:rPr>
          <w:rFonts w:ascii="Times New Roman" w:eastAsiaTheme="minorHAnsi" w:hAnsi="Times New Roman"/>
          <w:sz w:val="24"/>
          <w:szCs w:val="24"/>
        </w:rPr>
        <w:t>CD45</w:t>
      </w:r>
      <w:r w:rsidRPr="003C131A">
        <w:rPr>
          <w:rFonts w:ascii="Times New Roman" w:eastAsiaTheme="minorHAnsi" w:hAnsi="Times New Roman"/>
          <w:sz w:val="24"/>
          <w:szCs w:val="24"/>
          <w:vertAlign w:val="superscript"/>
        </w:rPr>
        <w:t>-</w:t>
      </w:r>
      <w:r w:rsidRPr="003C131A">
        <w:rPr>
          <w:rFonts w:ascii="Times New Roman" w:eastAsiaTheme="minorHAnsi" w:hAnsi="Times New Roman"/>
          <w:sz w:val="24"/>
          <w:szCs w:val="24"/>
        </w:rPr>
        <w:t>APC</w:t>
      </w:r>
      <w:r w:rsidRPr="003C131A">
        <w:rPr>
          <w:rFonts w:ascii="Times New Roman" w:eastAsiaTheme="minorHAnsi" w:hAnsi="Times New Roman"/>
          <w:sz w:val="24"/>
          <w:szCs w:val="24"/>
          <w:vertAlign w:val="superscript"/>
        </w:rPr>
        <w:t>+</w:t>
      </w:r>
      <w:r w:rsidRPr="003C131A">
        <w:rPr>
          <w:rFonts w:ascii="Times New Roman" w:eastAsiaTheme="minorHAnsi" w:hAnsi="Times New Roman"/>
          <w:sz w:val="24"/>
          <w:szCs w:val="24"/>
        </w:rPr>
        <w:t>) and low (CK</w:t>
      </w:r>
      <w:r w:rsidRPr="003C131A">
        <w:rPr>
          <w:rFonts w:ascii="Times New Roman" w:eastAsiaTheme="minorHAnsi" w:hAnsi="Times New Roman"/>
          <w:sz w:val="24"/>
          <w:szCs w:val="24"/>
          <w:vertAlign w:val="superscript"/>
        </w:rPr>
        <w:t>+</w:t>
      </w:r>
      <w:r w:rsidRPr="003C131A">
        <w:rPr>
          <w:rFonts w:ascii="Times New Roman" w:eastAsiaTheme="minorHAnsi" w:hAnsi="Times New Roman"/>
          <w:sz w:val="24"/>
          <w:szCs w:val="24"/>
        </w:rPr>
        <w:t>DAPI</w:t>
      </w:r>
      <w:r w:rsidRPr="003C131A">
        <w:rPr>
          <w:rFonts w:ascii="Times New Roman" w:eastAsiaTheme="minorHAnsi" w:hAnsi="Times New Roman"/>
          <w:sz w:val="24"/>
          <w:szCs w:val="24"/>
          <w:vertAlign w:val="superscript"/>
        </w:rPr>
        <w:t>+</w:t>
      </w:r>
      <w:r w:rsidRPr="003C131A">
        <w:rPr>
          <w:rFonts w:ascii="Times New Roman" w:eastAsiaTheme="minorHAnsi" w:hAnsi="Times New Roman"/>
          <w:sz w:val="24"/>
          <w:szCs w:val="24"/>
        </w:rPr>
        <w:t>CD45</w:t>
      </w:r>
      <w:r w:rsidRPr="003C131A">
        <w:rPr>
          <w:rFonts w:ascii="Times New Roman" w:eastAsiaTheme="minorHAnsi" w:hAnsi="Times New Roman"/>
          <w:sz w:val="24"/>
          <w:szCs w:val="24"/>
          <w:vertAlign w:val="superscript"/>
        </w:rPr>
        <w:t>-</w:t>
      </w:r>
      <w:r w:rsidRPr="003C131A">
        <w:rPr>
          <w:rFonts w:ascii="Times New Roman" w:eastAsiaTheme="minorHAnsi" w:hAnsi="Times New Roman"/>
          <w:sz w:val="24"/>
          <w:szCs w:val="24"/>
        </w:rPr>
        <w:t>FITC</w:t>
      </w:r>
      <w:r w:rsidRPr="003C131A">
        <w:rPr>
          <w:rFonts w:ascii="Times New Roman" w:eastAsiaTheme="minorHAnsi" w:hAnsi="Times New Roman"/>
          <w:sz w:val="24"/>
          <w:szCs w:val="24"/>
          <w:vertAlign w:val="superscript"/>
        </w:rPr>
        <w:t>+</w:t>
      </w:r>
      <w:r w:rsidRPr="003C131A">
        <w:rPr>
          <w:rFonts w:ascii="Times New Roman" w:eastAsiaTheme="minorHAnsi" w:hAnsi="Times New Roman"/>
          <w:sz w:val="24"/>
          <w:szCs w:val="24"/>
        </w:rPr>
        <w:t>) concentrations.</w:t>
      </w:r>
      <w:r w:rsidR="0053484E" w:rsidRPr="003C131A">
        <w:rPr>
          <w:rFonts w:ascii="Times New Roman" w:eastAsiaTheme="minorHAnsi" w:hAnsi="Times New Roman"/>
          <w:sz w:val="24"/>
          <w:szCs w:val="24"/>
        </w:rPr>
        <w:t xml:space="preserve"> </w:t>
      </w:r>
      <w:r w:rsidR="006B0E63" w:rsidRPr="003C131A">
        <w:rPr>
          <w:rFonts w:ascii="Times New Roman" w:eastAsiaTheme="minorHAnsi" w:hAnsi="Times New Roman"/>
          <w:sz w:val="24"/>
          <w:szCs w:val="24"/>
        </w:rPr>
        <w:t xml:space="preserve">Following </w:t>
      </w:r>
      <w:r w:rsidR="006925ED" w:rsidRPr="003C131A">
        <w:rPr>
          <w:rFonts w:ascii="Times New Roman" w:eastAsiaTheme="minorHAnsi" w:hAnsi="Times New Roman"/>
          <w:sz w:val="24"/>
          <w:szCs w:val="24"/>
        </w:rPr>
        <w:t xml:space="preserve">patient </w:t>
      </w:r>
      <w:r w:rsidR="006B0E63" w:rsidRPr="003C131A">
        <w:rPr>
          <w:rFonts w:ascii="Times New Roman" w:eastAsiaTheme="minorHAnsi" w:hAnsi="Times New Roman"/>
          <w:sz w:val="24"/>
          <w:szCs w:val="24"/>
        </w:rPr>
        <w:t>sample scanning the results should be reviewed for captured CTCs using the defined CTC criteria (CK</w:t>
      </w:r>
      <w:r w:rsidR="006B0E63" w:rsidRPr="003C131A">
        <w:rPr>
          <w:rFonts w:ascii="Times New Roman" w:eastAsiaTheme="minorHAnsi" w:hAnsi="Times New Roman"/>
          <w:sz w:val="24"/>
          <w:szCs w:val="24"/>
          <w:vertAlign w:val="superscript"/>
        </w:rPr>
        <w:t>+</w:t>
      </w:r>
      <w:r w:rsidR="006B0E63" w:rsidRPr="003C131A">
        <w:rPr>
          <w:rFonts w:ascii="Times New Roman" w:eastAsiaTheme="minorHAnsi" w:hAnsi="Times New Roman"/>
          <w:sz w:val="24"/>
          <w:szCs w:val="24"/>
        </w:rPr>
        <w:t>DAPI</w:t>
      </w:r>
      <w:r w:rsidR="006B0E63" w:rsidRPr="003C131A">
        <w:rPr>
          <w:rFonts w:ascii="Times New Roman" w:eastAsiaTheme="minorHAnsi" w:hAnsi="Times New Roman"/>
          <w:sz w:val="24"/>
          <w:szCs w:val="24"/>
          <w:vertAlign w:val="superscript"/>
        </w:rPr>
        <w:t>+</w:t>
      </w:r>
      <w:r w:rsidR="006B0E63" w:rsidRPr="003C131A">
        <w:rPr>
          <w:rFonts w:ascii="Times New Roman" w:eastAsiaTheme="minorHAnsi" w:hAnsi="Times New Roman"/>
          <w:sz w:val="24"/>
          <w:szCs w:val="24"/>
        </w:rPr>
        <w:t>CD45</w:t>
      </w:r>
      <w:r w:rsidR="006B0E63" w:rsidRPr="003C131A">
        <w:rPr>
          <w:rFonts w:ascii="Times New Roman" w:eastAsiaTheme="minorHAnsi" w:hAnsi="Times New Roman"/>
          <w:sz w:val="24"/>
          <w:szCs w:val="24"/>
          <w:vertAlign w:val="superscript"/>
        </w:rPr>
        <w:t>-</w:t>
      </w:r>
      <w:r w:rsidR="006B0E63" w:rsidRPr="003C131A">
        <w:rPr>
          <w:rFonts w:ascii="Times New Roman" w:eastAsiaTheme="minorHAnsi" w:hAnsi="Times New Roman"/>
          <w:sz w:val="24"/>
          <w:szCs w:val="24"/>
        </w:rPr>
        <w:t>).</w:t>
      </w:r>
    </w:p>
    <w:p w:rsidR="006975D9" w:rsidRPr="007E40FA" w:rsidRDefault="006975D9" w:rsidP="0053484E">
      <w:pPr>
        <w:spacing w:after="0" w:line="240" w:lineRule="auto"/>
        <w:jc w:val="both"/>
        <w:rPr>
          <w:rFonts w:ascii="Times New Roman" w:eastAsiaTheme="minorHAnsi" w:hAnsi="Times New Roman"/>
          <w:sz w:val="24"/>
          <w:szCs w:val="24"/>
        </w:rPr>
      </w:pPr>
    </w:p>
    <w:p w:rsidR="00606B83" w:rsidRPr="007E40FA" w:rsidRDefault="00522D1A" w:rsidP="0053484E">
      <w:pPr>
        <w:spacing w:after="0" w:line="240" w:lineRule="auto"/>
        <w:jc w:val="both"/>
        <w:rPr>
          <w:rFonts w:ascii="Times New Roman" w:hAnsi="Times New Roman"/>
          <w:b/>
          <w:sz w:val="24"/>
          <w:szCs w:val="24"/>
          <w:u w:val="single"/>
        </w:rPr>
      </w:pPr>
      <w:r w:rsidRPr="007E40FA">
        <w:rPr>
          <w:rFonts w:ascii="Times New Roman" w:hAnsi="Times New Roman"/>
          <w:b/>
          <w:sz w:val="24"/>
          <w:szCs w:val="24"/>
          <w:u w:val="single"/>
        </w:rPr>
        <w:t xml:space="preserve">CTC Characterization for </w:t>
      </w:r>
      <w:r w:rsidR="00606B83" w:rsidRPr="007E40FA">
        <w:rPr>
          <w:rFonts w:ascii="Times New Roman" w:hAnsi="Times New Roman"/>
          <w:b/>
          <w:sz w:val="24"/>
          <w:szCs w:val="24"/>
          <w:u w:val="single"/>
        </w:rPr>
        <w:t>User-Defined Marker</w:t>
      </w:r>
      <w:r w:rsidRPr="007E40FA">
        <w:rPr>
          <w:rFonts w:ascii="Times New Roman" w:hAnsi="Times New Roman"/>
          <w:b/>
          <w:sz w:val="24"/>
          <w:szCs w:val="24"/>
          <w:u w:val="single"/>
        </w:rPr>
        <w:t>s</w:t>
      </w:r>
      <w:r w:rsidR="00606B83" w:rsidRPr="007E40FA">
        <w:rPr>
          <w:rFonts w:ascii="Times New Roman" w:hAnsi="Times New Roman"/>
          <w:b/>
          <w:sz w:val="24"/>
          <w:szCs w:val="24"/>
          <w:u w:val="single"/>
        </w:rPr>
        <w:t xml:space="preserve"> using the </w:t>
      </w:r>
      <w:r w:rsidR="004C0272" w:rsidRPr="007E40FA">
        <w:rPr>
          <w:rFonts w:ascii="Times New Roman" w:hAnsi="Times New Roman"/>
          <w:b/>
          <w:sz w:val="24"/>
          <w:szCs w:val="24"/>
          <w:u w:val="single"/>
        </w:rPr>
        <w:t>CSS</w:t>
      </w:r>
    </w:p>
    <w:p w:rsidR="00522D1A" w:rsidRPr="007E40FA" w:rsidRDefault="00522D1A" w:rsidP="0053484E">
      <w:pPr>
        <w:spacing w:after="0" w:line="240" w:lineRule="auto"/>
        <w:jc w:val="both"/>
        <w:rPr>
          <w:rFonts w:ascii="Times New Roman" w:eastAsiaTheme="minorHAnsi" w:hAnsi="Times New Roman"/>
          <w:sz w:val="24"/>
          <w:szCs w:val="24"/>
          <w:u w:val="single"/>
        </w:rPr>
      </w:pPr>
    </w:p>
    <w:p w:rsidR="00801893" w:rsidRPr="00E429F0" w:rsidRDefault="00522D1A" w:rsidP="0053484E">
      <w:pPr>
        <w:pStyle w:val="ListParagraph"/>
        <w:numPr>
          <w:ilvl w:val="0"/>
          <w:numId w:val="8"/>
        </w:numPr>
        <w:spacing w:after="0" w:line="240" w:lineRule="auto"/>
        <w:ind w:left="0" w:firstLine="0"/>
        <w:jc w:val="both"/>
        <w:rPr>
          <w:rFonts w:ascii="Times New Roman" w:eastAsiaTheme="minorHAnsi" w:hAnsi="Times New Roman"/>
          <w:b/>
          <w:sz w:val="24"/>
          <w:szCs w:val="24"/>
        </w:rPr>
      </w:pPr>
      <w:r w:rsidRPr="007E40FA">
        <w:rPr>
          <w:rFonts w:ascii="Times New Roman" w:eastAsiaTheme="minorHAnsi" w:hAnsi="Times New Roman"/>
          <w:b/>
          <w:sz w:val="24"/>
          <w:szCs w:val="24"/>
        </w:rPr>
        <w:t>Preparation of User-Defined Marker</w:t>
      </w:r>
      <w:r w:rsidR="0029193C" w:rsidRPr="007E40FA">
        <w:rPr>
          <w:rFonts w:ascii="Times New Roman" w:eastAsiaTheme="minorHAnsi" w:hAnsi="Times New Roman"/>
          <w:b/>
          <w:sz w:val="24"/>
          <w:szCs w:val="24"/>
        </w:rPr>
        <w:t>s</w:t>
      </w:r>
      <w:r w:rsidRPr="007E40FA">
        <w:rPr>
          <w:rFonts w:ascii="Times New Roman" w:eastAsiaTheme="minorHAnsi" w:hAnsi="Times New Roman"/>
          <w:b/>
          <w:sz w:val="24"/>
          <w:szCs w:val="24"/>
        </w:rPr>
        <w:t xml:space="preserve"> </w:t>
      </w:r>
      <w:r w:rsidR="00801893" w:rsidRPr="007E40FA">
        <w:rPr>
          <w:rFonts w:ascii="Times New Roman" w:eastAsiaTheme="minorHAnsi" w:hAnsi="Times New Roman"/>
          <w:b/>
          <w:sz w:val="24"/>
          <w:szCs w:val="24"/>
        </w:rPr>
        <w:t xml:space="preserve">and Instrument Initialization </w:t>
      </w:r>
    </w:p>
    <w:p w:rsidR="00801893" w:rsidRPr="007E40FA" w:rsidRDefault="00801893" w:rsidP="0053484E">
      <w:pPr>
        <w:pStyle w:val="ListParagraph"/>
        <w:numPr>
          <w:ilvl w:val="1"/>
          <w:numId w:val="8"/>
        </w:numPr>
        <w:spacing w:after="0" w:line="240" w:lineRule="auto"/>
        <w:ind w:left="0" w:firstLine="0"/>
        <w:jc w:val="both"/>
        <w:rPr>
          <w:rFonts w:ascii="Times New Roman" w:eastAsiaTheme="minorHAnsi" w:hAnsi="Times New Roman"/>
          <w:sz w:val="24"/>
          <w:szCs w:val="24"/>
        </w:rPr>
      </w:pPr>
      <w:r w:rsidRPr="007E40FA">
        <w:rPr>
          <w:rFonts w:ascii="Times New Roman" w:eastAsiaTheme="minorHAnsi" w:hAnsi="Times New Roman"/>
          <w:sz w:val="24"/>
          <w:szCs w:val="24"/>
          <w:highlight w:val="yellow"/>
        </w:rPr>
        <w:t xml:space="preserve">Dilute </w:t>
      </w:r>
      <w:r w:rsidR="0029193C" w:rsidRPr="007E40FA">
        <w:rPr>
          <w:rFonts w:ascii="Times New Roman" w:eastAsiaTheme="minorHAnsi" w:hAnsi="Times New Roman"/>
          <w:sz w:val="24"/>
          <w:szCs w:val="24"/>
          <w:highlight w:val="yellow"/>
        </w:rPr>
        <w:t xml:space="preserve">the </w:t>
      </w:r>
      <w:r w:rsidRPr="007E40FA">
        <w:rPr>
          <w:rFonts w:ascii="Times New Roman" w:eastAsiaTheme="minorHAnsi" w:hAnsi="Times New Roman"/>
          <w:sz w:val="24"/>
          <w:szCs w:val="24"/>
          <w:highlight w:val="yellow"/>
        </w:rPr>
        <w:t xml:space="preserve">antibody of interest using </w:t>
      </w:r>
      <w:r w:rsidR="00BE1405" w:rsidRPr="007E40FA">
        <w:rPr>
          <w:rFonts w:ascii="Times New Roman" w:eastAsiaTheme="minorHAnsi" w:hAnsi="Times New Roman"/>
          <w:sz w:val="24"/>
          <w:szCs w:val="24"/>
          <w:highlight w:val="yellow"/>
        </w:rPr>
        <w:t>Bond Primary Antibody Diluent</w:t>
      </w:r>
      <w:r w:rsidRPr="007E40FA">
        <w:rPr>
          <w:rFonts w:ascii="Times New Roman" w:eastAsiaTheme="minorHAnsi" w:hAnsi="Times New Roman"/>
          <w:sz w:val="24"/>
          <w:szCs w:val="24"/>
          <w:highlight w:val="yellow"/>
        </w:rPr>
        <w:t xml:space="preserve"> to the </w:t>
      </w:r>
      <w:r w:rsidR="0029193C" w:rsidRPr="007E40FA">
        <w:rPr>
          <w:rFonts w:ascii="Times New Roman" w:eastAsiaTheme="minorHAnsi" w:hAnsi="Times New Roman"/>
          <w:sz w:val="24"/>
          <w:szCs w:val="24"/>
          <w:highlight w:val="yellow"/>
        </w:rPr>
        <w:t xml:space="preserve">desired </w:t>
      </w:r>
      <w:r w:rsidRPr="007E40FA">
        <w:rPr>
          <w:rFonts w:ascii="Times New Roman" w:eastAsiaTheme="minorHAnsi" w:hAnsi="Times New Roman"/>
          <w:sz w:val="24"/>
          <w:szCs w:val="24"/>
          <w:highlight w:val="yellow"/>
        </w:rPr>
        <w:t>concentration</w:t>
      </w:r>
      <w:r w:rsidR="00BE1405" w:rsidRPr="007E40FA">
        <w:rPr>
          <w:rFonts w:ascii="Times New Roman" w:eastAsiaTheme="minorHAnsi" w:hAnsi="Times New Roman"/>
          <w:sz w:val="24"/>
          <w:szCs w:val="24"/>
          <w:highlight w:val="yellow"/>
        </w:rPr>
        <w:t xml:space="preserve"> </w:t>
      </w:r>
      <w:r w:rsidRPr="007E40FA">
        <w:rPr>
          <w:rFonts w:ascii="Times New Roman" w:eastAsiaTheme="minorHAnsi" w:hAnsi="Times New Roman"/>
          <w:sz w:val="24"/>
          <w:szCs w:val="24"/>
          <w:highlight w:val="yellow"/>
        </w:rPr>
        <w:t xml:space="preserve">in a </w:t>
      </w:r>
      <w:r w:rsidR="00BE1405" w:rsidRPr="007E40FA">
        <w:rPr>
          <w:rFonts w:ascii="Times New Roman" w:eastAsiaTheme="minorHAnsi" w:hAnsi="Times New Roman"/>
          <w:sz w:val="24"/>
          <w:szCs w:val="24"/>
          <w:highlight w:val="yellow"/>
        </w:rPr>
        <w:t>marker reagent</w:t>
      </w:r>
      <w:r w:rsidRPr="007E40FA">
        <w:rPr>
          <w:rFonts w:ascii="Times New Roman" w:eastAsiaTheme="minorHAnsi" w:hAnsi="Times New Roman"/>
          <w:sz w:val="24"/>
          <w:szCs w:val="24"/>
          <w:highlight w:val="yellow"/>
        </w:rPr>
        <w:t xml:space="preserve"> cup</w:t>
      </w:r>
      <w:r w:rsidRPr="007E40FA">
        <w:rPr>
          <w:rFonts w:ascii="Times New Roman" w:eastAsiaTheme="minorHAnsi" w:hAnsi="Times New Roman"/>
          <w:sz w:val="24"/>
          <w:szCs w:val="24"/>
        </w:rPr>
        <w:t xml:space="preserve"> using the following formula</w:t>
      </w:r>
      <w:r w:rsidR="00BC680E" w:rsidRPr="007E40FA">
        <w:rPr>
          <w:rFonts w:ascii="Times New Roman" w:eastAsiaTheme="minorHAnsi" w:hAnsi="Times New Roman"/>
          <w:sz w:val="24"/>
          <w:szCs w:val="24"/>
        </w:rPr>
        <w:t>,</w:t>
      </w:r>
      <w:r w:rsidR="0029193C" w:rsidRPr="007E40FA">
        <w:rPr>
          <w:rFonts w:ascii="Times New Roman" w:eastAsiaTheme="minorHAnsi" w:hAnsi="Times New Roman"/>
          <w:sz w:val="24"/>
          <w:szCs w:val="24"/>
        </w:rPr>
        <w:t xml:space="preserve"> w</w:t>
      </w:r>
      <w:r w:rsidR="00BE1405" w:rsidRPr="007E40FA">
        <w:rPr>
          <w:rFonts w:ascii="Times New Roman" w:eastAsiaTheme="minorHAnsi" w:hAnsi="Times New Roman"/>
          <w:sz w:val="24"/>
          <w:szCs w:val="24"/>
        </w:rPr>
        <w:t xml:space="preserve">here </w:t>
      </w:r>
      <w:r w:rsidR="00974472" w:rsidRPr="007E40FA">
        <w:rPr>
          <w:rFonts w:ascii="Times New Roman" w:eastAsiaTheme="minorHAnsi" w:hAnsi="Times New Roman"/>
          <w:sz w:val="24"/>
          <w:szCs w:val="24"/>
        </w:rPr>
        <w:t xml:space="preserve">the </w:t>
      </w:r>
      <w:r w:rsidR="00BE1405" w:rsidRPr="007E40FA">
        <w:rPr>
          <w:rFonts w:ascii="Times New Roman" w:eastAsiaTheme="minorHAnsi" w:hAnsi="Times New Roman"/>
          <w:sz w:val="24"/>
          <w:szCs w:val="24"/>
        </w:rPr>
        <w:t xml:space="preserve">working concentration is </w:t>
      </w:r>
      <w:r w:rsidR="00974472" w:rsidRPr="007E40FA">
        <w:rPr>
          <w:rFonts w:ascii="Times New Roman" w:eastAsiaTheme="minorHAnsi" w:hAnsi="Times New Roman"/>
          <w:sz w:val="24"/>
          <w:szCs w:val="24"/>
        </w:rPr>
        <w:t>the concentration of the antibody after addition to the sample</w:t>
      </w:r>
      <w:r w:rsidR="00BE1405" w:rsidRPr="007E40FA">
        <w:rPr>
          <w:rFonts w:ascii="Times New Roman" w:eastAsiaTheme="minorHAnsi" w:hAnsi="Times New Roman"/>
          <w:sz w:val="24"/>
          <w:szCs w:val="24"/>
        </w:rPr>
        <w:t xml:space="preserve"> and </w:t>
      </w:r>
      <w:r w:rsidR="00974472" w:rsidRPr="007E40FA">
        <w:rPr>
          <w:rFonts w:ascii="Times New Roman" w:eastAsiaTheme="minorHAnsi" w:hAnsi="Times New Roman"/>
          <w:sz w:val="24"/>
          <w:szCs w:val="24"/>
        </w:rPr>
        <w:t xml:space="preserve">the </w:t>
      </w:r>
      <w:r w:rsidR="00BE1405" w:rsidRPr="007E40FA">
        <w:rPr>
          <w:rFonts w:ascii="Times New Roman" w:eastAsiaTheme="minorHAnsi" w:hAnsi="Times New Roman"/>
          <w:sz w:val="24"/>
          <w:szCs w:val="24"/>
        </w:rPr>
        <w:t xml:space="preserve">stock concentration is </w:t>
      </w:r>
      <w:r w:rsidR="00974472" w:rsidRPr="007E40FA">
        <w:rPr>
          <w:rFonts w:ascii="Times New Roman" w:eastAsiaTheme="minorHAnsi" w:hAnsi="Times New Roman"/>
          <w:sz w:val="24"/>
          <w:szCs w:val="24"/>
        </w:rPr>
        <w:t>the concentration of antibody in the reagent cup</w:t>
      </w:r>
      <w:r w:rsidR="00BE1405" w:rsidRPr="007E40FA">
        <w:rPr>
          <w:rFonts w:ascii="Times New Roman" w:eastAsiaTheme="minorHAnsi" w:hAnsi="Times New Roman"/>
          <w:sz w:val="24"/>
          <w:szCs w:val="24"/>
        </w:rPr>
        <w:t>. For multiple samples</w:t>
      </w:r>
      <w:r w:rsidR="0029193C" w:rsidRPr="007E40FA">
        <w:rPr>
          <w:rFonts w:ascii="Times New Roman" w:eastAsiaTheme="minorHAnsi" w:hAnsi="Times New Roman"/>
          <w:sz w:val="24"/>
          <w:szCs w:val="24"/>
        </w:rPr>
        <w:t>,</w:t>
      </w:r>
      <w:r w:rsidR="00BE1405" w:rsidRPr="007E40FA">
        <w:rPr>
          <w:rFonts w:ascii="Times New Roman" w:eastAsiaTheme="minorHAnsi" w:hAnsi="Times New Roman"/>
          <w:sz w:val="24"/>
          <w:szCs w:val="24"/>
        </w:rPr>
        <w:t xml:space="preserve"> adjust the antibody volumes as described in </w:t>
      </w:r>
      <w:r w:rsidR="000874E0" w:rsidRPr="007E40FA">
        <w:rPr>
          <w:rFonts w:ascii="Times New Roman" w:eastAsiaTheme="minorHAnsi" w:hAnsi="Times New Roman"/>
          <w:b/>
          <w:sz w:val="24"/>
          <w:szCs w:val="24"/>
        </w:rPr>
        <w:t>Table 1</w:t>
      </w:r>
      <w:r w:rsidR="00BE1405" w:rsidRPr="007E40FA">
        <w:rPr>
          <w:rFonts w:ascii="Times New Roman" w:eastAsiaTheme="minorHAnsi" w:hAnsi="Times New Roman"/>
          <w:sz w:val="24"/>
          <w:szCs w:val="24"/>
        </w:rPr>
        <w:t>.</w:t>
      </w:r>
      <w:r w:rsidR="0029193C" w:rsidRPr="007E40FA">
        <w:rPr>
          <w:rFonts w:ascii="Times New Roman" w:eastAsiaTheme="minorHAnsi" w:hAnsi="Times New Roman"/>
          <w:sz w:val="24"/>
          <w:szCs w:val="24"/>
        </w:rPr>
        <w:t xml:space="preserve"> </w:t>
      </w:r>
      <w:r w:rsidR="0029193C" w:rsidRPr="007E40FA">
        <w:rPr>
          <w:rFonts w:ascii="Times New Roman" w:eastAsiaTheme="minorHAnsi" w:hAnsi="Times New Roman"/>
          <w:sz w:val="24"/>
          <w:szCs w:val="24"/>
          <w:highlight w:val="yellow"/>
        </w:rPr>
        <w:t xml:space="preserve">Place the marker reagent cup into position 1 in the reagent cartridge and load the cartridge onto </w:t>
      </w:r>
      <w:r w:rsidR="004C0272" w:rsidRPr="007E40FA">
        <w:rPr>
          <w:rFonts w:ascii="Times New Roman" w:eastAsiaTheme="minorHAnsi" w:hAnsi="Times New Roman"/>
          <w:sz w:val="24"/>
          <w:szCs w:val="24"/>
          <w:highlight w:val="yellow"/>
        </w:rPr>
        <w:t>CSS</w:t>
      </w:r>
      <w:r w:rsidR="0029193C" w:rsidRPr="007E40FA">
        <w:rPr>
          <w:rFonts w:ascii="Times New Roman" w:eastAsiaTheme="minorHAnsi" w:hAnsi="Times New Roman"/>
          <w:sz w:val="24"/>
          <w:szCs w:val="24"/>
          <w:highlight w:val="yellow"/>
        </w:rPr>
        <w:t>.</w:t>
      </w:r>
    </w:p>
    <w:p w:rsidR="00801893" w:rsidRPr="007E40FA" w:rsidRDefault="00801893" w:rsidP="0053484E">
      <w:pPr>
        <w:pStyle w:val="ListParagraph"/>
        <w:spacing w:after="0" w:line="240" w:lineRule="auto"/>
        <w:ind w:left="0"/>
        <w:jc w:val="both"/>
        <w:rPr>
          <w:rFonts w:ascii="Times New Roman" w:eastAsiaTheme="minorHAnsi" w:hAnsi="Times New Roman"/>
          <w:sz w:val="24"/>
          <w:szCs w:val="24"/>
        </w:rPr>
      </w:pPr>
    </w:p>
    <w:p w:rsidR="00BD04DF" w:rsidRPr="007E40FA" w:rsidRDefault="00974472" w:rsidP="0053484E">
      <w:pPr>
        <w:pStyle w:val="ListParagraph"/>
        <w:spacing w:after="0" w:line="240" w:lineRule="auto"/>
        <w:ind w:left="0"/>
        <w:jc w:val="center"/>
        <w:rPr>
          <w:rFonts w:ascii="Times New Roman" w:eastAsiaTheme="minorHAnsi" w:hAnsi="Times New Roman"/>
          <w:sz w:val="24"/>
          <w:szCs w:val="24"/>
          <w:u w:val="single"/>
        </w:rPr>
      </w:pPr>
      <w:r w:rsidRPr="007E40FA">
        <w:rPr>
          <w:rFonts w:ascii="Times New Roman" w:eastAsiaTheme="minorHAnsi" w:hAnsi="Times New Roman"/>
          <w:sz w:val="24"/>
          <w:szCs w:val="24"/>
        </w:rPr>
        <w:t>Stock</w:t>
      </w:r>
      <w:r w:rsidR="00801893" w:rsidRPr="007E40FA">
        <w:rPr>
          <w:rFonts w:ascii="Times New Roman" w:eastAsiaTheme="minorHAnsi" w:hAnsi="Times New Roman"/>
          <w:sz w:val="24"/>
          <w:szCs w:val="24"/>
        </w:rPr>
        <w:t xml:space="preserve"> Concentration = </w:t>
      </w:r>
      <w:r w:rsidR="00F135CF" w:rsidRPr="007E40FA">
        <w:rPr>
          <w:rFonts w:ascii="Times New Roman" w:eastAsiaTheme="minorHAnsi" w:hAnsi="Times New Roman"/>
          <w:sz w:val="24"/>
          <w:szCs w:val="24"/>
          <w:u w:val="single"/>
        </w:rPr>
        <w:t>Working Concentration x 850µl</w:t>
      </w:r>
    </w:p>
    <w:p w:rsidR="00F135CF" w:rsidRPr="007E40FA" w:rsidRDefault="00E42C4C" w:rsidP="0053484E">
      <w:pPr>
        <w:pStyle w:val="ListParagraph"/>
        <w:spacing w:after="0" w:line="240" w:lineRule="auto"/>
        <w:ind w:left="0"/>
        <w:jc w:val="center"/>
        <w:rPr>
          <w:rFonts w:ascii="Times New Roman" w:eastAsiaTheme="minorHAnsi" w:hAnsi="Times New Roman"/>
          <w:sz w:val="24"/>
          <w:szCs w:val="24"/>
        </w:rPr>
      </w:pPr>
      <w:r w:rsidRPr="007E40FA">
        <w:rPr>
          <w:rFonts w:ascii="Times New Roman" w:eastAsiaTheme="minorHAnsi" w:hAnsi="Times New Roman"/>
          <w:sz w:val="24"/>
          <w:szCs w:val="24"/>
        </w:rPr>
        <w:t xml:space="preserve">       </w:t>
      </w:r>
      <w:r w:rsidR="00F135CF" w:rsidRPr="007E40FA">
        <w:rPr>
          <w:rFonts w:ascii="Times New Roman" w:eastAsiaTheme="minorHAnsi" w:hAnsi="Times New Roman"/>
          <w:sz w:val="24"/>
          <w:szCs w:val="24"/>
        </w:rPr>
        <w:t>150µl</w:t>
      </w:r>
    </w:p>
    <w:p w:rsidR="00FB75F9" w:rsidRPr="007E40FA" w:rsidRDefault="00FB75F9" w:rsidP="0053484E">
      <w:pPr>
        <w:spacing w:after="0" w:line="240" w:lineRule="auto"/>
        <w:jc w:val="both"/>
        <w:rPr>
          <w:rFonts w:ascii="Times New Roman" w:eastAsiaTheme="minorHAnsi" w:hAnsi="Times New Roman"/>
          <w:sz w:val="24"/>
          <w:szCs w:val="24"/>
        </w:rPr>
      </w:pPr>
    </w:p>
    <w:p w:rsidR="00BD04DF" w:rsidRPr="009F3ABD" w:rsidRDefault="00BD04DF" w:rsidP="0053484E">
      <w:pPr>
        <w:pStyle w:val="ListParagraph"/>
        <w:numPr>
          <w:ilvl w:val="1"/>
          <w:numId w:val="8"/>
        </w:numPr>
        <w:spacing w:after="0" w:line="240" w:lineRule="auto"/>
        <w:ind w:left="0" w:firstLine="0"/>
        <w:jc w:val="both"/>
        <w:rPr>
          <w:rFonts w:ascii="Times New Roman" w:eastAsiaTheme="minorHAnsi" w:hAnsi="Times New Roman"/>
          <w:sz w:val="24"/>
          <w:szCs w:val="24"/>
        </w:rPr>
      </w:pPr>
      <w:r w:rsidRPr="007E40FA">
        <w:rPr>
          <w:rFonts w:ascii="Times New Roman" w:eastAsiaTheme="minorHAnsi" w:hAnsi="Times New Roman"/>
          <w:sz w:val="24"/>
          <w:szCs w:val="24"/>
        </w:rPr>
        <w:t>Collect blood</w:t>
      </w:r>
      <w:r w:rsidR="00BE1405" w:rsidRPr="007E40FA">
        <w:rPr>
          <w:rFonts w:ascii="Times New Roman" w:eastAsiaTheme="minorHAnsi" w:hAnsi="Times New Roman"/>
          <w:sz w:val="24"/>
          <w:szCs w:val="24"/>
        </w:rPr>
        <w:t xml:space="preserve">, </w:t>
      </w:r>
      <w:r w:rsidRPr="007E40FA">
        <w:rPr>
          <w:rFonts w:ascii="Times New Roman" w:eastAsiaTheme="minorHAnsi" w:hAnsi="Times New Roman"/>
          <w:sz w:val="24"/>
          <w:szCs w:val="24"/>
        </w:rPr>
        <w:t>prepare samples</w:t>
      </w:r>
      <w:r w:rsidR="00BE1405" w:rsidRPr="007E40FA">
        <w:rPr>
          <w:rFonts w:ascii="Times New Roman" w:eastAsiaTheme="minorHAnsi" w:hAnsi="Times New Roman"/>
          <w:sz w:val="24"/>
          <w:szCs w:val="24"/>
        </w:rPr>
        <w:t xml:space="preserve">, and load </w:t>
      </w:r>
      <w:r w:rsidR="004C0272" w:rsidRPr="007E40FA">
        <w:rPr>
          <w:rFonts w:ascii="Times New Roman" w:eastAsiaTheme="minorHAnsi" w:hAnsi="Times New Roman"/>
          <w:sz w:val="24"/>
          <w:szCs w:val="24"/>
        </w:rPr>
        <w:t>the preparation instrument</w:t>
      </w:r>
      <w:r w:rsidRPr="007E40FA">
        <w:rPr>
          <w:rFonts w:ascii="Times New Roman" w:eastAsiaTheme="minorHAnsi" w:hAnsi="Times New Roman"/>
          <w:sz w:val="24"/>
          <w:szCs w:val="24"/>
        </w:rPr>
        <w:t xml:space="preserve"> as described in the</w:t>
      </w:r>
      <w:r w:rsidR="00BC680E" w:rsidRPr="007E40FA">
        <w:rPr>
          <w:rFonts w:ascii="Times New Roman" w:eastAsiaTheme="minorHAnsi" w:hAnsi="Times New Roman"/>
          <w:sz w:val="24"/>
          <w:szCs w:val="24"/>
        </w:rPr>
        <w:t xml:space="preserve"> above</w:t>
      </w:r>
      <w:r w:rsidRPr="007E40FA">
        <w:rPr>
          <w:rFonts w:ascii="Times New Roman" w:eastAsiaTheme="minorHAnsi" w:hAnsi="Times New Roman"/>
          <w:sz w:val="24"/>
          <w:szCs w:val="24"/>
        </w:rPr>
        <w:t xml:space="preserve"> </w:t>
      </w:r>
      <w:r w:rsidR="0029193C" w:rsidRPr="007E40FA">
        <w:rPr>
          <w:rFonts w:ascii="Times New Roman" w:eastAsiaTheme="minorHAnsi" w:hAnsi="Times New Roman"/>
          <w:b/>
          <w:i/>
          <w:sz w:val="24"/>
          <w:szCs w:val="24"/>
        </w:rPr>
        <w:t xml:space="preserve">Standard CTC Enumeration from Patient Blood Samples using the </w:t>
      </w:r>
      <w:r w:rsidR="004C0272" w:rsidRPr="007E40FA">
        <w:rPr>
          <w:rFonts w:ascii="Times New Roman" w:eastAsiaTheme="minorHAnsi" w:hAnsi="Times New Roman"/>
          <w:b/>
          <w:i/>
          <w:sz w:val="24"/>
          <w:szCs w:val="24"/>
        </w:rPr>
        <w:t>CSS</w:t>
      </w:r>
      <w:r w:rsidR="00BE1405" w:rsidRPr="007E40FA">
        <w:rPr>
          <w:rFonts w:ascii="Times New Roman" w:eastAsiaTheme="minorHAnsi" w:hAnsi="Times New Roman"/>
          <w:sz w:val="24"/>
          <w:szCs w:val="24"/>
        </w:rPr>
        <w:t xml:space="preserve"> protocol</w:t>
      </w:r>
      <w:r w:rsidRPr="007E40FA">
        <w:rPr>
          <w:rFonts w:ascii="Times New Roman" w:eastAsiaTheme="minorHAnsi" w:hAnsi="Times New Roman"/>
          <w:sz w:val="24"/>
          <w:szCs w:val="24"/>
        </w:rPr>
        <w:t xml:space="preserve">. </w:t>
      </w:r>
      <w:r w:rsidR="00BE1405" w:rsidRPr="007E40FA">
        <w:rPr>
          <w:rFonts w:ascii="Times New Roman" w:eastAsiaTheme="minorHAnsi" w:hAnsi="Times New Roman"/>
          <w:sz w:val="24"/>
          <w:szCs w:val="24"/>
          <w:highlight w:val="yellow"/>
        </w:rPr>
        <w:t xml:space="preserve">To enable custom marker addition, select </w:t>
      </w:r>
      <w:r w:rsidR="00F135CF" w:rsidRPr="007E40FA">
        <w:rPr>
          <w:rFonts w:ascii="Times New Roman" w:eastAsiaTheme="minorHAnsi" w:hAnsi="Times New Roman"/>
          <w:i/>
          <w:sz w:val="24"/>
          <w:szCs w:val="24"/>
          <w:highlight w:val="yellow"/>
        </w:rPr>
        <w:t xml:space="preserve">User Defined Assay </w:t>
      </w:r>
      <w:r w:rsidR="00BE1405" w:rsidRPr="007E40FA">
        <w:rPr>
          <w:rFonts w:ascii="Times New Roman" w:eastAsiaTheme="minorHAnsi" w:hAnsi="Times New Roman"/>
          <w:sz w:val="24"/>
          <w:szCs w:val="24"/>
          <w:highlight w:val="yellow"/>
        </w:rPr>
        <w:t xml:space="preserve">when prompted by the </w:t>
      </w:r>
      <w:r w:rsidR="004C0272" w:rsidRPr="007E40FA">
        <w:rPr>
          <w:rFonts w:ascii="Times New Roman" w:eastAsiaTheme="minorHAnsi" w:hAnsi="Times New Roman"/>
          <w:sz w:val="24"/>
          <w:szCs w:val="24"/>
          <w:highlight w:val="yellow"/>
        </w:rPr>
        <w:t>preparation instrument</w:t>
      </w:r>
      <w:r w:rsidR="00BE1405" w:rsidRPr="007E40FA">
        <w:rPr>
          <w:rFonts w:ascii="Times New Roman" w:eastAsiaTheme="minorHAnsi" w:hAnsi="Times New Roman"/>
          <w:sz w:val="24"/>
          <w:szCs w:val="24"/>
          <w:highlight w:val="yellow"/>
        </w:rPr>
        <w:t xml:space="preserve">. </w:t>
      </w:r>
      <w:r w:rsidR="00B009F0" w:rsidRPr="007E40FA">
        <w:rPr>
          <w:rFonts w:ascii="Times New Roman" w:eastAsiaTheme="minorHAnsi" w:hAnsi="Times New Roman"/>
          <w:sz w:val="24"/>
          <w:szCs w:val="24"/>
          <w:highlight w:val="yellow"/>
        </w:rPr>
        <w:t xml:space="preserve">Input </w:t>
      </w:r>
      <w:r w:rsidR="0029193C" w:rsidRPr="007E40FA">
        <w:rPr>
          <w:rFonts w:ascii="Times New Roman" w:eastAsiaTheme="minorHAnsi" w:hAnsi="Times New Roman"/>
          <w:sz w:val="24"/>
          <w:szCs w:val="24"/>
          <w:highlight w:val="yellow"/>
        </w:rPr>
        <w:t xml:space="preserve">the </w:t>
      </w:r>
      <w:r w:rsidR="00B009F0" w:rsidRPr="007E40FA">
        <w:rPr>
          <w:rFonts w:ascii="Times New Roman" w:eastAsiaTheme="minorHAnsi" w:hAnsi="Times New Roman"/>
          <w:sz w:val="24"/>
          <w:szCs w:val="24"/>
          <w:highlight w:val="yellow"/>
        </w:rPr>
        <w:t xml:space="preserve">marker name and select </w:t>
      </w:r>
      <w:r w:rsidR="00B009F0" w:rsidRPr="007E40FA">
        <w:rPr>
          <w:rFonts w:ascii="Times New Roman" w:eastAsiaTheme="minorHAnsi" w:hAnsi="Times New Roman"/>
          <w:i/>
          <w:sz w:val="24"/>
          <w:szCs w:val="24"/>
          <w:highlight w:val="yellow"/>
        </w:rPr>
        <w:t>Save</w:t>
      </w:r>
      <w:r w:rsidR="00B009F0" w:rsidRPr="007E40FA">
        <w:rPr>
          <w:rFonts w:ascii="Times New Roman" w:eastAsiaTheme="minorHAnsi" w:hAnsi="Times New Roman"/>
          <w:sz w:val="24"/>
          <w:szCs w:val="24"/>
          <w:highlight w:val="yellow"/>
        </w:rPr>
        <w:t xml:space="preserve">. </w:t>
      </w:r>
      <w:r w:rsidR="00B009F0" w:rsidRPr="009F3ABD">
        <w:rPr>
          <w:rFonts w:ascii="Times New Roman" w:eastAsiaTheme="minorHAnsi" w:hAnsi="Times New Roman"/>
          <w:sz w:val="24"/>
          <w:szCs w:val="24"/>
        </w:rPr>
        <w:t xml:space="preserve">As samples are loaded onto the, </w:t>
      </w:r>
      <w:r w:rsidR="00980147" w:rsidRPr="009F3ABD">
        <w:rPr>
          <w:rFonts w:ascii="Times New Roman" w:eastAsiaTheme="minorHAnsi" w:hAnsi="Times New Roman"/>
          <w:sz w:val="24"/>
          <w:szCs w:val="24"/>
        </w:rPr>
        <w:t>the operator</w:t>
      </w:r>
      <w:r w:rsidR="00B009F0" w:rsidRPr="009F3ABD">
        <w:rPr>
          <w:rFonts w:ascii="Times New Roman" w:eastAsiaTheme="minorHAnsi" w:hAnsi="Times New Roman"/>
          <w:sz w:val="24"/>
          <w:szCs w:val="24"/>
        </w:rPr>
        <w:t xml:space="preserve"> will</w:t>
      </w:r>
      <w:r w:rsidR="00980147" w:rsidRPr="009F3ABD">
        <w:rPr>
          <w:rFonts w:ascii="Times New Roman" w:eastAsiaTheme="minorHAnsi" w:hAnsi="Times New Roman"/>
          <w:sz w:val="24"/>
          <w:szCs w:val="24"/>
        </w:rPr>
        <w:t xml:space="preserve"> be</w:t>
      </w:r>
      <w:r w:rsidR="00B009F0" w:rsidRPr="009F3ABD">
        <w:rPr>
          <w:rFonts w:ascii="Times New Roman" w:eastAsiaTheme="minorHAnsi" w:hAnsi="Times New Roman"/>
          <w:sz w:val="24"/>
          <w:szCs w:val="24"/>
        </w:rPr>
        <w:t xml:space="preserve"> prompted to indicate which should receive custom marker</w:t>
      </w:r>
      <w:r w:rsidR="00F135CF" w:rsidRPr="009F3ABD">
        <w:rPr>
          <w:rFonts w:ascii="Times New Roman" w:eastAsiaTheme="minorHAnsi" w:hAnsi="Times New Roman"/>
          <w:sz w:val="24"/>
          <w:szCs w:val="24"/>
        </w:rPr>
        <w:t xml:space="preserve"> by selecting </w:t>
      </w:r>
      <w:r w:rsidR="00F135CF" w:rsidRPr="009F3ABD">
        <w:rPr>
          <w:rFonts w:ascii="Times New Roman" w:eastAsiaTheme="minorHAnsi" w:hAnsi="Times New Roman"/>
          <w:i/>
          <w:sz w:val="24"/>
          <w:szCs w:val="24"/>
        </w:rPr>
        <w:t>Yes</w:t>
      </w:r>
      <w:r w:rsidR="00F135CF" w:rsidRPr="009F3ABD">
        <w:rPr>
          <w:rFonts w:ascii="Times New Roman" w:eastAsiaTheme="minorHAnsi" w:hAnsi="Times New Roman"/>
          <w:sz w:val="24"/>
          <w:szCs w:val="24"/>
        </w:rPr>
        <w:t xml:space="preserve"> or </w:t>
      </w:r>
      <w:r w:rsidR="00F135CF" w:rsidRPr="009F3ABD">
        <w:rPr>
          <w:rFonts w:ascii="Times New Roman" w:eastAsiaTheme="minorHAnsi" w:hAnsi="Times New Roman"/>
          <w:i/>
          <w:sz w:val="24"/>
          <w:szCs w:val="24"/>
        </w:rPr>
        <w:t>No</w:t>
      </w:r>
      <w:r w:rsidR="0029193C" w:rsidRPr="009F3ABD">
        <w:rPr>
          <w:rFonts w:ascii="Times New Roman" w:eastAsiaTheme="minorHAnsi" w:hAnsi="Times New Roman"/>
          <w:i/>
          <w:sz w:val="24"/>
          <w:szCs w:val="24"/>
        </w:rPr>
        <w:t xml:space="preserve"> </w:t>
      </w:r>
      <w:r w:rsidR="0029193C" w:rsidRPr="009F3ABD">
        <w:rPr>
          <w:rFonts w:ascii="Times New Roman" w:eastAsiaTheme="minorHAnsi" w:hAnsi="Times New Roman"/>
          <w:sz w:val="24"/>
          <w:szCs w:val="24"/>
        </w:rPr>
        <w:t>as necessary</w:t>
      </w:r>
      <w:r w:rsidR="00B009F0" w:rsidRPr="009F3ABD">
        <w:rPr>
          <w:rFonts w:ascii="Times New Roman" w:eastAsiaTheme="minorHAnsi" w:hAnsi="Times New Roman"/>
          <w:sz w:val="24"/>
          <w:szCs w:val="24"/>
        </w:rPr>
        <w:t xml:space="preserve">. </w:t>
      </w:r>
    </w:p>
    <w:p w:rsidR="00BC680E" w:rsidRPr="007E40FA" w:rsidRDefault="00BC680E" w:rsidP="0053484E">
      <w:pPr>
        <w:pStyle w:val="ListParagraph"/>
        <w:spacing w:after="0" w:line="240" w:lineRule="auto"/>
        <w:ind w:left="0"/>
        <w:jc w:val="both"/>
        <w:rPr>
          <w:rFonts w:ascii="Times New Roman" w:eastAsiaTheme="minorHAnsi" w:hAnsi="Times New Roman"/>
          <w:b/>
          <w:sz w:val="24"/>
          <w:szCs w:val="24"/>
        </w:rPr>
      </w:pPr>
    </w:p>
    <w:p w:rsidR="0029193C" w:rsidRPr="00E429F0" w:rsidRDefault="00801893" w:rsidP="0053484E">
      <w:pPr>
        <w:pStyle w:val="ListParagraph"/>
        <w:numPr>
          <w:ilvl w:val="0"/>
          <w:numId w:val="8"/>
        </w:numPr>
        <w:spacing w:after="0" w:line="240" w:lineRule="auto"/>
        <w:ind w:left="0" w:firstLine="0"/>
        <w:jc w:val="both"/>
        <w:rPr>
          <w:rFonts w:ascii="Times New Roman" w:eastAsiaTheme="minorHAnsi" w:hAnsi="Times New Roman"/>
          <w:b/>
          <w:sz w:val="24"/>
          <w:szCs w:val="24"/>
        </w:rPr>
      </w:pPr>
      <w:r w:rsidRPr="007E40FA">
        <w:rPr>
          <w:rFonts w:ascii="Times New Roman" w:eastAsiaTheme="minorHAnsi" w:hAnsi="Times New Roman"/>
          <w:b/>
          <w:sz w:val="24"/>
          <w:szCs w:val="24"/>
        </w:rPr>
        <w:t xml:space="preserve">Sample Scanning </w:t>
      </w:r>
      <w:r w:rsidR="0029193C" w:rsidRPr="007E40FA">
        <w:rPr>
          <w:rFonts w:ascii="Times New Roman" w:eastAsiaTheme="minorHAnsi" w:hAnsi="Times New Roman"/>
          <w:b/>
          <w:sz w:val="24"/>
          <w:szCs w:val="24"/>
        </w:rPr>
        <w:t xml:space="preserve">of User-Defined Markers </w:t>
      </w:r>
      <w:r w:rsidRPr="007E40FA">
        <w:rPr>
          <w:rFonts w:ascii="Times New Roman" w:eastAsiaTheme="minorHAnsi" w:hAnsi="Times New Roman"/>
          <w:b/>
          <w:sz w:val="24"/>
          <w:szCs w:val="24"/>
        </w:rPr>
        <w:t xml:space="preserve">on the </w:t>
      </w:r>
      <w:r w:rsidR="00F131F9" w:rsidRPr="007E40FA">
        <w:rPr>
          <w:rFonts w:ascii="Times New Roman" w:eastAsiaTheme="minorHAnsi" w:hAnsi="Times New Roman"/>
          <w:b/>
          <w:sz w:val="24"/>
          <w:szCs w:val="24"/>
        </w:rPr>
        <w:t>Analysis Instrument</w:t>
      </w:r>
    </w:p>
    <w:p w:rsidR="0029193C" w:rsidRPr="007E40FA" w:rsidRDefault="00B009F0" w:rsidP="0053484E">
      <w:pPr>
        <w:pStyle w:val="ListParagraph"/>
        <w:numPr>
          <w:ilvl w:val="1"/>
          <w:numId w:val="8"/>
        </w:numPr>
        <w:spacing w:after="0" w:line="240" w:lineRule="auto"/>
        <w:ind w:left="0" w:firstLine="0"/>
        <w:jc w:val="both"/>
        <w:rPr>
          <w:rFonts w:ascii="Times New Roman" w:eastAsiaTheme="minorHAnsi" w:hAnsi="Times New Roman"/>
          <w:b/>
          <w:sz w:val="24"/>
          <w:szCs w:val="24"/>
        </w:rPr>
      </w:pPr>
      <w:r w:rsidRPr="007E40FA">
        <w:rPr>
          <w:rFonts w:ascii="Times New Roman" w:eastAsiaTheme="minorHAnsi" w:hAnsi="Times New Roman"/>
          <w:sz w:val="24"/>
          <w:szCs w:val="24"/>
        </w:rPr>
        <w:t xml:space="preserve">Turn on the </w:t>
      </w:r>
      <w:r w:rsidR="00F131F9" w:rsidRPr="007E40FA">
        <w:rPr>
          <w:rFonts w:ascii="Times New Roman" w:eastAsiaTheme="minorHAnsi" w:hAnsi="Times New Roman"/>
          <w:sz w:val="24"/>
          <w:szCs w:val="24"/>
        </w:rPr>
        <w:t>analysis instrument</w:t>
      </w:r>
      <w:r w:rsidRPr="007E40FA">
        <w:rPr>
          <w:rFonts w:ascii="Times New Roman" w:eastAsiaTheme="minorHAnsi" w:hAnsi="Times New Roman"/>
          <w:sz w:val="24"/>
          <w:szCs w:val="24"/>
        </w:rPr>
        <w:t xml:space="preserve">, initialize the lamp, and perform quality control and system verification as described in section 3.2 of the </w:t>
      </w:r>
      <w:r w:rsidR="0029193C" w:rsidRPr="007E40FA">
        <w:rPr>
          <w:rFonts w:ascii="Times New Roman" w:eastAsiaTheme="minorHAnsi" w:hAnsi="Times New Roman"/>
          <w:b/>
          <w:i/>
          <w:sz w:val="24"/>
          <w:szCs w:val="24"/>
        </w:rPr>
        <w:t xml:space="preserve">Standard CTC Enumeration from Patient Blood Samples using the </w:t>
      </w:r>
      <w:r w:rsidR="004C0272" w:rsidRPr="007E40FA">
        <w:rPr>
          <w:rFonts w:ascii="Times New Roman" w:eastAsiaTheme="minorHAnsi" w:hAnsi="Times New Roman"/>
          <w:b/>
          <w:i/>
          <w:sz w:val="24"/>
          <w:szCs w:val="24"/>
        </w:rPr>
        <w:t>CSS</w:t>
      </w:r>
      <w:r w:rsidR="0029193C" w:rsidRPr="007E40FA">
        <w:rPr>
          <w:rFonts w:ascii="Times New Roman" w:eastAsiaTheme="minorHAnsi" w:hAnsi="Times New Roman"/>
          <w:sz w:val="24"/>
          <w:szCs w:val="24"/>
        </w:rPr>
        <w:t xml:space="preserve"> </w:t>
      </w:r>
      <w:r w:rsidRPr="007E40FA">
        <w:rPr>
          <w:rFonts w:ascii="Times New Roman" w:eastAsiaTheme="minorHAnsi" w:hAnsi="Times New Roman"/>
          <w:sz w:val="24"/>
          <w:szCs w:val="24"/>
        </w:rPr>
        <w:t>protocol.</w:t>
      </w:r>
    </w:p>
    <w:p w:rsidR="0029193C" w:rsidRPr="007E40FA" w:rsidRDefault="0029193C" w:rsidP="0053484E">
      <w:pPr>
        <w:pStyle w:val="ListParagraph"/>
        <w:spacing w:after="0" w:line="240" w:lineRule="auto"/>
        <w:ind w:left="0"/>
        <w:jc w:val="both"/>
        <w:rPr>
          <w:rFonts w:ascii="Times New Roman" w:eastAsiaTheme="minorHAnsi" w:hAnsi="Times New Roman"/>
          <w:b/>
          <w:sz w:val="24"/>
          <w:szCs w:val="24"/>
        </w:rPr>
      </w:pPr>
    </w:p>
    <w:p w:rsidR="00BD04DF" w:rsidRPr="007E40FA" w:rsidRDefault="00B009F0" w:rsidP="0053484E">
      <w:pPr>
        <w:pStyle w:val="ListParagraph"/>
        <w:numPr>
          <w:ilvl w:val="1"/>
          <w:numId w:val="8"/>
        </w:numPr>
        <w:spacing w:after="0" w:line="240" w:lineRule="auto"/>
        <w:ind w:left="0" w:firstLine="0"/>
        <w:jc w:val="both"/>
        <w:rPr>
          <w:rFonts w:ascii="Times New Roman" w:eastAsiaTheme="minorHAnsi" w:hAnsi="Times New Roman"/>
          <w:b/>
          <w:sz w:val="24"/>
          <w:szCs w:val="24"/>
        </w:rPr>
      </w:pPr>
      <w:r w:rsidRPr="007E40FA">
        <w:rPr>
          <w:rFonts w:ascii="Times New Roman" w:eastAsiaTheme="minorHAnsi" w:hAnsi="Times New Roman"/>
          <w:sz w:val="24"/>
          <w:szCs w:val="24"/>
          <w:highlight w:val="yellow"/>
        </w:rPr>
        <w:lastRenderedPageBreak/>
        <w:t xml:space="preserve">Load </w:t>
      </w:r>
      <w:r w:rsidR="0029193C" w:rsidRPr="007E40FA">
        <w:rPr>
          <w:rFonts w:ascii="Times New Roman" w:eastAsiaTheme="minorHAnsi" w:hAnsi="Times New Roman"/>
          <w:sz w:val="24"/>
          <w:szCs w:val="24"/>
          <w:highlight w:val="yellow"/>
        </w:rPr>
        <w:t xml:space="preserve">a </w:t>
      </w:r>
      <w:r w:rsidRPr="007E40FA">
        <w:rPr>
          <w:rFonts w:ascii="Times New Roman" w:eastAsiaTheme="minorHAnsi" w:hAnsi="Times New Roman"/>
          <w:sz w:val="24"/>
          <w:szCs w:val="24"/>
          <w:highlight w:val="yellow"/>
        </w:rPr>
        <w:t xml:space="preserve">sample onto the </w:t>
      </w:r>
      <w:r w:rsidR="00F131F9" w:rsidRPr="007E40FA">
        <w:rPr>
          <w:rFonts w:ascii="Times New Roman" w:eastAsiaTheme="minorHAnsi" w:hAnsi="Times New Roman"/>
          <w:sz w:val="24"/>
          <w:szCs w:val="24"/>
          <w:highlight w:val="yellow"/>
        </w:rPr>
        <w:t>analysis instrument</w:t>
      </w:r>
      <w:r w:rsidRPr="007E40FA">
        <w:rPr>
          <w:rFonts w:ascii="Times New Roman" w:eastAsiaTheme="minorHAnsi" w:hAnsi="Times New Roman"/>
          <w:sz w:val="24"/>
          <w:szCs w:val="24"/>
          <w:highlight w:val="yellow"/>
        </w:rPr>
        <w:t xml:space="preserve"> and select the </w:t>
      </w:r>
      <w:r w:rsidRPr="007E40FA">
        <w:rPr>
          <w:rFonts w:ascii="Times New Roman" w:eastAsiaTheme="minorHAnsi" w:hAnsi="Times New Roman"/>
          <w:i/>
          <w:sz w:val="24"/>
          <w:szCs w:val="24"/>
          <w:highlight w:val="yellow"/>
        </w:rPr>
        <w:t>Setup</w:t>
      </w:r>
      <w:r w:rsidRPr="007E40FA">
        <w:rPr>
          <w:rFonts w:ascii="Times New Roman" w:eastAsiaTheme="minorHAnsi" w:hAnsi="Times New Roman"/>
          <w:sz w:val="24"/>
          <w:szCs w:val="24"/>
          <w:highlight w:val="yellow"/>
        </w:rPr>
        <w:t xml:space="preserve"> tab. To initialize the FITC channel, select </w:t>
      </w:r>
      <w:proofErr w:type="spellStart"/>
      <w:r w:rsidRPr="007E40FA">
        <w:rPr>
          <w:rFonts w:ascii="Times New Roman" w:eastAsiaTheme="minorHAnsi" w:hAnsi="Times New Roman"/>
          <w:i/>
          <w:sz w:val="24"/>
          <w:szCs w:val="24"/>
          <w:highlight w:val="yellow"/>
        </w:rPr>
        <w:t>CellSearch</w:t>
      </w:r>
      <w:proofErr w:type="spellEnd"/>
      <w:r w:rsidRPr="007E40FA">
        <w:rPr>
          <w:rFonts w:ascii="Times New Roman" w:eastAsiaTheme="minorHAnsi" w:hAnsi="Times New Roman"/>
          <w:i/>
          <w:sz w:val="24"/>
          <w:szCs w:val="24"/>
          <w:highlight w:val="yellow"/>
        </w:rPr>
        <w:t xml:space="preserve"> CTC</w:t>
      </w:r>
      <w:r w:rsidRPr="007E40FA">
        <w:rPr>
          <w:rFonts w:ascii="Times New Roman" w:eastAsiaTheme="minorHAnsi" w:hAnsi="Times New Roman"/>
          <w:sz w:val="24"/>
          <w:szCs w:val="24"/>
          <w:highlight w:val="yellow"/>
        </w:rPr>
        <w:t xml:space="preserve"> as the </w:t>
      </w:r>
      <w:r w:rsidRPr="007E40FA">
        <w:rPr>
          <w:rFonts w:ascii="Times New Roman" w:eastAsiaTheme="minorHAnsi" w:hAnsi="Times New Roman"/>
          <w:i/>
          <w:sz w:val="24"/>
          <w:szCs w:val="24"/>
          <w:highlight w:val="yellow"/>
        </w:rPr>
        <w:t>Kit ID</w:t>
      </w:r>
      <w:r w:rsidRPr="007E40FA">
        <w:rPr>
          <w:rFonts w:ascii="Times New Roman" w:eastAsiaTheme="minorHAnsi" w:hAnsi="Times New Roman"/>
          <w:sz w:val="24"/>
          <w:szCs w:val="24"/>
          <w:highlight w:val="yellow"/>
        </w:rPr>
        <w:t xml:space="preserve"> under the </w:t>
      </w:r>
      <w:r w:rsidRPr="007E40FA">
        <w:rPr>
          <w:rFonts w:ascii="Times New Roman" w:eastAsiaTheme="minorHAnsi" w:hAnsi="Times New Roman"/>
          <w:i/>
          <w:sz w:val="24"/>
          <w:szCs w:val="24"/>
          <w:highlight w:val="yellow"/>
        </w:rPr>
        <w:t>Test Protocols</w:t>
      </w:r>
      <w:r w:rsidR="0029193C" w:rsidRPr="007E40FA">
        <w:rPr>
          <w:rFonts w:ascii="Times New Roman" w:eastAsiaTheme="minorHAnsi" w:hAnsi="Times New Roman"/>
          <w:sz w:val="24"/>
          <w:szCs w:val="24"/>
          <w:highlight w:val="yellow"/>
        </w:rPr>
        <w:t xml:space="preserve"> section. From this</w:t>
      </w:r>
      <w:r w:rsidRPr="007E40FA">
        <w:rPr>
          <w:rFonts w:ascii="Times New Roman" w:eastAsiaTheme="minorHAnsi" w:hAnsi="Times New Roman"/>
          <w:sz w:val="24"/>
          <w:szCs w:val="24"/>
          <w:highlight w:val="yellow"/>
        </w:rPr>
        <w:t xml:space="preserve"> menu, select </w:t>
      </w:r>
      <w:r w:rsidRPr="007E40FA">
        <w:rPr>
          <w:rFonts w:ascii="Times New Roman" w:eastAsiaTheme="minorHAnsi" w:hAnsi="Times New Roman"/>
          <w:i/>
          <w:sz w:val="24"/>
          <w:szCs w:val="24"/>
          <w:highlight w:val="yellow"/>
        </w:rPr>
        <w:t>CTC Research</w:t>
      </w:r>
      <w:r w:rsidR="0029193C" w:rsidRPr="007E40FA">
        <w:rPr>
          <w:rFonts w:ascii="Times New Roman" w:eastAsiaTheme="minorHAnsi" w:hAnsi="Times New Roman"/>
          <w:sz w:val="24"/>
          <w:szCs w:val="24"/>
          <w:highlight w:val="yellow"/>
        </w:rPr>
        <w:t xml:space="preserve">, </w:t>
      </w:r>
      <w:r w:rsidRPr="007E40FA">
        <w:rPr>
          <w:rFonts w:ascii="Times New Roman" w:eastAsiaTheme="minorHAnsi" w:hAnsi="Times New Roman"/>
          <w:sz w:val="24"/>
          <w:szCs w:val="24"/>
          <w:highlight w:val="yellow"/>
        </w:rPr>
        <w:t xml:space="preserve">click the </w:t>
      </w:r>
      <w:r w:rsidRPr="007E40FA">
        <w:rPr>
          <w:rFonts w:ascii="Times New Roman" w:eastAsiaTheme="minorHAnsi" w:hAnsi="Times New Roman"/>
          <w:i/>
          <w:sz w:val="24"/>
          <w:szCs w:val="24"/>
          <w:highlight w:val="yellow"/>
        </w:rPr>
        <w:t>Edit</w:t>
      </w:r>
      <w:r w:rsidR="0029193C" w:rsidRPr="007E40FA">
        <w:rPr>
          <w:rFonts w:ascii="Times New Roman" w:eastAsiaTheme="minorHAnsi" w:hAnsi="Times New Roman"/>
          <w:sz w:val="24"/>
          <w:szCs w:val="24"/>
          <w:highlight w:val="yellow"/>
        </w:rPr>
        <w:t xml:space="preserve"> button and s</w:t>
      </w:r>
      <w:r w:rsidRPr="007E40FA">
        <w:rPr>
          <w:rFonts w:ascii="Times New Roman" w:eastAsiaTheme="minorHAnsi" w:hAnsi="Times New Roman"/>
          <w:sz w:val="24"/>
          <w:szCs w:val="24"/>
          <w:highlight w:val="yellow"/>
        </w:rPr>
        <w:t>et the exposure time as desired.</w:t>
      </w:r>
      <w:r w:rsidRPr="007E40FA">
        <w:rPr>
          <w:rFonts w:ascii="Times New Roman" w:eastAsiaTheme="minorHAnsi" w:hAnsi="Times New Roman"/>
          <w:sz w:val="24"/>
          <w:szCs w:val="24"/>
        </w:rPr>
        <w:t xml:space="preserve"> It is recommended that an exposure time of 1.0sec not be exceeded when using the </w:t>
      </w:r>
      <w:r w:rsidR="004C0272" w:rsidRPr="007E40FA">
        <w:rPr>
          <w:rFonts w:ascii="Times New Roman" w:eastAsiaTheme="minorHAnsi" w:hAnsi="Times New Roman"/>
          <w:sz w:val="24"/>
          <w:szCs w:val="24"/>
        </w:rPr>
        <w:t>CSS</w:t>
      </w:r>
      <w:r w:rsidRPr="007E40FA">
        <w:rPr>
          <w:rFonts w:ascii="Times New Roman" w:eastAsiaTheme="minorHAnsi" w:hAnsi="Times New Roman"/>
          <w:sz w:val="24"/>
          <w:szCs w:val="24"/>
        </w:rPr>
        <w:t xml:space="preserve"> CTC kit as this can increase bleed</w:t>
      </w:r>
      <w:r w:rsidR="00BC680E" w:rsidRPr="007E40FA">
        <w:rPr>
          <w:rFonts w:ascii="Times New Roman" w:eastAsiaTheme="minorHAnsi" w:hAnsi="Times New Roman"/>
          <w:sz w:val="24"/>
          <w:szCs w:val="24"/>
        </w:rPr>
        <w:t>-</w:t>
      </w:r>
      <w:r w:rsidRPr="007E40FA">
        <w:rPr>
          <w:rFonts w:ascii="Times New Roman" w:eastAsiaTheme="minorHAnsi" w:hAnsi="Times New Roman"/>
          <w:sz w:val="24"/>
          <w:szCs w:val="24"/>
        </w:rPr>
        <w:t>through into other fluorescent channels utilized for CTC identification.</w:t>
      </w:r>
    </w:p>
    <w:p w:rsidR="006975D9" w:rsidRPr="007E40FA" w:rsidRDefault="006975D9" w:rsidP="0053484E">
      <w:pPr>
        <w:spacing w:after="0" w:line="240" w:lineRule="auto"/>
        <w:jc w:val="both"/>
        <w:rPr>
          <w:rFonts w:ascii="Times New Roman" w:hAnsi="Times New Roman"/>
          <w:sz w:val="24"/>
          <w:szCs w:val="24"/>
          <w:u w:val="single"/>
        </w:rPr>
      </w:pPr>
    </w:p>
    <w:p w:rsidR="00606B83" w:rsidRPr="007E40FA" w:rsidRDefault="00606B83" w:rsidP="0053484E">
      <w:pPr>
        <w:spacing w:after="0" w:line="240" w:lineRule="auto"/>
        <w:jc w:val="both"/>
        <w:rPr>
          <w:rFonts w:ascii="Times New Roman" w:hAnsi="Times New Roman"/>
          <w:b/>
          <w:sz w:val="24"/>
          <w:szCs w:val="24"/>
          <w:u w:val="single"/>
        </w:rPr>
      </w:pPr>
      <w:r w:rsidRPr="007E40FA">
        <w:rPr>
          <w:rFonts w:ascii="Times New Roman" w:hAnsi="Times New Roman"/>
          <w:b/>
          <w:sz w:val="24"/>
          <w:szCs w:val="24"/>
          <w:u w:val="single"/>
        </w:rPr>
        <w:t xml:space="preserve">Adaptation of the </w:t>
      </w:r>
      <w:r w:rsidR="0029193C" w:rsidRPr="007E40FA">
        <w:rPr>
          <w:rFonts w:ascii="Times New Roman" w:hAnsi="Times New Roman"/>
          <w:b/>
          <w:sz w:val="24"/>
          <w:szCs w:val="24"/>
          <w:u w:val="single"/>
        </w:rPr>
        <w:t xml:space="preserve">Standard </w:t>
      </w:r>
      <w:r w:rsidR="004C0272" w:rsidRPr="007E40FA">
        <w:rPr>
          <w:rFonts w:ascii="Times New Roman" w:hAnsi="Times New Roman"/>
          <w:b/>
          <w:sz w:val="24"/>
          <w:szCs w:val="24"/>
          <w:u w:val="single"/>
        </w:rPr>
        <w:t>CSS</w:t>
      </w:r>
      <w:r w:rsidR="00DD758E" w:rsidRPr="007E40FA">
        <w:rPr>
          <w:rFonts w:ascii="Times New Roman" w:hAnsi="Times New Roman"/>
          <w:b/>
          <w:sz w:val="24"/>
          <w:szCs w:val="24"/>
          <w:u w:val="single"/>
        </w:rPr>
        <w:t xml:space="preserve"> </w:t>
      </w:r>
      <w:r w:rsidR="0029193C" w:rsidRPr="007E40FA">
        <w:rPr>
          <w:rFonts w:ascii="Times New Roman" w:hAnsi="Times New Roman"/>
          <w:b/>
          <w:sz w:val="24"/>
          <w:szCs w:val="24"/>
          <w:u w:val="single"/>
        </w:rPr>
        <w:t>Protocol</w:t>
      </w:r>
      <w:r w:rsidR="00DD758E" w:rsidRPr="007E40FA">
        <w:rPr>
          <w:rFonts w:ascii="Times New Roman" w:hAnsi="Times New Roman"/>
          <w:b/>
          <w:sz w:val="24"/>
          <w:szCs w:val="24"/>
          <w:u w:val="single"/>
        </w:rPr>
        <w:t xml:space="preserve"> for use in </w:t>
      </w:r>
      <w:r w:rsidR="00E330A4" w:rsidRPr="007E40FA">
        <w:rPr>
          <w:rFonts w:ascii="Times New Roman" w:hAnsi="Times New Roman"/>
          <w:b/>
          <w:sz w:val="24"/>
          <w:szCs w:val="24"/>
          <w:u w:val="single"/>
        </w:rPr>
        <w:t xml:space="preserve">Pre-Clinical </w:t>
      </w:r>
      <w:r w:rsidRPr="007E40FA">
        <w:rPr>
          <w:rFonts w:ascii="Times New Roman" w:hAnsi="Times New Roman"/>
          <w:b/>
          <w:sz w:val="24"/>
          <w:szCs w:val="24"/>
          <w:u w:val="single"/>
        </w:rPr>
        <w:t>Mouse Model</w:t>
      </w:r>
      <w:r w:rsidR="00DD758E" w:rsidRPr="007E40FA">
        <w:rPr>
          <w:rFonts w:ascii="Times New Roman" w:hAnsi="Times New Roman"/>
          <w:b/>
          <w:sz w:val="24"/>
          <w:szCs w:val="24"/>
          <w:u w:val="single"/>
        </w:rPr>
        <w:t>s</w:t>
      </w:r>
      <w:r w:rsidRPr="007E40FA">
        <w:rPr>
          <w:rFonts w:ascii="Times New Roman" w:hAnsi="Times New Roman"/>
          <w:b/>
          <w:sz w:val="24"/>
          <w:szCs w:val="24"/>
          <w:u w:val="single"/>
        </w:rPr>
        <w:t xml:space="preserve"> </w:t>
      </w:r>
    </w:p>
    <w:p w:rsidR="00DC6570" w:rsidRPr="007E40FA" w:rsidRDefault="00DC6570" w:rsidP="0053484E">
      <w:pPr>
        <w:spacing w:after="0" w:line="240" w:lineRule="auto"/>
        <w:jc w:val="both"/>
        <w:rPr>
          <w:rFonts w:ascii="Times New Roman" w:hAnsi="Times New Roman"/>
          <w:i/>
          <w:sz w:val="24"/>
          <w:szCs w:val="24"/>
        </w:rPr>
      </w:pPr>
      <w:r w:rsidRPr="007E40FA">
        <w:rPr>
          <w:rFonts w:ascii="Times New Roman" w:hAnsi="Times New Roman"/>
          <w:i/>
          <w:sz w:val="24"/>
          <w:szCs w:val="24"/>
        </w:rPr>
        <w:t xml:space="preserve">**Adapted from </w:t>
      </w:r>
      <w:proofErr w:type="spellStart"/>
      <w:r w:rsidRPr="007E40FA">
        <w:rPr>
          <w:rFonts w:ascii="Times New Roman" w:hAnsi="Times New Roman"/>
          <w:i/>
          <w:sz w:val="24"/>
          <w:szCs w:val="24"/>
        </w:rPr>
        <w:t>Veridex</w:t>
      </w:r>
      <w:proofErr w:type="spellEnd"/>
      <w:r w:rsidR="00BE067D" w:rsidRPr="007E40FA">
        <w:rPr>
          <w:rFonts w:ascii="Times New Roman" w:hAnsi="Times New Roman"/>
          <w:i/>
          <w:sz w:val="24"/>
          <w:szCs w:val="24"/>
        </w:rPr>
        <w:t xml:space="preserve"> Mouse/Rat </w:t>
      </w:r>
      <w:proofErr w:type="spellStart"/>
      <w:r w:rsidR="00BE067D" w:rsidRPr="007E40FA">
        <w:rPr>
          <w:rFonts w:ascii="Times New Roman" w:hAnsi="Times New Roman"/>
          <w:i/>
          <w:sz w:val="24"/>
          <w:szCs w:val="24"/>
        </w:rPr>
        <w:t>CellCapture</w:t>
      </w:r>
      <w:proofErr w:type="spellEnd"/>
      <w:r w:rsidR="00BE067D" w:rsidRPr="007E40FA">
        <w:rPr>
          <w:rFonts w:ascii="Times New Roman" w:hAnsi="Times New Roman"/>
          <w:i/>
          <w:sz w:val="24"/>
          <w:szCs w:val="24"/>
        </w:rPr>
        <w:t xml:space="preserve"> Kit (no longer commercially available)</w:t>
      </w:r>
    </w:p>
    <w:p w:rsidR="00606B83" w:rsidRPr="007E40FA" w:rsidRDefault="00606B83" w:rsidP="0053484E">
      <w:pPr>
        <w:pStyle w:val="ListParagraph"/>
        <w:spacing w:after="0" w:line="240" w:lineRule="auto"/>
        <w:ind w:left="0"/>
        <w:jc w:val="both"/>
        <w:rPr>
          <w:rFonts w:ascii="Times New Roman" w:hAnsi="Times New Roman"/>
          <w:sz w:val="24"/>
          <w:szCs w:val="24"/>
          <w:u w:val="single"/>
        </w:rPr>
      </w:pPr>
    </w:p>
    <w:p w:rsidR="006975D9" w:rsidRPr="00E429F0" w:rsidRDefault="005629D8" w:rsidP="0053484E">
      <w:pPr>
        <w:pStyle w:val="ListParagraph"/>
        <w:numPr>
          <w:ilvl w:val="0"/>
          <w:numId w:val="7"/>
        </w:numPr>
        <w:spacing w:after="0" w:line="240" w:lineRule="auto"/>
        <w:ind w:left="0" w:firstLine="0"/>
        <w:jc w:val="both"/>
        <w:rPr>
          <w:rFonts w:ascii="Times New Roman" w:eastAsiaTheme="minorHAnsi" w:hAnsi="Times New Roman"/>
          <w:b/>
          <w:sz w:val="24"/>
          <w:szCs w:val="24"/>
        </w:rPr>
      </w:pPr>
      <w:r w:rsidRPr="007E40FA">
        <w:rPr>
          <w:rFonts w:ascii="Times New Roman" w:eastAsiaTheme="minorHAnsi" w:hAnsi="Times New Roman"/>
          <w:b/>
          <w:sz w:val="24"/>
          <w:szCs w:val="24"/>
        </w:rPr>
        <w:t xml:space="preserve">Mouse </w:t>
      </w:r>
      <w:r w:rsidR="006975D9" w:rsidRPr="007E40FA">
        <w:rPr>
          <w:rFonts w:ascii="Times New Roman" w:eastAsiaTheme="minorHAnsi" w:hAnsi="Times New Roman"/>
          <w:b/>
          <w:sz w:val="24"/>
          <w:szCs w:val="24"/>
        </w:rPr>
        <w:t xml:space="preserve">Blood Collection </w:t>
      </w:r>
      <w:r w:rsidRPr="007E40FA">
        <w:rPr>
          <w:rFonts w:ascii="Times New Roman" w:eastAsiaTheme="minorHAnsi" w:hAnsi="Times New Roman"/>
          <w:b/>
          <w:sz w:val="24"/>
          <w:szCs w:val="24"/>
        </w:rPr>
        <w:t>and Storage</w:t>
      </w:r>
    </w:p>
    <w:p w:rsidR="0020506B" w:rsidRPr="009F3ABD" w:rsidRDefault="0020506B" w:rsidP="0053484E">
      <w:pPr>
        <w:pStyle w:val="ListParagraph"/>
        <w:numPr>
          <w:ilvl w:val="1"/>
          <w:numId w:val="7"/>
        </w:numPr>
        <w:spacing w:after="0" w:line="240" w:lineRule="auto"/>
        <w:ind w:left="0" w:firstLine="0"/>
        <w:jc w:val="both"/>
        <w:rPr>
          <w:rFonts w:ascii="Times New Roman" w:eastAsiaTheme="minorHAnsi" w:hAnsi="Times New Roman"/>
          <w:sz w:val="24"/>
          <w:szCs w:val="24"/>
        </w:rPr>
      </w:pPr>
      <w:r w:rsidRPr="009F3ABD">
        <w:rPr>
          <w:rFonts w:ascii="Times New Roman" w:hAnsi="Times New Roman"/>
          <w:sz w:val="24"/>
          <w:szCs w:val="24"/>
        </w:rPr>
        <w:t xml:space="preserve">Prior to blood collection, run ~30µl of 0.5M EDTA back and forth through a </w:t>
      </w:r>
      <w:r w:rsidR="00036BF0" w:rsidRPr="009F3ABD">
        <w:rPr>
          <w:rFonts w:ascii="Times New Roman" w:hAnsi="Times New Roman"/>
          <w:sz w:val="24"/>
          <w:szCs w:val="24"/>
        </w:rPr>
        <w:t>22</w:t>
      </w:r>
      <w:r w:rsidRPr="009F3ABD">
        <w:rPr>
          <w:rFonts w:ascii="Times New Roman" w:hAnsi="Times New Roman"/>
          <w:sz w:val="24"/>
          <w:szCs w:val="24"/>
        </w:rPr>
        <w:t xml:space="preserve"> gauge needle, leaving a small amount of EDTA in the </w:t>
      </w:r>
      <w:r w:rsidR="00036BF0" w:rsidRPr="009F3ABD">
        <w:rPr>
          <w:rFonts w:ascii="Times New Roman" w:hAnsi="Times New Roman"/>
          <w:sz w:val="24"/>
          <w:szCs w:val="24"/>
        </w:rPr>
        <w:t>hub</w:t>
      </w:r>
      <w:r w:rsidRPr="009F3ABD">
        <w:rPr>
          <w:rFonts w:ascii="Times New Roman" w:hAnsi="Times New Roman"/>
          <w:sz w:val="24"/>
          <w:szCs w:val="24"/>
        </w:rPr>
        <w:t>.</w:t>
      </w:r>
    </w:p>
    <w:p w:rsidR="0020506B" w:rsidRPr="007E40FA" w:rsidRDefault="0020506B" w:rsidP="0053484E">
      <w:pPr>
        <w:pStyle w:val="ListParagraph"/>
        <w:spacing w:after="0" w:line="240" w:lineRule="auto"/>
        <w:ind w:left="0"/>
        <w:jc w:val="both"/>
        <w:rPr>
          <w:rFonts w:ascii="Times New Roman" w:eastAsiaTheme="minorHAnsi" w:hAnsi="Times New Roman"/>
          <w:sz w:val="24"/>
          <w:szCs w:val="24"/>
        </w:rPr>
      </w:pPr>
    </w:p>
    <w:p w:rsidR="0020506B" w:rsidRPr="007E40FA" w:rsidRDefault="005629D8" w:rsidP="0053484E">
      <w:pPr>
        <w:pStyle w:val="ListParagraph"/>
        <w:numPr>
          <w:ilvl w:val="1"/>
          <w:numId w:val="7"/>
        </w:numPr>
        <w:spacing w:after="0" w:line="240" w:lineRule="auto"/>
        <w:ind w:left="0" w:firstLine="0"/>
        <w:jc w:val="both"/>
        <w:rPr>
          <w:rFonts w:ascii="Times New Roman" w:eastAsiaTheme="minorHAnsi" w:hAnsi="Times New Roman"/>
          <w:sz w:val="24"/>
          <w:szCs w:val="24"/>
        </w:rPr>
      </w:pPr>
      <w:r w:rsidRPr="007E40FA">
        <w:rPr>
          <w:rFonts w:ascii="Times New Roman" w:eastAsiaTheme="minorHAnsi" w:hAnsi="Times New Roman"/>
          <w:sz w:val="24"/>
          <w:szCs w:val="24"/>
          <w:highlight w:val="yellow"/>
        </w:rPr>
        <w:t xml:space="preserve">Collect </w:t>
      </w:r>
      <w:r w:rsidR="00036BF0" w:rsidRPr="007E40FA">
        <w:rPr>
          <w:rFonts w:ascii="Times New Roman" w:eastAsiaTheme="minorHAnsi" w:hAnsi="Times New Roman"/>
          <w:sz w:val="24"/>
          <w:szCs w:val="24"/>
          <w:highlight w:val="yellow"/>
        </w:rPr>
        <w:t xml:space="preserve">a minimum of </w:t>
      </w:r>
      <w:r w:rsidRPr="007E40FA">
        <w:rPr>
          <w:rFonts w:ascii="Times New Roman" w:eastAsiaTheme="minorHAnsi" w:hAnsi="Times New Roman"/>
          <w:sz w:val="24"/>
          <w:szCs w:val="24"/>
          <w:highlight w:val="yellow"/>
        </w:rPr>
        <w:t xml:space="preserve">50 µl of mouse blood </w:t>
      </w:r>
      <w:r w:rsidR="00D63122" w:rsidRPr="007E40FA">
        <w:rPr>
          <w:rFonts w:ascii="Times New Roman" w:eastAsiaTheme="minorHAnsi" w:hAnsi="Times New Roman"/>
          <w:sz w:val="24"/>
          <w:szCs w:val="24"/>
          <w:highlight w:val="yellow"/>
        </w:rPr>
        <w:t xml:space="preserve">from mice previously injected with human tumor cells via </w:t>
      </w:r>
      <w:proofErr w:type="spellStart"/>
      <w:r w:rsidR="00D63122" w:rsidRPr="007E40FA">
        <w:rPr>
          <w:rFonts w:ascii="Times New Roman" w:eastAsiaTheme="minorHAnsi" w:hAnsi="Times New Roman"/>
          <w:sz w:val="24"/>
          <w:szCs w:val="24"/>
          <w:highlight w:val="yellow"/>
        </w:rPr>
        <w:t>orthotopic</w:t>
      </w:r>
      <w:proofErr w:type="spellEnd"/>
      <w:r w:rsidR="00D63122" w:rsidRPr="007E40FA">
        <w:rPr>
          <w:rFonts w:ascii="Times New Roman" w:eastAsiaTheme="minorHAnsi" w:hAnsi="Times New Roman"/>
          <w:sz w:val="24"/>
          <w:szCs w:val="24"/>
          <w:highlight w:val="yellow"/>
        </w:rPr>
        <w:t xml:space="preserve">, tail vein, or </w:t>
      </w:r>
      <w:proofErr w:type="spellStart"/>
      <w:r w:rsidR="00D63122" w:rsidRPr="007E40FA">
        <w:rPr>
          <w:rFonts w:ascii="Times New Roman" w:eastAsiaTheme="minorHAnsi" w:hAnsi="Times New Roman"/>
          <w:sz w:val="24"/>
          <w:szCs w:val="24"/>
          <w:highlight w:val="yellow"/>
        </w:rPr>
        <w:t>intracardiac</w:t>
      </w:r>
      <w:proofErr w:type="spellEnd"/>
      <w:r w:rsidR="00D63122" w:rsidRPr="007E40FA">
        <w:rPr>
          <w:rFonts w:ascii="Times New Roman" w:eastAsiaTheme="minorHAnsi" w:hAnsi="Times New Roman"/>
          <w:sz w:val="24"/>
          <w:szCs w:val="24"/>
          <w:highlight w:val="yellow"/>
        </w:rPr>
        <w:t xml:space="preserve"> routes. Collect blood from the </w:t>
      </w:r>
      <w:r w:rsidR="00BC680E" w:rsidRPr="007E40FA">
        <w:rPr>
          <w:rFonts w:ascii="Times New Roman" w:eastAsiaTheme="minorHAnsi" w:hAnsi="Times New Roman"/>
          <w:sz w:val="24"/>
          <w:szCs w:val="24"/>
          <w:highlight w:val="yellow"/>
        </w:rPr>
        <w:t>saphenous vein</w:t>
      </w:r>
      <w:r w:rsidR="00D63122" w:rsidRPr="007E40FA">
        <w:rPr>
          <w:rFonts w:ascii="Times New Roman" w:eastAsiaTheme="minorHAnsi" w:hAnsi="Times New Roman"/>
          <w:sz w:val="24"/>
          <w:szCs w:val="24"/>
          <w:highlight w:val="yellow"/>
        </w:rPr>
        <w:t xml:space="preserve"> (for serial CTC analysis) or by</w:t>
      </w:r>
      <w:r w:rsidR="00BC680E" w:rsidRPr="007E40FA">
        <w:rPr>
          <w:rFonts w:ascii="Times New Roman" w:eastAsiaTheme="minorHAnsi" w:hAnsi="Times New Roman"/>
          <w:sz w:val="24"/>
          <w:szCs w:val="24"/>
          <w:highlight w:val="yellow"/>
        </w:rPr>
        <w:t xml:space="preserve"> cardiac puncture</w:t>
      </w:r>
      <w:r w:rsidR="00D63122" w:rsidRPr="007E40FA">
        <w:rPr>
          <w:rFonts w:ascii="Times New Roman" w:eastAsiaTheme="minorHAnsi" w:hAnsi="Times New Roman"/>
          <w:sz w:val="24"/>
          <w:szCs w:val="24"/>
          <w:highlight w:val="yellow"/>
        </w:rPr>
        <w:t xml:space="preserve"> (for terminal CTC analysis). R</w:t>
      </w:r>
      <w:r w:rsidR="0020506B" w:rsidRPr="007E40FA">
        <w:rPr>
          <w:rFonts w:ascii="Times New Roman" w:eastAsiaTheme="minorHAnsi" w:hAnsi="Times New Roman"/>
          <w:sz w:val="24"/>
          <w:szCs w:val="24"/>
          <w:highlight w:val="yellow"/>
        </w:rPr>
        <w:t xml:space="preserve">emove needle and dispense blood </w:t>
      </w:r>
      <w:r w:rsidRPr="007E40FA">
        <w:rPr>
          <w:rFonts w:ascii="Times New Roman" w:eastAsiaTheme="minorHAnsi" w:hAnsi="Times New Roman"/>
          <w:sz w:val="24"/>
          <w:szCs w:val="24"/>
          <w:highlight w:val="yellow"/>
        </w:rPr>
        <w:t xml:space="preserve">into a </w:t>
      </w:r>
      <w:r w:rsidR="00201C52" w:rsidRPr="007E40FA">
        <w:rPr>
          <w:rFonts w:ascii="Times New Roman" w:eastAsiaTheme="minorHAnsi" w:hAnsi="Times New Roman"/>
          <w:sz w:val="24"/>
          <w:szCs w:val="24"/>
          <w:highlight w:val="yellow"/>
        </w:rPr>
        <w:t xml:space="preserve">1 ml EDTA </w:t>
      </w:r>
      <w:proofErr w:type="spellStart"/>
      <w:r w:rsidR="00201C52" w:rsidRPr="007E40FA">
        <w:rPr>
          <w:rFonts w:ascii="Times New Roman" w:eastAsiaTheme="minorHAnsi" w:hAnsi="Times New Roman"/>
          <w:sz w:val="24"/>
          <w:szCs w:val="24"/>
          <w:highlight w:val="yellow"/>
        </w:rPr>
        <w:t>microtainer</w:t>
      </w:r>
      <w:proofErr w:type="spellEnd"/>
      <w:r w:rsidRPr="007E40FA">
        <w:rPr>
          <w:rFonts w:ascii="Times New Roman" w:eastAsiaTheme="minorHAnsi" w:hAnsi="Times New Roman"/>
          <w:sz w:val="24"/>
          <w:szCs w:val="24"/>
          <w:highlight w:val="yellow"/>
        </w:rPr>
        <w:t xml:space="preserve"> blood collection tube. </w:t>
      </w:r>
      <w:r w:rsidR="0020506B" w:rsidRPr="007E40FA">
        <w:rPr>
          <w:rFonts w:ascii="Times New Roman" w:eastAsiaTheme="minorHAnsi" w:hAnsi="Times New Roman"/>
          <w:sz w:val="24"/>
          <w:szCs w:val="24"/>
          <w:highlight w:val="yellow"/>
        </w:rPr>
        <w:t>Mix by inversion or gently flick tube to prevent blood from clotting.</w:t>
      </w:r>
      <w:r w:rsidR="0020506B" w:rsidRPr="007E40FA">
        <w:rPr>
          <w:rFonts w:ascii="Times New Roman" w:eastAsiaTheme="minorHAnsi" w:hAnsi="Times New Roman"/>
          <w:sz w:val="24"/>
          <w:szCs w:val="24"/>
        </w:rPr>
        <w:t xml:space="preserve"> Blood may be processed immediately or stored </w:t>
      </w:r>
      <w:r w:rsidR="002D38C3" w:rsidRPr="007E40FA">
        <w:rPr>
          <w:rFonts w:ascii="Times New Roman" w:eastAsiaTheme="minorHAnsi" w:hAnsi="Times New Roman"/>
          <w:sz w:val="24"/>
          <w:szCs w:val="24"/>
        </w:rPr>
        <w:t xml:space="preserve">at room temperature </w:t>
      </w:r>
      <w:r w:rsidR="0020506B" w:rsidRPr="007E40FA">
        <w:rPr>
          <w:rFonts w:ascii="Times New Roman" w:eastAsiaTheme="minorHAnsi" w:hAnsi="Times New Roman"/>
          <w:sz w:val="24"/>
          <w:szCs w:val="24"/>
        </w:rPr>
        <w:t xml:space="preserve">for up to </w:t>
      </w:r>
      <w:r w:rsidR="00DF5DE3" w:rsidRPr="007E40FA">
        <w:rPr>
          <w:rFonts w:ascii="Times New Roman" w:eastAsiaTheme="minorHAnsi" w:hAnsi="Times New Roman"/>
          <w:sz w:val="24"/>
          <w:szCs w:val="24"/>
        </w:rPr>
        <w:t xml:space="preserve">48 </w:t>
      </w:r>
      <w:r w:rsidR="0020506B" w:rsidRPr="007E40FA">
        <w:rPr>
          <w:rFonts w:ascii="Times New Roman" w:eastAsiaTheme="minorHAnsi" w:hAnsi="Times New Roman"/>
          <w:sz w:val="24"/>
          <w:szCs w:val="24"/>
        </w:rPr>
        <w:t xml:space="preserve">hours following the addition of an equal volume of </w:t>
      </w:r>
      <w:proofErr w:type="spellStart"/>
      <w:r w:rsidR="0020506B" w:rsidRPr="007E40FA">
        <w:rPr>
          <w:rFonts w:ascii="Times New Roman" w:eastAsiaTheme="minorHAnsi" w:hAnsi="Times New Roman"/>
          <w:sz w:val="24"/>
          <w:szCs w:val="24"/>
        </w:rPr>
        <w:t>CytoChex</w:t>
      </w:r>
      <w:proofErr w:type="spellEnd"/>
      <w:r w:rsidR="0020506B" w:rsidRPr="007E40FA">
        <w:rPr>
          <w:rFonts w:ascii="Times New Roman" w:eastAsiaTheme="minorHAnsi" w:hAnsi="Times New Roman"/>
          <w:sz w:val="24"/>
          <w:szCs w:val="24"/>
        </w:rPr>
        <w:t xml:space="preserve"> cellular preservative.</w:t>
      </w:r>
    </w:p>
    <w:p w:rsidR="0020506B" w:rsidRPr="007E40FA" w:rsidRDefault="0020506B" w:rsidP="0053484E">
      <w:pPr>
        <w:pStyle w:val="ListParagraph"/>
        <w:spacing w:after="0" w:line="240" w:lineRule="auto"/>
        <w:ind w:left="0"/>
        <w:jc w:val="both"/>
        <w:rPr>
          <w:rFonts w:ascii="Times New Roman" w:eastAsiaTheme="minorHAnsi" w:hAnsi="Times New Roman"/>
          <w:sz w:val="24"/>
          <w:szCs w:val="24"/>
        </w:rPr>
      </w:pPr>
    </w:p>
    <w:p w:rsidR="0020506B" w:rsidRPr="007E40FA" w:rsidRDefault="00237481" w:rsidP="0053484E">
      <w:pPr>
        <w:pStyle w:val="ListParagraph"/>
        <w:numPr>
          <w:ilvl w:val="0"/>
          <w:numId w:val="7"/>
        </w:numPr>
        <w:spacing w:after="0" w:line="240" w:lineRule="auto"/>
        <w:ind w:left="0" w:firstLine="0"/>
        <w:jc w:val="both"/>
        <w:rPr>
          <w:rFonts w:ascii="Times New Roman" w:eastAsiaTheme="minorHAnsi" w:hAnsi="Times New Roman"/>
          <w:b/>
          <w:sz w:val="24"/>
          <w:szCs w:val="24"/>
        </w:rPr>
      </w:pPr>
      <w:r w:rsidRPr="007E40FA">
        <w:rPr>
          <w:rFonts w:ascii="Times New Roman" w:eastAsiaTheme="minorHAnsi" w:hAnsi="Times New Roman"/>
          <w:b/>
          <w:sz w:val="24"/>
          <w:szCs w:val="24"/>
        </w:rPr>
        <w:t>CTC Enrichment</w:t>
      </w:r>
    </w:p>
    <w:p w:rsidR="00237481" w:rsidRPr="007E40FA" w:rsidRDefault="00237481" w:rsidP="0053484E">
      <w:pPr>
        <w:spacing w:after="0" w:line="240" w:lineRule="auto"/>
        <w:jc w:val="both"/>
        <w:rPr>
          <w:rFonts w:ascii="Times New Roman" w:eastAsiaTheme="minorHAnsi" w:hAnsi="Times New Roman"/>
          <w:sz w:val="24"/>
          <w:szCs w:val="24"/>
        </w:rPr>
      </w:pPr>
    </w:p>
    <w:p w:rsidR="00FB75F9" w:rsidRPr="007E40FA" w:rsidRDefault="00201C52" w:rsidP="0053484E">
      <w:pPr>
        <w:pStyle w:val="ListParagraph"/>
        <w:numPr>
          <w:ilvl w:val="1"/>
          <w:numId w:val="7"/>
        </w:numPr>
        <w:spacing w:after="0" w:line="240" w:lineRule="auto"/>
        <w:ind w:left="0" w:firstLine="0"/>
        <w:jc w:val="both"/>
        <w:rPr>
          <w:rFonts w:ascii="Times New Roman" w:eastAsiaTheme="minorHAnsi" w:hAnsi="Times New Roman"/>
          <w:sz w:val="24"/>
          <w:szCs w:val="24"/>
        </w:rPr>
      </w:pPr>
      <w:r w:rsidRPr="007E40FA">
        <w:rPr>
          <w:rFonts w:ascii="Times New Roman" w:eastAsiaTheme="minorHAnsi" w:hAnsi="Times New Roman"/>
          <w:sz w:val="24"/>
          <w:szCs w:val="24"/>
        </w:rPr>
        <w:t xml:space="preserve">Remove </w:t>
      </w:r>
      <w:r w:rsidR="004C0272" w:rsidRPr="007E40FA">
        <w:rPr>
          <w:rFonts w:ascii="Times New Roman" w:eastAsiaTheme="minorHAnsi" w:hAnsi="Times New Roman"/>
          <w:sz w:val="24"/>
          <w:szCs w:val="24"/>
        </w:rPr>
        <w:t>CSS</w:t>
      </w:r>
      <w:r w:rsidRPr="007E40FA">
        <w:rPr>
          <w:rFonts w:ascii="Times New Roman" w:eastAsiaTheme="minorHAnsi" w:hAnsi="Times New Roman"/>
          <w:sz w:val="24"/>
          <w:szCs w:val="24"/>
        </w:rPr>
        <w:t xml:space="preserve"> reagents from the fridge and allow them to warm to room temperature before using.</w:t>
      </w:r>
    </w:p>
    <w:p w:rsidR="00DC6570" w:rsidRPr="007E40FA" w:rsidRDefault="00DC6570" w:rsidP="0053484E">
      <w:pPr>
        <w:pStyle w:val="ListParagraph"/>
        <w:spacing w:after="0" w:line="240" w:lineRule="auto"/>
        <w:ind w:left="0"/>
        <w:jc w:val="both"/>
        <w:rPr>
          <w:rFonts w:ascii="Times New Roman" w:eastAsiaTheme="minorHAnsi" w:hAnsi="Times New Roman"/>
          <w:sz w:val="24"/>
          <w:szCs w:val="24"/>
        </w:rPr>
      </w:pPr>
    </w:p>
    <w:p w:rsidR="00DC6570" w:rsidRPr="007E40FA" w:rsidRDefault="00DC6570" w:rsidP="0053484E">
      <w:pPr>
        <w:pStyle w:val="ListParagraph"/>
        <w:numPr>
          <w:ilvl w:val="1"/>
          <w:numId w:val="7"/>
        </w:numPr>
        <w:spacing w:after="0" w:line="240" w:lineRule="auto"/>
        <w:ind w:left="0" w:firstLine="0"/>
        <w:jc w:val="both"/>
        <w:rPr>
          <w:rFonts w:ascii="Times New Roman" w:eastAsiaTheme="minorHAnsi" w:hAnsi="Times New Roman"/>
          <w:sz w:val="24"/>
          <w:szCs w:val="24"/>
        </w:rPr>
      </w:pPr>
      <w:r w:rsidRPr="007E40FA">
        <w:rPr>
          <w:rFonts w:ascii="Times New Roman" w:eastAsiaTheme="minorHAnsi" w:hAnsi="Times New Roman"/>
          <w:sz w:val="24"/>
          <w:szCs w:val="24"/>
          <w:highlight w:val="yellow"/>
        </w:rPr>
        <w:t>Transfer the equiv</w:t>
      </w:r>
      <w:r w:rsidR="00036BF0" w:rsidRPr="007E40FA">
        <w:rPr>
          <w:rFonts w:ascii="Times New Roman" w:eastAsiaTheme="minorHAnsi" w:hAnsi="Times New Roman"/>
          <w:sz w:val="24"/>
          <w:szCs w:val="24"/>
          <w:highlight w:val="yellow"/>
        </w:rPr>
        <w:t xml:space="preserve">alent of 50 µl of whole blood </w:t>
      </w:r>
      <w:r w:rsidRPr="007E40FA">
        <w:rPr>
          <w:rFonts w:ascii="Times New Roman" w:eastAsiaTheme="minorHAnsi" w:hAnsi="Times New Roman"/>
          <w:sz w:val="24"/>
          <w:szCs w:val="24"/>
          <w:highlight w:val="yellow"/>
        </w:rPr>
        <w:t xml:space="preserve">to a 12x75 mm flow </w:t>
      </w:r>
      <w:proofErr w:type="spellStart"/>
      <w:r w:rsidRPr="007E40FA">
        <w:rPr>
          <w:rFonts w:ascii="Times New Roman" w:eastAsiaTheme="minorHAnsi" w:hAnsi="Times New Roman"/>
          <w:sz w:val="24"/>
          <w:szCs w:val="24"/>
          <w:highlight w:val="yellow"/>
        </w:rPr>
        <w:t>cytometry</w:t>
      </w:r>
      <w:proofErr w:type="spellEnd"/>
      <w:r w:rsidRPr="007E40FA">
        <w:rPr>
          <w:rFonts w:ascii="Times New Roman" w:eastAsiaTheme="minorHAnsi" w:hAnsi="Times New Roman"/>
          <w:sz w:val="24"/>
          <w:szCs w:val="24"/>
          <w:highlight w:val="yellow"/>
        </w:rPr>
        <w:t xml:space="preserve"> tube.</w:t>
      </w:r>
      <w:r w:rsidR="00637B50" w:rsidRPr="007E40FA">
        <w:rPr>
          <w:rFonts w:ascii="Times New Roman" w:eastAsiaTheme="minorHAnsi" w:hAnsi="Times New Roman"/>
          <w:sz w:val="24"/>
          <w:szCs w:val="24"/>
          <w:highlight w:val="yellow"/>
        </w:rPr>
        <w:t xml:space="preserve"> </w:t>
      </w:r>
      <w:r w:rsidRPr="007E40FA">
        <w:rPr>
          <w:rFonts w:ascii="Times New Roman" w:eastAsiaTheme="minorHAnsi" w:hAnsi="Times New Roman"/>
          <w:sz w:val="24"/>
          <w:szCs w:val="24"/>
          <w:highlight w:val="yellow"/>
        </w:rPr>
        <w:t>Add 500 µl of dilution buffer</w:t>
      </w:r>
      <w:r w:rsidR="00036BF0" w:rsidRPr="007E40FA">
        <w:rPr>
          <w:rFonts w:ascii="Times New Roman" w:eastAsiaTheme="minorHAnsi" w:hAnsi="Times New Roman"/>
          <w:sz w:val="24"/>
          <w:szCs w:val="24"/>
          <w:highlight w:val="yellow"/>
        </w:rPr>
        <w:t xml:space="preserve"> to each sample</w:t>
      </w:r>
      <w:r w:rsidRPr="007E40FA">
        <w:rPr>
          <w:rFonts w:ascii="Times New Roman" w:eastAsiaTheme="minorHAnsi" w:hAnsi="Times New Roman"/>
          <w:sz w:val="24"/>
          <w:szCs w:val="24"/>
          <w:highlight w:val="yellow"/>
        </w:rPr>
        <w:t>, washing down any blood that remains on the sides of the tube.</w:t>
      </w:r>
      <w:r w:rsidR="009F6562" w:rsidRPr="007E40FA">
        <w:rPr>
          <w:rFonts w:ascii="Times New Roman" w:eastAsiaTheme="minorHAnsi" w:hAnsi="Times New Roman"/>
          <w:sz w:val="24"/>
          <w:szCs w:val="24"/>
          <w:highlight w:val="yellow"/>
        </w:rPr>
        <w:t xml:space="preserve"> </w:t>
      </w:r>
      <w:r w:rsidR="009F6562" w:rsidRPr="009F3ABD">
        <w:rPr>
          <w:rFonts w:ascii="Times New Roman" w:eastAsiaTheme="minorHAnsi" w:hAnsi="Times New Roman"/>
          <w:sz w:val="24"/>
          <w:szCs w:val="24"/>
        </w:rPr>
        <w:t xml:space="preserve">If necessary, </w:t>
      </w:r>
      <w:r w:rsidR="00BC680E" w:rsidRPr="009F3ABD">
        <w:rPr>
          <w:rFonts w:ascii="Times New Roman" w:eastAsiaTheme="minorHAnsi" w:hAnsi="Times New Roman"/>
          <w:sz w:val="24"/>
          <w:szCs w:val="24"/>
        </w:rPr>
        <w:t xml:space="preserve">a </w:t>
      </w:r>
      <w:r w:rsidR="009F6562" w:rsidRPr="009F3ABD">
        <w:rPr>
          <w:rFonts w:ascii="Times New Roman" w:eastAsiaTheme="minorHAnsi" w:hAnsi="Times New Roman"/>
          <w:sz w:val="24"/>
          <w:szCs w:val="24"/>
        </w:rPr>
        <w:t xml:space="preserve">short </w:t>
      </w:r>
      <w:r w:rsidR="00BC680E" w:rsidRPr="009F3ABD">
        <w:rPr>
          <w:rFonts w:ascii="Times New Roman" w:eastAsiaTheme="minorHAnsi" w:hAnsi="Times New Roman"/>
          <w:sz w:val="24"/>
          <w:szCs w:val="24"/>
        </w:rPr>
        <w:t xml:space="preserve">centrifuge </w:t>
      </w:r>
      <w:r w:rsidR="009F6562" w:rsidRPr="009F3ABD">
        <w:rPr>
          <w:rFonts w:ascii="Times New Roman" w:eastAsiaTheme="minorHAnsi" w:hAnsi="Times New Roman"/>
          <w:sz w:val="24"/>
          <w:szCs w:val="24"/>
        </w:rPr>
        <w:t>spin</w:t>
      </w:r>
      <w:r w:rsidR="00BC680E" w:rsidRPr="009F3ABD">
        <w:rPr>
          <w:rFonts w:ascii="Times New Roman" w:eastAsiaTheme="minorHAnsi" w:hAnsi="Times New Roman"/>
          <w:sz w:val="24"/>
          <w:szCs w:val="24"/>
        </w:rPr>
        <w:t xml:space="preserve"> can be used</w:t>
      </w:r>
      <w:r w:rsidR="009F6562" w:rsidRPr="009F3ABD">
        <w:rPr>
          <w:rFonts w:ascii="Times New Roman" w:eastAsiaTheme="minorHAnsi" w:hAnsi="Times New Roman"/>
          <w:sz w:val="24"/>
          <w:szCs w:val="24"/>
        </w:rPr>
        <w:t xml:space="preserve"> to collect any remaining blood.</w:t>
      </w:r>
    </w:p>
    <w:p w:rsidR="00DC6570" w:rsidRPr="007E40FA" w:rsidRDefault="00DC6570" w:rsidP="0053484E">
      <w:pPr>
        <w:pStyle w:val="ListParagraph"/>
        <w:spacing w:after="0" w:line="240" w:lineRule="auto"/>
        <w:ind w:left="0"/>
        <w:jc w:val="both"/>
        <w:rPr>
          <w:rFonts w:ascii="Times New Roman" w:eastAsiaTheme="minorHAnsi" w:hAnsi="Times New Roman"/>
          <w:sz w:val="24"/>
          <w:szCs w:val="24"/>
        </w:rPr>
      </w:pPr>
    </w:p>
    <w:p w:rsidR="00637B50" w:rsidRPr="007E40FA" w:rsidRDefault="00DC6570" w:rsidP="0053484E">
      <w:pPr>
        <w:pStyle w:val="ListParagraph"/>
        <w:numPr>
          <w:ilvl w:val="1"/>
          <w:numId w:val="7"/>
        </w:numPr>
        <w:spacing w:after="0" w:line="240" w:lineRule="auto"/>
        <w:ind w:left="0" w:firstLine="0"/>
        <w:jc w:val="both"/>
        <w:rPr>
          <w:rFonts w:ascii="Times New Roman" w:eastAsiaTheme="minorHAnsi" w:hAnsi="Times New Roman"/>
          <w:sz w:val="24"/>
          <w:szCs w:val="24"/>
        </w:rPr>
      </w:pPr>
      <w:r w:rsidRPr="007E40FA">
        <w:rPr>
          <w:rFonts w:ascii="Times New Roman" w:eastAsiaTheme="minorHAnsi" w:hAnsi="Times New Roman"/>
          <w:sz w:val="24"/>
          <w:szCs w:val="24"/>
          <w:highlight w:val="yellow"/>
        </w:rPr>
        <w:t>Gently vortex the anti-</w:t>
      </w:r>
      <w:proofErr w:type="spellStart"/>
      <w:r w:rsidRPr="007E40FA">
        <w:rPr>
          <w:rFonts w:ascii="Times New Roman" w:eastAsiaTheme="minorHAnsi" w:hAnsi="Times New Roman"/>
          <w:sz w:val="24"/>
          <w:szCs w:val="24"/>
          <w:highlight w:val="yellow"/>
        </w:rPr>
        <w:t>EpCAM</w:t>
      </w:r>
      <w:proofErr w:type="spellEnd"/>
      <w:r w:rsidRPr="007E40FA">
        <w:rPr>
          <w:rFonts w:ascii="Times New Roman" w:eastAsiaTheme="minorHAnsi" w:hAnsi="Times New Roman"/>
          <w:sz w:val="24"/>
          <w:szCs w:val="24"/>
          <w:highlight w:val="yellow"/>
        </w:rPr>
        <w:t xml:space="preserve"> </w:t>
      </w:r>
      <w:proofErr w:type="spellStart"/>
      <w:r w:rsidRPr="007E40FA">
        <w:rPr>
          <w:rFonts w:ascii="Times New Roman" w:eastAsiaTheme="minorHAnsi" w:hAnsi="Times New Roman"/>
          <w:sz w:val="24"/>
          <w:szCs w:val="24"/>
          <w:highlight w:val="yellow"/>
        </w:rPr>
        <w:t>ferrofluid</w:t>
      </w:r>
      <w:proofErr w:type="spellEnd"/>
      <w:r w:rsidRPr="007E40FA">
        <w:rPr>
          <w:rFonts w:ascii="Times New Roman" w:eastAsiaTheme="minorHAnsi" w:hAnsi="Times New Roman"/>
          <w:sz w:val="24"/>
          <w:szCs w:val="24"/>
          <w:highlight w:val="yellow"/>
        </w:rPr>
        <w:t xml:space="preserve"> and add 25 µl to each sample</w:t>
      </w:r>
      <w:r w:rsidR="00BC680E" w:rsidRPr="007E40FA">
        <w:rPr>
          <w:rFonts w:ascii="Times New Roman" w:eastAsiaTheme="minorHAnsi" w:hAnsi="Times New Roman"/>
          <w:sz w:val="24"/>
          <w:szCs w:val="24"/>
          <w:highlight w:val="yellow"/>
        </w:rPr>
        <w:t xml:space="preserve"> </w:t>
      </w:r>
      <w:r w:rsidRPr="007E40FA">
        <w:rPr>
          <w:rFonts w:ascii="Times New Roman" w:eastAsiaTheme="minorHAnsi" w:hAnsi="Times New Roman"/>
          <w:sz w:val="24"/>
          <w:szCs w:val="24"/>
          <w:highlight w:val="yellow"/>
        </w:rPr>
        <w:t>by placing the tip of the pipette directly into the sample.</w:t>
      </w:r>
      <w:r w:rsidR="00637B50" w:rsidRPr="007E40FA">
        <w:rPr>
          <w:rFonts w:ascii="Times New Roman" w:eastAsiaTheme="minorHAnsi" w:hAnsi="Times New Roman"/>
          <w:sz w:val="24"/>
          <w:szCs w:val="24"/>
          <w:highlight w:val="yellow"/>
        </w:rPr>
        <w:t xml:space="preserve"> </w:t>
      </w:r>
      <w:r w:rsidRPr="007E40FA">
        <w:rPr>
          <w:rFonts w:ascii="Times New Roman" w:eastAsiaTheme="minorHAnsi" w:hAnsi="Times New Roman"/>
          <w:sz w:val="24"/>
          <w:szCs w:val="24"/>
          <w:highlight w:val="yellow"/>
        </w:rPr>
        <w:t xml:space="preserve">Add 25 µl of Capture Enhancement reagent </w:t>
      </w:r>
      <w:r w:rsidR="00BE067D" w:rsidRPr="007E40FA">
        <w:rPr>
          <w:rFonts w:ascii="Times New Roman" w:eastAsiaTheme="minorHAnsi" w:hAnsi="Times New Roman"/>
          <w:sz w:val="24"/>
          <w:szCs w:val="24"/>
          <w:highlight w:val="yellow"/>
        </w:rPr>
        <w:t>and vortex gently to mix. Incubate samples at room temperature for 15 min.</w:t>
      </w:r>
      <w:r w:rsidR="00637B50" w:rsidRPr="007E40FA">
        <w:rPr>
          <w:rFonts w:ascii="Times New Roman" w:eastAsiaTheme="minorHAnsi" w:hAnsi="Times New Roman"/>
          <w:sz w:val="24"/>
          <w:szCs w:val="24"/>
        </w:rPr>
        <w:t xml:space="preserve"> </w:t>
      </w:r>
    </w:p>
    <w:p w:rsidR="00637B50" w:rsidRPr="007E40FA" w:rsidRDefault="00637B50" w:rsidP="0053484E">
      <w:pPr>
        <w:pStyle w:val="ListParagraph"/>
        <w:spacing w:after="0" w:line="240" w:lineRule="auto"/>
        <w:ind w:left="0"/>
        <w:jc w:val="both"/>
        <w:rPr>
          <w:rFonts w:ascii="Times New Roman" w:eastAsiaTheme="minorHAnsi" w:hAnsi="Times New Roman"/>
          <w:sz w:val="24"/>
          <w:szCs w:val="24"/>
        </w:rPr>
      </w:pPr>
    </w:p>
    <w:p w:rsidR="00FB75F9" w:rsidRPr="007E40FA" w:rsidRDefault="00BE067D" w:rsidP="0053484E">
      <w:pPr>
        <w:pStyle w:val="ListParagraph"/>
        <w:numPr>
          <w:ilvl w:val="1"/>
          <w:numId w:val="7"/>
        </w:numPr>
        <w:spacing w:after="0" w:line="240" w:lineRule="auto"/>
        <w:ind w:left="0" w:firstLine="0"/>
        <w:jc w:val="both"/>
        <w:rPr>
          <w:rFonts w:ascii="Times New Roman" w:eastAsiaTheme="minorHAnsi" w:hAnsi="Times New Roman"/>
          <w:sz w:val="24"/>
          <w:szCs w:val="24"/>
        </w:rPr>
      </w:pPr>
      <w:r w:rsidRPr="007E40FA">
        <w:rPr>
          <w:rFonts w:ascii="Times New Roman" w:eastAsiaTheme="minorHAnsi" w:hAnsi="Times New Roman"/>
          <w:sz w:val="24"/>
          <w:szCs w:val="24"/>
          <w:highlight w:val="yellow"/>
        </w:rPr>
        <w:t>Place sample tubes into the magnet and incubate for 10 min.</w:t>
      </w:r>
      <w:r w:rsidR="00637B50" w:rsidRPr="007E40FA">
        <w:rPr>
          <w:rFonts w:ascii="Times New Roman" w:eastAsiaTheme="minorHAnsi" w:hAnsi="Times New Roman"/>
          <w:sz w:val="24"/>
          <w:szCs w:val="24"/>
          <w:highlight w:val="yellow"/>
        </w:rPr>
        <w:t xml:space="preserve"> </w:t>
      </w:r>
      <w:r w:rsidRPr="007E40FA">
        <w:rPr>
          <w:rFonts w:ascii="Times New Roman" w:eastAsiaTheme="minorHAnsi" w:hAnsi="Times New Roman"/>
          <w:sz w:val="24"/>
          <w:szCs w:val="24"/>
          <w:highlight w:val="yellow"/>
        </w:rPr>
        <w:t xml:space="preserve">While the sample tubes are still in the magnet, use a glass pipette to carefully aspirate the </w:t>
      </w:r>
      <w:r w:rsidR="00B06B91" w:rsidRPr="007E40FA">
        <w:rPr>
          <w:rFonts w:ascii="Times New Roman" w:eastAsiaTheme="minorHAnsi" w:hAnsi="Times New Roman"/>
          <w:sz w:val="24"/>
          <w:szCs w:val="24"/>
          <w:highlight w:val="yellow"/>
        </w:rPr>
        <w:t>residual liquid</w:t>
      </w:r>
      <w:r w:rsidRPr="007E40FA">
        <w:rPr>
          <w:rFonts w:ascii="Times New Roman" w:eastAsiaTheme="minorHAnsi" w:hAnsi="Times New Roman"/>
          <w:sz w:val="24"/>
          <w:szCs w:val="24"/>
          <w:highlight w:val="yellow"/>
        </w:rPr>
        <w:t xml:space="preserve"> without touching the wall</w:t>
      </w:r>
      <w:r w:rsidR="00B06B91" w:rsidRPr="007E40FA">
        <w:rPr>
          <w:rFonts w:ascii="Times New Roman" w:eastAsiaTheme="minorHAnsi" w:hAnsi="Times New Roman"/>
          <w:sz w:val="24"/>
          <w:szCs w:val="24"/>
          <w:highlight w:val="yellow"/>
        </w:rPr>
        <w:t xml:space="preserve"> of the tube next to the magnet and discard.</w:t>
      </w:r>
    </w:p>
    <w:p w:rsidR="00990F17" w:rsidRPr="007E40FA" w:rsidRDefault="00990F17" w:rsidP="0053484E">
      <w:pPr>
        <w:pStyle w:val="ListParagraph"/>
        <w:spacing w:after="0" w:line="240" w:lineRule="auto"/>
        <w:ind w:left="0"/>
        <w:jc w:val="both"/>
        <w:rPr>
          <w:rFonts w:ascii="Times New Roman" w:eastAsiaTheme="minorHAnsi" w:hAnsi="Times New Roman"/>
          <w:b/>
          <w:sz w:val="24"/>
          <w:szCs w:val="24"/>
        </w:rPr>
      </w:pPr>
    </w:p>
    <w:p w:rsidR="00237481" w:rsidRPr="00E429F0" w:rsidRDefault="00237481" w:rsidP="0053484E">
      <w:pPr>
        <w:pStyle w:val="ListParagraph"/>
        <w:numPr>
          <w:ilvl w:val="0"/>
          <w:numId w:val="7"/>
        </w:numPr>
        <w:spacing w:after="0" w:line="240" w:lineRule="auto"/>
        <w:ind w:left="0" w:firstLine="0"/>
        <w:jc w:val="both"/>
        <w:rPr>
          <w:rFonts w:ascii="Times New Roman" w:eastAsiaTheme="minorHAnsi" w:hAnsi="Times New Roman"/>
          <w:b/>
          <w:sz w:val="24"/>
          <w:szCs w:val="24"/>
        </w:rPr>
      </w:pPr>
      <w:r w:rsidRPr="007E40FA">
        <w:rPr>
          <w:rFonts w:ascii="Times New Roman" w:eastAsiaTheme="minorHAnsi" w:hAnsi="Times New Roman"/>
          <w:b/>
          <w:sz w:val="24"/>
          <w:szCs w:val="24"/>
        </w:rPr>
        <w:t>CTC Staining</w:t>
      </w:r>
    </w:p>
    <w:p w:rsidR="000D081F" w:rsidRPr="007E40FA" w:rsidRDefault="000D081F" w:rsidP="0053484E">
      <w:pPr>
        <w:pStyle w:val="ListParagraph"/>
        <w:numPr>
          <w:ilvl w:val="1"/>
          <w:numId w:val="7"/>
        </w:numPr>
        <w:spacing w:after="0" w:line="240" w:lineRule="auto"/>
        <w:ind w:left="0" w:firstLine="0"/>
        <w:jc w:val="both"/>
        <w:rPr>
          <w:rFonts w:ascii="Times New Roman" w:eastAsiaTheme="minorHAnsi" w:hAnsi="Times New Roman"/>
          <w:sz w:val="24"/>
          <w:szCs w:val="24"/>
        </w:rPr>
      </w:pPr>
      <w:r w:rsidRPr="007E40FA">
        <w:rPr>
          <w:rFonts w:ascii="Times New Roman" w:eastAsiaTheme="minorHAnsi" w:hAnsi="Times New Roman"/>
          <w:sz w:val="24"/>
          <w:szCs w:val="24"/>
          <w:highlight w:val="yellow"/>
        </w:rPr>
        <w:t xml:space="preserve">Remove the sample tubes from the magnet and </w:t>
      </w:r>
      <w:proofErr w:type="spellStart"/>
      <w:r w:rsidRPr="007E40FA">
        <w:rPr>
          <w:rFonts w:ascii="Times New Roman" w:eastAsiaTheme="minorHAnsi" w:hAnsi="Times New Roman"/>
          <w:sz w:val="24"/>
          <w:szCs w:val="24"/>
          <w:highlight w:val="yellow"/>
        </w:rPr>
        <w:t>resuspend</w:t>
      </w:r>
      <w:proofErr w:type="spellEnd"/>
      <w:r w:rsidRPr="007E40FA">
        <w:rPr>
          <w:rFonts w:ascii="Times New Roman" w:eastAsiaTheme="minorHAnsi" w:hAnsi="Times New Roman"/>
          <w:sz w:val="24"/>
          <w:szCs w:val="24"/>
          <w:highlight w:val="yellow"/>
        </w:rPr>
        <w:t xml:space="preserve"> in 50 µl of Nucleic Acid Dye</w:t>
      </w:r>
      <w:r w:rsidR="00036BF0" w:rsidRPr="007E40FA">
        <w:rPr>
          <w:rFonts w:ascii="Times New Roman" w:eastAsiaTheme="minorHAnsi" w:hAnsi="Times New Roman"/>
          <w:sz w:val="24"/>
          <w:szCs w:val="24"/>
          <w:highlight w:val="yellow"/>
        </w:rPr>
        <w:t>, 50 µl of Staining Reagent, 1.5 µl of a</w:t>
      </w:r>
      <w:r w:rsidRPr="007E40FA">
        <w:rPr>
          <w:rFonts w:ascii="Times New Roman" w:eastAsiaTheme="minorHAnsi" w:hAnsi="Times New Roman"/>
          <w:sz w:val="24"/>
          <w:szCs w:val="24"/>
          <w:highlight w:val="yellow"/>
        </w:rPr>
        <w:t>nti-</w:t>
      </w:r>
      <w:r w:rsidR="00036BF0" w:rsidRPr="007E40FA">
        <w:rPr>
          <w:rFonts w:ascii="Times New Roman" w:eastAsiaTheme="minorHAnsi" w:hAnsi="Times New Roman"/>
          <w:sz w:val="24"/>
          <w:szCs w:val="24"/>
          <w:highlight w:val="yellow"/>
        </w:rPr>
        <w:t xml:space="preserve">mouse </w:t>
      </w:r>
      <w:r w:rsidRPr="007E40FA">
        <w:rPr>
          <w:rFonts w:ascii="Times New Roman" w:eastAsiaTheme="minorHAnsi" w:hAnsi="Times New Roman"/>
          <w:sz w:val="24"/>
          <w:szCs w:val="24"/>
          <w:highlight w:val="yellow"/>
        </w:rPr>
        <w:t>CD45-APC</w:t>
      </w:r>
      <w:r w:rsidR="00036BF0" w:rsidRPr="007E40FA">
        <w:rPr>
          <w:rFonts w:ascii="Times New Roman" w:eastAsiaTheme="minorHAnsi" w:hAnsi="Times New Roman"/>
          <w:sz w:val="24"/>
          <w:szCs w:val="24"/>
          <w:highlight w:val="yellow"/>
        </w:rPr>
        <w:t>, 5.0 µl of anti-human HLA-AlexaFluor488</w:t>
      </w:r>
      <w:r w:rsidRPr="007E40FA">
        <w:rPr>
          <w:rFonts w:ascii="Times New Roman" w:eastAsiaTheme="minorHAnsi" w:hAnsi="Times New Roman"/>
          <w:sz w:val="24"/>
          <w:szCs w:val="24"/>
          <w:highlight w:val="yellow"/>
        </w:rPr>
        <w:t xml:space="preserve"> and 100 µl of Permeabilization Reagent. </w:t>
      </w:r>
      <w:r w:rsidR="00036BF0" w:rsidRPr="009F3ABD">
        <w:rPr>
          <w:rFonts w:ascii="Times New Roman" w:eastAsiaTheme="minorHAnsi" w:hAnsi="Times New Roman"/>
          <w:sz w:val="24"/>
          <w:szCs w:val="24"/>
        </w:rPr>
        <w:t>For multiple samples, these reagents may be pre</w:t>
      </w:r>
      <w:r w:rsidR="009F6562" w:rsidRPr="009F3ABD">
        <w:rPr>
          <w:rFonts w:ascii="Times New Roman" w:eastAsiaTheme="minorHAnsi" w:hAnsi="Times New Roman"/>
          <w:sz w:val="24"/>
          <w:szCs w:val="24"/>
        </w:rPr>
        <w:t>-mixed and 206.5 µl of mixture</w:t>
      </w:r>
      <w:r w:rsidR="00036BF0" w:rsidRPr="009F3ABD">
        <w:rPr>
          <w:rFonts w:ascii="Times New Roman" w:eastAsiaTheme="minorHAnsi" w:hAnsi="Times New Roman"/>
          <w:sz w:val="24"/>
          <w:szCs w:val="24"/>
        </w:rPr>
        <w:t xml:space="preserve"> may be added to each tube. </w:t>
      </w:r>
      <w:r w:rsidRPr="007E40FA">
        <w:rPr>
          <w:rFonts w:ascii="Times New Roman" w:eastAsiaTheme="minorHAnsi" w:hAnsi="Times New Roman"/>
          <w:sz w:val="24"/>
          <w:szCs w:val="24"/>
          <w:highlight w:val="yellow"/>
        </w:rPr>
        <w:t>Vortex gently to mix and incubate for 20 min at room temperature.</w:t>
      </w:r>
      <w:r w:rsidR="00036BF0" w:rsidRPr="007E40FA">
        <w:rPr>
          <w:rFonts w:ascii="Times New Roman" w:eastAsiaTheme="minorHAnsi" w:hAnsi="Times New Roman"/>
          <w:sz w:val="24"/>
          <w:szCs w:val="24"/>
        </w:rPr>
        <w:t xml:space="preserve">  </w:t>
      </w:r>
    </w:p>
    <w:p w:rsidR="000D081F" w:rsidRPr="007E40FA" w:rsidRDefault="000D081F" w:rsidP="0053484E">
      <w:pPr>
        <w:pStyle w:val="ListParagraph"/>
        <w:spacing w:after="0" w:line="240" w:lineRule="auto"/>
        <w:ind w:left="0"/>
        <w:jc w:val="both"/>
        <w:rPr>
          <w:rFonts w:ascii="Times New Roman" w:eastAsiaTheme="minorHAnsi" w:hAnsi="Times New Roman"/>
          <w:sz w:val="24"/>
          <w:szCs w:val="24"/>
        </w:rPr>
      </w:pPr>
    </w:p>
    <w:p w:rsidR="006B0793" w:rsidRPr="00EB4713" w:rsidRDefault="000D081F" w:rsidP="00EB4713">
      <w:pPr>
        <w:pStyle w:val="ListParagraph"/>
        <w:numPr>
          <w:ilvl w:val="1"/>
          <w:numId w:val="7"/>
        </w:numPr>
        <w:spacing w:after="0" w:line="240" w:lineRule="auto"/>
        <w:ind w:left="0" w:firstLine="0"/>
        <w:jc w:val="both"/>
        <w:rPr>
          <w:rFonts w:ascii="Times New Roman" w:eastAsiaTheme="minorHAnsi" w:hAnsi="Times New Roman"/>
          <w:sz w:val="24"/>
          <w:szCs w:val="24"/>
        </w:rPr>
      </w:pPr>
      <w:r w:rsidRPr="007E40FA">
        <w:rPr>
          <w:rFonts w:ascii="Times New Roman" w:eastAsiaTheme="minorHAnsi" w:hAnsi="Times New Roman"/>
          <w:sz w:val="24"/>
          <w:szCs w:val="24"/>
          <w:highlight w:val="yellow"/>
        </w:rPr>
        <w:lastRenderedPageBreak/>
        <w:t xml:space="preserve">Add 500 µl of dilution buffer, </w:t>
      </w:r>
      <w:r w:rsidR="002D38C3" w:rsidRPr="007E40FA">
        <w:rPr>
          <w:rFonts w:ascii="Times New Roman" w:eastAsiaTheme="minorHAnsi" w:hAnsi="Times New Roman"/>
          <w:sz w:val="24"/>
          <w:szCs w:val="24"/>
          <w:highlight w:val="yellow"/>
        </w:rPr>
        <w:t xml:space="preserve">vortex gently, </w:t>
      </w:r>
      <w:r w:rsidRPr="007E40FA">
        <w:rPr>
          <w:rFonts w:ascii="Times New Roman" w:eastAsiaTheme="minorHAnsi" w:hAnsi="Times New Roman"/>
          <w:sz w:val="24"/>
          <w:szCs w:val="24"/>
          <w:highlight w:val="yellow"/>
        </w:rPr>
        <w:t>place sample tubes into the magnet, and incubate for 10 min.</w:t>
      </w:r>
      <w:r w:rsidR="00637B50" w:rsidRPr="007E40FA">
        <w:rPr>
          <w:rFonts w:ascii="Times New Roman" w:eastAsiaTheme="minorHAnsi" w:hAnsi="Times New Roman"/>
          <w:sz w:val="24"/>
          <w:szCs w:val="24"/>
          <w:highlight w:val="yellow"/>
        </w:rPr>
        <w:t xml:space="preserve"> </w:t>
      </w:r>
      <w:r w:rsidRPr="007E40FA">
        <w:rPr>
          <w:rFonts w:ascii="Times New Roman" w:eastAsiaTheme="minorHAnsi" w:hAnsi="Times New Roman"/>
          <w:sz w:val="24"/>
          <w:szCs w:val="24"/>
          <w:highlight w:val="yellow"/>
        </w:rPr>
        <w:t xml:space="preserve">While the sample tubes are still in the magnet, use a glass pipette to </w:t>
      </w:r>
      <w:r w:rsidRPr="00EB4713">
        <w:rPr>
          <w:rFonts w:ascii="Times New Roman" w:eastAsiaTheme="minorHAnsi" w:hAnsi="Times New Roman"/>
          <w:sz w:val="24"/>
          <w:szCs w:val="24"/>
          <w:highlight w:val="yellow"/>
        </w:rPr>
        <w:t>carefully aspirate the residual liquid without touching the wall of the tube next to the magnet and discard.</w:t>
      </w:r>
      <w:r w:rsidR="006B0793" w:rsidRPr="00EB4713">
        <w:rPr>
          <w:rFonts w:ascii="Times New Roman" w:eastAsiaTheme="minorHAnsi" w:hAnsi="Times New Roman"/>
          <w:sz w:val="24"/>
          <w:szCs w:val="24"/>
          <w:highlight w:val="yellow"/>
        </w:rPr>
        <w:t xml:space="preserve"> Remove the sample tubes from the magnet and </w:t>
      </w:r>
      <w:proofErr w:type="spellStart"/>
      <w:r w:rsidR="006B0793" w:rsidRPr="00EB4713">
        <w:rPr>
          <w:rFonts w:ascii="Times New Roman" w:eastAsiaTheme="minorHAnsi" w:hAnsi="Times New Roman"/>
          <w:sz w:val="24"/>
          <w:szCs w:val="24"/>
          <w:highlight w:val="yellow"/>
        </w:rPr>
        <w:t>resuspend</w:t>
      </w:r>
      <w:proofErr w:type="spellEnd"/>
      <w:r w:rsidR="006B0793" w:rsidRPr="00EB4713">
        <w:rPr>
          <w:rFonts w:ascii="Times New Roman" w:eastAsiaTheme="minorHAnsi" w:hAnsi="Times New Roman"/>
          <w:sz w:val="24"/>
          <w:szCs w:val="24"/>
          <w:highlight w:val="yellow"/>
        </w:rPr>
        <w:t xml:space="preserve"> in 350 µl of dilution buffer.</w:t>
      </w:r>
      <w:r w:rsidR="002D38C3" w:rsidRPr="00EB4713">
        <w:rPr>
          <w:rFonts w:ascii="Times New Roman" w:eastAsiaTheme="minorHAnsi" w:hAnsi="Times New Roman"/>
          <w:sz w:val="24"/>
          <w:szCs w:val="24"/>
        </w:rPr>
        <w:t xml:space="preserve"> </w:t>
      </w:r>
      <w:r w:rsidR="00B00DF1" w:rsidRPr="00EB4713">
        <w:rPr>
          <w:rFonts w:ascii="Times New Roman" w:eastAsiaTheme="minorHAnsi" w:hAnsi="Times New Roman"/>
          <w:sz w:val="24"/>
          <w:szCs w:val="24"/>
          <w:highlight w:val="yellow"/>
        </w:rPr>
        <w:t>Vortex gently to mix.</w:t>
      </w:r>
      <w:r w:rsidR="006B0793" w:rsidRPr="00EB4713">
        <w:rPr>
          <w:rFonts w:ascii="Times New Roman" w:eastAsiaTheme="minorHAnsi" w:hAnsi="Times New Roman"/>
          <w:sz w:val="24"/>
          <w:szCs w:val="24"/>
        </w:rPr>
        <w:t xml:space="preserve"> </w:t>
      </w:r>
    </w:p>
    <w:p w:rsidR="006B0793" w:rsidRPr="007E40FA" w:rsidRDefault="006B0793" w:rsidP="0053484E">
      <w:pPr>
        <w:pStyle w:val="ListParagraph"/>
        <w:spacing w:after="0" w:line="240" w:lineRule="auto"/>
        <w:ind w:left="0"/>
        <w:jc w:val="both"/>
        <w:rPr>
          <w:rFonts w:ascii="Times New Roman" w:eastAsiaTheme="minorHAnsi" w:hAnsi="Times New Roman"/>
          <w:sz w:val="24"/>
          <w:szCs w:val="24"/>
        </w:rPr>
      </w:pPr>
    </w:p>
    <w:p w:rsidR="00237481" w:rsidRPr="00E429F0" w:rsidRDefault="00716910" w:rsidP="0053484E">
      <w:pPr>
        <w:pStyle w:val="ListParagraph"/>
        <w:numPr>
          <w:ilvl w:val="0"/>
          <w:numId w:val="7"/>
        </w:numPr>
        <w:spacing w:after="0" w:line="240" w:lineRule="auto"/>
        <w:ind w:left="0" w:firstLine="0"/>
        <w:jc w:val="both"/>
        <w:rPr>
          <w:rFonts w:ascii="Times New Roman" w:eastAsiaTheme="minorHAnsi" w:hAnsi="Times New Roman"/>
          <w:b/>
          <w:sz w:val="24"/>
          <w:szCs w:val="24"/>
        </w:rPr>
      </w:pPr>
      <w:r w:rsidRPr="007E40FA">
        <w:rPr>
          <w:rFonts w:ascii="Times New Roman" w:eastAsiaTheme="minorHAnsi" w:hAnsi="Times New Roman"/>
          <w:b/>
          <w:sz w:val="24"/>
          <w:szCs w:val="24"/>
        </w:rPr>
        <w:t xml:space="preserve">Magnetic Device </w:t>
      </w:r>
      <w:r w:rsidR="00237481" w:rsidRPr="007E40FA">
        <w:rPr>
          <w:rFonts w:ascii="Times New Roman" w:eastAsiaTheme="minorHAnsi" w:hAnsi="Times New Roman"/>
          <w:b/>
          <w:sz w:val="24"/>
          <w:szCs w:val="24"/>
        </w:rPr>
        <w:t xml:space="preserve">Loading </w:t>
      </w:r>
    </w:p>
    <w:p w:rsidR="005629D8" w:rsidRPr="007E40FA" w:rsidRDefault="006B0793" w:rsidP="0053484E">
      <w:pPr>
        <w:pStyle w:val="ListParagraph"/>
        <w:numPr>
          <w:ilvl w:val="1"/>
          <w:numId w:val="7"/>
        </w:numPr>
        <w:spacing w:after="0" w:line="240" w:lineRule="auto"/>
        <w:ind w:left="0" w:firstLine="0"/>
        <w:jc w:val="both"/>
        <w:rPr>
          <w:rFonts w:ascii="Times New Roman" w:eastAsiaTheme="minorHAnsi" w:hAnsi="Times New Roman"/>
          <w:sz w:val="24"/>
          <w:szCs w:val="24"/>
        </w:rPr>
      </w:pPr>
      <w:r w:rsidRPr="007E40FA">
        <w:rPr>
          <w:rFonts w:ascii="Times New Roman" w:eastAsiaTheme="minorHAnsi" w:hAnsi="Times New Roman"/>
          <w:sz w:val="24"/>
          <w:szCs w:val="24"/>
          <w:highlight w:val="yellow"/>
        </w:rPr>
        <w:t>Using a gel loading tip</w:t>
      </w:r>
      <w:r w:rsidR="00F36283" w:rsidRPr="007E40FA">
        <w:rPr>
          <w:rFonts w:ascii="Times New Roman" w:eastAsiaTheme="minorHAnsi" w:hAnsi="Times New Roman"/>
          <w:sz w:val="24"/>
          <w:szCs w:val="24"/>
          <w:highlight w:val="yellow"/>
        </w:rPr>
        <w:t>,</w:t>
      </w:r>
      <w:r w:rsidRPr="007E40FA">
        <w:rPr>
          <w:rFonts w:ascii="Times New Roman" w:eastAsiaTheme="minorHAnsi" w:hAnsi="Times New Roman"/>
          <w:sz w:val="24"/>
          <w:szCs w:val="24"/>
          <w:highlight w:val="yellow"/>
        </w:rPr>
        <w:t xml:space="preserve"> carefully transfer the entire volume from the sample tube into a cartridge in </w:t>
      </w:r>
      <w:r w:rsidR="00DF5DE3" w:rsidRPr="007E40FA">
        <w:rPr>
          <w:rFonts w:ascii="Times New Roman" w:eastAsiaTheme="minorHAnsi" w:hAnsi="Times New Roman"/>
          <w:sz w:val="24"/>
          <w:szCs w:val="24"/>
          <w:highlight w:val="yellow"/>
        </w:rPr>
        <w:t xml:space="preserve">the </w:t>
      </w:r>
      <w:proofErr w:type="spellStart"/>
      <w:r w:rsidR="00716910" w:rsidRPr="007E40FA">
        <w:rPr>
          <w:rFonts w:ascii="Times New Roman" w:eastAsiaTheme="minorHAnsi" w:hAnsi="Times New Roman"/>
          <w:sz w:val="24"/>
          <w:szCs w:val="24"/>
          <w:highlight w:val="yellow"/>
        </w:rPr>
        <w:t>magentic</w:t>
      </w:r>
      <w:proofErr w:type="spellEnd"/>
      <w:r w:rsidR="00716910" w:rsidRPr="007E40FA">
        <w:rPr>
          <w:rFonts w:ascii="Times New Roman" w:eastAsiaTheme="minorHAnsi" w:hAnsi="Times New Roman"/>
          <w:sz w:val="24"/>
          <w:szCs w:val="24"/>
          <w:highlight w:val="yellow"/>
        </w:rPr>
        <w:t xml:space="preserve"> </w:t>
      </w:r>
      <w:r w:rsidRPr="007E40FA">
        <w:rPr>
          <w:rFonts w:ascii="Times New Roman" w:eastAsiaTheme="minorHAnsi" w:hAnsi="Times New Roman"/>
          <w:sz w:val="24"/>
          <w:szCs w:val="24"/>
          <w:highlight w:val="yellow"/>
        </w:rPr>
        <w:t xml:space="preserve">device. Start at the bottom of the cartridge </w:t>
      </w:r>
      <w:r w:rsidR="00D63122" w:rsidRPr="007E40FA">
        <w:rPr>
          <w:rFonts w:ascii="Times New Roman" w:eastAsiaTheme="minorHAnsi" w:hAnsi="Times New Roman"/>
          <w:sz w:val="24"/>
          <w:szCs w:val="24"/>
          <w:highlight w:val="yellow"/>
        </w:rPr>
        <w:t xml:space="preserve">and </w:t>
      </w:r>
      <w:r w:rsidRPr="007E40FA">
        <w:rPr>
          <w:rFonts w:ascii="Times New Roman" w:eastAsiaTheme="minorHAnsi" w:hAnsi="Times New Roman"/>
          <w:sz w:val="24"/>
          <w:szCs w:val="24"/>
          <w:highlight w:val="yellow"/>
        </w:rPr>
        <w:t>slowly withdraw the tip as the sample is dispensed.</w:t>
      </w:r>
      <w:r w:rsidRPr="007E40FA">
        <w:rPr>
          <w:rFonts w:ascii="Times New Roman" w:eastAsiaTheme="minorHAnsi" w:hAnsi="Times New Roman"/>
          <w:sz w:val="24"/>
          <w:szCs w:val="24"/>
        </w:rPr>
        <w:t xml:space="preserve">  </w:t>
      </w:r>
    </w:p>
    <w:p w:rsidR="006B0793" w:rsidRPr="007E40FA" w:rsidRDefault="006B0793" w:rsidP="0053484E">
      <w:pPr>
        <w:pStyle w:val="ListParagraph"/>
        <w:spacing w:after="0" w:line="240" w:lineRule="auto"/>
        <w:ind w:left="0"/>
        <w:jc w:val="both"/>
        <w:rPr>
          <w:rFonts w:ascii="Times New Roman" w:eastAsiaTheme="minorHAnsi" w:hAnsi="Times New Roman"/>
          <w:sz w:val="24"/>
          <w:szCs w:val="24"/>
        </w:rPr>
      </w:pPr>
    </w:p>
    <w:p w:rsidR="00237481" w:rsidRPr="007E40FA" w:rsidRDefault="006B0793" w:rsidP="0053484E">
      <w:pPr>
        <w:pStyle w:val="ListParagraph"/>
        <w:numPr>
          <w:ilvl w:val="1"/>
          <w:numId w:val="7"/>
        </w:numPr>
        <w:spacing w:after="0" w:line="240" w:lineRule="auto"/>
        <w:ind w:left="0" w:firstLine="0"/>
        <w:jc w:val="both"/>
        <w:rPr>
          <w:rFonts w:ascii="Times New Roman" w:eastAsiaTheme="minorHAnsi" w:hAnsi="Times New Roman"/>
          <w:sz w:val="24"/>
          <w:szCs w:val="24"/>
        </w:rPr>
      </w:pPr>
      <w:r w:rsidRPr="007E40FA">
        <w:rPr>
          <w:rFonts w:ascii="Times New Roman" w:eastAsiaTheme="minorHAnsi" w:hAnsi="Times New Roman"/>
          <w:sz w:val="24"/>
          <w:szCs w:val="24"/>
        </w:rPr>
        <w:t xml:space="preserve">Once </w:t>
      </w:r>
      <w:r w:rsidR="009F6562" w:rsidRPr="007E40FA">
        <w:rPr>
          <w:rFonts w:ascii="Times New Roman" w:eastAsiaTheme="minorHAnsi" w:hAnsi="Times New Roman"/>
          <w:sz w:val="24"/>
          <w:szCs w:val="24"/>
        </w:rPr>
        <w:t xml:space="preserve">the </w:t>
      </w:r>
      <w:r w:rsidRPr="007E40FA">
        <w:rPr>
          <w:rFonts w:ascii="Times New Roman" w:eastAsiaTheme="minorHAnsi" w:hAnsi="Times New Roman"/>
          <w:sz w:val="24"/>
          <w:szCs w:val="24"/>
        </w:rPr>
        <w:t xml:space="preserve">entire sample has been transferred, loosely cap </w:t>
      </w:r>
      <w:r w:rsidR="009F6562" w:rsidRPr="007E40FA">
        <w:rPr>
          <w:rFonts w:ascii="Times New Roman" w:eastAsiaTheme="minorHAnsi" w:hAnsi="Times New Roman"/>
          <w:sz w:val="24"/>
          <w:szCs w:val="24"/>
        </w:rPr>
        <w:t xml:space="preserve">the </w:t>
      </w:r>
      <w:r w:rsidR="00716910" w:rsidRPr="007E40FA">
        <w:rPr>
          <w:rFonts w:ascii="Times New Roman" w:eastAsiaTheme="minorHAnsi" w:hAnsi="Times New Roman"/>
          <w:sz w:val="24"/>
          <w:szCs w:val="24"/>
        </w:rPr>
        <w:t xml:space="preserve">magnetic device </w:t>
      </w:r>
      <w:r w:rsidR="00F36283" w:rsidRPr="007E40FA">
        <w:rPr>
          <w:rFonts w:ascii="Times New Roman" w:eastAsiaTheme="minorHAnsi" w:hAnsi="Times New Roman"/>
          <w:sz w:val="24"/>
          <w:szCs w:val="24"/>
        </w:rPr>
        <w:t xml:space="preserve">cartridge </w:t>
      </w:r>
      <w:r w:rsidRPr="007E40FA">
        <w:rPr>
          <w:rFonts w:ascii="Times New Roman" w:eastAsiaTheme="minorHAnsi" w:hAnsi="Times New Roman"/>
          <w:sz w:val="24"/>
          <w:szCs w:val="24"/>
        </w:rPr>
        <w:t xml:space="preserve">and tap </w:t>
      </w:r>
      <w:r w:rsidR="009F6562" w:rsidRPr="007E40FA">
        <w:rPr>
          <w:rFonts w:ascii="Times New Roman" w:eastAsiaTheme="minorHAnsi" w:hAnsi="Times New Roman"/>
          <w:sz w:val="24"/>
          <w:szCs w:val="24"/>
        </w:rPr>
        <w:t xml:space="preserve">the </w:t>
      </w:r>
      <w:r w:rsidR="00716910" w:rsidRPr="007E40FA">
        <w:rPr>
          <w:rFonts w:ascii="Times New Roman" w:eastAsiaTheme="minorHAnsi" w:hAnsi="Times New Roman"/>
          <w:sz w:val="24"/>
          <w:szCs w:val="24"/>
        </w:rPr>
        <w:t xml:space="preserve">magnetic </w:t>
      </w:r>
      <w:r w:rsidRPr="007E40FA">
        <w:rPr>
          <w:rFonts w:ascii="Times New Roman" w:eastAsiaTheme="minorHAnsi" w:hAnsi="Times New Roman"/>
          <w:sz w:val="24"/>
          <w:szCs w:val="24"/>
        </w:rPr>
        <w:t xml:space="preserve">device </w:t>
      </w:r>
      <w:r w:rsidR="00F36283" w:rsidRPr="007E40FA">
        <w:rPr>
          <w:rFonts w:ascii="Times New Roman" w:eastAsiaTheme="minorHAnsi" w:hAnsi="Times New Roman"/>
          <w:sz w:val="24"/>
          <w:szCs w:val="24"/>
        </w:rPr>
        <w:t>using hands or</w:t>
      </w:r>
      <w:r w:rsidR="00237481" w:rsidRPr="007E40FA">
        <w:rPr>
          <w:rFonts w:ascii="Times New Roman" w:eastAsiaTheme="minorHAnsi" w:hAnsi="Times New Roman"/>
          <w:sz w:val="24"/>
          <w:szCs w:val="24"/>
        </w:rPr>
        <w:t xml:space="preserve"> lab bench to release any bubbles that are stuck to the edges of the cartridge</w:t>
      </w:r>
      <w:r w:rsidR="00990F17" w:rsidRPr="007E40FA">
        <w:rPr>
          <w:rFonts w:ascii="Times New Roman" w:eastAsiaTheme="minorHAnsi" w:hAnsi="Times New Roman"/>
          <w:sz w:val="24"/>
          <w:szCs w:val="24"/>
        </w:rPr>
        <w:t xml:space="preserve"> as described in section 3.1 of the </w:t>
      </w:r>
      <w:r w:rsidR="00990F17" w:rsidRPr="007E40FA">
        <w:rPr>
          <w:rFonts w:ascii="Times New Roman" w:eastAsiaTheme="minorHAnsi" w:hAnsi="Times New Roman"/>
          <w:b/>
          <w:i/>
          <w:sz w:val="24"/>
          <w:szCs w:val="24"/>
        </w:rPr>
        <w:t xml:space="preserve">Standard CTC Enumeration from Patient Blood Samples using the </w:t>
      </w:r>
      <w:r w:rsidR="004C0272" w:rsidRPr="007E40FA">
        <w:rPr>
          <w:rFonts w:ascii="Times New Roman" w:eastAsiaTheme="minorHAnsi" w:hAnsi="Times New Roman"/>
          <w:b/>
          <w:i/>
          <w:sz w:val="24"/>
          <w:szCs w:val="24"/>
        </w:rPr>
        <w:t>CSS</w:t>
      </w:r>
      <w:r w:rsidR="00237481" w:rsidRPr="007E40FA">
        <w:rPr>
          <w:rFonts w:ascii="Times New Roman" w:eastAsiaTheme="minorHAnsi" w:hAnsi="Times New Roman"/>
          <w:sz w:val="24"/>
          <w:szCs w:val="24"/>
        </w:rPr>
        <w:t xml:space="preserve">. </w:t>
      </w:r>
    </w:p>
    <w:p w:rsidR="00237481" w:rsidRPr="007E40FA" w:rsidRDefault="00237481" w:rsidP="0053484E">
      <w:pPr>
        <w:pStyle w:val="ListParagraph"/>
        <w:spacing w:after="0" w:line="240" w:lineRule="auto"/>
        <w:ind w:left="0"/>
        <w:jc w:val="both"/>
        <w:rPr>
          <w:rFonts w:ascii="Times New Roman" w:eastAsiaTheme="minorHAnsi" w:hAnsi="Times New Roman"/>
          <w:sz w:val="24"/>
          <w:szCs w:val="24"/>
        </w:rPr>
      </w:pPr>
    </w:p>
    <w:p w:rsidR="006B0793" w:rsidRPr="007E40FA" w:rsidRDefault="006B0793" w:rsidP="0053484E">
      <w:pPr>
        <w:pStyle w:val="ListParagraph"/>
        <w:numPr>
          <w:ilvl w:val="1"/>
          <w:numId w:val="7"/>
        </w:numPr>
        <w:spacing w:after="0" w:line="240" w:lineRule="auto"/>
        <w:ind w:left="0" w:firstLine="0"/>
        <w:jc w:val="both"/>
        <w:rPr>
          <w:rFonts w:ascii="Times New Roman" w:eastAsiaTheme="minorHAnsi" w:hAnsi="Times New Roman"/>
          <w:sz w:val="24"/>
          <w:szCs w:val="24"/>
        </w:rPr>
      </w:pPr>
      <w:r w:rsidRPr="007E40FA">
        <w:rPr>
          <w:rFonts w:ascii="Times New Roman" w:eastAsiaTheme="minorHAnsi" w:hAnsi="Times New Roman"/>
          <w:sz w:val="24"/>
          <w:szCs w:val="24"/>
          <w:highlight w:val="yellow"/>
        </w:rPr>
        <w:t>Pop any bubbles</w:t>
      </w:r>
      <w:r w:rsidR="00F36283" w:rsidRPr="007E40FA">
        <w:rPr>
          <w:rFonts w:ascii="Times New Roman" w:eastAsiaTheme="minorHAnsi" w:hAnsi="Times New Roman"/>
          <w:sz w:val="24"/>
          <w:szCs w:val="24"/>
          <w:highlight w:val="yellow"/>
        </w:rPr>
        <w:t xml:space="preserve"> </w:t>
      </w:r>
      <w:r w:rsidRPr="007E40FA">
        <w:rPr>
          <w:rFonts w:ascii="Times New Roman" w:eastAsiaTheme="minorHAnsi" w:hAnsi="Times New Roman"/>
          <w:sz w:val="24"/>
          <w:szCs w:val="24"/>
          <w:highlight w:val="yellow"/>
        </w:rPr>
        <w:t xml:space="preserve">using a </w:t>
      </w:r>
      <w:r w:rsidR="00D63122" w:rsidRPr="007E40FA">
        <w:rPr>
          <w:rFonts w:ascii="Times New Roman" w:eastAsiaTheme="minorHAnsi" w:hAnsi="Times New Roman"/>
          <w:sz w:val="24"/>
          <w:szCs w:val="24"/>
          <w:highlight w:val="yellow"/>
        </w:rPr>
        <w:t xml:space="preserve">sterile </w:t>
      </w:r>
      <w:r w:rsidRPr="007E40FA">
        <w:rPr>
          <w:rFonts w:ascii="Times New Roman" w:eastAsiaTheme="minorHAnsi" w:hAnsi="Times New Roman"/>
          <w:sz w:val="24"/>
          <w:szCs w:val="24"/>
          <w:highlight w:val="yellow"/>
        </w:rPr>
        <w:t>22 gauge needle</w:t>
      </w:r>
      <w:r w:rsidR="00F36283" w:rsidRPr="007E40FA">
        <w:rPr>
          <w:rFonts w:ascii="Times New Roman" w:eastAsiaTheme="minorHAnsi" w:hAnsi="Times New Roman"/>
          <w:sz w:val="24"/>
          <w:szCs w:val="24"/>
          <w:highlight w:val="yellow"/>
        </w:rPr>
        <w:t xml:space="preserve"> by trapping them between the bevel and the edge of the cartridge</w:t>
      </w:r>
      <w:r w:rsidR="00237481" w:rsidRPr="007E40FA">
        <w:rPr>
          <w:rFonts w:ascii="Times New Roman" w:eastAsiaTheme="minorHAnsi" w:hAnsi="Times New Roman"/>
          <w:sz w:val="24"/>
          <w:szCs w:val="24"/>
          <w:highlight w:val="yellow"/>
        </w:rPr>
        <w:t xml:space="preserve">. Once all the bubbles have been removed, firmly cap </w:t>
      </w:r>
      <w:r w:rsidR="009F6562" w:rsidRPr="007E40FA">
        <w:rPr>
          <w:rFonts w:ascii="Times New Roman" w:eastAsiaTheme="minorHAnsi" w:hAnsi="Times New Roman"/>
          <w:sz w:val="24"/>
          <w:szCs w:val="24"/>
          <w:highlight w:val="yellow"/>
        </w:rPr>
        <w:t xml:space="preserve">the </w:t>
      </w:r>
      <w:r w:rsidR="00237481" w:rsidRPr="007E40FA">
        <w:rPr>
          <w:rFonts w:ascii="Times New Roman" w:eastAsiaTheme="minorHAnsi" w:hAnsi="Times New Roman"/>
          <w:sz w:val="24"/>
          <w:szCs w:val="24"/>
          <w:highlight w:val="yellow"/>
        </w:rPr>
        <w:t>cartridge</w:t>
      </w:r>
      <w:r w:rsidR="006F6BBE" w:rsidRPr="007E40FA">
        <w:rPr>
          <w:rFonts w:ascii="Times New Roman" w:eastAsiaTheme="minorHAnsi" w:hAnsi="Times New Roman"/>
          <w:sz w:val="24"/>
          <w:szCs w:val="24"/>
          <w:highlight w:val="yellow"/>
        </w:rPr>
        <w:t>, lay</w:t>
      </w:r>
      <w:r w:rsidR="009F6562" w:rsidRPr="007E40FA">
        <w:rPr>
          <w:rFonts w:ascii="Times New Roman" w:eastAsiaTheme="minorHAnsi" w:hAnsi="Times New Roman"/>
          <w:sz w:val="24"/>
          <w:szCs w:val="24"/>
          <w:highlight w:val="yellow"/>
        </w:rPr>
        <w:t xml:space="preserve"> the</w:t>
      </w:r>
      <w:r w:rsidR="006F6BBE" w:rsidRPr="007E40FA">
        <w:rPr>
          <w:rFonts w:ascii="Times New Roman" w:eastAsiaTheme="minorHAnsi" w:hAnsi="Times New Roman"/>
          <w:sz w:val="24"/>
          <w:szCs w:val="24"/>
          <w:highlight w:val="yellow"/>
        </w:rPr>
        <w:t xml:space="preserve"> </w:t>
      </w:r>
      <w:r w:rsidR="00716910" w:rsidRPr="007E40FA">
        <w:rPr>
          <w:rFonts w:ascii="Times New Roman" w:eastAsiaTheme="minorHAnsi" w:hAnsi="Times New Roman"/>
          <w:sz w:val="24"/>
          <w:szCs w:val="24"/>
          <w:highlight w:val="yellow"/>
        </w:rPr>
        <w:t xml:space="preserve">magnetic </w:t>
      </w:r>
      <w:r w:rsidR="00237481" w:rsidRPr="007E40FA">
        <w:rPr>
          <w:rFonts w:ascii="Times New Roman" w:eastAsiaTheme="minorHAnsi" w:hAnsi="Times New Roman"/>
          <w:sz w:val="24"/>
          <w:szCs w:val="24"/>
          <w:highlight w:val="yellow"/>
        </w:rPr>
        <w:t>device flat</w:t>
      </w:r>
      <w:r w:rsidR="006F6BBE" w:rsidRPr="007E40FA">
        <w:rPr>
          <w:rFonts w:ascii="Times New Roman" w:eastAsiaTheme="minorHAnsi" w:hAnsi="Times New Roman"/>
          <w:sz w:val="24"/>
          <w:szCs w:val="24"/>
          <w:highlight w:val="yellow"/>
        </w:rPr>
        <w:t>,</w:t>
      </w:r>
      <w:r w:rsidR="00237481" w:rsidRPr="007E40FA">
        <w:rPr>
          <w:rFonts w:ascii="Times New Roman" w:eastAsiaTheme="minorHAnsi" w:hAnsi="Times New Roman"/>
          <w:sz w:val="24"/>
          <w:szCs w:val="24"/>
          <w:highlight w:val="yellow"/>
        </w:rPr>
        <w:t xml:space="preserve"> and incubate in the dark for at least 10 minutes.</w:t>
      </w:r>
      <w:r w:rsidR="00F36283" w:rsidRPr="007E40FA">
        <w:rPr>
          <w:rFonts w:ascii="Times New Roman" w:eastAsiaTheme="minorHAnsi" w:hAnsi="Times New Roman"/>
          <w:sz w:val="24"/>
          <w:szCs w:val="24"/>
        </w:rPr>
        <w:t xml:space="preserve"> Samples must be scanned within 24 hours of preparation.</w:t>
      </w:r>
    </w:p>
    <w:p w:rsidR="00237481" w:rsidRPr="007E40FA" w:rsidRDefault="00237481" w:rsidP="0053484E">
      <w:pPr>
        <w:pStyle w:val="ListParagraph"/>
        <w:spacing w:after="0" w:line="240" w:lineRule="auto"/>
        <w:ind w:left="0"/>
        <w:jc w:val="both"/>
        <w:rPr>
          <w:rFonts w:ascii="Times New Roman" w:eastAsiaTheme="minorHAnsi" w:hAnsi="Times New Roman"/>
          <w:sz w:val="24"/>
          <w:szCs w:val="24"/>
        </w:rPr>
      </w:pPr>
    </w:p>
    <w:p w:rsidR="00BD04DF" w:rsidRPr="00E429F0" w:rsidRDefault="00237481" w:rsidP="0053484E">
      <w:pPr>
        <w:pStyle w:val="ListParagraph"/>
        <w:numPr>
          <w:ilvl w:val="0"/>
          <w:numId w:val="10"/>
        </w:numPr>
        <w:spacing w:after="0" w:line="240" w:lineRule="auto"/>
        <w:ind w:left="0" w:firstLine="0"/>
        <w:jc w:val="both"/>
        <w:rPr>
          <w:rFonts w:ascii="Times New Roman" w:eastAsiaTheme="minorHAnsi" w:hAnsi="Times New Roman"/>
          <w:b/>
          <w:sz w:val="24"/>
          <w:szCs w:val="24"/>
        </w:rPr>
      </w:pPr>
      <w:r w:rsidRPr="007E40FA">
        <w:rPr>
          <w:rFonts w:ascii="Times New Roman" w:eastAsiaTheme="minorHAnsi" w:hAnsi="Times New Roman"/>
          <w:b/>
          <w:sz w:val="24"/>
          <w:szCs w:val="24"/>
        </w:rPr>
        <w:t>Scanning</w:t>
      </w:r>
      <w:r w:rsidR="00BD04DF" w:rsidRPr="007E40FA">
        <w:rPr>
          <w:rFonts w:ascii="Times New Roman" w:eastAsiaTheme="minorHAnsi" w:hAnsi="Times New Roman"/>
          <w:b/>
          <w:sz w:val="24"/>
          <w:szCs w:val="24"/>
        </w:rPr>
        <w:t xml:space="preserve"> </w:t>
      </w:r>
      <w:r w:rsidR="009F6562" w:rsidRPr="007E40FA">
        <w:rPr>
          <w:rFonts w:ascii="Times New Roman" w:eastAsiaTheme="minorHAnsi" w:hAnsi="Times New Roman"/>
          <w:b/>
          <w:sz w:val="24"/>
          <w:szCs w:val="24"/>
        </w:rPr>
        <w:t xml:space="preserve">of Manually Separated Samples </w:t>
      </w:r>
      <w:r w:rsidR="00BD04DF" w:rsidRPr="007E40FA">
        <w:rPr>
          <w:rFonts w:ascii="Times New Roman" w:eastAsiaTheme="minorHAnsi" w:hAnsi="Times New Roman"/>
          <w:b/>
          <w:sz w:val="24"/>
          <w:szCs w:val="24"/>
        </w:rPr>
        <w:t xml:space="preserve">on the </w:t>
      </w:r>
      <w:r w:rsidR="00F131F9" w:rsidRPr="007E40FA">
        <w:rPr>
          <w:rFonts w:ascii="Times New Roman" w:eastAsiaTheme="minorHAnsi" w:hAnsi="Times New Roman"/>
          <w:b/>
          <w:sz w:val="24"/>
          <w:szCs w:val="24"/>
        </w:rPr>
        <w:t>Analysis Instrument</w:t>
      </w:r>
    </w:p>
    <w:p w:rsidR="00F03D5A" w:rsidRPr="007E40FA" w:rsidRDefault="00F03D5A" w:rsidP="0053484E">
      <w:pPr>
        <w:pStyle w:val="ListParagraph"/>
        <w:numPr>
          <w:ilvl w:val="1"/>
          <w:numId w:val="14"/>
        </w:numPr>
        <w:spacing w:after="0" w:line="240" w:lineRule="auto"/>
        <w:ind w:left="0" w:firstLine="0"/>
        <w:jc w:val="both"/>
        <w:rPr>
          <w:rFonts w:ascii="Times New Roman" w:eastAsiaTheme="minorHAnsi" w:hAnsi="Times New Roman"/>
          <w:b/>
          <w:sz w:val="24"/>
          <w:szCs w:val="24"/>
        </w:rPr>
      </w:pPr>
      <w:r w:rsidRPr="007E40FA">
        <w:rPr>
          <w:rFonts w:ascii="Times New Roman" w:eastAsiaTheme="minorHAnsi" w:hAnsi="Times New Roman"/>
          <w:sz w:val="24"/>
          <w:szCs w:val="24"/>
        </w:rPr>
        <w:t xml:space="preserve">Turn on the </w:t>
      </w:r>
      <w:r w:rsidR="00716910" w:rsidRPr="007E40FA">
        <w:rPr>
          <w:rFonts w:ascii="Times New Roman" w:eastAsiaTheme="minorHAnsi" w:hAnsi="Times New Roman"/>
          <w:sz w:val="24"/>
          <w:szCs w:val="24"/>
        </w:rPr>
        <w:t>analysis instrument</w:t>
      </w:r>
      <w:r w:rsidR="00BE1405" w:rsidRPr="007E40FA">
        <w:rPr>
          <w:rFonts w:ascii="Times New Roman" w:eastAsiaTheme="minorHAnsi" w:hAnsi="Times New Roman"/>
          <w:sz w:val="24"/>
          <w:szCs w:val="24"/>
        </w:rPr>
        <w:t xml:space="preserve">, initialize the lamp, </w:t>
      </w:r>
      <w:r w:rsidR="00B009F0" w:rsidRPr="007E40FA">
        <w:rPr>
          <w:rFonts w:ascii="Times New Roman" w:eastAsiaTheme="minorHAnsi" w:hAnsi="Times New Roman"/>
          <w:sz w:val="24"/>
          <w:szCs w:val="24"/>
        </w:rPr>
        <w:t xml:space="preserve">and </w:t>
      </w:r>
      <w:r w:rsidRPr="007E40FA">
        <w:rPr>
          <w:rFonts w:ascii="Times New Roman" w:eastAsiaTheme="minorHAnsi" w:hAnsi="Times New Roman"/>
          <w:sz w:val="24"/>
          <w:szCs w:val="24"/>
        </w:rPr>
        <w:t xml:space="preserve">perform quality control and </w:t>
      </w:r>
      <w:r w:rsidR="00B009F0" w:rsidRPr="007E40FA">
        <w:rPr>
          <w:rFonts w:ascii="Times New Roman" w:eastAsiaTheme="minorHAnsi" w:hAnsi="Times New Roman"/>
          <w:sz w:val="24"/>
          <w:szCs w:val="24"/>
        </w:rPr>
        <w:t xml:space="preserve">system </w:t>
      </w:r>
      <w:r w:rsidRPr="007E40FA">
        <w:rPr>
          <w:rFonts w:ascii="Times New Roman" w:eastAsiaTheme="minorHAnsi" w:hAnsi="Times New Roman"/>
          <w:sz w:val="24"/>
          <w:szCs w:val="24"/>
        </w:rPr>
        <w:t>verification as</w:t>
      </w:r>
      <w:r w:rsidR="00BE1405" w:rsidRPr="007E40FA">
        <w:rPr>
          <w:rFonts w:ascii="Times New Roman" w:eastAsiaTheme="minorHAnsi" w:hAnsi="Times New Roman"/>
          <w:sz w:val="24"/>
          <w:szCs w:val="24"/>
        </w:rPr>
        <w:t xml:space="preserve"> described in section 3.2 of the</w:t>
      </w:r>
      <w:r w:rsidRPr="007E40FA">
        <w:rPr>
          <w:rFonts w:ascii="Times New Roman" w:eastAsiaTheme="minorHAnsi" w:hAnsi="Times New Roman"/>
          <w:sz w:val="24"/>
          <w:szCs w:val="24"/>
        </w:rPr>
        <w:t xml:space="preserve"> </w:t>
      </w:r>
      <w:r w:rsidR="009F6562" w:rsidRPr="007E40FA">
        <w:rPr>
          <w:rFonts w:ascii="Times New Roman" w:eastAsiaTheme="minorHAnsi" w:hAnsi="Times New Roman"/>
          <w:b/>
          <w:i/>
          <w:sz w:val="24"/>
          <w:szCs w:val="24"/>
        </w:rPr>
        <w:t xml:space="preserve">Standard CTC Enumeration from Patient Blood Samples using the </w:t>
      </w:r>
      <w:r w:rsidR="004C0272" w:rsidRPr="007E40FA">
        <w:rPr>
          <w:rFonts w:ascii="Times New Roman" w:eastAsiaTheme="minorHAnsi" w:hAnsi="Times New Roman"/>
          <w:b/>
          <w:i/>
          <w:sz w:val="24"/>
          <w:szCs w:val="24"/>
        </w:rPr>
        <w:t>CSS</w:t>
      </w:r>
      <w:r w:rsidRPr="007E40FA">
        <w:rPr>
          <w:rFonts w:ascii="Times New Roman" w:eastAsiaTheme="minorHAnsi" w:hAnsi="Times New Roman"/>
          <w:sz w:val="24"/>
          <w:szCs w:val="24"/>
        </w:rPr>
        <w:t xml:space="preserve"> protocol.</w:t>
      </w:r>
    </w:p>
    <w:p w:rsidR="00F03D5A" w:rsidRPr="007E40FA" w:rsidRDefault="00F03D5A" w:rsidP="0053484E">
      <w:pPr>
        <w:pStyle w:val="ListParagraph"/>
        <w:spacing w:after="0" w:line="240" w:lineRule="auto"/>
        <w:ind w:left="0"/>
        <w:jc w:val="both"/>
        <w:rPr>
          <w:rFonts w:ascii="Times New Roman" w:eastAsiaTheme="minorHAnsi" w:hAnsi="Times New Roman"/>
          <w:b/>
          <w:sz w:val="24"/>
          <w:szCs w:val="24"/>
        </w:rPr>
      </w:pPr>
    </w:p>
    <w:p w:rsidR="00BD04DF" w:rsidRPr="007E40FA" w:rsidRDefault="007442AE" w:rsidP="0053484E">
      <w:pPr>
        <w:pStyle w:val="ListParagraph"/>
        <w:numPr>
          <w:ilvl w:val="1"/>
          <w:numId w:val="14"/>
        </w:numPr>
        <w:spacing w:after="0" w:line="240" w:lineRule="auto"/>
        <w:ind w:left="0" w:firstLine="0"/>
        <w:jc w:val="both"/>
        <w:rPr>
          <w:rFonts w:ascii="Times New Roman" w:eastAsiaTheme="minorHAnsi" w:hAnsi="Times New Roman"/>
          <w:b/>
          <w:sz w:val="24"/>
          <w:szCs w:val="24"/>
        </w:rPr>
      </w:pPr>
      <w:r w:rsidRPr="007E40FA">
        <w:rPr>
          <w:rFonts w:ascii="Times New Roman" w:eastAsiaTheme="minorHAnsi" w:hAnsi="Times New Roman"/>
          <w:sz w:val="24"/>
          <w:szCs w:val="24"/>
          <w:highlight w:val="yellow"/>
        </w:rPr>
        <w:t xml:space="preserve">Load the sample onto the </w:t>
      </w:r>
      <w:r w:rsidR="00716910" w:rsidRPr="007E40FA">
        <w:rPr>
          <w:rFonts w:ascii="Times New Roman" w:eastAsiaTheme="minorHAnsi" w:hAnsi="Times New Roman"/>
          <w:sz w:val="24"/>
          <w:szCs w:val="24"/>
          <w:highlight w:val="yellow"/>
        </w:rPr>
        <w:t>analysis instrument</w:t>
      </w:r>
      <w:r w:rsidRPr="007E40FA">
        <w:rPr>
          <w:rFonts w:ascii="Times New Roman" w:eastAsiaTheme="minorHAnsi" w:hAnsi="Times New Roman"/>
          <w:sz w:val="24"/>
          <w:szCs w:val="24"/>
          <w:highlight w:val="yellow"/>
        </w:rPr>
        <w:t xml:space="preserve"> and select the </w:t>
      </w:r>
      <w:r w:rsidRPr="007E40FA">
        <w:rPr>
          <w:rFonts w:ascii="Times New Roman" w:eastAsiaTheme="minorHAnsi" w:hAnsi="Times New Roman"/>
          <w:i/>
          <w:sz w:val="24"/>
          <w:szCs w:val="24"/>
          <w:highlight w:val="yellow"/>
        </w:rPr>
        <w:t>Setup</w:t>
      </w:r>
      <w:r w:rsidRPr="007E40FA">
        <w:rPr>
          <w:rFonts w:ascii="Times New Roman" w:eastAsiaTheme="minorHAnsi" w:hAnsi="Times New Roman"/>
          <w:sz w:val="24"/>
          <w:szCs w:val="24"/>
          <w:highlight w:val="yellow"/>
        </w:rPr>
        <w:t xml:space="preserve"> tab. </w:t>
      </w:r>
      <w:proofErr w:type="gramStart"/>
      <w:r w:rsidRPr="007E40FA">
        <w:rPr>
          <w:rFonts w:ascii="Times New Roman" w:eastAsiaTheme="minorHAnsi" w:hAnsi="Times New Roman"/>
          <w:sz w:val="24"/>
          <w:szCs w:val="24"/>
          <w:highlight w:val="yellow"/>
        </w:rPr>
        <w:t>Clear</w:t>
      </w:r>
      <w:proofErr w:type="gramEnd"/>
      <w:r w:rsidRPr="007E40FA">
        <w:rPr>
          <w:rFonts w:ascii="Times New Roman" w:eastAsiaTheme="minorHAnsi" w:hAnsi="Times New Roman"/>
          <w:sz w:val="24"/>
          <w:szCs w:val="24"/>
          <w:highlight w:val="yellow"/>
        </w:rPr>
        <w:t xml:space="preserve"> any existing data on the </w:t>
      </w:r>
      <w:r w:rsidR="00716910" w:rsidRPr="007E40FA">
        <w:rPr>
          <w:rFonts w:ascii="Times New Roman" w:eastAsiaTheme="minorHAnsi" w:hAnsi="Times New Roman"/>
          <w:sz w:val="24"/>
          <w:szCs w:val="24"/>
          <w:highlight w:val="yellow"/>
        </w:rPr>
        <w:t xml:space="preserve">magnetic device </w:t>
      </w:r>
      <w:r w:rsidRPr="007E40FA">
        <w:rPr>
          <w:rFonts w:ascii="Times New Roman" w:eastAsiaTheme="minorHAnsi" w:hAnsi="Times New Roman"/>
          <w:sz w:val="24"/>
          <w:szCs w:val="24"/>
          <w:highlight w:val="yellow"/>
        </w:rPr>
        <w:t xml:space="preserve">data button by clicking the </w:t>
      </w:r>
      <w:r w:rsidRPr="007E40FA">
        <w:rPr>
          <w:rFonts w:ascii="Times New Roman" w:eastAsiaTheme="minorHAnsi" w:hAnsi="Times New Roman"/>
          <w:i/>
          <w:sz w:val="24"/>
          <w:szCs w:val="24"/>
          <w:highlight w:val="yellow"/>
        </w:rPr>
        <w:t>Format Sample</w:t>
      </w:r>
      <w:r w:rsidRPr="007E40FA">
        <w:rPr>
          <w:rFonts w:ascii="Times New Roman" w:eastAsiaTheme="minorHAnsi" w:hAnsi="Times New Roman"/>
          <w:sz w:val="24"/>
          <w:szCs w:val="24"/>
          <w:highlight w:val="yellow"/>
        </w:rPr>
        <w:t xml:space="preserve"> button.</w:t>
      </w:r>
      <w:r w:rsidRPr="007E40FA">
        <w:rPr>
          <w:rFonts w:ascii="Times New Roman" w:eastAsiaTheme="minorHAnsi" w:hAnsi="Times New Roman"/>
          <w:sz w:val="24"/>
          <w:szCs w:val="24"/>
        </w:rPr>
        <w:t xml:space="preserve"> Enable the FITC channel and set the exposure time to 1.0 sec as described in section 2.2 of the </w:t>
      </w:r>
      <w:r w:rsidRPr="007E40FA">
        <w:rPr>
          <w:rFonts w:ascii="Times New Roman" w:hAnsi="Times New Roman"/>
          <w:b/>
          <w:i/>
          <w:sz w:val="24"/>
          <w:szCs w:val="24"/>
        </w:rPr>
        <w:t xml:space="preserve">CTC Characterization for User-Defined Markers using the </w:t>
      </w:r>
      <w:r w:rsidR="004C0272" w:rsidRPr="007E40FA">
        <w:rPr>
          <w:rFonts w:ascii="Times New Roman" w:hAnsi="Times New Roman"/>
          <w:b/>
          <w:i/>
          <w:sz w:val="24"/>
          <w:szCs w:val="24"/>
        </w:rPr>
        <w:t>CSS</w:t>
      </w:r>
      <w:r w:rsidRPr="007E40FA">
        <w:rPr>
          <w:rFonts w:ascii="Times New Roman" w:eastAsiaTheme="minorHAnsi" w:hAnsi="Times New Roman"/>
          <w:sz w:val="24"/>
          <w:szCs w:val="24"/>
        </w:rPr>
        <w:t xml:space="preserve">.  </w:t>
      </w:r>
      <w:r w:rsidR="00F36283" w:rsidRPr="007E40FA">
        <w:rPr>
          <w:rFonts w:ascii="Times New Roman" w:eastAsiaTheme="minorHAnsi" w:hAnsi="Times New Roman"/>
          <w:sz w:val="24"/>
          <w:szCs w:val="24"/>
        </w:rPr>
        <w:t xml:space="preserve"> </w:t>
      </w:r>
    </w:p>
    <w:p w:rsidR="00F36283" w:rsidRPr="007E40FA" w:rsidRDefault="00F36283" w:rsidP="0053484E">
      <w:pPr>
        <w:pStyle w:val="ListParagraph"/>
        <w:spacing w:after="0" w:line="240" w:lineRule="auto"/>
        <w:ind w:left="0"/>
        <w:jc w:val="both"/>
        <w:rPr>
          <w:rFonts w:ascii="Times New Roman" w:eastAsiaTheme="minorHAnsi" w:hAnsi="Times New Roman"/>
          <w:b/>
          <w:sz w:val="24"/>
          <w:szCs w:val="24"/>
        </w:rPr>
      </w:pPr>
    </w:p>
    <w:p w:rsidR="00B00DF1" w:rsidRPr="007E40FA" w:rsidRDefault="008907C6" w:rsidP="0053484E">
      <w:pPr>
        <w:pStyle w:val="ListParagraph"/>
        <w:numPr>
          <w:ilvl w:val="1"/>
          <w:numId w:val="14"/>
        </w:numPr>
        <w:spacing w:after="0" w:line="240" w:lineRule="auto"/>
        <w:ind w:left="0" w:firstLine="0"/>
        <w:jc w:val="both"/>
        <w:rPr>
          <w:rFonts w:ascii="Times New Roman" w:eastAsiaTheme="minorHAnsi" w:hAnsi="Times New Roman"/>
          <w:sz w:val="24"/>
          <w:szCs w:val="24"/>
          <w:highlight w:val="yellow"/>
        </w:rPr>
      </w:pPr>
      <w:r w:rsidRPr="007E40FA">
        <w:rPr>
          <w:rFonts w:ascii="Times New Roman" w:eastAsiaTheme="minorHAnsi" w:hAnsi="Times New Roman"/>
          <w:sz w:val="24"/>
          <w:szCs w:val="24"/>
          <w:highlight w:val="yellow"/>
        </w:rPr>
        <w:t xml:space="preserve">Click on the </w:t>
      </w:r>
      <w:r w:rsidRPr="007E40FA">
        <w:rPr>
          <w:rFonts w:ascii="Times New Roman" w:eastAsiaTheme="minorHAnsi" w:hAnsi="Times New Roman"/>
          <w:i/>
          <w:sz w:val="24"/>
          <w:szCs w:val="24"/>
          <w:highlight w:val="yellow"/>
        </w:rPr>
        <w:t>Patient Test</w:t>
      </w:r>
      <w:r w:rsidRPr="007E40FA">
        <w:rPr>
          <w:rFonts w:ascii="Times New Roman" w:eastAsiaTheme="minorHAnsi" w:hAnsi="Times New Roman"/>
          <w:sz w:val="24"/>
          <w:szCs w:val="24"/>
          <w:highlight w:val="yellow"/>
        </w:rPr>
        <w:t xml:space="preserve"> tab </w:t>
      </w:r>
      <w:r w:rsidR="005153D1" w:rsidRPr="007E40FA">
        <w:rPr>
          <w:rFonts w:ascii="Times New Roman" w:eastAsiaTheme="minorHAnsi" w:hAnsi="Times New Roman"/>
          <w:sz w:val="24"/>
          <w:szCs w:val="24"/>
          <w:highlight w:val="yellow"/>
        </w:rPr>
        <w:t xml:space="preserve">and select </w:t>
      </w:r>
      <w:r w:rsidR="00B00DF1" w:rsidRPr="007E40FA">
        <w:rPr>
          <w:rFonts w:ascii="Times New Roman" w:eastAsiaTheme="minorHAnsi" w:hAnsi="Times New Roman"/>
          <w:i/>
          <w:sz w:val="24"/>
          <w:szCs w:val="24"/>
          <w:highlight w:val="yellow"/>
        </w:rPr>
        <w:t xml:space="preserve">Edit </w:t>
      </w:r>
      <w:r w:rsidRPr="007E40FA">
        <w:rPr>
          <w:rFonts w:ascii="Times New Roman" w:eastAsiaTheme="minorHAnsi" w:hAnsi="Times New Roman"/>
          <w:sz w:val="24"/>
          <w:szCs w:val="24"/>
          <w:highlight w:val="yellow"/>
        </w:rPr>
        <w:t xml:space="preserve">to input the sample information. Select </w:t>
      </w:r>
      <w:proofErr w:type="spellStart"/>
      <w:r w:rsidRPr="007E40FA">
        <w:rPr>
          <w:rFonts w:ascii="Times New Roman" w:eastAsiaTheme="minorHAnsi" w:hAnsi="Times New Roman"/>
          <w:i/>
          <w:sz w:val="24"/>
          <w:szCs w:val="24"/>
          <w:highlight w:val="yellow"/>
        </w:rPr>
        <w:t>CellSearch</w:t>
      </w:r>
      <w:proofErr w:type="spellEnd"/>
      <w:r w:rsidRPr="007E40FA">
        <w:rPr>
          <w:rFonts w:ascii="Times New Roman" w:eastAsiaTheme="minorHAnsi" w:hAnsi="Times New Roman"/>
          <w:i/>
          <w:sz w:val="24"/>
          <w:szCs w:val="24"/>
          <w:highlight w:val="yellow"/>
        </w:rPr>
        <w:t xml:space="preserve"> CTC</w:t>
      </w:r>
      <w:r w:rsidRPr="007E40FA">
        <w:rPr>
          <w:rFonts w:ascii="Times New Roman" w:eastAsiaTheme="minorHAnsi" w:hAnsi="Times New Roman"/>
          <w:sz w:val="24"/>
          <w:szCs w:val="24"/>
          <w:highlight w:val="yellow"/>
        </w:rPr>
        <w:t xml:space="preserve"> as the </w:t>
      </w:r>
      <w:r w:rsidRPr="007E40FA">
        <w:rPr>
          <w:rFonts w:ascii="Times New Roman" w:eastAsiaTheme="minorHAnsi" w:hAnsi="Times New Roman"/>
          <w:i/>
          <w:sz w:val="24"/>
          <w:szCs w:val="24"/>
          <w:highlight w:val="yellow"/>
        </w:rPr>
        <w:t>Kit ID</w:t>
      </w:r>
      <w:r w:rsidRPr="007E40FA">
        <w:rPr>
          <w:rFonts w:ascii="Times New Roman" w:eastAsiaTheme="minorHAnsi" w:hAnsi="Times New Roman"/>
          <w:sz w:val="24"/>
          <w:szCs w:val="24"/>
          <w:highlight w:val="yellow"/>
        </w:rPr>
        <w:t xml:space="preserve"> and </w:t>
      </w:r>
      <w:r w:rsidRPr="007E40FA">
        <w:rPr>
          <w:rFonts w:ascii="Times New Roman" w:eastAsiaTheme="minorHAnsi" w:hAnsi="Times New Roman"/>
          <w:i/>
          <w:sz w:val="24"/>
          <w:szCs w:val="24"/>
          <w:highlight w:val="yellow"/>
        </w:rPr>
        <w:t>CTC Research</w:t>
      </w:r>
      <w:r w:rsidRPr="007E40FA">
        <w:rPr>
          <w:rFonts w:ascii="Times New Roman" w:eastAsiaTheme="minorHAnsi" w:hAnsi="Times New Roman"/>
          <w:sz w:val="24"/>
          <w:szCs w:val="24"/>
          <w:highlight w:val="yellow"/>
        </w:rPr>
        <w:t xml:space="preserve"> as the </w:t>
      </w:r>
      <w:r w:rsidRPr="007E40FA">
        <w:rPr>
          <w:rFonts w:ascii="Times New Roman" w:eastAsiaTheme="minorHAnsi" w:hAnsi="Times New Roman"/>
          <w:i/>
          <w:sz w:val="24"/>
          <w:szCs w:val="24"/>
          <w:highlight w:val="yellow"/>
        </w:rPr>
        <w:t>Test Protocol</w:t>
      </w:r>
      <w:r w:rsidRPr="007E40FA">
        <w:rPr>
          <w:rFonts w:ascii="Times New Roman" w:eastAsiaTheme="minorHAnsi" w:hAnsi="Times New Roman"/>
          <w:sz w:val="24"/>
          <w:szCs w:val="24"/>
          <w:highlight w:val="yellow"/>
        </w:rPr>
        <w:t xml:space="preserve">. Input the remaining necessary information as indicated as the asterisk. </w:t>
      </w:r>
      <w:r w:rsidRPr="007E40FA">
        <w:rPr>
          <w:rFonts w:ascii="Times New Roman" w:eastAsiaTheme="minorHAnsi" w:hAnsi="Times New Roman"/>
          <w:i/>
          <w:sz w:val="24"/>
          <w:szCs w:val="24"/>
          <w:highlight w:val="yellow"/>
        </w:rPr>
        <w:t>Save</w:t>
      </w:r>
      <w:r w:rsidRPr="007E40FA">
        <w:rPr>
          <w:rFonts w:ascii="Times New Roman" w:eastAsiaTheme="minorHAnsi" w:hAnsi="Times New Roman"/>
          <w:sz w:val="24"/>
          <w:szCs w:val="24"/>
          <w:highlight w:val="yellow"/>
        </w:rPr>
        <w:t xml:space="preserve"> the sample information and click </w:t>
      </w:r>
      <w:r w:rsidRPr="007E40FA">
        <w:rPr>
          <w:rFonts w:ascii="Times New Roman" w:eastAsiaTheme="minorHAnsi" w:hAnsi="Times New Roman"/>
          <w:i/>
          <w:sz w:val="24"/>
          <w:szCs w:val="24"/>
          <w:highlight w:val="yellow"/>
        </w:rPr>
        <w:t>Start</w:t>
      </w:r>
      <w:r w:rsidRPr="007E40FA">
        <w:rPr>
          <w:rFonts w:ascii="Times New Roman" w:eastAsiaTheme="minorHAnsi" w:hAnsi="Times New Roman"/>
          <w:sz w:val="24"/>
          <w:szCs w:val="24"/>
          <w:highlight w:val="yellow"/>
        </w:rPr>
        <w:t>.</w:t>
      </w:r>
      <w:r w:rsidR="00716910" w:rsidRPr="007E40FA">
        <w:rPr>
          <w:rFonts w:ascii="Times New Roman" w:eastAsiaTheme="minorHAnsi" w:hAnsi="Times New Roman"/>
          <w:sz w:val="24"/>
          <w:szCs w:val="24"/>
        </w:rPr>
        <w:t xml:space="preserve"> </w:t>
      </w:r>
      <w:r w:rsidR="00B00DF1" w:rsidRPr="007E40FA">
        <w:rPr>
          <w:rFonts w:ascii="Times New Roman" w:eastAsiaTheme="minorHAnsi" w:hAnsi="Times New Roman"/>
          <w:sz w:val="24"/>
          <w:szCs w:val="24"/>
          <w:highlight w:val="yellow"/>
        </w:rPr>
        <w:br w:type="page"/>
      </w:r>
    </w:p>
    <w:p w:rsidR="00D04C9A" w:rsidRPr="007E40FA" w:rsidRDefault="00B00DF1" w:rsidP="001F0875">
      <w:pPr>
        <w:spacing w:after="0" w:line="240" w:lineRule="auto"/>
        <w:jc w:val="both"/>
        <w:rPr>
          <w:rFonts w:ascii="Times New Roman" w:eastAsiaTheme="minorHAnsi" w:hAnsi="Times New Roman"/>
          <w:b/>
          <w:sz w:val="24"/>
          <w:szCs w:val="24"/>
        </w:rPr>
      </w:pPr>
      <w:r w:rsidRPr="007E40FA">
        <w:rPr>
          <w:rFonts w:ascii="Times New Roman" w:eastAsiaTheme="minorHAnsi" w:hAnsi="Times New Roman"/>
          <w:b/>
          <w:sz w:val="24"/>
          <w:szCs w:val="24"/>
        </w:rPr>
        <w:lastRenderedPageBreak/>
        <w:t>REPRESENTAT</w:t>
      </w:r>
      <w:r w:rsidRPr="007E40FA">
        <w:rPr>
          <w:rFonts w:ascii="Times New Roman" w:eastAsiaTheme="minorHAnsi" w:hAnsi="Times New Roman"/>
          <w:b/>
          <w:i/>
          <w:sz w:val="24"/>
          <w:szCs w:val="24"/>
        </w:rPr>
        <w:t>IVE RESULTS:</w:t>
      </w:r>
    </w:p>
    <w:p w:rsidR="00195E41" w:rsidRPr="007E40FA" w:rsidRDefault="00195E41" w:rsidP="001F0875">
      <w:pPr>
        <w:spacing w:after="0" w:line="240" w:lineRule="auto"/>
        <w:jc w:val="both"/>
        <w:rPr>
          <w:rFonts w:ascii="Times New Roman" w:eastAsiaTheme="minorHAnsi" w:hAnsi="Times New Roman"/>
          <w:sz w:val="24"/>
          <w:szCs w:val="24"/>
        </w:rPr>
      </w:pPr>
    </w:p>
    <w:p w:rsidR="00013A92" w:rsidRPr="007E40FA" w:rsidRDefault="00201C52" w:rsidP="001F0875">
      <w:pPr>
        <w:spacing w:after="0" w:line="240" w:lineRule="auto"/>
        <w:jc w:val="both"/>
        <w:rPr>
          <w:rFonts w:ascii="Times New Roman" w:eastAsiaTheme="minorHAnsi" w:hAnsi="Times New Roman"/>
          <w:b/>
          <w:sz w:val="24"/>
          <w:szCs w:val="24"/>
        </w:rPr>
      </w:pPr>
      <w:r w:rsidRPr="007E40FA">
        <w:rPr>
          <w:rFonts w:ascii="Times New Roman" w:eastAsiaTheme="minorHAnsi" w:hAnsi="Times New Roman"/>
          <w:b/>
          <w:sz w:val="24"/>
          <w:szCs w:val="24"/>
        </w:rPr>
        <w:t>Standard CTC Enumeration Assay</w:t>
      </w:r>
    </w:p>
    <w:p w:rsidR="00501054" w:rsidRPr="007E40FA" w:rsidRDefault="00501054" w:rsidP="001F0875">
      <w:pPr>
        <w:spacing w:after="0" w:line="240" w:lineRule="auto"/>
        <w:jc w:val="both"/>
        <w:rPr>
          <w:rFonts w:ascii="Times New Roman" w:eastAsiaTheme="minorHAnsi" w:hAnsi="Times New Roman"/>
          <w:sz w:val="24"/>
          <w:szCs w:val="24"/>
        </w:rPr>
      </w:pPr>
      <w:r w:rsidRPr="007E40FA">
        <w:rPr>
          <w:rFonts w:ascii="Times New Roman" w:eastAsiaTheme="minorHAnsi" w:hAnsi="Times New Roman"/>
          <w:sz w:val="24"/>
          <w:szCs w:val="24"/>
        </w:rPr>
        <w:t xml:space="preserve">The sensitivity and specificity of the </w:t>
      </w:r>
      <w:r w:rsidR="004C0272" w:rsidRPr="007E40FA">
        <w:rPr>
          <w:rFonts w:ascii="Times New Roman" w:eastAsiaTheme="minorHAnsi" w:hAnsi="Times New Roman"/>
          <w:sz w:val="24"/>
          <w:szCs w:val="24"/>
        </w:rPr>
        <w:t>CSS</w:t>
      </w:r>
      <w:r w:rsidRPr="007E40FA">
        <w:rPr>
          <w:rFonts w:ascii="Times New Roman" w:eastAsiaTheme="minorHAnsi" w:hAnsi="Times New Roman"/>
          <w:sz w:val="24"/>
          <w:szCs w:val="24"/>
        </w:rPr>
        <w:t xml:space="preserve"> has been well documented in the literature. However, to validate </w:t>
      </w:r>
      <w:r w:rsidR="001A4CF2" w:rsidRPr="007E40FA">
        <w:rPr>
          <w:rFonts w:ascii="Times New Roman" w:eastAsiaTheme="minorHAnsi" w:hAnsi="Times New Roman"/>
          <w:sz w:val="24"/>
          <w:szCs w:val="24"/>
        </w:rPr>
        <w:t>equivalent</w:t>
      </w:r>
      <w:r w:rsidRPr="007E40FA">
        <w:rPr>
          <w:rFonts w:ascii="Times New Roman" w:eastAsiaTheme="minorHAnsi" w:hAnsi="Times New Roman"/>
          <w:sz w:val="24"/>
          <w:szCs w:val="24"/>
        </w:rPr>
        <w:t xml:space="preserve"> CTC recovery</w:t>
      </w:r>
      <w:r w:rsidR="00244330" w:rsidRPr="007E40FA">
        <w:rPr>
          <w:rFonts w:ascii="Times New Roman" w:eastAsiaTheme="minorHAnsi" w:hAnsi="Times New Roman"/>
          <w:sz w:val="24"/>
          <w:szCs w:val="24"/>
        </w:rPr>
        <w:t>, s</w:t>
      </w:r>
      <w:r w:rsidRPr="007E40FA">
        <w:rPr>
          <w:rFonts w:ascii="Times New Roman" w:eastAsiaTheme="minorHAnsi" w:hAnsi="Times New Roman"/>
          <w:sz w:val="24"/>
          <w:szCs w:val="24"/>
        </w:rPr>
        <w:t>piked (1</w:t>
      </w:r>
      <w:r w:rsidR="000C7419" w:rsidRPr="007E40FA">
        <w:rPr>
          <w:rFonts w:ascii="Times New Roman" w:eastAsiaTheme="minorHAnsi" w:hAnsi="Times New Roman"/>
          <w:sz w:val="24"/>
          <w:szCs w:val="24"/>
        </w:rPr>
        <w:t>,</w:t>
      </w:r>
      <w:r w:rsidRPr="007E40FA">
        <w:rPr>
          <w:rFonts w:ascii="Times New Roman" w:eastAsiaTheme="minorHAnsi" w:hAnsi="Times New Roman"/>
          <w:sz w:val="24"/>
          <w:szCs w:val="24"/>
        </w:rPr>
        <w:t xml:space="preserve">000 </w:t>
      </w:r>
      <w:proofErr w:type="spellStart"/>
      <w:r w:rsidRPr="007E40FA">
        <w:rPr>
          <w:rFonts w:ascii="Times New Roman" w:eastAsiaTheme="minorHAnsi" w:hAnsi="Times New Roman"/>
          <w:sz w:val="24"/>
          <w:szCs w:val="24"/>
        </w:rPr>
        <w:t>LNCaP</w:t>
      </w:r>
      <w:proofErr w:type="spellEnd"/>
      <w:r w:rsidRPr="007E40FA">
        <w:rPr>
          <w:rFonts w:ascii="Times New Roman" w:eastAsiaTheme="minorHAnsi" w:hAnsi="Times New Roman"/>
          <w:sz w:val="24"/>
          <w:szCs w:val="24"/>
        </w:rPr>
        <w:t xml:space="preserve"> </w:t>
      </w:r>
      <w:r w:rsidR="00244330" w:rsidRPr="007E40FA">
        <w:rPr>
          <w:rFonts w:ascii="Times New Roman" w:eastAsiaTheme="minorHAnsi" w:hAnsi="Times New Roman"/>
          <w:sz w:val="24"/>
          <w:szCs w:val="24"/>
        </w:rPr>
        <w:t xml:space="preserve">human prostate cancer </w:t>
      </w:r>
      <w:r w:rsidRPr="007E40FA">
        <w:rPr>
          <w:rFonts w:ascii="Times New Roman" w:eastAsiaTheme="minorHAnsi" w:hAnsi="Times New Roman"/>
          <w:sz w:val="24"/>
          <w:szCs w:val="24"/>
        </w:rPr>
        <w:t xml:space="preserve">cells) and </w:t>
      </w:r>
      <w:proofErr w:type="spellStart"/>
      <w:r w:rsidRPr="007E40FA">
        <w:rPr>
          <w:rFonts w:ascii="Times New Roman" w:eastAsiaTheme="minorHAnsi" w:hAnsi="Times New Roman"/>
          <w:sz w:val="24"/>
          <w:szCs w:val="24"/>
        </w:rPr>
        <w:t>unspiked</w:t>
      </w:r>
      <w:proofErr w:type="spellEnd"/>
      <w:r w:rsidRPr="007E40FA">
        <w:rPr>
          <w:rFonts w:ascii="Times New Roman" w:eastAsiaTheme="minorHAnsi" w:hAnsi="Times New Roman"/>
          <w:sz w:val="24"/>
          <w:szCs w:val="24"/>
        </w:rPr>
        <w:t xml:space="preserve"> human blood samples</w:t>
      </w:r>
      <w:r w:rsidR="00244330" w:rsidRPr="007E40FA">
        <w:rPr>
          <w:rFonts w:ascii="Times New Roman" w:eastAsiaTheme="minorHAnsi" w:hAnsi="Times New Roman"/>
          <w:sz w:val="24"/>
          <w:szCs w:val="24"/>
        </w:rPr>
        <w:t xml:space="preserve"> from healthy volunteer donors</w:t>
      </w:r>
      <w:r w:rsidRPr="007E40FA">
        <w:rPr>
          <w:rFonts w:ascii="Times New Roman" w:eastAsiaTheme="minorHAnsi" w:hAnsi="Times New Roman"/>
          <w:sz w:val="24"/>
          <w:szCs w:val="24"/>
        </w:rPr>
        <w:t xml:space="preserve"> were processed on the </w:t>
      </w:r>
      <w:r w:rsidR="004C0272" w:rsidRPr="007E40FA">
        <w:rPr>
          <w:rFonts w:ascii="Times New Roman" w:eastAsiaTheme="minorHAnsi" w:hAnsi="Times New Roman"/>
          <w:sz w:val="24"/>
          <w:szCs w:val="24"/>
        </w:rPr>
        <w:t>CSS</w:t>
      </w:r>
      <w:r w:rsidRPr="007E40FA">
        <w:rPr>
          <w:rFonts w:ascii="Times New Roman" w:eastAsiaTheme="minorHAnsi" w:hAnsi="Times New Roman"/>
          <w:sz w:val="24"/>
          <w:szCs w:val="24"/>
        </w:rPr>
        <w:t xml:space="preserve"> using the standard </w:t>
      </w:r>
      <w:r w:rsidR="004C0272" w:rsidRPr="007E40FA">
        <w:rPr>
          <w:rFonts w:ascii="Times New Roman" w:eastAsiaTheme="minorHAnsi" w:hAnsi="Times New Roman"/>
          <w:sz w:val="24"/>
          <w:szCs w:val="24"/>
        </w:rPr>
        <w:t>CSS</w:t>
      </w:r>
      <w:r w:rsidR="001A4CF2" w:rsidRPr="007E40FA">
        <w:rPr>
          <w:rFonts w:ascii="Times New Roman" w:eastAsiaTheme="minorHAnsi" w:hAnsi="Times New Roman"/>
          <w:sz w:val="24"/>
          <w:szCs w:val="24"/>
        </w:rPr>
        <w:t xml:space="preserve"> </w:t>
      </w:r>
      <w:r w:rsidRPr="007E40FA">
        <w:rPr>
          <w:rFonts w:ascii="Times New Roman" w:eastAsiaTheme="minorHAnsi" w:hAnsi="Times New Roman"/>
          <w:sz w:val="24"/>
          <w:szCs w:val="24"/>
        </w:rPr>
        <w:t>CTC protocol.</w:t>
      </w:r>
      <w:r w:rsidR="00305068" w:rsidRPr="007E40FA">
        <w:rPr>
          <w:rFonts w:ascii="Times New Roman" w:eastAsiaTheme="minorHAnsi" w:hAnsi="Times New Roman"/>
          <w:sz w:val="24"/>
          <w:szCs w:val="24"/>
        </w:rPr>
        <w:t xml:space="preserve"> </w:t>
      </w:r>
      <w:r w:rsidR="001A4CF2" w:rsidRPr="007E40FA">
        <w:rPr>
          <w:rFonts w:ascii="Times New Roman" w:eastAsiaTheme="minorHAnsi" w:hAnsi="Times New Roman"/>
          <w:sz w:val="24"/>
          <w:szCs w:val="24"/>
        </w:rPr>
        <w:t xml:space="preserve">As expected, </w:t>
      </w:r>
      <w:proofErr w:type="spellStart"/>
      <w:r w:rsidR="001A4CF2" w:rsidRPr="007E40FA">
        <w:rPr>
          <w:rFonts w:ascii="Times New Roman" w:eastAsiaTheme="minorHAnsi" w:hAnsi="Times New Roman"/>
          <w:sz w:val="24"/>
          <w:szCs w:val="24"/>
        </w:rPr>
        <w:t>unspiked</w:t>
      </w:r>
      <w:proofErr w:type="spellEnd"/>
      <w:r w:rsidR="001A4CF2" w:rsidRPr="007E40FA">
        <w:rPr>
          <w:rFonts w:ascii="Times New Roman" w:eastAsiaTheme="minorHAnsi" w:hAnsi="Times New Roman"/>
          <w:sz w:val="24"/>
          <w:szCs w:val="24"/>
        </w:rPr>
        <w:t xml:space="preserve"> </w:t>
      </w:r>
      <w:r w:rsidR="00A35C2E" w:rsidRPr="007E40FA">
        <w:rPr>
          <w:rFonts w:ascii="Times New Roman" w:eastAsiaTheme="minorHAnsi" w:hAnsi="Times New Roman"/>
          <w:sz w:val="24"/>
          <w:szCs w:val="24"/>
        </w:rPr>
        <w:t>samples were free of CTCs, 0.0</w:t>
      </w:r>
      <w:r w:rsidR="000C7419" w:rsidRPr="007E40FA">
        <w:rPr>
          <w:rFonts w:ascii="Times New Roman" w:eastAsiaTheme="minorHAnsi" w:hAnsi="Times New Roman"/>
          <w:sz w:val="24"/>
          <w:szCs w:val="24"/>
        </w:rPr>
        <w:t>0</w:t>
      </w:r>
      <w:r w:rsidR="001A4CF2" w:rsidRPr="007E40FA">
        <w:rPr>
          <w:rFonts w:ascii="Times New Roman" w:eastAsiaTheme="minorHAnsi" w:hAnsi="Times New Roman"/>
          <w:sz w:val="24"/>
          <w:szCs w:val="24"/>
        </w:rPr>
        <w:t>±</w:t>
      </w:r>
      <w:r w:rsidR="00A35C2E" w:rsidRPr="007E40FA">
        <w:rPr>
          <w:rFonts w:ascii="Times New Roman" w:eastAsiaTheme="minorHAnsi" w:hAnsi="Times New Roman"/>
          <w:sz w:val="24"/>
          <w:szCs w:val="24"/>
        </w:rPr>
        <w:t>0.00%</w:t>
      </w:r>
      <w:r w:rsidR="001A4CF2" w:rsidRPr="007E40FA">
        <w:rPr>
          <w:rFonts w:ascii="Times New Roman" w:eastAsiaTheme="minorHAnsi" w:hAnsi="Times New Roman"/>
          <w:sz w:val="24"/>
          <w:szCs w:val="24"/>
        </w:rPr>
        <w:t>, and CTC r</w:t>
      </w:r>
      <w:r w:rsidRPr="007E40FA">
        <w:rPr>
          <w:rFonts w:ascii="Times New Roman" w:eastAsiaTheme="minorHAnsi" w:hAnsi="Times New Roman"/>
          <w:sz w:val="24"/>
          <w:szCs w:val="24"/>
        </w:rPr>
        <w:t>ecovery was demonstrated to be 8</w:t>
      </w:r>
      <w:r w:rsidR="00A35C2E" w:rsidRPr="007E40FA">
        <w:rPr>
          <w:rFonts w:ascii="Times New Roman" w:eastAsiaTheme="minorHAnsi" w:hAnsi="Times New Roman"/>
          <w:sz w:val="24"/>
          <w:szCs w:val="24"/>
        </w:rPr>
        <w:t>6.9</w:t>
      </w:r>
      <w:r w:rsidRPr="007E40FA">
        <w:rPr>
          <w:rFonts w:ascii="Times New Roman" w:eastAsiaTheme="minorHAnsi" w:hAnsi="Times New Roman"/>
          <w:sz w:val="24"/>
          <w:szCs w:val="24"/>
        </w:rPr>
        <w:t>±</w:t>
      </w:r>
      <w:r w:rsidR="00A35C2E" w:rsidRPr="007E40FA">
        <w:rPr>
          <w:rFonts w:ascii="Times New Roman" w:eastAsiaTheme="minorHAnsi" w:hAnsi="Times New Roman"/>
          <w:sz w:val="24"/>
          <w:szCs w:val="24"/>
        </w:rPr>
        <w:t>4.71%</w:t>
      </w:r>
      <w:r w:rsidRPr="007E40FA">
        <w:rPr>
          <w:rFonts w:ascii="Times New Roman" w:eastAsiaTheme="minorHAnsi" w:hAnsi="Times New Roman"/>
          <w:sz w:val="24"/>
          <w:szCs w:val="24"/>
        </w:rPr>
        <w:t xml:space="preserve"> for spiked samples</w:t>
      </w:r>
      <w:r w:rsidR="001A4CF2" w:rsidRPr="007E40FA">
        <w:rPr>
          <w:rFonts w:ascii="Times New Roman" w:eastAsiaTheme="minorHAnsi" w:hAnsi="Times New Roman"/>
          <w:sz w:val="24"/>
          <w:szCs w:val="24"/>
        </w:rPr>
        <w:t xml:space="preserve"> </w:t>
      </w:r>
      <w:r w:rsidRPr="007E40FA">
        <w:rPr>
          <w:rFonts w:ascii="Times New Roman" w:eastAsiaTheme="minorHAnsi" w:hAnsi="Times New Roman"/>
          <w:b/>
          <w:sz w:val="24"/>
          <w:szCs w:val="24"/>
        </w:rPr>
        <w:t>(Figure 1A)</w:t>
      </w:r>
      <w:r w:rsidRPr="007E40FA">
        <w:rPr>
          <w:rFonts w:ascii="Times New Roman" w:eastAsiaTheme="minorHAnsi" w:hAnsi="Times New Roman"/>
          <w:sz w:val="24"/>
          <w:szCs w:val="24"/>
        </w:rPr>
        <w:t>.</w:t>
      </w:r>
      <w:r w:rsidR="001A4CF2" w:rsidRPr="007E40FA">
        <w:rPr>
          <w:rFonts w:ascii="Times New Roman" w:eastAsiaTheme="minorHAnsi" w:hAnsi="Times New Roman"/>
          <w:sz w:val="24"/>
          <w:szCs w:val="24"/>
        </w:rPr>
        <w:t xml:space="preserve"> </w:t>
      </w:r>
      <w:r w:rsidR="004C0272" w:rsidRPr="007E40FA">
        <w:rPr>
          <w:rFonts w:ascii="Times New Roman" w:eastAsiaTheme="minorHAnsi" w:hAnsi="Times New Roman"/>
          <w:sz w:val="24"/>
          <w:szCs w:val="24"/>
        </w:rPr>
        <w:t>CSS</w:t>
      </w:r>
      <w:r w:rsidR="001A4CF2" w:rsidRPr="007E40FA">
        <w:rPr>
          <w:rFonts w:ascii="Times New Roman" w:eastAsiaTheme="minorHAnsi" w:hAnsi="Times New Roman"/>
          <w:sz w:val="24"/>
          <w:szCs w:val="24"/>
        </w:rPr>
        <w:t xml:space="preserve"> gallery images ob</w:t>
      </w:r>
      <w:r w:rsidR="00985430" w:rsidRPr="007E40FA">
        <w:rPr>
          <w:rFonts w:ascii="Times New Roman" w:eastAsiaTheme="minorHAnsi" w:hAnsi="Times New Roman"/>
          <w:sz w:val="24"/>
          <w:szCs w:val="24"/>
        </w:rPr>
        <w:t>tained from spiked samples were of optimal quality and CTCs were easy to dist</w:t>
      </w:r>
      <w:r w:rsidR="00244330" w:rsidRPr="007E40FA">
        <w:rPr>
          <w:rFonts w:ascii="Times New Roman" w:eastAsiaTheme="minorHAnsi" w:hAnsi="Times New Roman"/>
          <w:sz w:val="24"/>
          <w:szCs w:val="24"/>
        </w:rPr>
        <w:t xml:space="preserve">inguish from non-CTCs. </w:t>
      </w:r>
      <w:proofErr w:type="gramStart"/>
      <w:r w:rsidR="00244330" w:rsidRPr="007E40FA">
        <w:rPr>
          <w:rFonts w:ascii="Times New Roman" w:eastAsiaTheme="minorHAnsi" w:hAnsi="Times New Roman"/>
          <w:sz w:val="24"/>
          <w:szCs w:val="24"/>
        </w:rPr>
        <w:t xml:space="preserve">However, </w:t>
      </w:r>
      <w:r w:rsidR="00985430" w:rsidRPr="007E40FA">
        <w:rPr>
          <w:rFonts w:ascii="Times New Roman" w:eastAsiaTheme="minorHAnsi" w:hAnsi="Times New Roman"/>
          <w:sz w:val="24"/>
          <w:szCs w:val="24"/>
        </w:rPr>
        <w:t xml:space="preserve">when processing samples </w:t>
      </w:r>
      <w:r w:rsidR="00244330" w:rsidRPr="007E40FA">
        <w:rPr>
          <w:rFonts w:ascii="Times New Roman" w:eastAsiaTheme="minorHAnsi" w:hAnsi="Times New Roman"/>
          <w:sz w:val="24"/>
          <w:szCs w:val="24"/>
        </w:rPr>
        <w:t xml:space="preserve">obtained from </w:t>
      </w:r>
      <w:r w:rsidR="00985430" w:rsidRPr="007E40FA">
        <w:rPr>
          <w:rFonts w:ascii="Times New Roman" w:eastAsiaTheme="minorHAnsi" w:hAnsi="Times New Roman"/>
          <w:sz w:val="24"/>
          <w:szCs w:val="24"/>
        </w:rPr>
        <w:t xml:space="preserve">cancer patients, identification of CTCs </w:t>
      </w:r>
      <w:r w:rsidR="00B34E0E" w:rsidRPr="007E40FA">
        <w:rPr>
          <w:rFonts w:ascii="Times New Roman" w:eastAsiaTheme="minorHAnsi" w:hAnsi="Times New Roman"/>
          <w:sz w:val="24"/>
          <w:szCs w:val="24"/>
        </w:rPr>
        <w:t>i</w:t>
      </w:r>
      <w:r w:rsidR="00985430" w:rsidRPr="007E40FA">
        <w:rPr>
          <w:rFonts w:ascii="Times New Roman" w:eastAsiaTheme="minorHAnsi" w:hAnsi="Times New Roman"/>
          <w:sz w:val="24"/>
          <w:szCs w:val="24"/>
        </w:rPr>
        <w:t xml:space="preserve">s slightly more challenging, with many cells appearing smaller in size and being less easily distinguishable from non-CTCs </w:t>
      </w:r>
      <w:r w:rsidR="00985430" w:rsidRPr="007E40FA">
        <w:rPr>
          <w:rFonts w:ascii="Times New Roman" w:eastAsiaTheme="minorHAnsi" w:hAnsi="Times New Roman"/>
          <w:b/>
          <w:sz w:val="24"/>
          <w:szCs w:val="24"/>
        </w:rPr>
        <w:t>(Figure 1B)</w:t>
      </w:r>
      <w:r w:rsidR="00985430" w:rsidRPr="007E40FA">
        <w:rPr>
          <w:rFonts w:ascii="Times New Roman" w:eastAsiaTheme="minorHAnsi" w:hAnsi="Times New Roman"/>
          <w:sz w:val="24"/>
          <w:szCs w:val="24"/>
        </w:rPr>
        <w:t>.</w:t>
      </w:r>
      <w:proofErr w:type="gramEnd"/>
      <w:r w:rsidR="00985430" w:rsidRPr="007E40FA">
        <w:rPr>
          <w:rFonts w:ascii="Times New Roman" w:eastAsiaTheme="minorHAnsi" w:hAnsi="Times New Roman"/>
          <w:sz w:val="24"/>
          <w:szCs w:val="24"/>
        </w:rPr>
        <w:t xml:space="preserve"> In addition, when reviewing patient samples 6 categories of events </w:t>
      </w:r>
      <w:r w:rsidR="00244330" w:rsidRPr="007E40FA">
        <w:rPr>
          <w:rFonts w:ascii="Times New Roman" w:eastAsiaTheme="minorHAnsi" w:hAnsi="Times New Roman"/>
          <w:sz w:val="24"/>
          <w:szCs w:val="24"/>
        </w:rPr>
        <w:t xml:space="preserve">were identified </w:t>
      </w:r>
      <w:r w:rsidR="00985430" w:rsidRPr="007E40FA">
        <w:rPr>
          <w:rFonts w:ascii="Times New Roman" w:eastAsiaTheme="minorHAnsi" w:hAnsi="Times New Roman"/>
          <w:sz w:val="24"/>
          <w:szCs w:val="24"/>
        </w:rPr>
        <w:t xml:space="preserve">that </w:t>
      </w:r>
      <w:r w:rsidR="00244330" w:rsidRPr="007E40FA">
        <w:rPr>
          <w:rFonts w:ascii="Times New Roman" w:eastAsiaTheme="minorHAnsi" w:hAnsi="Times New Roman"/>
          <w:sz w:val="24"/>
          <w:szCs w:val="24"/>
        </w:rPr>
        <w:t>were</w:t>
      </w:r>
      <w:r w:rsidR="00985430" w:rsidRPr="007E40FA">
        <w:rPr>
          <w:rFonts w:ascii="Times New Roman" w:eastAsiaTheme="minorHAnsi" w:hAnsi="Times New Roman"/>
          <w:sz w:val="24"/>
          <w:szCs w:val="24"/>
        </w:rPr>
        <w:t xml:space="preserve"> commonly discrepant items between reviewers </w:t>
      </w:r>
      <w:r w:rsidR="00985430" w:rsidRPr="007E40FA">
        <w:rPr>
          <w:rFonts w:ascii="Times New Roman" w:eastAsiaTheme="minorHAnsi" w:hAnsi="Times New Roman"/>
          <w:b/>
          <w:sz w:val="24"/>
          <w:szCs w:val="24"/>
        </w:rPr>
        <w:t>(Figure 1C)</w:t>
      </w:r>
      <w:r w:rsidR="00985430" w:rsidRPr="007E40FA">
        <w:rPr>
          <w:rFonts w:ascii="Times New Roman" w:eastAsiaTheme="minorHAnsi" w:hAnsi="Times New Roman"/>
          <w:sz w:val="24"/>
          <w:szCs w:val="24"/>
        </w:rPr>
        <w:t xml:space="preserve">. These 6 categories included, </w:t>
      </w:r>
      <w:r w:rsidR="00985430" w:rsidRPr="007E40FA">
        <w:rPr>
          <w:rFonts w:ascii="Times New Roman" w:eastAsiaTheme="minorHAnsi" w:hAnsi="Times New Roman"/>
          <w:b/>
          <w:i/>
          <w:sz w:val="24"/>
          <w:szCs w:val="24"/>
        </w:rPr>
        <w:t>(1)</w:t>
      </w:r>
      <w:r w:rsidR="00985430" w:rsidRPr="007E40FA">
        <w:rPr>
          <w:rFonts w:ascii="Times New Roman" w:eastAsiaTheme="minorHAnsi" w:hAnsi="Times New Roman"/>
          <w:sz w:val="24"/>
          <w:szCs w:val="24"/>
        </w:rPr>
        <w:t xml:space="preserve"> small events that did not meet the 4µm size requirement</w:t>
      </w:r>
      <w:r w:rsidR="00244330" w:rsidRPr="007E40FA">
        <w:rPr>
          <w:rFonts w:ascii="Times New Roman" w:eastAsiaTheme="minorHAnsi" w:hAnsi="Times New Roman"/>
          <w:sz w:val="24"/>
          <w:szCs w:val="24"/>
        </w:rPr>
        <w:t xml:space="preserve"> for CTC classification</w:t>
      </w:r>
      <w:r w:rsidR="00985430" w:rsidRPr="007E40FA">
        <w:rPr>
          <w:rFonts w:ascii="Times New Roman" w:eastAsiaTheme="minorHAnsi" w:hAnsi="Times New Roman"/>
          <w:sz w:val="24"/>
          <w:szCs w:val="24"/>
        </w:rPr>
        <w:t xml:space="preserve">; </w:t>
      </w:r>
      <w:r w:rsidR="00985430" w:rsidRPr="007E40FA">
        <w:rPr>
          <w:rFonts w:ascii="Times New Roman" w:eastAsiaTheme="minorHAnsi" w:hAnsi="Times New Roman"/>
          <w:b/>
          <w:i/>
          <w:sz w:val="24"/>
          <w:szCs w:val="24"/>
        </w:rPr>
        <w:t>(2)</w:t>
      </w:r>
      <w:r w:rsidR="00985430" w:rsidRPr="007E40FA">
        <w:rPr>
          <w:rFonts w:ascii="Times New Roman" w:eastAsiaTheme="minorHAnsi" w:hAnsi="Times New Roman"/>
          <w:sz w:val="24"/>
          <w:szCs w:val="24"/>
        </w:rPr>
        <w:t xml:space="preserve"> </w:t>
      </w:r>
      <w:r w:rsidR="00593534" w:rsidRPr="007E40FA">
        <w:rPr>
          <w:rFonts w:ascii="Times New Roman" w:eastAsiaTheme="minorHAnsi" w:hAnsi="Times New Roman"/>
          <w:sz w:val="24"/>
          <w:szCs w:val="24"/>
        </w:rPr>
        <w:t>items with dim CK and/or DAPI</w:t>
      </w:r>
      <w:r w:rsidR="00244330" w:rsidRPr="007E40FA">
        <w:rPr>
          <w:rFonts w:ascii="Times New Roman" w:eastAsiaTheme="minorHAnsi" w:hAnsi="Times New Roman"/>
          <w:sz w:val="24"/>
          <w:szCs w:val="24"/>
        </w:rPr>
        <w:t xml:space="preserve"> staining</w:t>
      </w:r>
      <w:r w:rsidR="00593534" w:rsidRPr="007E40FA">
        <w:rPr>
          <w:rFonts w:ascii="Times New Roman" w:eastAsiaTheme="minorHAnsi" w:hAnsi="Times New Roman"/>
          <w:sz w:val="24"/>
          <w:szCs w:val="24"/>
        </w:rPr>
        <w:t xml:space="preserve">; </w:t>
      </w:r>
      <w:r w:rsidR="00593534" w:rsidRPr="007E40FA">
        <w:rPr>
          <w:rFonts w:ascii="Times New Roman" w:eastAsiaTheme="minorHAnsi" w:hAnsi="Times New Roman"/>
          <w:b/>
          <w:i/>
          <w:sz w:val="24"/>
          <w:szCs w:val="24"/>
        </w:rPr>
        <w:t>(3)</w:t>
      </w:r>
      <w:r w:rsidR="00593534" w:rsidRPr="007E40FA">
        <w:rPr>
          <w:rFonts w:ascii="Times New Roman" w:eastAsiaTheme="minorHAnsi" w:hAnsi="Times New Roman"/>
          <w:sz w:val="24"/>
          <w:szCs w:val="24"/>
        </w:rPr>
        <w:t xml:space="preserve"> justified </w:t>
      </w:r>
      <w:r w:rsidR="00244330" w:rsidRPr="007E40FA">
        <w:rPr>
          <w:rFonts w:ascii="Times New Roman" w:eastAsiaTheme="minorHAnsi" w:hAnsi="Times New Roman"/>
          <w:sz w:val="24"/>
          <w:szCs w:val="24"/>
        </w:rPr>
        <w:t xml:space="preserve">(should be counted as a CTC) </w:t>
      </w:r>
      <w:r w:rsidR="00593534" w:rsidRPr="007E40FA">
        <w:rPr>
          <w:rFonts w:ascii="Times New Roman" w:eastAsiaTheme="minorHAnsi" w:hAnsi="Times New Roman"/>
          <w:sz w:val="24"/>
          <w:szCs w:val="24"/>
        </w:rPr>
        <w:t xml:space="preserve">versus unjustified </w:t>
      </w:r>
      <w:r w:rsidR="00244330" w:rsidRPr="007E40FA">
        <w:rPr>
          <w:rFonts w:ascii="Times New Roman" w:eastAsiaTheme="minorHAnsi" w:hAnsi="Times New Roman"/>
          <w:sz w:val="24"/>
          <w:szCs w:val="24"/>
        </w:rPr>
        <w:t xml:space="preserve">(should not be counted as a CTC) </w:t>
      </w:r>
      <w:r w:rsidR="00593534" w:rsidRPr="007E40FA">
        <w:rPr>
          <w:rFonts w:ascii="Times New Roman" w:eastAsiaTheme="minorHAnsi" w:hAnsi="Times New Roman"/>
          <w:sz w:val="24"/>
          <w:szCs w:val="24"/>
        </w:rPr>
        <w:t xml:space="preserve">bleed through into the CD45-APC channel caused by bright CK-PE staining; </w:t>
      </w:r>
      <w:r w:rsidR="00593534" w:rsidRPr="007E40FA">
        <w:rPr>
          <w:rFonts w:ascii="Times New Roman" w:eastAsiaTheme="minorHAnsi" w:hAnsi="Times New Roman"/>
          <w:b/>
          <w:i/>
          <w:sz w:val="24"/>
          <w:szCs w:val="24"/>
        </w:rPr>
        <w:t>(4)</w:t>
      </w:r>
      <w:r w:rsidR="00593534" w:rsidRPr="007E40FA">
        <w:rPr>
          <w:rFonts w:ascii="Times New Roman" w:eastAsiaTheme="minorHAnsi" w:hAnsi="Times New Roman"/>
          <w:sz w:val="24"/>
          <w:szCs w:val="24"/>
        </w:rPr>
        <w:t xml:space="preserve"> </w:t>
      </w:r>
      <w:r w:rsidR="00244330" w:rsidRPr="007E40FA">
        <w:rPr>
          <w:rFonts w:ascii="Times New Roman" w:eastAsiaTheme="minorHAnsi" w:hAnsi="Times New Roman"/>
          <w:sz w:val="24"/>
          <w:szCs w:val="24"/>
        </w:rPr>
        <w:t>FITC+ events</w:t>
      </w:r>
      <w:r w:rsidR="00593534" w:rsidRPr="007E40FA">
        <w:rPr>
          <w:rFonts w:ascii="Times New Roman" w:eastAsiaTheme="minorHAnsi" w:hAnsi="Times New Roman"/>
          <w:sz w:val="24"/>
          <w:szCs w:val="24"/>
        </w:rPr>
        <w:t xml:space="preserve">; </w:t>
      </w:r>
      <w:r w:rsidR="00593534" w:rsidRPr="007E40FA">
        <w:rPr>
          <w:rFonts w:ascii="Times New Roman" w:eastAsiaTheme="minorHAnsi" w:hAnsi="Times New Roman"/>
          <w:b/>
          <w:i/>
          <w:sz w:val="24"/>
          <w:szCs w:val="24"/>
        </w:rPr>
        <w:t>(5)</w:t>
      </w:r>
      <w:r w:rsidR="00593534" w:rsidRPr="007E40FA">
        <w:rPr>
          <w:rFonts w:ascii="Times New Roman" w:eastAsiaTheme="minorHAnsi" w:hAnsi="Times New Roman"/>
          <w:sz w:val="24"/>
          <w:szCs w:val="24"/>
        </w:rPr>
        <w:t xml:space="preserve"> pix</w:t>
      </w:r>
      <w:r w:rsidR="004959E1" w:rsidRPr="007E40FA">
        <w:rPr>
          <w:rFonts w:ascii="Times New Roman" w:eastAsiaTheme="minorHAnsi" w:hAnsi="Times New Roman"/>
          <w:sz w:val="24"/>
          <w:szCs w:val="24"/>
        </w:rPr>
        <w:t>e</w:t>
      </w:r>
      <w:r w:rsidR="00593534" w:rsidRPr="007E40FA">
        <w:rPr>
          <w:rFonts w:ascii="Times New Roman" w:eastAsiaTheme="minorHAnsi" w:hAnsi="Times New Roman"/>
          <w:sz w:val="24"/>
          <w:szCs w:val="24"/>
        </w:rPr>
        <w:t xml:space="preserve">lated images in the CK and/or DAPI channels; and </w:t>
      </w:r>
      <w:r w:rsidR="00593534" w:rsidRPr="007E40FA">
        <w:rPr>
          <w:rFonts w:ascii="Times New Roman" w:eastAsiaTheme="minorHAnsi" w:hAnsi="Times New Roman"/>
          <w:b/>
          <w:i/>
          <w:sz w:val="24"/>
          <w:szCs w:val="24"/>
        </w:rPr>
        <w:t>(6)</w:t>
      </w:r>
      <w:r w:rsidR="00593534" w:rsidRPr="007E40FA">
        <w:rPr>
          <w:rFonts w:ascii="Times New Roman" w:eastAsiaTheme="minorHAnsi" w:hAnsi="Times New Roman"/>
          <w:sz w:val="24"/>
          <w:szCs w:val="24"/>
        </w:rPr>
        <w:t xml:space="preserve"> </w:t>
      </w:r>
      <w:r w:rsidR="00244330" w:rsidRPr="007E40FA">
        <w:rPr>
          <w:rFonts w:ascii="Times New Roman" w:eastAsiaTheme="minorHAnsi" w:hAnsi="Times New Roman"/>
          <w:sz w:val="24"/>
          <w:szCs w:val="24"/>
        </w:rPr>
        <w:t>events</w:t>
      </w:r>
      <w:r w:rsidR="00593534" w:rsidRPr="007E40FA">
        <w:rPr>
          <w:rFonts w:ascii="Times New Roman" w:eastAsiaTheme="minorHAnsi" w:hAnsi="Times New Roman"/>
          <w:sz w:val="24"/>
          <w:szCs w:val="24"/>
        </w:rPr>
        <w:t xml:space="preserve"> with DAPI </w:t>
      </w:r>
      <w:r w:rsidR="00244330" w:rsidRPr="007E40FA">
        <w:rPr>
          <w:rFonts w:ascii="Times New Roman" w:eastAsiaTheme="minorHAnsi" w:hAnsi="Times New Roman"/>
          <w:sz w:val="24"/>
          <w:szCs w:val="24"/>
        </w:rPr>
        <w:t>staining</w:t>
      </w:r>
      <w:r w:rsidR="00593534" w:rsidRPr="007E40FA">
        <w:rPr>
          <w:rFonts w:ascii="Times New Roman" w:eastAsiaTheme="minorHAnsi" w:hAnsi="Times New Roman"/>
          <w:sz w:val="24"/>
          <w:szCs w:val="24"/>
        </w:rPr>
        <w:t xml:space="preserve"> that is larger than CK images or those with DAPI staining that does not overlap &gt;50% with the CK image. </w:t>
      </w:r>
      <w:r w:rsidR="0016707F" w:rsidRPr="007E40FA">
        <w:rPr>
          <w:rFonts w:ascii="Times New Roman" w:eastAsiaTheme="minorHAnsi" w:hAnsi="Times New Roman"/>
          <w:sz w:val="24"/>
          <w:szCs w:val="24"/>
        </w:rPr>
        <w:t xml:space="preserve">For categories </w:t>
      </w:r>
      <w:r w:rsidR="0036708D" w:rsidRPr="007E40FA">
        <w:rPr>
          <w:rFonts w:ascii="Times New Roman" w:eastAsiaTheme="minorHAnsi" w:hAnsi="Times New Roman"/>
          <w:b/>
          <w:i/>
          <w:sz w:val="24"/>
          <w:szCs w:val="24"/>
        </w:rPr>
        <w:t>(2)</w:t>
      </w:r>
      <w:r w:rsidR="0016707F" w:rsidRPr="007E40FA">
        <w:rPr>
          <w:rFonts w:ascii="Times New Roman" w:eastAsiaTheme="minorHAnsi" w:hAnsi="Times New Roman"/>
          <w:sz w:val="24"/>
          <w:szCs w:val="24"/>
        </w:rPr>
        <w:t xml:space="preserve"> and </w:t>
      </w:r>
      <w:r w:rsidR="0036708D" w:rsidRPr="007E40FA">
        <w:rPr>
          <w:rFonts w:ascii="Times New Roman" w:eastAsiaTheme="minorHAnsi" w:hAnsi="Times New Roman"/>
          <w:b/>
          <w:i/>
          <w:sz w:val="24"/>
          <w:szCs w:val="24"/>
        </w:rPr>
        <w:t>(5)</w:t>
      </w:r>
      <w:r w:rsidR="0016707F" w:rsidRPr="007E40FA">
        <w:rPr>
          <w:rFonts w:ascii="Times New Roman" w:eastAsiaTheme="minorHAnsi" w:hAnsi="Times New Roman"/>
          <w:sz w:val="24"/>
          <w:szCs w:val="24"/>
        </w:rPr>
        <w:t xml:space="preserve"> specific criteria exist for CTC classification. For </w:t>
      </w:r>
      <w:r w:rsidR="0036708D" w:rsidRPr="007E40FA">
        <w:rPr>
          <w:rFonts w:ascii="Times New Roman" w:eastAsiaTheme="minorHAnsi" w:hAnsi="Times New Roman"/>
          <w:sz w:val="24"/>
          <w:szCs w:val="24"/>
        </w:rPr>
        <w:t>category</w:t>
      </w:r>
      <w:r w:rsidR="0016707F" w:rsidRPr="007E40FA">
        <w:rPr>
          <w:rFonts w:ascii="Times New Roman" w:eastAsiaTheme="minorHAnsi" w:hAnsi="Times New Roman"/>
          <w:i/>
          <w:sz w:val="24"/>
          <w:szCs w:val="24"/>
        </w:rPr>
        <w:t xml:space="preserve"> </w:t>
      </w:r>
      <w:r w:rsidR="0036708D" w:rsidRPr="007E40FA">
        <w:rPr>
          <w:rFonts w:ascii="Times New Roman" w:eastAsiaTheme="minorHAnsi" w:hAnsi="Times New Roman"/>
          <w:b/>
          <w:i/>
          <w:sz w:val="24"/>
          <w:szCs w:val="24"/>
        </w:rPr>
        <w:t>(2)</w:t>
      </w:r>
      <w:r w:rsidR="0016707F" w:rsidRPr="007E40FA">
        <w:rPr>
          <w:rFonts w:ascii="Times New Roman" w:eastAsiaTheme="minorHAnsi" w:hAnsi="Times New Roman"/>
          <w:sz w:val="24"/>
          <w:szCs w:val="24"/>
        </w:rPr>
        <w:t>, i</w:t>
      </w:r>
      <w:r w:rsidR="0038557C" w:rsidRPr="007E40FA">
        <w:rPr>
          <w:rFonts w:ascii="Times New Roman" w:eastAsiaTheme="minorHAnsi" w:hAnsi="Times New Roman"/>
          <w:sz w:val="24"/>
          <w:szCs w:val="24"/>
        </w:rPr>
        <w:t>t</w:t>
      </w:r>
      <w:r w:rsidR="0016707F" w:rsidRPr="007E40FA">
        <w:rPr>
          <w:rFonts w:ascii="Times New Roman" w:eastAsiaTheme="minorHAnsi" w:hAnsi="Times New Roman"/>
          <w:sz w:val="24"/>
          <w:szCs w:val="24"/>
        </w:rPr>
        <w:t xml:space="preserve">ems with dim CK/DAPI can be classified as CTCs </w:t>
      </w:r>
      <w:r w:rsidR="0038557C" w:rsidRPr="007E40FA">
        <w:rPr>
          <w:rFonts w:ascii="Times New Roman" w:eastAsiaTheme="minorHAnsi" w:hAnsi="Times New Roman"/>
          <w:sz w:val="24"/>
          <w:szCs w:val="24"/>
        </w:rPr>
        <w:t xml:space="preserve">provided that an intact membrane can be observed in the CK channel and an appropriately sized DAPI image is noted. For category </w:t>
      </w:r>
      <w:r w:rsidR="0036708D" w:rsidRPr="007E40FA">
        <w:rPr>
          <w:rFonts w:ascii="Times New Roman" w:eastAsiaTheme="minorHAnsi" w:hAnsi="Times New Roman"/>
          <w:b/>
          <w:i/>
          <w:sz w:val="24"/>
          <w:szCs w:val="24"/>
        </w:rPr>
        <w:t>(5)</w:t>
      </w:r>
      <w:r w:rsidR="0038557C" w:rsidRPr="007E40FA">
        <w:rPr>
          <w:rFonts w:ascii="Times New Roman" w:eastAsiaTheme="minorHAnsi" w:hAnsi="Times New Roman"/>
          <w:sz w:val="24"/>
          <w:szCs w:val="24"/>
        </w:rPr>
        <w:t xml:space="preserve">, items with pixelated CK/DAPI cannot be classified as CTCs if </w:t>
      </w:r>
      <w:r w:rsidR="0036708D" w:rsidRPr="007E40FA">
        <w:rPr>
          <w:rFonts w:ascii="Times New Roman" w:eastAsiaTheme="minorHAnsi" w:hAnsi="Times New Roman"/>
          <w:i/>
          <w:sz w:val="24"/>
          <w:szCs w:val="24"/>
        </w:rPr>
        <w:t>any</w:t>
      </w:r>
      <w:r w:rsidR="0038557C" w:rsidRPr="007E40FA">
        <w:rPr>
          <w:rFonts w:ascii="Times New Roman" w:eastAsiaTheme="minorHAnsi" w:hAnsi="Times New Roman"/>
          <w:sz w:val="24"/>
          <w:szCs w:val="24"/>
        </w:rPr>
        <w:t xml:space="preserve"> </w:t>
      </w:r>
      <w:proofErr w:type="spellStart"/>
      <w:r w:rsidR="0038557C" w:rsidRPr="007E40FA">
        <w:rPr>
          <w:rFonts w:ascii="Times New Roman" w:eastAsiaTheme="minorHAnsi" w:hAnsi="Times New Roman"/>
          <w:sz w:val="24"/>
          <w:szCs w:val="24"/>
        </w:rPr>
        <w:t>pixelation</w:t>
      </w:r>
      <w:proofErr w:type="spellEnd"/>
      <w:r w:rsidR="0038557C" w:rsidRPr="007E40FA">
        <w:rPr>
          <w:rFonts w:ascii="Times New Roman" w:eastAsiaTheme="minorHAnsi" w:hAnsi="Times New Roman"/>
          <w:sz w:val="24"/>
          <w:szCs w:val="24"/>
        </w:rPr>
        <w:t xml:space="preserve"> i</w:t>
      </w:r>
      <w:r w:rsidR="00C12787" w:rsidRPr="007E40FA">
        <w:rPr>
          <w:rFonts w:ascii="Times New Roman" w:eastAsiaTheme="minorHAnsi" w:hAnsi="Times New Roman"/>
          <w:sz w:val="24"/>
          <w:szCs w:val="24"/>
        </w:rPr>
        <w:t>s observed in the CK channel</w:t>
      </w:r>
      <w:r w:rsidR="00955BAB" w:rsidRPr="007E40FA">
        <w:rPr>
          <w:rFonts w:ascii="Times New Roman" w:eastAsiaTheme="minorHAnsi" w:hAnsi="Times New Roman"/>
          <w:sz w:val="24"/>
          <w:szCs w:val="24"/>
        </w:rPr>
        <w:t>.</w:t>
      </w:r>
      <w:r w:rsidR="00C12787" w:rsidRPr="007E40FA">
        <w:rPr>
          <w:rFonts w:ascii="Times New Roman" w:eastAsiaTheme="minorHAnsi" w:hAnsi="Times New Roman"/>
          <w:sz w:val="24"/>
          <w:szCs w:val="24"/>
        </w:rPr>
        <w:t xml:space="preserve"> However</w:t>
      </w:r>
      <w:r w:rsidR="00955BAB" w:rsidRPr="007E40FA">
        <w:rPr>
          <w:rFonts w:ascii="Times New Roman" w:eastAsiaTheme="minorHAnsi" w:hAnsi="Times New Roman"/>
          <w:sz w:val="24"/>
          <w:szCs w:val="24"/>
        </w:rPr>
        <w:t>,</w:t>
      </w:r>
      <w:r w:rsidR="00C12787" w:rsidRPr="007E40FA">
        <w:rPr>
          <w:rFonts w:ascii="Times New Roman" w:eastAsiaTheme="minorHAnsi" w:hAnsi="Times New Roman"/>
          <w:sz w:val="24"/>
          <w:szCs w:val="24"/>
        </w:rPr>
        <w:t xml:space="preserve"> </w:t>
      </w:r>
      <w:proofErr w:type="spellStart"/>
      <w:r w:rsidR="0038557C" w:rsidRPr="007E40FA">
        <w:rPr>
          <w:rFonts w:ascii="Times New Roman" w:eastAsiaTheme="minorHAnsi" w:hAnsi="Times New Roman"/>
          <w:sz w:val="24"/>
          <w:szCs w:val="24"/>
        </w:rPr>
        <w:t>pixelation</w:t>
      </w:r>
      <w:proofErr w:type="spellEnd"/>
      <w:r w:rsidR="00C12787" w:rsidRPr="007E40FA">
        <w:rPr>
          <w:rFonts w:ascii="Times New Roman" w:eastAsiaTheme="minorHAnsi" w:hAnsi="Times New Roman"/>
          <w:sz w:val="24"/>
          <w:szCs w:val="24"/>
        </w:rPr>
        <w:t xml:space="preserve"> is acceptable in the </w:t>
      </w:r>
      <w:r w:rsidR="0038557C" w:rsidRPr="007E40FA">
        <w:rPr>
          <w:rFonts w:ascii="Times New Roman" w:eastAsiaTheme="minorHAnsi" w:hAnsi="Times New Roman"/>
          <w:sz w:val="24"/>
          <w:szCs w:val="24"/>
        </w:rPr>
        <w:t xml:space="preserve">DAPI channel </w:t>
      </w:r>
      <w:r w:rsidR="00C12787" w:rsidRPr="007E40FA">
        <w:rPr>
          <w:rFonts w:ascii="Times New Roman" w:eastAsiaTheme="minorHAnsi" w:hAnsi="Times New Roman"/>
          <w:sz w:val="24"/>
          <w:szCs w:val="24"/>
        </w:rPr>
        <w:t xml:space="preserve">provided that it </w:t>
      </w:r>
      <w:r w:rsidR="0038557C" w:rsidRPr="007E40FA">
        <w:rPr>
          <w:rFonts w:ascii="Times New Roman" w:eastAsiaTheme="minorHAnsi" w:hAnsi="Times New Roman"/>
          <w:sz w:val="24"/>
          <w:szCs w:val="24"/>
        </w:rPr>
        <w:t xml:space="preserve">is </w:t>
      </w:r>
      <w:r w:rsidR="00C12787" w:rsidRPr="007E40FA">
        <w:rPr>
          <w:rFonts w:ascii="Times New Roman" w:eastAsiaTheme="minorHAnsi" w:hAnsi="Times New Roman"/>
          <w:sz w:val="24"/>
          <w:szCs w:val="24"/>
        </w:rPr>
        <w:t xml:space="preserve">not </w:t>
      </w:r>
      <w:r w:rsidR="0038557C" w:rsidRPr="007E40FA">
        <w:rPr>
          <w:rFonts w:ascii="Times New Roman" w:eastAsiaTheme="minorHAnsi" w:hAnsi="Times New Roman"/>
          <w:sz w:val="24"/>
          <w:szCs w:val="24"/>
        </w:rPr>
        <w:t>too severe (</w:t>
      </w:r>
      <w:r w:rsidR="00C12787" w:rsidRPr="007E40FA">
        <w:rPr>
          <w:rFonts w:ascii="Times New Roman" w:eastAsiaTheme="minorHAnsi" w:hAnsi="Times New Roman"/>
          <w:sz w:val="24"/>
          <w:szCs w:val="24"/>
        </w:rPr>
        <w:t xml:space="preserve">i.e., </w:t>
      </w:r>
      <w:r w:rsidR="00FF7709" w:rsidRPr="007E40FA">
        <w:rPr>
          <w:rFonts w:ascii="Times New Roman" w:eastAsiaTheme="minorHAnsi" w:hAnsi="Times New Roman"/>
          <w:sz w:val="24"/>
          <w:szCs w:val="24"/>
        </w:rPr>
        <w:t>image is entirely white on a background, no grey areas</w:t>
      </w:r>
      <w:r w:rsidR="0038557C" w:rsidRPr="007E40FA">
        <w:rPr>
          <w:rFonts w:ascii="Times New Roman" w:eastAsiaTheme="minorHAnsi" w:hAnsi="Times New Roman"/>
          <w:sz w:val="24"/>
          <w:szCs w:val="24"/>
        </w:rPr>
        <w:t xml:space="preserve">—described by </w:t>
      </w:r>
      <w:r w:rsidR="00DA459D" w:rsidRPr="007E40FA">
        <w:rPr>
          <w:rFonts w:ascii="Times New Roman" w:eastAsiaTheme="minorHAnsi" w:hAnsi="Times New Roman"/>
          <w:sz w:val="24"/>
          <w:szCs w:val="24"/>
        </w:rPr>
        <w:t xml:space="preserve">Janssen Diagnostics (formerly </w:t>
      </w:r>
      <w:proofErr w:type="spellStart"/>
      <w:r w:rsidR="00DA459D" w:rsidRPr="007E40FA">
        <w:rPr>
          <w:rFonts w:ascii="Times New Roman" w:eastAsiaTheme="minorHAnsi" w:hAnsi="Times New Roman"/>
          <w:sz w:val="24"/>
          <w:szCs w:val="24"/>
        </w:rPr>
        <w:t>Veridex</w:t>
      </w:r>
      <w:proofErr w:type="spellEnd"/>
      <w:r w:rsidR="00DA459D" w:rsidRPr="007E40FA">
        <w:rPr>
          <w:rFonts w:ascii="Times New Roman" w:eastAsiaTheme="minorHAnsi" w:hAnsi="Times New Roman"/>
          <w:sz w:val="24"/>
          <w:szCs w:val="24"/>
        </w:rPr>
        <w:t xml:space="preserve">) </w:t>
      </w:r>
      <w:r w:rsidR="0038557C" w:rsidRPr="007E40FA">
        <w:rPr>
          <w:rFonts w:ascii="Times New Roman" w:eastAsiaTheme="minorHAnsi" w:hAnsi="Times New Roman"/>
          <w:sz w:val="24"/>
          <w:szCs w:val="24"/>
        </w:rPr>
        <w:t>as white paint on a black background) or diffuse (</w:t>
      </w:r>
      <w:r w:rsidR="00C12787" w:rsidRPr="007E40FA">
        <w:rPr>
          <w:rFonts w:ascii="Times New Roman" w:eastAsiaTheme="minorHAnsi" w:hAnsi="Times New Roman"/>
          <w:sz w:val="24"/>
          <w:szCs w:val="24"/>
        </w:rPr>
        <w:t>must still appear oval in shape and fit within the CK</w:t>
      </w:r>
      <w:r w:rsidR="0038557C" w:rsidRPr="007E40FA">
        <w:rPr>
          <w:rFonts w:ascii="Times New Roman" w:eastAsiaTheme="minorHAnsi" w:hAnsi="Times New Roman"/>
          <w:sz w:val="24"/>
          <w:szCs w:val="24"/>
        </w:rPr>
        <w:t>).</w:t>
      </w:r>
    </w:p>
    <w:p w:rsidR="00BF056B" w:rsidRPr="007E40FA" w:rsidRDefault="00BF056B" w:rsidP="001F0875">
      <w:pPr>
        <w:pStyle w:val="ListParagraph"/>
        <w:spacing w:line="240" w:lineRule="auto"/>
        <w:ind w:left="0"/>
        <w:jc w:val="both"/>
        <w:rPr>
          <w:rFonts w:ascii="Times New Roman" w:hAnsi="Times New Roman"/>
          <w:sz w:val="24"/>
          <w:szCs w:val="24"/>
        </w:rPr>
      </w:pPr>
    </w:p>
    <w:p w:rsidR="00013A92" w:rsidRPr="007E40FA" w:rsidRDefault="00201C52" w:rsidP="001F0875">
      <w:pPr>
        <w:pStyle w:val="ListParagraph"/>
        <w:spacing w:line="240" w:lineRule="auto"/>
        <w:ind w:left="0"/>
        <w:jc w:val="both"/>
        <w:rPr>
          <w:rFonts w:ascii="Times New Roman" w:hAnsi="Times New Roman"/>
          <w:b/>
          <w:sz w:val="24"/>
          <w:szCs w:val="24"/>
        </w:rPr>
      </w:pPr>
      <w:r w:rsidRPr="007E40FA">
        <w:rPr>
          <w:rFonts w:ascii="Times New Roman" w:hAnsi="Times New Roman"/>
          <w:b/>
          <w:sz w:val="24"/>
          <w:szCs w:val="24"/>
        </w:rPr>
        <w:t>User-Defined Marker Assay Development</w:t>
      </w:r>
    </w:p>
    <w:p w:rsidR="005C0375" w:rsidRPr="007E40FA" w:rsidRDefault="006A040F" w:rsidP="005C0375">
      <w:pPr>
        <w:pStyle w:val="ListParagraph"/>
        <w:spacing w:line="240" w:lineRule="auto"/>
        <w:ind w:left="0"/>
        <w:jc w:val="both"/>
        <w:rPr>
          <w:rFonts w:ascii="Times New Roman" w:hAnsi="Times New Roman"/>
          <w:sz w:val="24"/>
          <w:szCs w:val="24"/>
        </w:rPr>
      </w:pPr>
      <w:r w:rsidRPr="007E40FA">
        <w:rPr>
          <w:rFonts w:ascii="Times New Roman" w:hAnsi="Times New Roman"/>
          <w:sz w:val="24"/>
          <w:szCs w:val="24"/>
        </w:rPr>
        <w:t xml:space="preserve">Adaptation of the </w:t>
      </w:r>
      <w:r w:rsidR="004C0272" w:rsidRPr="007E40FA">
        <w:rPr>
          <w:rFonts w:ascii="Times New Roman" w:hAnsi="Times New Roman"/>
          <w:sz w:val="24"/>
          <w:szCs w:val="24"/>
        </w:rPr>
        <w:t>CSS</w:t>
      </w:r>
      <w:r w:rsidRPr="007E40FA">
        <w:rPr>
          <w:rFonts w:ascii="Times New Roman" w:hAnsi="Times New Roman"/>
          <w:sz w:val="24"/>
          <w:szCs w:val="24"/>
        </w:rPr>
        <w:t xml:space="preserve"> to characterize CTCs for user-defined markers requires significant work-up with rigorous controls</w:t>
      </w:r>
      <w:r w:rsidR="00A840B1" w:rsidRPr="007E40FA">
        <w:rPr>
          <w:rFonts w:ascii="Times New Roman" w:hAnsi="Times New Roman"/>
          <w:sz w:val="24"/>
          <w:szCs w:val="24"/>
        </w:rPr>
        <w:t xml:space="preserve"> and has been described previously</w:t>
      </w:r>
      <w:r w:rsidR="0036708D" w:rsidRPr="007E40FA">
        <w:rPr>
          <w:rFonts w:ascii="Times New Roman" w:hAnsi="Times New Roman"/>
          <w:sz w:val="24"/>
          <w:szCs w:val="24"/>
        </w:rPr>
        <w:fldChar w:fldCharType="begin" w:fldLock="1"/>
      </w:r>
      <w:r w:rsidR="007F0560" w:rsidRPr="007E40FA">
        <w:rPr>
          <w:rFonts w:ascii="Times New Roman" w:hAnsi="Times New Roman"/>
          <w:sz w:val="24"/>
          <w:szCs w:val="24"/>
        </w:rPr>
        <w:instrText>ADDIN CSL_CITATION { "citationItems" : [ { "id" : "ITEM-1", "itemData" : { "DOI" : "10.1002/cyto.a.22158", "ISSN" : "1552-4930", "PMID" : "22899576", "abstract" : "The majority of cancer-related deaths result from metastasis, which has been associated with the presence of circulating tumor cells (CTCs). It has been shown that CTC cut-off values exist that predict for poorer overall survival in metastatic breast (\u22655), prostate (\u22655), and colorectal (\u22653) cancer based on assessment of 7.5 ml of blood. Development of the CellSearch\u00ae system (Veridex) has allowed for sensitive enumeration of CTCs. In the current study, protocols were developed and optimized for use with the CellSearch system to characterize CTCs with respect to user-defined protein markers of interest in human blood samples, including the cancer stem cell marker CD44 and the apoptosis marker M-30. Flow cytometry (FCM) experiments were initially carried out to assess expression of CD44 and M-30 on MDA-MB-468 human tumor cells. Human blood samples were then spiked with MDA-MB-468 cells and processed with the appropriate antibody (CD44/M-30) on the CellSearch. Detailed optimization of CD44 was carried out on the CellSearch using various antibody concentrations, exposure times, and cell lines with varying CD44 expression. Troubleshooting experiments were undertaken to explain observed discrepancies between FCM and CellSearch results for the M-30 marker. After extensive optimization, the best CD44/M-30 concentrations and exposure times were determined to be 1.5/3.5 \u03bcg/ml and 0.2/0.8 s, respectively. The percentage of CD44(+) tumor cells was 99.5 \u00b1 0.39% by FCM and 98.8 \u00b1 0.51% by the CellSearch system. The percentage of M-30(+) tumor cells following paclitaxel treatment was 17.6 \u00b1 1.18% by FCM and 10.9 \u00b1 2.41% by CellSearch. Proper optimization of the CD44 marker was achieved; however, M-30 does not appear to be a suitable marker for use in this platform. Taken together, the current study provides a detailed description of the process of user-defined protein marker development and optimization using the CellSearch, and will be an important resource for the future development of protein marker assays by users of this platform.", "author" : [ { "dropping-particle" : "", "family" : "Lowes", "given" : "Lori E", "non-dropping-particle" : "", "parse-names" : false, "suffix" : "" }, { "dropping-particle" : "", "family" : "Hedley", "given" : "Benjamin D", "non-dropping-particle" : "", "parse-names" : false, "suffix" : "" }, { "dropping-particle" : "", "family" : "Keeney", "given" : "Mike", "non-dropping-particle" : "", "parse-names" : false, "suffix" : "" }, { "dropping-particle" : "", "family" : "Allan", "given" : "Alison L", "non-dropping-particle" : "", "parse-names" : false, "suffix" : "" } ], "container-title" : "Cytometry. Part A : the journal of the International Society for Analytical Cytology", "id" : "ITEM-1", "issue" : "11", "issued" : { "date-parts" : [ [ "2012", "11" ] ] }, "page" : "983-95", "title" : "User-defined protein marker assay development for characterization of circulating tumor cells using the CellSearch\u00ae system.", "type" : "article-journal", "volume" : "81" }, "uris" : [ "http://www.mendeley.com/documents/?uuid=a9a3aebd-cff0-4e16-8c3a-76b63633aab6" ] } ], "mendeley" : { "previouslyFormattedCitation" : "&lt;sup&gt;16&lt;/sup&gt;" }, "properties" : { "noteIndex" : 0 }, "schema" : "https://github.com/citation-style-language/schema/raw/master/csl-citation.json" }</w:instrText>
      </w:r>
      <w:r w:rsidR="0036708D" w:rsidRPr="007E40FA">
        <w:rPr>
          <w:rFonts w:ascii="Times New Roman" w:hAnsi="Times New Roman"/>
          <w:sz w:val="24"/>
          <w:szCs w:val="24"/>
        </w:rPr>
        <w:fldChar w:fldCharType="separate"/>
      </w:r>
      <w:r w:rsidR="007F0560" w:rsidRPr="007E40FA">
        <w:rPr>
          <w:rFonts w:ascii="Times New Roman" w:hAnsi="Times New Roman"/>
          <w:noProof/>
          <w:sz w:val="24"/>
          <w:szCs w:val="24"/>
          <w:vertAlign w:val="superscript"/>
        </w:rPr>
        <w:t>16</w:t>
      </w:r>
      <w:r w:rsidR="0036708D" w:rsidRPr="007E40FA">
        <w:rPr>
          <w:rFonts w:ascii="Times New Roman" w:hAnsi="Times New Roman"/>
          <w:sz w:val="24"/>
          <w:szCs w:val="24"/>
        </w:rPr>
        <w:fldChar w:fldCharType="end"/>
      </w:r>
      <w:r w:rsidRPr="007E40FA">
        <w:rPr>
          <w:rFonts w:ascii="Times New Roman" w:hAnsi="Times New Roman"/>
          <w:sz w:val="24"/>
          <w:szCs w:val="24"/>
        </w:rPr>
        <w:t xml:space="preserve">. </w:t>
      </w:r>
      <w:r w:rsidR="005C0375" w:rsidRPr="007E40FA">
        <w:rPr>
          <w:rFonts w:ascii="Times New Roman" w:hAnsi="Times New Roman"/>
          <w:sz w:val="24"/>
          <w:szCs w:val="24"/>
        </w:rPr>
        <w:t xml:space="preserve">As a general rule, appropriate optimization of any user-defined marker requires that negative controls be employed to ensure that results are specific. The best results are obtained when spiked samples are processed with both a non-specific </w:t>
      </w:r>
      <w:proofErr w:type="spellStart"/>
      <w:r w:rsidR="005C0375" w:rsidRPr="007E40FA">
        <w:rPr>
          <w:rFonts w:ascii="Times New Roman" w:hAnsi="Times New Roman"/>
          <w:sz w:val="24"/>
          <w:szCs w:val="24"/>
        </w:rPr>
        <w:t>IgG</w:t>
      </w:r>
      <w:proofErr w:type="spellEnd"/>
      <w:r w:rsidR="005C0375" w:rsidRPr="007E40FA">
        <w:rPr>
          <w:rFonts w:ascii="Times New Roman" w:hAnsi="Times New Roman"/>
          <w:sz w:val="24"/>
          <w:szCs w:val="24"/>
        </w:rPr>
        <w:t xml:space="preserve"> control in place of the target antibody and with the antibody diluent alone as described previously. Various target antibody concentrations and exposure times should also be assessed and validated using cell lines with high</w:t>
      </w:r>
      <w:r w:rsidR="00BA6488" w:rsidRPr="007E40FA">
        <w:rPr>
          <w:rFonts w:ascii="Times New Roman" w:hAnsi="Times New Roman"/>
          <w:sz w:val="24"/>
          <w:szCs w:val="24"/>
        </w:rPr>
        <w:t>, low, and absent</w:t>
      </w:r>
      <w:r w:rsidR="005C0375" w:rsidRPr="007E40FA">
        <w:rPr>
          <w:rFonts w:ascii="Times New Roman" w:hAnsi="Times New Roman"/>
          <w:sz w:val="24"/>
          <w:szCs w:val="24"/>
        </w:rPr>
        <w:t xml:space="preserve"> </w:t>
      </w:r>
      <w:r w:rsidR="00BA6488" w:rsidRPr="007E40FA">
        <w:rPr>
          <w:rFonts w:ascii="Times New Roman" w:hAnsi="Times New Roman"/>
          <w:sz w:val="24"/>
          <w:szCs w:val="24"/>
        </w:rPr>
        <w:t>(negative) antigen densities.</w:t>
      </w:r>
      <w:r w:rsidR="005C0375" w:rsidRPr="007E40FA">
        <w:rPr>
          <w:rFonts w:ascii="Times New Roman" w:hAnsi="Times New Roman"/>
          <w:sz w:val="24"/>
          <w:szCs w:val="24"/>
        </w:rPr>
        <w:t xml:space="preserve"> Optimal protocol conditions are achieved when the assay demonstrates both high sensitivity for the target antigen and low background noise from non-specific binding</w:t>
      </w:r>
      <w:r w:rsidR="0036708D" w:rsidRPr="007E40FA">
        <w:rPr>
          <w:rFonts w:ascii="Times New Roman" w:hAnsi="Times New Roman"/>
          <w:sz w:val="24"/>
          <w:szCs w:val="24"/>
        </w:rPr>
        <w:fldChar w:fldCharType="begin" w:fldLock="1"/>
      </w:r>
      <w:r w:rsidR="00BA6488" w:rsidRPr="007E40FA">
        <w:rPr>
          <w:rFonts w:ascii="Times New Roman" w:hAnsi="Times New Roman"/>
          <w:sz w:val="24"/>
          <w:szCs w:val="24"/>
        </w:rPr>
        <w:instrText>ADDIN CSL_CITATION { "citationItems" : [ { "id" : "ITEM-1", "itemData" : { "DOI" : "10.1002/cyto.a.22158", "ISSN" : "1552-4930", "PMID" : "22899576", "abstract" : "The majority of cancer-related deaths result from metastasis, which has been associated with the presence of circulating tumor cells (CTCs). It has been shown that CTC cut-off values exist that predict for poorer overall survival in metastatic breast (\u22655), prostate (\u22655), and colorectal (\u22653) cancer based on assessment of 7.5 ml of blood. Development of the CellSearch\u00ae system (Veridex) has allowed for sensitive enumeration of CTCs. In the current study, protocols were developed and optimized for use with the CellSearch system to characterize CTCs with respect to user-defined protein markers of interest in human blood samples, including the cancer stem cell marker CD44 and the apoptosis marker M-30. Flow cytometry (FCM) experiments were initially carried out to assess expression of CD44 and M-30 on MDA-MB-468 human tumor cells. Human blood samples were then spiked with MDA-MB-468 cells and processed with the appropriate antibody (CD44/M-30) on the CellSearch. Detailed optimization of CD44 was carried out on the CellSearch using various antibody concentrations, exposure times, and cell lines with varying CD44 expression. Troubleshooting experiments were undertaken to explain observed discrepancies between FCM and CellSearch results for the M-30 marker. After extensive optimization, the best CD44/M-30 concentrations and exposure times were determined to be 1.5/3.5 \u03bcg/ml and 0.2/0.8 s, respectively. The percentage of CD44(+) tumor cells was 99.5 \u00b1 0.39% by FCM and 98.8 \u00b1 0.51% by the CellSearch system. The percentage of M-30(+) tumor cells following paclitaxel treatment was 17.6 \u00b1 1.18% by FCM and 10.9 \u00b1 2.41% by CellSearch. Proper optimization of the CD44 marker was achieved; however, M-30 does not appear to be a suitable marker for use in this platform. Taken together, the current study provides a detailed description of the process of user-defined protein marker development and optimization using the CellSearch, and will be an important resource for the future development of protein marker assays by users of this platform.", "author" : [ { "dropping-particle" : "", "family" : "Lowes", "given" : "Lori E", "non-dropping-particle" : "", "parse-names" : false, "suffix" : "" }, { "dropping-particle" : "", "family" : "Hedley", "given" : "Benjamin D", "non-dropping-particle" : "", "parse-names" : false, "suffix" : "" }, { "dropping-particle" : "", "family" : "Keeney", "given" : "Mike", "non-dropping-particle" : "", "parse-names" : false, "suffix" : "" }, { "dropping-particle" : "", "family" : "Allan", "given" : "Alison L", "non-dropping-particle" : "", "parse-names" : false, "suffix" : "" } ], "container-title" : "Cytometry. Part A : the journal of the International Society for Analytical Cytology", "id" : "ITEM-1", "issue" : "11", "issued" : { "date-parts" : [ [ "2012", "11" ] ] }, "page" : "983-95", "title" : "User-defined protein marker assay development for characterization of circulating tumor cells using the CellSearch\u00ae system.", "type" : "article-journal", "volume" : "81" }, "uris" : [ "http://www.mendeley.com/documents/?uuid=a9a3aebd-cff0-4e16-8c3a-76b63633aab6" ] } ], "mendeley" : { "previouslyFormattedCitation" : "&lt;sup&gt;16&lt;/sup&gt;" }, "properties" : { "noteIndex" : 0 }, "schema" : "https://github.com/citation-style-language/schema/raw/master/csl-citation.json" }</w:instrText>
      </w:r>
      <w:r w:rsidR="0036708D" w:rsidRPr="007E40FA">
        <w:rPr>
          <w:rFonts w:ascii="Times New Roman" w:hAnsi="Times New Roman"/>
          <w:sz w:val="24"/>
          <w:szCs w:val="24"/>
        </w:rPr>
        <w:fldChar w:fldCharType="separate"/>
      </w:r>
      <w:r w:rsidR="00BA6488" w:rsidRPr="007E40FA">
        <w:rPr>
          <w:rFonts w:ascii="Times New Roman" w:hAnsi="Times New Roman"/>
          <w:noProof/>
          <w:sz w:val="24"/>
          <w:szCs w:val="24"/>
          <w:vertAlign w:val="superscript"/>
        </w:rPr>
        <w:t>16</w:t>
      </w:r>
      <w:r w:rsidR="0036708D" w:rsidRPr="007E40FA">
        <w:rPr>
          <w:rFonts w:ascii="Times New Roman" w:hAnsi="Times New Roman"/>
          <w:sz w:val="24"/>
          <w:szCs w:val="24"/>
        </w:rPr>
        <w:fldChar w:fldCharType="end"/>
      </w:r>
      <w:r w:rsidR="005C0375" w:rsidRPr="007E40FA">
        <w:rPr>
          <w:rFonts w:ascii="Times New Roman" w:hAnsi="Times New Roman"/>
          <w:sz w:val="24"/>
          <w:szCs w:val="24"/>
        </w:rPr>
        <w:t>.</w:t>
      </w:r>
      <w:r w:rsidR="005C0375" w:rsidRPr="007E40FA" w:rsidDel="00753352">
        <w:rPr>
          <w:rFonts w:ascii="Times New Roman" w:hAnsi="Times New Roman"/>
          <w:sz w:val="24"/>
          <w:szCs w:val="24"/>
        </w:rPr>
        <w:t xml:space="preserve"> </w:t>
      </w:r>
    </w:p>
    <w:p w:rsidR="00BA6488" w:rsidRPr="007E40FA" w:rsidRDefault="00BA6488" w:rsidP="001F0875">
      <w:pPr>
        <w:pStyle w:val="ListParagraph"/>
        <w:spacing w:line="240" w:lineRule="auto"/>
        <w:ind w:left="0"/>
        <w:jc w:val="both"/>
        <w:rPr>
          <w:rFonts w:ascii="Times New Roman" w:hAnsi="Times New Roman"/>
          <w:sz w:val="24"/>
          <w:szCs w:val="24"/>
        </w:rPr>
      </w:pPr>
    </w:p>
    <w:p w:rsidR="008833B7" w:rsidRPr="007E40FA" w:rsidRDefault="00A840B1" w:rsidP="001F0875">
      <w:pPr>
        <w:pStyle w:val="ListParagraph"/>
        <w:spacing w:line="240" w:lineRule="auto"/>
        <w:ind w:left="0"/>
        <w:jc w:val="both"/>
        <w:rPr>
          <w:rFonts w:ascii="Times New Roman" w:hAnsi="Times New Roman"/>
          <w:sz w:val="24"/>
          <w:szCs w:val="24"/>
        </w:rPr>
      </w:pPr>
      <w:r w:rsidRPr="007E40FA">
        <w:rPr>
          <w:rFonts w:ascii="Times New Roman" w:hAnsi="Times New Roman"/>
          <w:sz w:val="24"/>
          <w:szCs w:val="24"/>
        </w:rPr>
        <w:t>A</w:t>
      </w:r>
      <w:r w:rsidR="006A040F" w:rsidRPr="007E40FA">
        <w:rPr>
          <w:rFonts w:ascii="Times New Roman" w:hAnsi="Times New Roman"/>
          <w:sz w:val="24"/>
          <w:szCs w:val="24"/>
        </w:rPr>
        <w:t>n example of this work-up using a cancer stem cell marker, CD44</w:t>
      </w:r>
      <w:r w:rsidR="00013A92" w:rsidRPr="007E40FA">
        <w:rPr>
          <w:rFonts w:ascii="Times New Roman" w:hAnsi="Times New Roman"/>
          <w:sz w:val="24"/>
          <w:szCs w:val="24"/>
        </w:rPr>
        <w:t>,</w:t>
      </w:r>
      <w:r w:rsidRPr="007E40FA">
        <w:rPr>
          <w:rFonts w:ascii="Times New Roman" w:hAnsi="Times New Roman"/>
          <w:sz w:val="24"/>
          <w:szCs w:val="24"/>
        </w:rPr>
        <w:t xml:space="preserve"> is presented here</w:t>
      </w:r>
      <w:r w:rsidR="006A040F" w:rsidRPr="007E40FA">
        <w:rPr>
          <w:rFonts w:ascii="Times New Roman" w:hAnsi="Times New Roman"/>
          <w:sz w:val="24"/>
          <w:szCs w:val="24"/>
        </w:rPr>
        <w:t xml:space="preserve">. Initial testing with this marker </w:t>
      </w:r>
      <w:r w:rsidR="00EE08B3" w:rsidRPr="007E40FA">
        <w:rPr>
          <w:rFonts w:ascii="Times New Roman" w:hAnsi="Times New Roman"/>
          <w:sz w:val="24"/>
          <w:szCs w:val="24"/>
        </w:rPr>
        <w:t xml:space="preserve">began </w:t>
      </w:r>
      <w:r w:rsidRPr="007E40FA">
        <w:rPr>
          <w:rFonts w:ascii="Times New Roman" w:hAnsi="Times New Roman"/>
          <w:sz w:val="24"/>
          <w:szCs w:val="24"/>
        </w:rPr>
        <w:t>using</w:t>
      </w:r>
      <w:r w:rsidR="006A040F" w:rsidRPr="007E40FA">
        <w:rPr>
          <w:rFonts w:ascii="Times New Roman" w:hAnsi="Times New Roman"/>
          <w:sz w:val="24"/>
          <w:szCs w:val="24"/>
        </w:rPr>
        <w:t xml:space="preserve"> the standard </w:t>
      </w:r>
      <w:r w:rsidR="004C0272" w:rsidRPr="007E40FA">
        <w:rPr>
          <w:rFonts w:ascii="Times New Roman" w:hAnsi="Times New Roman"/>
          <w:sz w:val="24"/>
          <w:szCs w:val="24"/>
        </w:rPr>
        <w:t>CSS</w:t>
      </w:r>
      <w:r w:rsidR="006A040F" w:rsidRPr="007E40FA">
        <w:rPr>
          <w:rFonts w:ascii="Times New Roman" w:hAnsi="Times New Roman"/>
          <w:sz w:val="24"/>
          <w:szCs w:val="24"/>
        </w:rPr>
        <w:t xml:space="preserve"> CTC kit</w:t>
      </w:r>
      <w:r w:rsidR="001723FC" w:rsidRPr="007E40FA">
        <w:rPr>
          <w:rFonts w:ascii="Times New Roman" w:hAnsi="Times New Roman"/>
          <w:sz w:val="24"/>
          <w:szCs w:val="24"/>
        </w:rPr>
        <w:t xml:space="preserve"> (hereafter referred to as the traditional CTC kit)</w:t>
      </w:r>
      <w:r w:rsidR="00EE08B3" w:rsidRPr="007E40FA">
        <w:rPr>
          <w:rFonts w:ascii="Times New Roman" w:hAnsi="Times New Roman"/>
          <w:sz w:val="24"/>
          <w:szCs w:val="24"/>
        </w:rPr>
        <w:t>,</w:t>
      </w:r>
      <w:r w:rsidR="006A040F" w:rsidRPr="007E40FA">
        <w:rPr>
          <w:rFonts w:ascii="Times New Roman" w:hAnsi="Times New Roman"/>
          <w:sz w:val="24"/>
          <w:szCs w:val="24"/>
        </w:rPr>
        <w:t xml:space="preserve"> which utilizes the FITC channel for user-defined marker development. Using th</w:t>
      </w:r>
      <w:r w:rsidR="001723FC" w:rsidRPr="007E40FA">
        <w:rPr>
          <w:rFonts w:ascii="Times New Roman" w:hAnsi="Times New Roman"/>
          <w:sz w:val="24"/>
          <w:szCs w:val="24"/>
        </w:rPr>
        <w:t>e traditional CTC</w:t>
      </w:r>
      <w:r w:rsidR="006A040F" w:rsidRPr="007E40FA">
        <w:rPr>
          <w:rFonts w:ascii="Times New Roman" w:hAnsi="Times New Roman"/>
          <w:sz w:val="24"/>
          <w:szCs w:val="24"/>
        </w:rPr>
        <w:t xml:space="preserve"> kit</w:t>
      </w:r>
      <w:r w:rsidRPr="007E40FA">
        <w:rPr>
          <w:rFonts w:ascii="Times New Roman" w:hAnsi="Times New Roman"/>
          <w:sz w:val="24"/>
          <w:szCs w:val="24"/>
        </w:rPr>
        <w:t>,</w:t>
      </w:r>
      <w:r w:rsidR="006A040F" w:rsidRPr="007E40FA">
        <w:rPr>
          <w:rFonts w:ascii="Times New Roman" w:hAnsi="Times New Roman"/>
          <w:sz w:val="24"/>
          <w:szCs w:val="24"/>
        </w:rPr>
        <w:t xml:space="preserve"> </w:t>
      </w:r>
      <w:r w:rsidRPr="007E40FA">
        <w:rPr>
          <w:rFonts w:ascii="Times New Roman" w:hAnsi="Times New Roman"/>
          <w:sz w:val="24"/>
          <w:szCs w:val="24"/>
        </w:rPr>
        <w:t xml:space="preserve">it was </w:t>
      </w:r>
      <w:r w:rsidR="006A040F" w:rsidRPr="007E40FA">
        <w:rPr>
          <w:rFonts w:ascii="Times New Roman" w:hAnsi="Times New Roman"/>
          <w:sz w:val="24"/>
          <w:szCs w:val="24"/>
        </w:rPr>
        <w:t>demonstrated that</w:t>
      </w:r>
      <w:r w:rsidRPr="007E40FA">
        <w:rPr>
          <w:rFonts w:ascii="Times New Roman" w:hAnsi="Times New Roman"/>
          <w:sz w:val="24"/>
          <w:szCs w:val="24"/>
        </w:rPr>
        <w:t xml:space="preserve">, </w:t>
      </w:r>
      <w:bookmarkStart w:id="1" w:name="OLE_LINK1"/>
      <w:r w:rsidRPr="007E40FA">
        <w:rPr>
          <w:rFonts w:ascii="Times New Roman" w:hAnsi="Times New Roman"/>
          <w:sz w:val="24"/>
          <w:szCs w:val="24"/>
        </w:rPr>
        <w:t>after significant optimization,</w:t>
      </w:r>
      <w:bookmarkEnd w:id="1"/>
      <w:r w:rsidRPr="007E40FA">
        <w:rPr>
          <w:rFonts w:ascii="Times New Roman" w:hAnsi="Times New Roman"/>
          <w:sz w:val="24"/>
          <w:szCs w:val="24"/>
        </w:rPr>
        <w:t xml:space="preserve"> the maximum number of CTCs that could be classified as CD44</w:t>
      </w:r>
      <w:r w:rsidRPr="007E40FA">
        <w:rPr>
          <w:rFonts w:ascii="Times New Roman" w:hAnsi="Times New Roman"/>
          <w:sz w:val="24"/>
          <w:szCs w:val="24"/>
          <w:vertAlign w:val="superscript"/>
        </w:rPr>
        <w:t>+</w:t>
      </w:r>
      <w:r w:rsidRPr="007E40FA">
        <w:rPr>
          <w:rFonts w:ascii="Times New Roman" w:hAnsi="Times New Roman"/>
          <w:sz w:val="24"/>
          <w:szCs w:val="24"/>
        </w:rPr>
        <w:t xml:space="preserve"> was 69.3±2.67% using </w:t>
      </w:r>
      <w:r w:rsidR="00EE08B3" w:rsidRPr="007E40FA">
        <w:rPr>
          <w:rFonts w:ascii="Times New Roman" w:hAnsi="Times New Roman"/>
          <w:sz w:val="24"/>
          <w:szCs w:val="24"/>
        </w:rPr>
        <w:t xml:space="preserve">samples spiked </w:t>
      </w:r>
      <w:r w:rsidRPr="007E40FA">
        <w:rPr>
          <w:rFonts w:ascii="Times New Roman" w:hAnsi="Times New Roman"/>
          <w:sz w:val="24"/>
          <w:szCs w:val="24"/>
        </w:rPr>
        <w:t>with 1</w:t>
      </w:r>
      <w:r w:rsidR="000C7419" w:rsidRPr="007E40FA">
        <w:rPr>
          <w:rFonts w:ascii="Times New Roman" w:hAnsi="Times New Roman"/>
          <w:sz w:val="24"/>
          <w:szCs w:val="24"/>
        </w:rPr>
        <w:t>,</w:t>
      </w:r>
      <w:r w:rsidRPr="007E40FA">
        <w:rPr>
          <w:rFonts w:ascii="Times New Roman" w:hAnsi="Times New Roman"/>
          <w:sz w:val="24"/>
          <w:szCs w:val="24"/>
        </w:rPr>
        <w:t>000 MDA-MB-468 human breast cancer cells, known to demonstrate high CD44 expression with the majority of cells (98.4±</w:t>
      </w:r>
      <w:r w:rsidR="00EE08B3" w:rsidRPr="007E40FA">
        <w:rPr>
          <w:rFonts w:ascii="Times New Roman" w:hAnsi="Times New Roman"/>
          <w:sz w:val="24"/>
          <w:szCs w:val="24"/>
        </w:rPr>
        <w:t xml:space="preserve">0.90%; as determined by flow </w:t>
      </w:r>
      <w:proofErr w:type="spellStart"/>
      <w:r w:rsidR="00EE08B3" w:rsidRPr="007E40FA">
        <w:rPr>
          <w:rFonts w:ascii="Times New Roman" w:hAnsi="Times New Roman"/>
          <w:sz w:val="24"/>
          <w:szCs w:val="24"/>
        </w:rPr>
        <w:t>cytometry</w:t>
      </w:r>
      <w:proofErr w:type="spellEnd"/>
      <w:r w:rsidR="00EE08B3" w:rsidRPr="007E40FA">
        <w:rPr>
          <w:rFonts w:ascii="Times New Roman" w:hAnsi="Times New Roman"/>
          <w:sz w:val="24"/>
          <w:szCs w:val="24"/>
        </w:rPr>
        <w:t xml:space="preserve">) </w:t>
      </w:r>
      <w:r w:rsidRPr="007E40FA">
        <w:rPr>
          <w:rFonts w:ascii="Times New Roman" w:hAnsi="Times New Roman"/>
          <w:sz w:val="24"/>
          <w:szCs w:val="24"/>
        </w:rPr>
        <w:t xml:space="preserve">expressing </w:t>
      </w:r>
      <w:r w:rsidRPr="007E40FA">
        <w:rPr>
          <w:rFonts w:ascii="Times New Roman" w:hAnsi="Times New Roman"/>
          <w:sz w:val="24"/>
          <w:szCs w:val="24"/>
        </w:rPr>
        <w:lastRenderedPageBreak/>
        <w:t xml:space="preserve">this protein </w:t>
      </w:r>
      <w:r w:rsidR="006A040F" w:rsidRPr="007E40FA">
        <w:rPr>
          <w:rFonts w:ascii="Times New Roman" w:hAnsi="Times New Roman"/>
          <w:b/>
          <w:sz w:val="24"/>
          <w:szCs w:val="24"/>
        </w:rPr>
        <w:t>(Figure 2A)</w:t>
      </w:r>
      <w:r w:rsidR="006A040F" w:rsidRPr="007E40FA">
        <w:rPr>
          <w:rFonts w:ascii="Times New Roman" w:hAnsi="Times New Roman"/>
          <w:sz w:val="24"/>
          <w:szCs w:val="24"/>
        </w:rPr>
        <w:t xml:space="preserve">. </w:t>
      </w:r>
      <w:r w:rsidR="009A13A1" w:rsidRPr="007E40FA">
        <w:rPr>
          <w:rFonts w:ascii="Times New Roman" w:hAnsi="Times New Roman"/>
          <w:sz w:val="24"/>
          <w:szCs w:val="24"/>
        </w:rPr>
        <w:t xml:space="preserve">Based upon these findings it was hypothesized that the commercially available </w:t>
      </w:r>
      <w:r w:rsidR="004C0272" w:rsidRPr="007E40FA">
        <w:rPr>
          <w:rFonts w:ascii="Times New Roman" w:hAnsi="Times New Roman"/>
          <w:sz w:val="24"/>
          <w:szCs w:val="24"/>
        </w:rPr>
        <w:t>CSS</w:t>
      </w:r>
      <w:r w:rsidR="009A13A1" w:rsidRPr="007E40FA">
        <w:rPr>
          <w:rFonts w:ascii="Times New Roman" w:hAnsi="Times New Roman"/>
          <w:sz w:val="24"/>
          <w:szCs w:val="24"/>
        </w:rPr>
        <w:t xml:space="preserve"> CXC kit might produce improved results. Th</w:t>
      </w:r>
      <w:r w:rsidR="001723FC" w:rsidRPr="007E40FA">
        <w:rPr>
          <w:rFonts w:ascii="Times New Roman" w:hAnsi="Times New Roman"/>
          <w:sz w:val="24"/>
          <w:szCs w:val="24"/>
        </w:rPr>
        <w:t xml:space="preserve">is </w:t>
      </w:r>
      <w:r w:rsidR="009A13A1" w:rsidRPr="007E40FA">
        <w:rPr>
          <w:rFonts w:ascii="Times New Roman" w:hAnsi="Times New Roman"/>
          <w:sz w:val="24"/>
          <w:szCs w:val="24"/>
        </w:rPr>
        <w:t xml:space="preserve">kit allows for improved visualization of markers with a lower antigen density (~50,000 antigens/cell) compared with the </w:t>
      </w:r>
      <w:r w:rsidR="001723FC" w:rsidRPr="007E40FA">
        <w:rPr>
          <w:rFonts w:ascii="Times New Roman" w:hAnsi="Times New Roman"/>
          <w:sz w:val="24"/>
          <w:szCs w:val="24"/>
        </w:rPr>
        <w:t>traditional</w:t>
      </w:r>
      <w:r w:rsidR="009A13A1" w:rsidRPr="007E40FA">
        <w:rPr>
          <w:rFonts w:ascii="Times New Roman" w:hAnsi="Times New Roman"/>
          <w:sz w:val="24"/>
          <w:szCs w:val="24"/>
        </w:rPr>
        <w:t xml:space="preserve"> CTC kit (optimized for markers with a density of ~100,000 antigens/cell) by reversing the fluorescence channel in which the CK8/18/19 (</w:t>
      </w:r>
      <w:r w:rsidR="009724BA" w:rsidRPr="007E40FA">
        <w:rPr>
          <w:rFonts w:ascii="Times New Roman" w:hAnsi="Times New Roman"/>
          <w:sz w:val="24"/>
          <w:szCs w:val="24"/>
        </w:rPr>
        <w:t xml:space="preserve">traditionally </w:t>
      </w:r>
      <w:r w:rsidR="009A13A1" w:rsidRPr="007E40FA">
        <w:rPr>
          <w:rFonts w:ascii="Times New Roman" w:hAnsi="Times New Roman"/>
          <w:sz w:val="24"/>
          <w:szCs w:val="24"/>
        </w:rPr>
        <w:t>represented in the PE channel) and the user’s marker of interest (</w:t>
      </w:r>
      <w:r w:rsidR="009724BA" w:rsidRPr="007E40FA">
        <w:rPr>
          <w:rFonts w:ascii="Times New Roman" w:hAnsi="Times New Roman"/>
          <w:sz w:val="24"/>
          <w:szCs w:val="24"/>
        </w:rPr>
        <w:t>traditionally</w:t>
      </w:r>
      <w:r w:rsidR="009A13A1" w:rsidRPr="007E40FA">
        <w:rPr>
          <w:rFonts w:ascii="Times New Roman" w:hAnsi="Times New Roman"/>
          <w:sz w:val="24"/>
          <w:szCs w:val="24"/>
        </w:rPr>
        <w:t xml:space="preserve"> represented in the FITC channel) are represented</w:t>
      </w:r>
      <w:r w:rsidR="001723FC" w:rsidRPr="007E40FA">
        <w:rPr>
          <w:rFonts w:ascii="Times New Roman" w:hAnsi="Times New Roman"/>
          <w:sz w:val="24"/>
          <w:szCs w:val="24"/>
        </w:rPr>
        <w:t xml:space="preserve"> (therefore hereafter the CXC kit will be referred to as the low antigen density CTC kit)</w:t>
      </w:r>
      <w:r w:rsidR="0036708D" w:rsidRPr="007E40FA">
        <w:rPr>
          <w:rFonts w:ascii="Times New Roman" w:hAnsi="Times New Roman"/>
          <w:sz w:val="24"/>
          <w:szCs w:val="24"/>
        </w:rPr>
        <w:fldChar w:fldCharType="begin" w:fldLock="1"/>
      </w:r>
      <w:r w:rsidR="007F0560" w:rsidRPr="007E40FA">
        <w:rPr>
          <w:rFonts w:ascii="Times New Roman" w:hAnsi="Times New Roman"/>
          <w:sz w:val="24"/>
          <w:szCs w:val="24"/>
        </w:rPr>
        <w:instrText>ADDIN CSL_CITATION { "citationItems" : [ { "id" : "ITEM-1", "itemData" : { "author" : [ { "dropping-particle" : "", "family" : "Veridex White Pages.", "given" : "", "non-dropping-particle" : "", "parse-names" : false, "suffix" : "" } ], "id" : "ITEM-1", "issued" : { "date-parts" : [ [ "2008" ] ] }, "title" : "Available at: http://www.veridex.com/pdf/CXC_Application_Guideline.PDF", "type" : "webpage" }, "uris" : [ "http://www.mendeley.com/documents/?uuid=b2fef10e-5804-49d2-b208-f39cda63b2ff" ] } ], "mendeley" : { "previouslyFormattedCitation" : "&lt;sup&gt;26&lt;/sup&gt;" }, "properties" : { "noteIndex" : 0 }, "schema" : "https://github.com/citation-style-language/schema/raw/master/csl-citation.json" }</w:instrText>
      </w:r>
      <w:r w:rsidR="0036708D" w:rsidRPr="007E40FA">
        <w:rPr>
          <w:rFonts w:ascii="Times New Roman" w:hAnsi="Times New Roman"/>
          <w:sz w:val="24"/>
          <w:szCs w:val="24"/>
        </w:rPr>
        <w:fldChar w:fldCharType="separate"/>
      </w:r>
      <w:r w:rsidR="007F0560" w:rsidRPr="007E40FA">
        <w:rPr>
          <w:rFonts w:ascii="Times New Roman" w:hAnsi="Times New Roman"/>
          <w:noProof/>
          <w:sz w:val="24"/>
          <w:szCs w:val="24"/>
          <w:vertAlign w:val="superscript"/>
        </w:rPr>
        <w:t>26</w:t>
      </w:r>
      <w:r w:rsidR="0036708D" w:rsidRPr="007E40FA">
        <w:rPr>
          <w:rFonts w:ascii="Times New Roman" w:hAnsi="Times New Roman"/>
          <w:sz w:val="24"/>
          <w:szCs w:val="24"/>
        </w:rPr>
        <w:fldChar w:fldCharType="end"/>
      </w:r>
      <w:r w:rsidR="009A13A1" w:rsidRPr="007E40FA">
        <w:rPr>
          <w:rFonts w:ascii="Times New Roman" w:hAnsi="Times New Roman"/>
          <w:sz w:val="24"/>
          <w:szCs w:val="24"/>
        </w:rPr>
        <w:t>. After significant optimization, it was demonstrated that this change allowed for improved CD44 staining, with 98.8±0.51% of CTCs classified as CD44</w:t>
      </w:r>
      <w:r w:rsidR="009A13A1" w:rsidRPr="007E40FA">
        <w:rPr>
          <w:rFonts w:ascii="Times New Roman" w:hAnsi="Times New Roman"/>
          <w:sz w:val="24"/>
          <w:szCs w:val="24"/>
          <w:vertAlign w:val="superscript"/>
        </w:rPr>
        <w:t>+</w:t>
      </w:r>
      <w:r w:rsidR="009A13A1" w:rsidRPr="007E40FA">
        <w:rPr>
          <w:rFonts w:ascii="Times New Roman" w:hAnsi="Times New Roman"/>
          <w:sz w:val="24"/>
          <w:szCs w:val="24"/>
        </w:rPr>
        <w:t xml:space="preserve"> using CD44-PE at a concentration of 1.0µg/ml and an exposure time of 0.6s</w:t>
      </w:r>
      <w:r w:rsidR="009724BA" w:rsidRPr="007E40FA">
        <w:rPr>
          <w:rFonts w:ascii="Times New Roman" w:hAnsi="Times New Roman"/>
          <w:sz w:val="24"/>
          <w:szCs w:val="24"/>
        </w:rPr>
        <w:t xml:space="preserve"> </w:t>
      </w:r>
      <w:r w:rsidR="008833B7" w:rsidRPr="007E40FA">
        <w:rPr>
          <w:rFonts w:ascii="Times New Roman" w:hAnsi="Times New Roman"/>
          <w:b/>
          <w:sz w:val="24"/>
          <w:szCs w:val="24"/>
        </w:rPr>
        <w:t>(Figure 2A).</w:t>
      </w:r>
      <w:r w:rsidR="00807AAC" w:rsidRPr="007E40FA">
        <w:rPr>
          <w:rFonts w:ascii="Times New Roman" w:hAnsi="Times New Roman"/>
          <w:b/>
          <w:sz w:val="24"/>
          <w:szCs w:val="24"/>
        </w:rPr>
        <w:t xml:space="preserve"> </w:t>
      </w:r>
      <w:r w:rsidR="00C5393D" w:rsidRPr="007E40FA">
        <w:rPr>
          <w:rFonts w:ascii="Times New Roman" w:hAnsi="Times New Roman"/>
          <w:sz w:val="24"/>
          <w:szCs w:val="24"/>
        </w:rPr>
        <w:t>A</w:t>
      </w:r>
      <w:r w:rsidR="008833B7" w:rsidRPr="007E40FA">
        <w:rPr>
          <w:rFonts w:ascii="Times New Roman" w:hAnsi="Times New Roman"/>
          <w:sz w:val="24"/>
          <w:szCs w:val="24"/>
        </w:rPr>
        <w:t xml:space="preserve">ppropriate optimization of </w:t>
      </w:r>
      <w:r w:rsidR="00807AAC" w:rsidRPr="007E40FA">
        <w:rPr>
          <w:rFonts w:ascii="Times New Roman" w:hAnsi="Times New Roman"/>
          <w:sz w:val="24"/>
          <w:szCs w:val="24"/>
        </w:rPr>
        <w:t xml:space="preserve">any user-defined marker also requires </w:t>
      </w:r>
      <w:r w:rsidR="00065062" w:rsidRPr="007E40FA">
        <w:rPr>
          <w:rFonts w:ascii="Times New Roman" w:hAnsi="Times New Roman"/>
          <w:sz w:val="24"/>
          <w:szCs w:val="24"/>
        </w:rPr>
        <w:t>v</w:t>
      </w:r>
      <w:r w:rsidR="00807AAC" w:rsidRPr="007E40FA">
        <w:rPr>
          <w:rFonts w:ascii="Times New Roman" w:hAnsi="Times New Roman"/>
          <w:sz w:val="24"/>
          <w:szCs w:val="24"/>
        </w:rPr>
        <w:t xml:space="preserve">alidation </w:t>
      </w:r>
      <w:r w:rsidR="00065062" w:rsidRPr="007E40FA">
        <w:rPr>
          <w:rFonts w:ascii="Times New Roman" w:hAnsi="Times New Roman"/>
          <w:sz w:val="24"/>
          <w:szCs w:val="24"/>
        </w:rPr>
        <w:t xml:space="preserve">using </w:t>
      </w:r>
      <w:r w:rsidR="00EE08B3" w:rsidRPr="007E40FA">
        <w:rPr>
          <w:rFonts w:ascii="Times New Roman" w:hAnsi="Times New Roman"/>
          <w:sz w:val="24"/>
          <w:szCs w:val="24"/>
        </w:rPr>
        <w:t>high antigen density (MDA-MB-468)</w:t>
      </w:r>
      <w:r w:rsidR="00807AAC" w:rsidRPr="007E40FA">
        <w:rPr>
          <w:rFonts w:ascii="Times New Roman" w:hAnsi="Times New Roman"/>
          <w:sz w:val="24"/>
          <w:szCs w:val="24"/>
        </w:rPr>
        <w:t xml:space="preserve">, low </w:t>
      </w:r>
      <w:r w:rsidR="00EE08B3" w:rsidRPr="007E40FA">
        <w:rPr>
          <w:rFonts w:ascii="Times New Roman" w:hAnsi="Times New Roman"/>
          <w:sz w:val="24"/>
          <w:szCs w:val="24"/>
        </w:rPr>
        <w:t>antigen density (21NT)</w:t>
      </w:r>
      <w:r w:rsidR="00807AAC" w:rsidRPr="007E40FA">
        <w:rPr>
          <w:rFonts w:ascii="Times New Roman" w:hAnsi="Times New Roman"/>
          <w:sz w:val="24"/>
          <w:szCs w:val="24"/>
        </w:rPr>
        <w:t>, and negative</w:t>
      </w:r>
      <w:r w:rsidR="00EE08B3" w:rsidRPr="007E40FA">
        <w:rPr>
          <w:rFonts w:ascii="Times New Roman" w:hAnsi="Times New Roman"/>
          <w:sz w:val="24"/>
          <w:szCs w:val="24"/>
        </w:rPr>
        <w:t xml:space="preserve"> (</w:t>
      </w:r>
      <w:proofErr w:type="spellStart"/>
      <w:r w:rsidR="00EE08B3" w:rsidRPr="007E40FA">
        <w:rPr>
          <w:rFonts w:ascii="Times New Roman" w:hAnsi="Times New Roman"/>
          <w:sz w:val="24"/>
          <w:szCs w:val="24"/>
        </w:rPr>
        <w:t>LNCaPs</w:t>
      </w:r>
      <w:proofErr w:type="spellEnd"/>
      <w:r w:rsidR="00EE08B3" w:rsidRPr="007E40FA">
        <w:rPr>
          <w:rFonts w:ascii="Times New Roman" w:hAnsi="Times New Roman"/>
          <w:sz w:val="24"/>
          <w:szCs w:val="24"/>
        </w:rPr>
        <w:t>)</w:t>
      </w:r>
      <w:r w:rsidR="00807AAC" w:rsidRPr="007E40FA">
        <w:rPr>
          <w:rFonts w:ascii="Times New Roman" w:hAnsi="Times New Roman"/>
          <w:sz w:val="24"/>
          <w:szCs w:val="24"/>
        </w:rPr>
        <w:t xml:space="preserve"> </w:t>
      </w:r>
      <w:r w:rsidR="00EE08B3" w:rsidRPr="007E40FA">
        <w:rPr>
          <w:rFonts w:ascii="Times New Roman" w:hAnsi="Times New Roman"/>
          <w:sz w:val="24"/>
          <w:szCs w:val="24"/>
        </w:rPr>
        <w:t xml:space="preserve">cell lines </w:t>
      </w:r>
      <w:r w:rsidR="00807AAC" w:rsidRPr="007E40FA">
        <w:rPr>
          <w:rFonts w:ascii="Times New Roman" w:hAnsi="Times New Roman"/>
          <w:sz w:val="24"/>
          <w:szCs w:val="24"/>
        </w:rPr>
        <w:t xml:space="preserve">for </w:t>
      </w:r>
      <w:r w:rsidR="00980147" w:rsidRPr="007E40FA">
        <w:rPr>
          <w:rFonts w:ascii="Times New Roman" w:hAnsi="Times New Roman"/>
          <w:sz w:val="24"/>
          <w:szCs w:val="24"/>
        </w:rPr>
        <w:t>the</w:t>
      </w:r>
      <w:r w:rsidR="00807AAC" w:rsidRPr="007E40FA">
        <w:rPr>
          <w:rFonts w:ascii="Times New Roman" w:hAnsi="Times New Roman"/>
          <w:sz w:val="24"/>
          <w:szCs w:val="24"/>
        </w:rPr>
        <w:t xml:space="preserve"> marker of interest </w:t>
      </w:r>
      <w:r w:rsidR="00807AAC" w:rsidRPr="007E40FA">
        <w:rPr>
          <w:rFonts w:ascii="Times New Roman" w:hAnsi="Times New Roman"/>
          <w:b/>
          <w:sz w:val="24"/>
          <w:szCs w:val="24"/>
        </w:rPr>
        <w:t>(Figure 2B)</w:t>
      </w:r>
      <w:r w:rsidR="00807AAC" w:rsidRPr="007E40FA">
        <w:rPr>
          <w:rFonts w:ascii="Times New Roman" w:hAnsi="Times New Roman"/>
          <w:sz w:val="24"/>
          <w:szCs w:val="24"/>
        </w:rPr>
        <w:t>.</w:t>
      </w:r>
    </w:p>
    <w:p w:rsidR="00BF056B" w:rsidRPr="007E40FA" w:rsidRDefault="00BF056B" w:rsidP="001F0875">
      <w:pPr>
        <w:pStyle w:val="ListParagraph"/>
        <w:spacing w:line="240" w:lineRule="auto"/>
        <w:ind w:left="0"/>
        <w:jc w:val="both"/>
        <w:rPr>
          <w:rFonts w:ascii="Times New Roman" w:hAnsi="Times New Roman"/>
          <w:sz w:val="24"/>
          <w:szCs w:val="24"/>
          <w:u w:val="single"/>
        </w:rPr>
      </w:pPr>
    </w:p>
    <w:p w:rsidR="00013A92" w:rsidRPr="007E40FA" w:rsidRDefault="00201C52" w:rsidP="001F0875">
      <w:pPr>
        <w:pStyle w:val="ListParagraph"/>
        <w:spacing w:line="240" w:lineRule="auto"/>
        <w:ind w:left="0"/>
        <w:jc w:val="both"/>
        <w:rPr>
          <w:rFonts w:ascii="Times New Roman" w:hAnsi="Times New Roman"/>
          <w:b/>
          <w:sz w:val="24"/>
          <w:szCs w:val="24"/>
        </w:rPr>
      </w:pPr>
      <w:r w:rsidRPr="007E40FA">
        <w:rPr>
          <w:rFonts w:ascii="Times New Roman" w:hAnsi="Times New Roman"/>
          <w:b/>
          <w:sz w:val="24"/>
          <w:szCs w:val="24"/>
        </w:rPr>
        <w:t>CTC Analysis in Pre-Clinical Mouse Models</w:t>
      </w:r>
    </w:p>
    <w:p w:rsidR="00455918" w:rsidRPr="007E40FA" w:rsidRDefault="006E79F7" w:rsidP="001F0875">
      <w:pPr>
        <w:pStyle w:val="ListParagraph"/>
        <w:spacing w:line="240" w:lineRule="auto"/>
        <w:ind w:left="0"/>
        <w:jc w:val="both"/>
        <w:rPr>
          <w:rFonts w:ascii="Times New Roman" w:eastAsiaTheme="minorHAnsi" w:hAnsi="Times New Roman"/>
          <w:sz w:val="24"/>
          <w:szCs w:val="24"/>
        </w:rPr>
      </w:pPr>
      <w:r w:rsidRPr="007E40FA">
        <w:rPr>
          <w:rFonts w:ascii="Times New Roman" w:hAnsi="Times New Roman"/>
          <w:sz w:val="24"/>
          <w:szCs w:val="24"/>
        </w:rPr>
        <w:t xml:space="preserve">To determine the sensitivity and specificity of the adapted mouse </w:t>
      </w:r>
      <w:r w:rsidR="004C0272" w:rsidRPr="007E40FA">
        <w:rPr>
          <w:rFonts w:ascii="Times New Roman" w:hAnsi="Times New Roman"/>
          <w:sz w:val="24"/>
          <w:szCs w:val="24"/>
        </w:rPr>
        <w:t>CSS</w:t>
      </w:r>
      <w:r w:rsidRPr="007E40FA">
        <w:rPr>
          <w:rFonts w:ascii="Times New Roman" w:hAnsi="Times New Roman"/>
          <w:sz w:val="24"/>
          <w:szCs w:val="24"/>
        </w:rPr>
        <w:t xml:space="preserve"> protocol, spiked (</w:t>
      </w:r>
      <w:r w:rsidRPr="007E40FA">
        <w:rPr>
          <w:rFonts w:ascii="Times New Roman" w:eastAsiaTheme="minorHAnsi" w:hAnsi="Times New Roman"/>
          <w:sz w:val="24"/>
          <w:szCs w:val="24"/>
        </w:rPr>
        <w:t>1</w:t>
      </w:r>
      <w:r w:rsidR="000C7419" w:rsidRPr="007E40FA">
        <w:rPr>
          <w:rFonts w:ascii="Times New Roman" w:eastAsiaTheme="minorHAnsi" w:hAnsi="Times New Roman"/>
          <w:sz w:val="24"/>
          <w:szCs w:val="24"/>
        </w:rPr>
        <w:t>,</w:t>
      </w:r>
      <w:r w:rsidRPr="007E40FA">
        <w:rPr>
          <w:rFonts w:ascii="Times New Roman" w:eastAsiaTheme="minorHAnsi" w:hAnsi="Times New Roman"/>
          <w:sz w:val="24"/>
          <w:szCs w:val="24"/>
        </w:rPr>
        <w:t xml:space="preserve">000 </w:t>
      </w:r>
      <w:proofErr w:type="spellStart"/>
      <w:r w:rsidRPr="007E40FA">
        <w:rPr>
          <w:rFonts w:ascii="Times New Roman" w:eastAsiaTheme="minorHAnsi" w:hAnsi="Times New Roman"/>
          <w:sz w:val="24"/>
          <w:szCs w:val="24"/>
        </w:rPr>
        <w:t>LNCaP</w:t>
      </w:r>
      <w:proofErr w:type="spellEnd"/>
      <w:r w:rsidRPr="007E40FA">
        <w:rPr>
          <w:rFonts w:ascii="Times New Roman" w:eastAsiaTheme="minorHAnsi" w:hAnsi="Times New Roman"/>
          <w:sz w:val="24"/>
          <w:szCs w:val="24"/>
        </w:rPr>
        <w:t xml:space="preserve"> </w:t>
      </w:r>
      <w:r w:rsidR="00EE08B3" w:rsidRPr="007E40FA">
        <w:rPr>
          <w:rFonts w:ascii="Times New Roman" w:eastAsiaTheme="minorHAnsi" w:hAnsi="Times New Roman"/>
          <w:sz w:val="24"/>
          <w:szCs w:val="24"/>
        </w:rPr>
        <w:t>human prostate cancer</w:t>
      </w:r>
      <w:r w:rsidRPr="007E40FA">
        <w:rPr>
          <w:rFonts w:ascii="Times New Roman" w:eastAsiaTheme="minorHAnsi" w:hAnsi="Times New Roman"/>
          <w:sz w:val="24"/>
          <w:szCs w:val="24"/>
        </w:rPr>
        <w:t xml:space="preserve"> cells) and </w:t>
      </w:r>
      <w:proofErr w:type="spellStart"/>
      <w:r w:rsidRPr="007E40FA">
        <w:rPr>
          <w:rFonts w:ascii="Times New Roman" w:eastAsiaTheme="minorHAnsi" w:hAnsi="Times New Roman"/>
          <w:sz w:val="24"/>
          <w:szCs w:val="24"/>
        </w:rPr>
        <w:t>unspiked</w:t>
      </w:r>
      <w:proofErr w:type="spellEnd"/>
      <w:r w:rsidRPr="007E40FA">
        <w:rPr>
          <w:rFonts w:ascii="Times New Roman" w:eastAsiaTheme="minorHAnsi" w:hAnsi="Times New Roman"/>
          <w:sz w:val="24"/>
          <w:szCs w:val="24"/>
        </w:rPr>
        <w:t xml:space="preserve"> mouse blood samples were processed manually </w:t>
      </w:r>
      <w:r w:rsidR="00EE08B3" w:rsidRPr="007E40FA">
        <w:rPr>
          <w:rFonts w:ascii="Times New Roman" w:eastAsiaTheme="minorHAnsi" w:hAnsi="Times New Roman"/>
          <w:sz w:val="24"/>
          <w:szCs w:val="24"/>
        </w:rPr>
        <w:t xml:space="preserve">and scanned on the </w:t>
      </w:r>
      <w:r w:rsidR="00716910" w:rsidRPr="007E40FA">
        <w:rPr>
          <w:rFonts w:ascii="Times New Roman" w:eastAsiaTheme="minorHAnsi" w:hAnsi="Times New Roman"/>
          <w:sz w:val="24"/>
          <w:szCs w:val="24"/>
        </w:rPr>
        <w:t>analysis instrument</w:t>
      </w:r>
      <w:r w:rsidR="00EE08B3" w:rsidRPr="007E40FA">
        <w:rPr>
          <w:rFonts w:ascii="Times New Roman" w:eastAsiaTheme="minorHAnsi" w:hAnsi="Times New Roman"/>
          <w:sz w:val="24"/>
          <w:szCs w:val="24"/>
        </w:rPr>
        <w:t xml:space="preserve"> </w:t>
      </w:r>
      <w:r w:rsidRPr="007E40FA">
        <w:rPr>
          <w:rFonts w:ascii="Times New Roman" w:eastAsiaTheme="minorHAnsi" w:hAnsi="Times New Roman"/>
          <w:sz w:val="24"/>
          <w:szCs w:val="24"/>
        </w:rPr>
        <w:t>and compared to results obtained using the sam</w:t>
      </w:r>
      <w:r w:rsidR="00E212EF" w:rsidRPr="007E40FA">
        <w:rPr>
          <w:rFonts w:ascii="Times New Roman" w:eastAsiaTheme="minorHAnsi" w:hAnsi="Times New Roman"/>
          <w:sz w:val="24"/>
          <w:szCs w:val="24"/>
        </w:rPr>
        <w:t>e</w:t>
      </w:r>
      <w:r w:rsidRPr="007E40FA">
        <w:rPr>
          <w:rFonts w:ascii="Times New Roman" w:eastAsiaTheme="minorHAnsi" w:hAnsi="Times New Roman"/>
          <w:sz w:val="24"/>
          <w:szCs w:val="24"/>
        </w:rPr>
        <w:t xml:space="preserve"> cell line processed using the standard</w:t>
      </w:r>
      <w:r w:rsidR="00E212EF" w:rsidRPr="007E40FA">
        <w:rPr>
          <w:rFonts w:ascii="Times New Roman" w:eastAsiaTheme="minorHAnsi" w:hAnsi="Times New Roman"/>
          <w:sz w:val="24"/>
          <w:szCs w:val="24"/>
        </w:rPr>
        <w:t xml:space="preserve"> automated </w:t>
      </w:r>
      <w:r w:rsidR="004C0272" w:rsidRPr="007E40FA">
        <w:rPr>
          <w:rFonts w:ascii="Times New Roman" w:eastAsiaTheme="minorHAnsi" w:hAnsi="Times New Roman"/>
          <w:sz w:val="24"/>
          <w:szCs w:val="24"/>
        </w:rPr>
        <w:t>CSS</w:t>
      </w:r>
      <w:r w:rsidRPr="007E40FA">
        <w:rPr>
          <w:rFonts w:ascii="Times New Roman" w:eastAsiaTheme="minorHAnsi" w:hAnsi="Times New Roman"/>
          <w:sz w:val="24"/>
          <w:szCs w:val="24"/>
        </w:rPr>
        <w:t xml:space="preserve"> protocol on the </w:t>
      </w:r>
      <w:r w:rsidR="00716910" w:rsidRPr="007E40FA">
        <w:rPr>
          <w:rFonts w:ascii="Times New Roman" w:eastAsiaTheme="minorHAnsi" w:hAnsi="Times New Roman"/>
          <w:sz w:val="24"/>
          <w:szCs w:val="24"/>
        </w:rPr>
        <w:t>p</w:t>
      </w:r>
      <w:r w:rsidR="004C0272" w:rsidRPr="007E40FA">
        <w:rPr>
          <w:rFonts w:ascii="Times New Roman" w:eastAsiaTheme="minorHAnsi" w:hAnsi="Times New Roman"/>
          <w:sz w:val="24"/>
          <w:szCs w:val="24"/>
        </w:rPr>
        <w:t>reparation instrument</w:t>
      </w:r>
      <w:r w:rsidRPr="007E40FA">
        <w:rPr>
          <w:rFonts w:ascii="Times New Roman" w:eastAsiaTheme="minorHAnsi" w:hAnsi="Times New Roman"/>
          <w:sz w:val="24"/>
          <w:szCs w:val="24"/>
        </w:rPr>
        <w:t xml:space="preserve"> </w:t>
      </w:r>
      <w:r w:rsidRPr="007E40FA">
        <w:rPr>
          <w:rFonts w:ascii="Times New Roman" w:eastAsiaTheme="minorHAnsi" w:hAnsi="Times New Roman"/>
          <w:b/>
          <w:sz w:val="24"/>
          <w:szCs w:val="24"/>
        </w:rPr>
        <w:t>(Figure 3A)</w:t>
      </w:r>
      <w:r w:rsidRPr="007E40FA">
        <w:rPr>
          <w:rFonts w:ascii="Times New Roman" w:eastAsiaTheme="minorHAnsi" w:hAnsi="Times New Roman"/>
          <w:sz w:val="24"/>
          <w:szCs w:val="24"/>
        </w:rPr>
        <w:t xml:space="preserve">. As expected, </w:t>
      </w:r>
      <w:proofErr w:type="spellStart"/>
      <w:r w:rsidRPr="007E40FA">
        <w:rPr>
          <w:rFonts w:ascii="Times New Roman" w:eastAsiaTheme="minorHAnsi" w:hAnsi="Times New Roman"/>
          <w:sz w:val="24"/>
          <w:szCs w:val="24"/>
        </w:rPr>
        <w:t>unspiked</w:t>
      </w:r>
      <w:proofErr w:type="spellEnd"/>
      <w:r w:rsidRPr="007E40FA">
        <w:rPr>
          <w:rFonts w:ascii="Times New Roman" w:eastAsiaTheme="minorHAnsi" w:hAnsi="Times New Roman"/>
          <w:sz w:val="24"/>
          <w:szCs w:val="24"/>
        </w:rPr>
        <w:t xml:space="preserve"> samples were free of CTCs using both assays, 0.</w:t>
      </w:r>
      <w:r w:rsidR="000C7419" w:rsidRPr="007E40FA">
        <w:rPr>
          <w:rFonts w:ascii="Times New Roman" w:eastAsiaTheme="minorHAnsi" w:hAnsi="Times New Roman"/>
          <w:sz w:val="24"/>
          <w:szCs w:val="24"/>
        </w:rPr>
        <w:t>0</w:t>
      </w:r>
      <w:r w:rsidRPr="007E40FA">
        <w:rPr>
          <w:rFonts w:ascii="Times New Roman" w:eastAsiaTheme="minorHAnsi" w:hAnsi="Times New Roman"/>
          <w:sz w:val="24"/>
          <w:szCs w:val="24"/>
        </w:rPr>
        <w:t>0±</w:t>
      </w:r>
      <w:r w:rsidR="00E72801" w:rsidRPr="007E40FA">
        <w:rPr>
          <w:rFonts w:ascii="Times New Roman" w:eastAsiaTheme="minorHAnsi" w:hAnsi="Times New Roman"/>
          <w:sz w:val="24"/>
          <w:szCs w:val="24"/>
        </w:rPr>
        <w:t>0.00</w:t>
      </w:r>
      <w:r w:rsidRPr="007E40FA">
        <w:rPr>
          <w:rFonts w:ascii="Times New Roman" w:eastAsiaTheme="minorHAnsi" w:hAnsi="Times New Roman"/>
          <w:sz w:val="24"/>
          <w:szCs w:val="24"/>
        </w:rPr>
        <w:t>% and CTC recovery using the adapted mouse kit (</w:t>
      </w:r>
      <w:r w:rsidR="00A35C2E" w:rsidRPr="007E40FA">
        <w:rPr>
          <w:rFonts w:ascii="Times New Roman" w:eastAsiaTheme="minorHAnsi" w:hAnsi="Times New Roman"/>
          <w:sz w:val="24"/>
          <w:szCs w:val="24"/>
        </w:rPr>
        <w:t>90.8</w:t>
      </w:r>
      <w:r w:rsidRPr="007E40FA">
        <w:rPr>
          <w:rFonts w:ascii="Times New Roman" w:eastAsiaTheme="minorHAnsi" w:hAnsi="Times New Roman"/>
          <w:sz w:val="24"/>
          <w:szCs w:val="24"/>
        </w:rPr>
        <w:t>±</w:t>
      </w:r>
      <w:r w:rsidR="00A35C2E" w:rsidRPr="007E40FA">
        <w:rPr>
          <w:rFonts w:ascii="Times New Roman" w:eastAsiaTheme="minorHAnsi" w:hAnsi="Times New Roman"/>
          <w:sz w:val="24"/>
          <w:szCs w:val="24"/>
        </w:rPr>
        <w:t>5.18</w:t>
      </w:r>
      <w:r w:rsidRPr="007E40FA">
        <w:rPr>
          <w:rFonts w:ascii="Times New Roman" w:eastAsiaTheme="minorHAnsi" w:hAnsi="Times New Roman"/>
          <w:sz w:val="24"/>
          <w:szCs w:val="24"/>
        </w:rPr>
        <w:t>%) was not significantly different from results obtained using the standard automated system (</w:t>
      </w:r>
      <w:r w:rsidR="00A35C2E" w:rsidRPr="007E40FA">
        <w:rPr>
          <w:rFonts w:ascii="Times New Roman" w:eastAsiaTheme="minorHAnsi" w:hAnsi="Times New Roman"/>
          <w:sz w:val="24"/>
          <w:szCs w:val="24"/>
        </w:rPr>
        <w:t>86.9±4.71%; p &gt; 0.05</w:t>
      </w:r>
      <w:r w:rsidRPr="007E40FA">
        <w:rPr>
          <w:rFonts w:ascii="Times New Roman" w:eastAsiaTheme="minorHAnsi" w:hAnsi="Times New Roman"/>
          <w:sz w:val="24"/>
          <w:szCs w:val="24"/>
        </w:rPr>
        <w:t xml:space="preserve">). </w:t>
      </w:r>
      <w:r w:rsidR="000D2445" w:rsidRPr="007E40FA">
        <w:rPr>
          <w:rFonts w:ascii="Times New Roman" w:eastAsiaTheme="minorHAnsi" w:hAnsi="Times New Roman"/>
          <w:sz w:val="24"/>
          <w:szCs w:val="24"/>
        </w:rPr>
        <w:t xml:space="preserve">Images obtained using the </w:t>
      </w:r>
      <w:r w:rsidR="00E72801" w:rsidRPr="007E40FA">
        <w:rPr>
          <w:rFonts w:ascii="Times New Roman" w:eastAsiaTheme="minorHAnsi" w:hAnsi="Times New Roman"/>
          <w:sz w:val="24"/>
          <w:szCs w:val="24"/>
        </w:rPr>
        <w:t>manual mouse adapted protocol</w:t>
      </w:r>
      <w:r w:rsidR="000D2445" w:rsidRPr="007E40FA">
        <w:rPr>
          <w:rFonts w:ascii="Times New Roman" w:eastAsiaTheme="minorHAnsi" w:hAnsi="Times New Roman"/>
          <w:sz w:val="24"/>
          <w:szCs w:val="24"/>
        </w:rPr>
        <w:t xml:space="preserve"> did not differ from those observed using the </w:t>
      </w:r>
      <w:r w:rsidR="00E72801" w:rsidRPr="007E40FA">
        <w:rPr>
          <w:rFonts w:ascii="Times New Roman" w:eastAsiaTheme="minorHAnsi" w:hAnsi="Times New Roman"/>
          <w:sz w:val="24"/>
          <w:szCs w:val="24"/>
        </w:rPr>
        <w:t xml:space="preserve">standard </w:t>
      </w:r>
      <w:r w:rsidR="000D2445" w:rsidRPr="007E40FA">
        <w:rPr>
          <w:rFonts w:ascii="Times New Roman" w:eastAsiaTheme="minorHAnsi" w:hAnsi="Times New Roman"/>
          <w:sz w:val="24"/>
          <w:szCs w:val="24"/>
        </w:rPr>
        <w:t>automated technique, with the exception of the addition of the HLA-FITC marker.</w:t>
      </w:r>
      <w:r w:rsidR="004E3D16" w:rsidRPr="007E40FA">
        <w:rPr>
          <w:rFonts w:ascii="Times New Roman" w:eastAsiaTheme="minorHAnsi" w:hAnsi="Times New Roman"/>
          <w:sz w:val="24"/>
          <w:szCs w:val="24"/>
        </w:rPr>
        <w:t xml:space="preserve"> In addition, mouse </w:t>
      </w:r>
      <w:r w:rsidR="00803880" w:rsidRPr="007E40FA">
        <w:rPr>
          <w:rFonts w:ascii="Times New Roman" w:eastAsiaTheme="minorHAnsi" w:hAnsi="Times New Roman"/>
          <w:sz w:val="24"/>
          <w:szCs w:val="24"/>
        </w:rPr>
        <w:t xml:space="preserve">squamous </w:t>
      </w:r>
      <w:r w:rsidR="004E3D16" w:rsidRPr="007E40FA">
        <w:rPr>
          <w:rFonts w:ascii="Times New Roman" w:eastAsiaTheme="minorHAnsi" w:hAnsi="Times New Roman"/>
          <w:sz w:val="24"/>
          <w:szCs w:val="24"/>
        </w:rPr>
        <w:t xml:space="preserve">epithelial cells do not stain positively for HLA-FITC </w:t>
      </w:r>
      <w:r w:rsidR="004E3D16" w:rsidRPr="007E40FA">
        <w:rPr>
          <w:rFonts w:ascii="Times New Roman" w:eastAsiaTheme="minorHAnsi" w:hAnsi="Times New Roman"/>
          <w:b/>
          <w:sz w:val="24"/>
          <w:szCs w:val="24"/>
        </w:rPr>
        <w:t>(Figure 3B)</w:t>
      </w:r>
      <w:r w:rsidR="004E3D16" w:rsidRPr="007E40FA">
        <w:rPr>
          <w:rFonts w:ascii="Times New Roman" w:eastAsiaTheme="minorHAnsi" w:hAnsi="Times New Roman"/>
          <w:sz w:val="24"/>
          <w:szCs w:val="24"/>
        </w:rPr>
        <w:t>.</w:t>
      </w:r>
      <w:r w:rsidR="000D2445" w:rsidRPr="007E40FA">
        <w:rPr>
          <w:rFonts w:ascii="Times New Roman" w:eastAsiaTheme="minorHAnsi" w:hAnsi="Times New Roman"/>
          <w:sz w:val="24"/>
          <w:szCs w:val="24"/>
        </w:rPr>
        <w:t xml:space="preserve"> To confirm that this technique </w:t>
      </w:r>
      <w:r w:rsidR="00A62ABC" w:rsidRPr="007E40FA">
        <w:rPr>
          <w:rFonts w:ascii="Times New Roman" w:eastAsiaTheme="minorHAnsi" w:hAnsi="Times New Roman"/>
          <w:sz w:val="24"/>
          <w:szCs w:val="24"/>
        </w:rPr>
        <w:t>w</w:t>
      </w:r>
      <w:r w:rsidR="004E3D16" w:rsidRPr="007E40FA">
        <w:rPr>
          <w:rFonts w:ascii="Times New Roman" w:eastAsiaTheme="minorHAnsi" w:hAnsi="Times New Roman"/>
          <w:sz w:val="24"/>
          <w:szCs w:val="24"/>
        </w:rPr>
        <w:t>as</w:t>
      </w:r>
      <w:r w:rsidR="00A62ABC" w:rsidRPr="007E40FA">
        <w:rPr>
          <w:rFonts w:ascii="Times New Roman" w:eastAsiaTheme="minorHAnsi" w:hAnsi="Times New Roman"/>
          <w:sz w:val="24"/>
          <w:szCs w:val="24"/>
        </w:rPr>
        <w:t xml:space="preserve"> as </w:t>
      </w:r>
      <w:r w:rsidR="000D2445" w:rsidRPr="007E40FA">
        <w:rPr>
          <w:rFonts w:ascii="Times New Roman" w:eastAsiaTheme="minorHAnsi" w:hAnsi="Times New Roman"/>
          <w:sz w:val="24"/>
          <w:szCs w:val="24"/>
        </w:rPr>
        <w:t xml:space="preserve">sensitive </w:t>
      </w:r>
      <w:r w:rsidR="004E3D16" w:rsidRPr="007E40FA">
        <w:rPr>
          <w:rFonts w:ascii="Times New Roman" w:eastAsiaTheme="minorHAnsi" w:hAnsi="Times New Roman"/>
          <w:sz w:val="24"/>
          <w:szCs w:val="24"/>
        </w:rPr>
        <w:t xml:space="preserve">as the standard </w:t>
      </w:r>
      <w:r w:rsidR="004C0272" w:rsidRPr="007E40FA">
        <w:rPr>
          <w:rFonts w:ascii="Times New Roman" w:eastAsiaTheme="minorHAnsi" w:hAnsi="Times New Roman"/>
          <w:sz w:val="24"/>
          <w:szCs w:val="24"/>
        </w:rPr>
        <w:t>CSS</w:t>
      </w:r>
      <w:r w:rsidR="004E3D16" w:rsidRPr="007E40FA">
        <w:rPr>
          <w:rFonts w:ascii="Times New Roman" w:eastAsiaTheme="minorHAnsi" w:hAnsi="Times New Roman"/>
          <w:sz w:val="24"/>
          <w:szCs w:val="24"/>
        </w:rPr>
        <w:t xml:space="preserve"> protocol</w:t>
      </w:r>
      <w:r w:rsidR="000D2445" w:rsidRPr="007E40FA">
        <w:rPr>
          <w:rFonts w:ascii="Times New Roman" w:eastAsiaTheme="minorHAnsi" w:hAnsi="Times New Roman"/>
          <w:sz w:val="24"/>
          <w:szCs w:val="24"/>
        </w:rPr>
        <w:t xml:space="preserve"> for the isolation of low number of CTCs</w:t>
      </w:r>
      <w:r w:rsidR="00A62ABC" w:rsidRPr="007E40FA">
        <w:rPr>
          <w:rFonts w:ascii="Times New Roman" w:eastAsiaTheme="minorHAnsi" w:hAnsi="Times New Roman"/>
          <w:sz w:val="24"/>
          <w:szCs w:val="24"/>
        </w:rPr>
        <w:t>,</w:t>
      </w:r>
      <w:r w:rsidR="000D2445" w:rsidRPr="007E40FA">
        <w:rPr>
          <w:rFonts w:ascii="Times New Roman" w:eastAsiaTheme="minorHAnsi" w:hAnsi="Times New Roman"/>
          <w:sz w:val="24"/>
          <w:szCs w:val="24"/>
        </w:rPr>
        <w:t xml:space="preserve"> </w:t>
      </w:r>
      <w:r w:rsidR="004E3D16" w:rsidRPr="007E40FA">
        <w:rPr>
          <w:rFonts w:ascii="Times New Roman" w:eastAsiaTheme="minorHAnsi" w:hAnsi="Times New Roman"/>
          <w:sz w:val="24"/>
          <w:szCs w:val="24"/>
        </w:rPr>
        <w:t>serial</w:t>
      </w:r>
      <w:r w:rsidR="000D2445" w:rsidRPr="007E40FA">
        <w:rPr>
          <w:rFonts w:ascii="Times New Roman" w:eastAsiaTheme="minorHAnsi" w:hAnsi="Times New Roman"/>
          <w:sz w:val="24"/>
          <w:szCs w:val="24"/>
        </w:rPr>
        <w:t xml:space="preserve"> dilution</w:t>
      </w:r>
      <w:r w:rsidR="004E3D16" w:rsidRPr="007E40FA">
        <w:rPr>
          <w:rFonts w:ascii="Times New Roman" w:eastAsiaTheme="minorHAnsi" w:hAnsi="Times New Roman"/>
          <w:sz w:val="24"/>
          <w:szCs w:val="24"/>
        </w:rPr>
        <w:t>s</w:t>
      </w:r>
      <w:r w:rsidR="000D2445" w:rsidRPr="007E40FA">
        <w:rPr>
          <w:rFonts w:ascii="Times New Roman" w:eastAsiaTheme="minorHAnsi" w:hAnsi="Times New Roman"/>
          <w:sz w:val="24"/>
          <w:szCs w:val="24"/>
        </w:rPr>
        <w:t xml:space="preserve"> </w:t>
      </w:r>
      <w:r w:rsidR="004E3D16" w:rsidRPr="007E40FA">
        <w:rPr>
          <w:rFonts w:ascii="Times New Roman" w:eastAsiaTheme="minorHAnsi" w:hAnsi="Times New Roman"/>
          <w:sz w:val="24"/>
          <w:szCs w:val="24"/>
        </w:rPr>
        <w:t>were</w:t>
      </w:r>
      <w:r w:rsidR="000D2445" w:rsidRPr="007E40FA">
        <w:rPr>
          <w:rFonts w:ascii="Times New Roman" w:eastAsiaTheme="minorHAnsi" w:hAnsi="Times New Roman"/>
          <w:sz w:val="24"/>
          <w:szCs w:val="24"/>
        </w:rPr>
        <w:t xml:space="preserve"> performed with spiked blood samples and the correlation of expected number of cells versus recovered number of cells was assessed </w:t>
      </w:r>
      <w:r w:rsidR="000D2445" w:rsidRPr="007E40FA">
        <w:rPr>
          <w:rFonts w:ascii="Times New Roman" w:eastAsiaTheme="minorHAnsi" w:hAnsi="Times New Roman"/>
          <w:b/>
          <w:sz w:val="24"/>
          <w:szCs w:val="24"/>
        </w:rPr>
        <w:t>(Figure 3C)</w:t>
      </w:r>
      <w:r w:rsidR="004E3D16" w:rsidRPr="007E40FA">
        <w:rPr>
          <w:rFonts w:ascii="Times New Roman" w:eastAsiaTheme="minorHAnsi" w:hAnsi="Times New Roman"/>
          <w:sz w:val="24"/>
          <w:szCs w:val="24"/>
        </w:rPr>
        <w:t>. Results demonstrate that</w:t>
      </w:r>
      <w:r w:rsidR="000D2445" w:rsidRPr="007E40FA">
        <w:rPr>
          <w:rFonts w:ascii="Times New Roman" w:eastAsiaTheme="minorHAnsi" w:hAnsi="Times New Roman"/>
          <w:sz w:val="24"/>
          <w:szCs w:val="24"/>
        </w:rPr>
        <w:t xml:space="preserve"> </w:t>
      </w:r>
      <w:r w:rsidR="00A35C2E" w:rsidRPr="007E40FA">
        <w:rPr>
          <w:rFonts w:ascii="Times New Roman" w:eastAsiaTheme="minorHAnsi" w:hAnsi="Times New Roman"/>
          <w:sz w:val="24"/>
          <w:szCs w:val="24"/>
        </w:rPr>
        <w:t xml:space="preserve">CTCs could effectively be </w:t>
      </w:r>
      <w:r w:rsidR="000D2445" w:rsidRPr="007E40FA">
        <w:rPr>
          <w:rFonts w:ascii="Times New Roman" w:eastAsiaTheme="minorHAnsi" w:hAnsi="Times New Roman"/>
          <w:sz w:val="24"/>
          <w:szCs w:val="24"/>
        </w:rPr>
        <w:t>recovered</w:t>
      </w:r>
      <w:r w:rsidR="00A35C2E" w:rsidRPr="007E40FA">
        <w:rPr>
          <w:rFonts w:ascii="Times New Roman" w:eastAsiaTheme="minorHAnsi" w:hAnsi="Times New Roman"/>
          <w:sz w:val="24"/>
          <w:szCs w:val="24"/>
        </w:rPr>
        <w:t xml:space="preserve"> down to a sensitivity of 5 cells per 50µl of whole blood</w:t>
      </w:r>
      <w:r w:rsidR="000D2445" w:rsidRPr="007E40FA">
        <w:rPr>
          <w:rFonts w:ascii="Times New Roman" w:eastAsiaTheme="minorHAnsi" w:hAnsi="Times New Roman"/>
          <w:sz w:val="24"/>
          <w:szCs w:val="24"/>
        </w:rPr>
        <w:t xml:space="preserve"> using this assay</w:t>
      </w:r>
      <w:r w:rsidR="000C45FB" w:rsidRPr="007E40FA">
        <w:rPr>
          <w:rFonts w:ascii="Times New Roman" w:eastAsiaTheme="minorHAnsi" w:hAnsi="Times New Roman"/>
          <w:sz w:val="24"/>
          <w:szCs w:val="24"/>
        </w:rPr>
        <w:t>. T</w:t>
      </w:r>
      <w:r w:rsidR="000D2445" w:rsidRPr="007E40FA">
        <w:rPr>
          <w:rFonts w:ascii="Times New Roman" w:eastAsiaTheme="minorHAnsi" w:hAnsi="Times New Roman"/>
          <w:sz w:val="24"/>
          <w:szCs w:val="24"/>
        </w:rPr>
        <w:t>hese values correlated with expected results with an r</w:t>
      </w:r>
      <w:r w:rsidR="000D2445" w:rsidRPr="007E40FA">
        <w:rPr>
          <w:rFonts w:ascii="Times New Roman" w:eastAsiaTheme="minorHAnsi" w:hAnsi="Times New Roman"/>
          <w:sz w:val="24"/>
          <w:szCs w:val="24"/>
          <w:vertAlign w:val="superscript"/>
        </w:rPr>
        <w:t>2</w:t>
      </w:r>
      <w:r w:rsidR="00976E39" w:rsidRPr="007E40FA">
        <w:rPr>
          <w:rFonts w:ascii="Times New Roman" w:eastAsiaTheme="minorHAnsi" w:hAnsi="Times New Roman"/>
          <w:sz w:val="24"/>
          <w:szCs w:val="24"/>
        </w:rPr>
        <w:t xml:space="preserve"> = 0.99</w:t>
      </w:r>
      <w:r w:rsidR="000D2445" w:rsidRPr="007E40FA">
        <w:rPr>
          <w:rFonts w:ascii="Times New Roman" w:eastAsiaTheme="minorHAnsi" w:hAnsi="Times New Roman"/>
          <w:sz w:val="24"/>
          <w:szCs w:val="24"/>
        </w:rPr>
        <w:t xml:space="preserve">. </w:t>
      </w:r>
    </w:p>
    <w:p w:rsidR="00455918" w:rsidRPr="007E40FA" w:rsidRDefault="00455918" w:rsidP="001F0875">
      <w:pPr>
        <w:jc w:val="both"/>
        <w:rPr>
          <w:rFonts w:ascii="Times New Roman" w:eastAsiaTheme="minorHAnsi" w:hAnsi="Times New Roman"/>
          <w:sz w:val="24"/>
          <w:szCs w:val="24"/>
        </w:rPr>
      </w:pPr>
      <w:r w:rsidRPr="007E40FA">
        <w:rPr>
          <w:rFonts w:ascii="Times New Roman" w:eastAsiaTheme="minorHAnsi" w:hAnsi="Times New Roman"/>
          <w:sz w:val="24"/>
          <w:szCs w:val="24"/>
        </w:rPr>
        <w:br w:type="page"/>
      </w:r>
    </w:p>
    <w:p w:rsidR="009E30BC" w:rsidRPr="007E40FA" w:rsidRDefault="009E30BC" w:rsidP="001F0875">
      <w:pPr>
        <w:pStyle w:val="NormalWeb"/>
        <w:ind w:left="640" w:hanging="640"/>
        <w:jc w:val="both"/>
        <w:rPr>
          <w:b/>
        </w:rPr>
      </w:pPr>
      <w:r w:rsidRPr="007E40FA">
        <w:rPr>
          <w:b/>
        </w:rPr>
        <w:lastRenderedPageBreak/>
        <w:t>F</w:t>
      </w:r>
      <w:r w:rsidR="00455918" w:rsidRPr="007E40FA">
        <w:rPr>
          <w:b/>
        </w:rPr>
        <w:t>IGURE/TABLE LEGENDS</w:t>
      </w:r>
      <w:r w:rsidRPr="007E40FA">
        <w:rPr>
          <w:b/>
        </w:rPr>
        <w:t>:</w:t>
      </w:r>
    </w:p>
    <w:p w:rsidR="009E30BC" w:rsidRPr="007E40FA" w:rsidRDefault="009E30BC" w:rsidP="001F0875">
      <w:pPr>
        <w:spacing w:after="0" w:line="240" w:lineRule="auto"/>
        <w:jc w:val="both"/>
        <w:rPr>
          <w:rFonts w:ascii="Times New Roman" w:hAnsi="Times New Roman"/>
          <w:sz w:val="24"/>
          <w:szCs w:val="24"/>
          <w:lang w:val="en-US"/>
        </w:rPr>
      </w:pPr>
      <w:r w:rsidRPr="007E40FA">
        <w:rPr>
          <w:rFonts w:ascii="Times New Roman" w:hAnsi="Times New Roman"/>
          <w:b/>
          <w:sz w:val="24"/>
          <w:szCs w:val="24"/>
        </w:rPr>
        <w:t>Figure 1:</w:t>
      </w:r>
      <w:r w:rsidRPr="007E40FA">
        <w:rPr>
          <w:rFonts w:ascii="Times New Roman" w:hAnsi="Times New Roman"/>
          <w:sz w:val="24"/>
          <w:szCs w:val="24"/>
        </w:rPr>
        <w:t xml:space="preserve"> </w:t>
      </w:r>
      <w:r w:rsidR="00201C52" w:rsidRPr="007E40FA">
        <w:rPr>
          <w:rFonts w:ascii="Times New Roman" w:eastAsiaTheme="minorHAnsi" w:hAnsi="Times New Roman"/>
          <w:b/>
          <w:sz w:val="24"/>
          <w:szCs w:val="24"/>
        </w:rPr>
        <w:t xml:space="preserve">CTC enumeration and interpretation using the standard </w:t>
      </w:r>
      <w:r w:rsidR="004C0272" w:rsidRPr="007E40FA">
        <w:rPr>
          <w:rFonts w:ascii="Times New Roman" w:eastAsiaTheme="minorHAnsi" w:hAnsi="Times New Roman"/>
          <w:b/>
          <w:sz w:val="24"/>
          <w:szCs w:val="24"/>
        </w:rPr>
        <w:t>CSS</w:t>
      </w:r>
      <w:r w:rsidR="00201C52" w:rsidRPr="007E40FA">
        <w:rPr>
          <w:rFonts w:ascii="Times New Roman" w:eastAsiaTheme="minorHAnsi" w:hAnsi="Times New Roman"/>
          <w:b/>
          <w:sz w:val="24"/>
          <w:szCs w:val="24"/>
        </w:rPr>
        <w:t xml:space="preserve"> protocol</w:t>
      </w:r>
      <w:r w:rsidRPr="007E40FA">
        <w:rPr>
          <w:rFonts w:ascii="Times New Roman" w:eastAsiaTheme="minorHAnsi" w:hAnsi="Times New Roman"/>
          <w:sz w:val="24"/>
          <w:szCs w:val="24"/>
        </w:rPr>
        <w:t>.</w:t>
      </w:r>
      <w:r w:rsidRPr="007E40FA">
        <w:rPr>
          <w:rFonts w:ascii="Times New Roman" w:hAnsi="Times New Roman"/>
          <w:sz w:val="24"/>
          <w:szCs w:val="24"/>
        </w:rPr>
        <w:t xml:space="preserve"> </w:t>
      </w:r>
      <w:r w:rsidRPr="007E40FA">
        <w:rPr>
          <w:rFonts w:ascii="Times New Roman" w:hAnsi="Times New Roman"/>
          <w:b/>
          <w:sz w:val="24"/>
          <w:szCs w:val="24"/>
        </w:rPr>
        <w:t xml:space="preserve">(A) </w:t>
      </w:r>
      <w:r w:rsidRPr="007E40FA">
        <w:rPr>
          <w:rFonts w:ascii="Times New Roman" w:hAnsi="Times New Roman"/>
          <w:sz w:val="24"/>
          <w:szCs w:val="24"/>
        </w:rPr>
        <w:t xml:space="preserve">CTC recovery measured as a percentage of the number of spiked cells. Cells were counted by </w:t>
      </w:r>
      <w:proofErr w:type="spellStart"/>
      <w:r w:rsidRPr="007E40FA">
        <w:rPr>
          <w:rFonts w:ascii="Times New Roman" w:hAnsi="Times New Roman"/>
          <w:sz w:val="24"/>
          <w:szCs w:val="24"/>
        </w:rPr>
        <w:t>hemocytometer</w:t>
      </w:r>
      <w:proofErr w:type="spellEnd"/>
      <w:r w:rsidRPr="007E40FA">
        <w:rPr>
          <w:rFonts w:ascii="Times New Roman" w:hAnsi="Times New Roman"/>
          <w:sz w:val="24"/>
          <w:szCs w:val="24"/>
        </w:rPr>
        <w:t xml:space="preserve"> and ~1</w:t>
      </w:r>
      <w:r w:rsidR="009E154B" w:rsidRPr="007E40FA">
        <w:rPr>
          <w:rFonts w:ascii="Times New Roman" w:hAnsi="Times New Roman"/>
          <w:sz w:val="24"/>
          <w:szCs w:val="24"/>
        </w:rPr>
        <w:t>,</w:t>
      </w:r>
      <w:r w:rsidRPr="007E40FA">
        <w:rPr>
          <w:rFonts w:ascii="Times New Roman" w:hAnsi="Times New Roman"/>
          <w:sz w:val="24"/>
          <w:szCs w:val="24"/>
        </w:rPr>
        <w:t xml:space="preserve">000 </w:t>
      </w:r>
      <w:proofErr w:type="spellStart"/>
      <w:r w:rsidRPr="007E40FA">
        <w:rPr>
          <w:rFonts w:ascii="Times New Roman" w:hAnsi="Times New Roman"/>
          <w:sz w:val="24"/>
          <w:szCs w:val="24"/>
        </w:rPr>
        <w:t>LNCaP</w:t>
      </w:r>
      <w:proofErr w:type="spellEnd"/>
      <w:r w:rsidRPr="007E40FA">
        <w:rPr>
          <w:rFonts w:ascii="Times New Roman" w:hAnsi="Times New Roman"/>
          <w:sz w:val="24"/>
          <w:szCs w:val="24"/>
        </w:rPr>
        <w:t xml:space="preserve"> human prostate cancer cells were spiked into 7.5ml of human blood. </w:t>
      </w:r>
      <w:proofErr w:type="spellStart"/>
      <w:r w:rsidRPr="007E40FA">
        <w:rPr>
          <w:rFonts w:ascii="Times New Roman" w:hAnsi="Times New Roman"/>
          <w:sz w:val="24"/>
          <w:szCs w:val="24"/>
        </w:rPr>
        <w:t>Unspiked</w:t>
      </w:r>
      <w:proofErr w:type="spellEnd"/>
      <w:r w:rsidRPr="007E40FA">
        <w:rPr>
          <w:rFonts w:ascii="Times New Roman" w:hAnsi="Times New Roman"/>
          <w:sz w:val="24"/>
          <w:szCs w:val="24"/>
        </w:rPr>
        <w:t xml:space="preserve"> human blood samples were used as a negative control (n=3). </w:t>
      </w:r>
      <w:r w:rsidRPr="007E40FA">
        <w:rPr>
          <w:rFonts w:ascii="Times New Roman" w:hAnsi="Times New Roman"/>
          <w:sz w:val="24"/>
          <w:szCs w:val="24"/>
          <w:lang w:val="en-US"/>
        </w:rPr>
        <w:t>Data are presented as the mean ± SEM.</w:t>
      </w:r>
      <w:r w:rsidRPr="007E40FA">
        <w:rPr>
          <w:rFonts w:ascii="Times New Roman" w:hAnsi="Times New Roman"/>
          <w:sz w:val="24"/>
          <w:szCs w:val="24"/>
        </w:rPr>
        <w:t xml:space="preserve"> </w:t>
      </w:r>
      <w:r w:rsidRPr="007E40FA">
        <w:rPr>
          <w:rFonts w:ascii="Times New Roman" w:hAnsi="Times New Roman"/>
          <w:b/>
          <w:sz w:val="24"/>
          <w:szCs w:val="24"/>
        </w:rPr>
        <w:t xml:space="preserve">(B) </w:t>
      </w:r>
      <w:r w:rsidRPr="007E40FA">
        <w:rPr>
          <w:rFonts w:ascii="Times New Roman" w:hAnsi="Times New Roman"/>
          <w:sz w:val="24"/>
          <w:szCs w:val="24"/>
          <w:lang w:val="en-US"/>
        </w:rPr>
        <w:t xml:space="preserve">Representative </w:t>
      </w:r>
      <w:r w:rsidR="004C0272" w:rsidRPr="007E40FA">
        <w:rPr>
          <w:rFonts w:ascii="Times New Roman" w:hAnsi="Times New Roman"/>
          <w:sz w:val="24"/>
          <w:szCs w:val="24"/>
        </w:rPr>
        <w:t>CSS</w:t>
      </w:r>
      <w:r w:rsidRPr="007E40FA">
        <w:rPr>
          <w:rFonts w:ascii="Times New Roman" w:hAnsi="Times New Roman"/>
          <w:sz w:val="24"/>
          <w:szCs w:val="24"/>
          <w:lang w:val="en-US"/>
        </w:rPr>
        <w:t xml:space="preserve"> gallery images of the differences in CTC quality observed in spiked blood samples (i.e., healthy donor blood spiked with tumor cells from culture) versus samples collected from cancer patients. </w:t>
      </w:r>
      <w:r w:rsidRPr="007E40FA">
        <w:rPr>
          <w:rFonts w:ascii="Times New Roman" w:hAnsi="Times New Roman"/>
          <w:b/>
          <w:sz w:val="24"/>
          <w:szCs w:val="24"/>
          <w:lang w:val="en-US"/>
        </w:rPr>
        <w:t xml:space="preserve">(C) </w:t>
      </w:r>
      <w:r w:rsidRPr="007E40FA">
        <w:rPr>
          <w:rFonts w:ascii="Times New Roman" w:hAnsi="Times New Roman"/>
          <w:sz w:val="24"/>
          <w:szCs w:val="24"/>
          <w:lang w:val="en-US"/>
        </w:rPr>
        <w:t xml:space="preserve">Representative </w:t>
      </w:r>
      <w:r w:rsidR="004C0272" w:rsidRPr="007E40FA">
        <w:rPr>
          <w:rFonts w:ascii="Times New Roman" w:hAnsi="Times New Roman"/>
          <w:sz w:val="24"/>
          <w:szCs w:val="24"/>
        </w:rPr>
        <w:t>CSS</w:t>
      </w:r>
      <w:r w:rsidRPr="007E40FA">
        <w:rPr>
          <w:rFonts w:ascii="Times New Roman" w:hAnsi="Times New Roman"/>
          <w:sz w:val="24"/>
          <w:szCs w:val="24"/>
          <w:lang w:val="en-US"/>
        </w:rPr>
        <w:t xml:space="preserve"> gallery images of commonly discrepant items that are often misclassified. Orange squares indicate </w:t>
      </w:r>
      <w:r w:rsidR="00803037" w:rsidRPr="007E40FA">
        <w:rPr>
          <w:rFonts w:ascii="Times New Roman" w:hAnsi="Times New Roman"/>
          <w:sz w:val="24"/>
          <w:szCs w:val="24"/>
          <w:lang w:val="en-US"/>
        </w:rPr>
        <w:t xml:space="preserve">acceptable </w:t>
      </w:r>
      <w:r w:rsidRPr="007E40FA">
        <w:rPr>
          <w:rFonts w:ascii="Times New Roman" w:hAnsi="Times New Roman"/>
          <w:sz w:val="24"/>
          <w:szCs w:val="24"/>
          <w:lang w:val="en-US"/>
        </w:rPr>
        <w:t>CTCs, identified as CK</w:t>
      </w:r>
      <w:r w:rsidRPr="007E40FA">
        <w:rPr>
          <w:rFonts w:ascii="Times New Roman" w:hAnsi="Times New Roman"/>
          <w:sz w:val="24"/>
          <w:szCs w:val="24"/>
          <w:vertAlign w:val="superscript"/>
          <w:lang w:val="en-US"/>
        </w:rPr>
        <w:t>+</w:t>
      </w:r>
      <w:r w:rsidRPr="007E40FA">
        <w:rPr>
          <w:rFonts w:ascii="Times New Roman" w:hAnsi="Times New Roman"/>
          <w:sz w:val="24"/>
          <w:szCs w:val="24"/>
          <w:lang w:val="en-US"/>
        </w:rPr>
        <w:t>/DAPI</w:t>
      </w:r>
      <w:r w:rsidRPr="007E40FA">
        <w:rPr>
          <w:rFonts w:ascii="Times New Roman" w:hAnsi="Times New Roman"/>
          <w:sz w:val="24"/>
          <w:szCs w:val="24"/>
          <w:vertAlign w:val="superscript"/>
          <w:lang w:val="en-US"/>
        </w:rPr>
        <w:t>+</w:t>
      </w:r>
      <w:r w:rsidRPr="007E40FA">
        <w:rPr>
          <w:rFonts w:ascii="Times New Roman" w:hAnsi="Times New Roman"/>
          <w:sz w:val="24"/>
          <w:szCs w:val="24"/>
          <w:lang w:val="en-US"/>
        </w:rPr>
        <w:t>/CD45</w:t>
      </w:r>
      <w:r w:rsidRPr="007E40FA">
        <w:rPr>
          <w:rFonts w:ascii="Times New Roman" w:hAnsi="Times New Roman"/>
          <w:sz w:val="24"/>
          <w:szCs w:val="24"/>
          <w:vertAlign w:val="superscript"/>
          <w:lang w:val="en-US"/>
        </w:rPr>
        <w:t>–</w:t>
      </w:r>
      <w:r w:rsidRPr="007E40FA">
        <w:rPr>
          <w:rFonts w:ascii="Times New Roman" w:hAnsi="Times New Roman"/>
          <w:sz w:val="24"/>
          <w:szCs w:val="24"/>
          <w:lang w:val="en-US"/>
        </w:rPr>
        <w:t>. Images acquired at 10x objective magnification.</w:t>
      </w:r>
    </w:p>
    <w:p w:rsidR="009E30BC" w:rsidRPr="007E40FA" w:rsidRDefault="009E30BC" w:rsidP="001F0875">
      <w:pPr>
        <w:spacing w:after="0" w:line="240" w:lineRule="auto"/>
        <w:jc w:val="both"/>
        <w:rPr>
          <w:rFonts w:ascii="Times New Roman" w:hAnsi="Times New Roman"/>
          <w:sz w:val="24"/>
          <w:szCs w:val="24"/>
          <w:lang w:val="en-US"/>
        </w:rPr>
      </w:pPr>
    </w:p>
    <w:p w:rsidR="009E30BC" w:rsidRPr="007E40FA" w:rsidRDefault="009E30BC" w:rsidP="001F0875">
      <w:pPr>
        <w:spacing w:after="0" w:line="240" w:lineRule="auto"/>
        <w:jc w:val="both"/>
        <w:rPr>
          <w:rFonts w:ascii="Times New Roman" w:hAnsi="Times New Roman"/>
          <w:sz w:val="24"/>
          <w:szCs w:val="24"/>
          <w:lang w:val="en-US"/>
        </w:rPr>
      </w:pPr>
      <w:r w:rsidRPr="007E40FA">
        <w:rPr>
          <w:rFonts w:ascii="Times New Roman" w:hAnsi="Times New Roman"/>
          <w:b/>
          <w:sz w:val="24"/>
          <w:szCs w:val="24"/>
          <w:lang w:val="en-US"/>
        </w:rPr>
        <w:t>Figure 2:</w:t>
      </w:r>
      <w:r w:rsidR="00455918" w:rsidRPr="007E40FA">
        <w:rPr>
          <w:rFonts w:ascii="Times New Roman" w:hAnsi="Times New Roman"/>
          <w:sz w:val="24"/>
          <w:szCs w:val="24"/>
        </w:rPr>
        <w:t xml:space="preserve"> </w:t>
      </w:r>
      <w:r w:rsidR="00201C52" w:rsidRPr="007E40FA">
        <w:rPr>
          <w:rFonts w:ascii="Times New Roman" w:hAnsi="Times New Roman"/>
          <w:b/>
          <w:sz w:val="24"/>
          <w:szCs w:val="24"/>
        </w:rPr>
        <w:t xml:space="preserve">Characterization of CTCs for user-defined markers using the </w:t>
      </w:r>
      <w:r w:rsidR="004C0272" w:rsidRPr="007E40FA">
        <w:rPr>
          <w:rFonts w:ascii="Times New Roman" w:hAnsi="Times New Roman"/>
          <w:b/>
          <w:sz w:val="24"/>
          <w:szCs w:val="24"/>
        </w:rPr>
        <w:t>CSS</w:t>
      </w:r>
      <w:r w:rsidR="00201C52" w:rsidRPr="007E40FA">
        <w:rPr>
          <w:rFonts w:ascii="Times New Roman" w:hAnsi="Times New Roman"/>
          <w:b/>
          <w:sz w:val="24"/>
          <w:szCs w:val="24"/>
          <w:lang w:val="en-US"/>
        </w:rPr>
        <w:t>.</w:t>
      </w:r>
      <w:r w:rsidRPr="007E40FA">
        <w:rPr>
          <w:rFonts w:ascii="Times New Roman" w:hAnsi="Times New Roman"/>
          <w:sz w:val="24"/>
          <w:szCs w:val="24"/>
          <w:lang w:val="en-US"/>
        </w:rPr>
        <w:t xml:space="preserve"> </w:t>
      </w:r>
      <w:r w:rsidRPr="007E40FA">
        <w:rPr>
          <w:rFonts w:ascii="Times New Roman" w:hAnsi="Times New Roman"/>
          <w:b/>
          <w:sz w:val="24"/>
          <w:szCs w:val="24"/>
          <w:lang w:val="en-US"/>
        </w:rPr>
        <w:t>(A)</w:t>
      </w:r>
      <w:r w:rsidRPr="007E40FA">
        <w:rPr>
          <w:rFonts w:ascii="Times New Roman" w:hAnsi="Times New Roman"/>
          <w:sz w:val="24"/>
          <w:szCs w:val="24"/>
          <w:lang w:val="en-US"/>
        </w:rPr>
        <w:t xml:space="preserve"> Percentage of </w:t>
      </w:r>
      <w:r w:rsidR="009724BA" w:rsidRPr="007E40FA">
        <w:rPr>
          <w:rFonts w:ascii="Times New Roman" w:hAnsi="Times New Roman"/>
          <w:sz w:val="24"/>
          <w:szCs w:val="24"/>
          <w:lang w:val="en-US"/>
        </w:rPr>
        <w:t xml:space="preserve">cells classified as </w:t>
      </w:r>
      <w:r w:rsidRPr="007E40FA">
        <w:rPr>
          <w:rFonts w:ascii="Times New Roman" w:hAnsi="Times New Roman"/>
          <w:sz w:val="24"/>
          <w:szCs w:val="24"/>
          <w:lang w:val="en-US"/>
        </w:rPr>
        <w:t>CD44+ using the CTC and CXC kits</w:t>
      </w:r>
      <w:r w:rsidR="009724BA" w:rsidRPr="007E40FA">
        <w:rPr>
          <w:rFonts w:ascii="Times New Roman" w:hAnsi="Times New Roman"/>
          <w:sz w:val="24"/>
          <w:szCs w:val="24"/>
          <w:lang w:val="en-US"/>
        </w:rPr>
        <w:t xml:space="preserve"> on the </w:t>
      </w:r>
      <w:r w:rsidR="004C0272" w:rsidRPr="007E40FA">
        <w:rPr>
          <w:rFonts w:ascii="Times New Roman" w:hAnsi="Times New Roman"/>
          <w:sz w:val="24"/>
          <w:szCs w:val="24"/>
        </w:rPr>
        <w:t>CSS</w:t>
      </w:r>
      <w:r w:rsidRPr="007E40FA">
        <w:rPr>
          <w:rFonts w:ascii="Times New Roman" w:hAnsi="Times New Roman"/>
          <w:sz w:val="24"/>
          <w:szCs w:val="24"/>
          <w:lang w:val="en-US"/>
        </w:rPr>
        <w:t xml:space="preserve"> (n=3). Data are presented as the mean ± SEM. *** = significantly different (P &lt; 0.0005). </w:t>
      </w:r>
      <w:r w:rsidRPr="007E40FA">
        <w:rPr>
          <w:rFonts w:ascii="Times New Roman" w:hAnsi="Times New Roman"/>
          <w:b/>
          <w:sz w:val="24"/>
          <w:szCs w:val="24"/>
          <w:lang w:val="en-US"/>
        </w:rPr>
        <w:t xml:space="preserve">(B) </w:t>
      </w:r>
      <w:r w:rsidRPr="007E40FA">
        <w:rPr>
          <w:rFonts w:ascii="Times New Roman" w:hAnsi="Times New Roman"/>
          <w:sz w:val="24"/>
          <w:szCs w:val="24"/>
          <w:lang w:val="en-US"/>
        </w:rPr>
        <w:t xml:space="preserve">Representative </w:t>
      </w:r>
      <w:r w:rsidR="004C0272" w:rsidRPr="007E40FA">
        <w:rPr>
          <w:rFonts w:ascii="Times New Roman" w:hAnsi="Times New Roman"/>
          <w:sz w:val="24"/>
          <w:szCs w:val="24"/>
        </w:rPr>
        <w:t>CSS</w:t>
      </w:r>
      <w:r w:rsidR="009724BA" w:rsidRPr="007E40FA">
        <w:rPr>
          <w:rFonts w:ascii="Times New Roman" w:hAnsi="Times New Roman"/>
          <w:sz w:val="24"/>
          <w:szCs w:val="24"/>
          <w:lang w:val="en-US"/>
        </w:rPr>
        <w:t xml:space="preserve"> </w:t>
      </w:r>
      <w:r w:rsidRPr="007E40FA">
        <w:rPr>
          <w:rFonts w:ascii="Times New Roman" w:hAnsi="Times New Roman"/>
          <w:sz w:val="24"/>
          <w:szCs w:val="24"/>
          <w:lang w:val="en-US"/>
        </w:rPr>
        <w:t>gallery images of blood from a healthy volunteer donor</w:t>
      </w:r>
      <w:r w:rsidR="009724BA" w:rsidRPr="007E40FA">
        <w:rPr>
          <w:rFonts w:ascii="Times New Roman" w:hAnsi="Times New Roman"/>
          <w:sz w:val="24"/>
          <w:szCs w:val="24"/>
          <w:lang w:val="en-US"/>
        </w:rPr>
        <w:t xml:space="preserve"> (7.5ml)</w:t>
      </w:r>
      <w:r w:rsidRPr="007E40FA">
        <w:rPr>
          <w:rFonts w:ascii="Times New Roman" w:hAnsi="Times New Roman"/>
          <w:sz w:val="24"/>
          <w:szCs w:val="24"/>
          <w:lang w:val="en-US"/>
        </w:rPr>
        <w:t>, spiked with ~1</w:t>
      </w:r>
      <w:r w:rsidR="00A62ABC" w:rsidRPr="007E40FA">
        <w:rPr>
          <w:rFonts w:ascii="Times New Roman" w:hAnsi="Times New Roman"/>
          <w:sz w:val="24"/>
          <w:szCs w:val="24"/>
          <w:lang w:val="en-US"/>
        </w:rPr>
        <w:t>,</w:t>
      </w:r>
      <w:r w:rsidRPr="007E40FA">
        <w:rPr>
          <w:rFonts w:ascii="Times New Roman" w:hAnsi="Times New Roman"/>
          <w:sz w:val="24"/>
          <w:szCs w:val="24"/>
          <w:lang w:val="en-US"/>
        </w:rPr>
        <w:t xml:space="preserve">000 cells from the </w:t>
      </w:r>
      <w:r w:rsidR="009724BA" w:rsidRPr="007E40FA">
        <w:rPr>
          <w:rFonts w:ascii="Times New Roman" w:hAnsi="Times New Roman"/>
          <w:sz w:val="24"/>
          <w:szCs w:val="24"/>
          <w:lang w:val="en-US"/>
        </w:rPr>
        <w:t xml:space="preserve">identified </w:t>
      </w:r>
      <w:r w:rsidRPr="007E40FA">
        <w:rPr>
          <w:rFonts w:ascii="Times New Roman" w:hAnsi="Times New Roman"/>
          <w:sz w:val="24"/>
          <w:szCs w:val="24"/>
          <w:lang w:val="en-US"/>
        </w:rPr>
        <w:t xml:space="preserve">cell line, incubated with 1.5µg/ml of anti-CD44-PE, and </w:t>
      </w:r>
      <w:r w:rsidR="009724BA" w:rsidRPr="007E40FA">
        <w:rPr>
          <w:rFonts w:ascii="Times New Roman" w:hAnsi="Times New Roman"/>
          <w:sz w:val="24"/>
          <w:szCs w:val="24"/>
          <w:lang w:val="en-US"/>
        </w:rPr>
        <w:t xml:space="preserve">scanned </w:t>
      </w:r>
      <w:r w:rsidRPr="007E40FA">
        <w:rPr>
          <w:rFonts w:ascii="Times New Roman" w:hAnsi="Times New Roman"/>
          <w:sz w:val="24"/>
          <w:szCs w:val="24"/>
          <w:lang w:val="en-US"/>
        </w:rPr>
        <w:t>at an exposure time of 0.2s. Orange squares indicate CD44</w:t>
      </w:r>
      <w:r w:rsidRPr="007E40FA">
        <w:rPr>
          <w:rFonts w:ascii="Times New Roman" w:hAnsi="Times New Roman"/>
          <w:sz w:val="24"/>
          <w:szCs w:val="24"/>
          <w:vertAlign w:val="superscript"/>
          <w:lang w:val="en-US"/>
        </w:rPr>
        <w:t>+</w:t>
      </w:r>
      <w:r w:rsidRPr="007E40FA">
        <w:rPr>
          <w:rFonts w:ascii="Times New Roman" w:hAnsi="Times New Roman"/>
          <w:sz w:val="24"/>
          <w:szCs w:val="24"/>
          <w:lang w:val="en-US"/>
        </w:rPr>
        <w:t xml:space="preserve"> CTCs, identified as CK</w:t>
      </w:r>
      <w:r w:rsidRPr="007E40FA">
        <w:rPr>
          <w:rFonts w:ascii="Times New Roman" w:hAnsi="Times New Roman"/>
          <w:sz w:val="24"/>
          <w:szCs w:val="24"/>
          <w:vertAlign w:val="superscript"/>
          <w:lang w:val="en-US"/>
        </w:rPr>
        <w:t>+</w:t>
      </w:r>
      <w:r w:rsidRPr="007E40FA">
        <w:rPr>
          <w:rFonts w:ascii="Times New Roman" w:hAnsi="Times New Roman"/>
          <w:sz w:val="24"/>
          <w:szCs w:val="24"/>
          <w:lang w:val="en-US"/>
        </w:rPr>
        <w:t>/DAPI</w:t>
      </w:r>
      <w:r w:rsidRPr="007E40FA">
        <w:rPr>
          <w:rFonts w:ascii="Times New Roman" w:hAnsi="Times New Roman"/>
          <w:sz w:val="24"/>
          <w:szCs w:val="24"/>
          <w:vertAlign w:val="superscript"/>
          <w:lang w:val="en-US"/>
        </w:rPr>
        <w:t>+</w:t>
      </w:r>
      <w:r w:rsidRPr="007E40FA">
        <w:rPr>
          <w:rFonts w:ascii="Times New Roman" w:hAnsi="Times New Roman"/>
          <w:sz w:val="24"/>
          <w:szCs w:val="24"/>
          <w:lang w:val="en-US"/>
        </w:rPr>
        <w:t>/CD45</w:t>
      </w:r>
      <w:r w:rsidRPr="007E40FA">
        <w:rPr>
          <w:rFonts w:ascii="Times New Roman" w:hAnsi="Times New Roman"/>
          <w:sz w:val="24"/>
          <w:szCs w:val="24"/>
          <w:vertAlign w:val="superscript"/>
          <w:lang w:val="en-US"/>
        </w:rPr>
        <w:t>–</w:t>
      </w:r>
      <w:r w:rsidRPr="007E40FA">
        <w:rPr>
          <w:rFonts w:ascii="Times New Roman" w:hAnsi="Times New Roman"/>
          <w:sz w:val="24"/>
          <w:szCs w:val="24"/>
          <w:lang w:val="en-US"/>
        </w:rPr>
        <w:t>/CD44-PE</w:t>
      </w:r>
      <w:r w:rsidRPr="007E40FA">
        <w:rPr>
          <w:rFonts w:ascii="Times New Roman" w:hAnsi="Times New Roman"/>
          <w:sz w:val="24"/>
          <w:szCs w:val="24"/>
          <w:vertAlign w:val="superscript"/>
          <w:lang w:val="en-US"/>
        </w:rPr>
        <w:t>+</w:t>
      </w:r>
      <w:r w:rsidRPr="007E40FA">
        <w:rPr>
          <w:rFonts w:ascii="Times New Roman" w:hAnsi="Times New Roman"/>
          <w:sz w:val="24"/>
          <w:szCs w:val="24"/>
          <w:lang w:val="en-US"/>
        </w:rPr>
        <w:t>.</w:t>
      </w:r>
    </w:p>
    <w:p w:rsidR="009E30BC" w:rsidRPr="007E40FA" w:rsidRDefault="009E30BC" w:rsidP="001F0875">
      <w:pPr>
        <w:spacing w:after="0" w:line="240" w:lineRule="auto"/>
        <w:jc w:val="both"/>
        <w:rPr>
          <w:rFonts w:ascii="Times New Roman" w:hAnsi="Times New Roman"/>
          <w:sz w:val="24"/>
          <w:szCs w:val="24"/>
          <w:lang w:val="en-US"/>
        </w:rPr>
      </w:pPr>
    </w:p>
    <w:p w:rsidR="009E30BC" w:rsidRPr="007E40FA" w:rsidRDefault="009E30BC" w:rsidP="001F0875">
      <w:pPr>
        <w:spacing w:after="0" w:line="240" w:lineRule="auto"/>
        <w:jc w:val="both"/>
        <w:rPr>
          <w:rFonts w:ascii="Times New Roman" w:hAnsi="Times New Roman"/>
          <w:sz w:val="24"/>
          <w:szCs w:val="24"/>
          <w:lang w:val="en-US"/>
        </w:rPr>
      </w:pPr>
      <w:r w:rsidRPr="007E40FA">
        <w:rPr>
          <w:rFonts w:ascii="Times New Roman" w:hAnsi="Times New Roman"/>
          <w:b/>
          <w:sz w:val="24"/>
          <w:szCs w:val="24"/>
          <w:lang w:val="en-US"/>
        </w:rPr>
        <w:t>Figure 3:</w:t>
      </w:r>
      <w:r w:rsidRPr="007E40FA">
        <w:rPr>
          <w:rFonts w:ascii="Times New Roman" w:hAnsi="Times New Roman"/>
          <w:sz w:val="24"/>
          <w:szCs w:val="24"/>
          <w:lang w:val="en-US"/>
        </w:rPr>
        <w:t xml:space="preserve"> </w:t>
      </w:r>
      <w:r w:rsidR="00201C52" w:rsidRPr="007E40FA">
        <w:rPr>
          <w:rFonts w:ascii="Times New Roman" w:hAnsi="Times New Roman"/>
          <w:b/>
          <w:sz w:val="24"/>
          <w:szCs w:val="24"/>
        </w:rPr>
        <w:t xml:space="preserve">Adaptation of the </w:t>
      </w:r>
      <w:r w:rsidR="004C0272" w:rsidRPr="007E40FA">
        <w:rPr>
          <w:rFonts w:ascii="Times New Roman" w:hAnsi="Times New Roman"/>
          <w:b/>
          <w:sz w:val="24"/>
          <w:szCs w:val="24"/>
        </w:rPr>
        <w:t>CSS</w:t>
      </w:r>
      <w:r w:rsidR="00201C52" w:rsidRPr="007E40FA">
        <w:rPr>
          <w:rFonts w:ascii="Times New Roman" w:hAnsi="Times New Roman"/>
          <w:b/>
          <w:sz w:val="24"/>
          <w:szCs w:val="24"/>
        </w:rPr>
        <w:t xml:space="preserve"> procedure for use in pre-clinical mouse models of metastasis.</w:t>
      </w:r>
      <w:r w:rsidRPr="007E40FA">
        <w:rPr>
          <w:rFonts w:ascii="Times New Roman" w:hAnsi="Times New Roman"/>
          <w:sz w:val="24"/>
          <w:szCs w:val="24"/>
        </w:rPr>
        <w:t xml:space="preserve"> </w:t>
      </w:r>
      <w:r w:rsidRPr="007E40FA">
        <w:rPr>
          <w:rFonts w:ascii="Times New Roman" w:hAnsi="Times New Roman"/>
          <w:b/>
          <w:sz w:val="24"/>
          <w:szCs w:val="24"/>
        </w:rPr>
        <w:t>(A)</w:t>
      </w:r>
      <w:r w:rsidRPr="007E40FA">
        <w:rPr>
          <w:rFonts w:ascii="Times New Roman" w:hAnsi="Times New Roman"/>
          <w:sz w:val="24"/>
          <w:szCs w:val="24"/>
        </w:rPr>
        <w:t xml:space="preserve"> CTC recovery using the adapted mouse </w:t>
      </w:r>
      <w:r w:rsidR="004C0272" w:rsidRPr="007E40FA">
        <w:rPr>
          <w:rFonts w:ascii="Times New Roman" w:hAnsi="Times New Roman"/>
          <w:sz w:val="24"/>
          <w:szCs w:val="24"/>
        </w:rPr>
        <w:t>CSS</w:t>
      </w:r>
      <w:r w:rsidRPr="007E40FA">
        <w:rPr>
          <w:rFonts w:ascii="Times New Roman" w:hAnsi="Times New Roman"/>
          <w:sz w:val="24"/>
          <w:szCs w:val="24"/>
        </w:rPr>
        <w:t xml:space="preserve"> protocol measured as a percentage of the number of spiked cells and compared to results obtained using the standard human </w:t>
      </w:r>
      <w:r w:rsidR="004C0272" w:rsidRPr="007E40FA">
        <w:rPr>
          <w:rFonts w:ascii="Times New Roman" w:hAnsi="Times New Roman"/>
          <w:sz w:val="24"/>
          <w:szCs w:val="24"/>
        </w:rPr>
        <w:t>CSS</w:t>
      </w:r>
      <w:r w:rsidRPr="007E40FA">
        <w:rPr>
          <w:rFonts w:ascii="Times New Roman" w:hAnsi="Times New Roman"/>
          <w:sz w:val="24"/>
          <w:szCs w:val="24"/>
        </w:rPr>
        <w:t xml:space="preserve"> protocol. Cells were counted by </w:t>
      </w:r>
      <w:proofErr w:type="spellStart"/>
      <w:r w:rsidRPr="007E40FA">
        <w:rPr>
          <w:rFonts w:ascii="Times New Roman" w:hAnsi="Times New Roman"/>
          <w:sz w:val="24"/>
          <w:szCs w:val="24"/>
        </w:rPr>
        <w:t>hemocytometer</w:t>
      </w:r>
      <w:proofErr w:type="spellEnd"/>
      <w:r w:rsidRPr="007E40FA">
        <w:rPr>
          <w:rFonts w:ascii="Times New Roman" w:hAnsi="Times New Roman"/>
          <w:sz w:val="24"/>
          <w:szCs w:val="24"/>
        </w:rPr>
        <w:t xml:space="preserve"> and ~1</w:t>
      </w:r>
      <w:r w:rsidR="009E154B" w:rsidRPr="007E40FA">
        <w:rPr>
          <w:rFonts w:ascii="Times New Roman" w:hAnsi="Times New Roman"/>
          <w:sz w:val="24"/>
          <w:szCs w:val="24"/>
        </w:rPr>
        <w:t>,</w:t>
      </w:r>
      <w:r w:rsidRPr="007E40FA">
        <w:rPr>
          <w:rFonts w:ascii="Times New Roman" w:hAnsi="Times New Roman"/>
          <w:sz w:val="24"/>
          <w:szCs w:val="24"/>
        </w:rPr>
        <w:t xml:space="preserve">000 </w:t>
      </w:r>
      <w:proofErr w:type="spellStart"/>
      <w:r w:rsidRPr="007E40FA">
        <w:rPr>
          <w:rFonts w:ascii="Times New Roman" w:hAnsi="Times New Roman"/>
          <w:sz w:val="24"/>
          <w:szCs w:val="24"/>
        </w:rPr>
        <w:t>LNCaP</w:t>
      </w:r>
      <w:proofErr w:type="spellEnd"/>
      <w:r w:rsidRPr="007E40FA">
        <w:rPr>
          <w:rFonts w:ascii="Times New Roman" w:hAnsi="Times New Roman"/>
          <w:sz w:val="24"/>
          <w:szCs w:val="24"/>
        </w:rPr>
        <w:t xml:space="preserve"> human prostate cancer cells were spiked into 7.5ml of human blood. </w:t>
      </w:r>
      <w:proofErr w:type="spellStart"/>
      <w:r w:rsidRPr="007E40FA">
        <w:rPr>
          <w:rFonts w:ascii="Times New Roman" w:hAnsi="Times New Roman"/>
          <w:sz w:val="24"/>
          <w:szCs w:val="24"/>
        </w:rPr>
        <w:t>Unspiked</w:t>
      </w:r>
      <w:proofErr w:type="spellEnd"/>
      <w:r w:rsidRPr="007E40FA">
        <w:rPr>
          <w:rFonts w:ascii="Times New Roman" w:hAnsi="Times New Roman"/>
          <w:sz w:val="24"/>
          <w:szCs w:val="24"/>
        </w:rPr>
        <w:t xml:space="preserve"> human blood samples were used as a negative control (n=3). </w:t>
      </w:r>
      <w:r w:rsidRPr="007E40FA">
        <w:rPr>
          <w:rFonts w:ascii="Times New Roman" w:hAnsi="Times New Roman"/>
          <w:sz w:val="24"/>
          <w:szCs w:val="24"/>
          <w:lang w:val="en-US"/>
        </w:rPr>
        <w:t>Data are presented as the mean ± SEM.</w:t>
      </w:r>
      <w:r w:rsidRPr="007E40FA">
        <w:rPr>
          <w:rFonts w:ascii="Times New Roman" w:hAnsi="Times New Roman"/>
          <w:sz w:val="24"/>
          <w:szCs w:val="24"/>
        </w:rPr>
        <w:t xml:space="preserve"> ns =</w:t>
      </w:r>
      <w:r w:rsidR="00D372EA" w:rsidRPr="007E40FA">
        <w:rPr>
          <w:rFonts w:ascii="Times New Roman" w:hAnsi="Times New Roman"/>
          <w:sz w:val="24"/>
          <w:szCs w:val="24"/>
        </w:rPr>
        <w:t xml:space="preserve"> not significant.</w:t>
      </w:r>
      <w:r w:rsidRPr="007E40FA">
        <w:rPr>
          <w:rFonts w:ascii="Times New Roman" w:hAnsi="Times New Roman"/>
          <w:sz w:val="24"/>
          <w:szCs w:val="24"/>
        </w:rPr>
        <w:t xml:space="preserve"> </w:t>
      </w:r>
      <w:r w:rsidRPr="007E40FA">
        <w:rPr>
          <w:rFonts w:ascii="Times New Roman" w:hAnsi="Times New Roman"/>
          <w:b/>
          <w:sz w:val="24"/>
          <w:szCs w:val="24"/>
        </w:rPr>
        <w:t>(B)</w:t>
      </w:r>
      <w:r w:rsidRPr="007E40FA">
        <w:rPr>
          <w:rFonts w:ascii="Times New Roman" w:hAnsi="Times New Roman"/>
          <w:sz w:val="24"/>
          <w:szCs w:val="24"/>
        </w:rPr>
        <w:t xml:space="preserve"> </w:t>
      </w:r>
      <w:r w:rsidRPr="007E40FA">
        <w:rPr>
          <w:rFonts w:ascii="Times New Roman" w:hAnsi="Times New Roman"/>
          <w:sz w:val="24"/>
          <w:szCs w:val="24"/>
          <w:lang w:val="en-US"/>
        </w:rPr>
        <w:t xml:space="preserve">Representative </w:t>
      </w:r>
      <w:r w:rsidR="004C0272" w:rsidRPr="007E40FA">
        <w:rPr>
          <w:rFonts w:ascii="Times New Roman" w:hAnsi="Times New Roman"/>
          <w:sz w:val="24"/>
          <w:szCs w:val="24"/>
        </w:rPr>
        <w:t>CSS</w:t>
      </w:r>
      <w:r w:rsidRPr="007E40FA">
        <w:rPr>
          <w:rFonts w:ascii="Times New Roman" w:hAnsi="Times New Roman"/>
          <w:sz w:val="24"/>
          <w:szCs w:val="24"/>
          <w:lang w:val="en-US"/>
        </w:rPr>
        <w:t xml:space="preserve"> gallery images of CTCs captured the adapted mouse </w:t>
      </w:r>
      <w:r w:rsidR="004C0272" w:rsidRPr="007E40FA">
        <w:rPr>
          <w:rFonts w:ascii="Times New Roman" w:hAnsi="Times New Roman"/>
          <w:sz w:val="24"/>
          <w:szCs w:val="24"/>
          <w:lang w:val="en-US"/>
        </w:rPr>
        <w:t>CSS</w:t>
      </w:r>
      <w:r w:rsidRPr="007E40FA">
        <w:rPr>
          <w:rFonts w:ascii="Times New Roman" w:hAnsi="Times New Roman"/>
          <w:sz w:val="24"/>
          <w:szCs w:val="24"/>
          <w:lang w:val="en-US"/>
        </w:rPr>
        <w:t xml:space="preserve"> protocol</w:t>
      </w:r>
      <w:r w:rsidR="00D372EA" w:rsidRPr="007E40FA">
        <w:rPr>
          <w:rFonts w:ascii="Times New Roman" w:hAnsi="Times New Roman"/>
          <w:sz w:val="24"/>
          <w:szCs w:val="24"/>
          <w:lang w:val="en-US"/>
        </w:rPr>
        <w:t xml:space="preserve"> demonstrating that HLA-AF488 is able to distinguish human from mouse cells.</w:t>
      </w:r>
      <w:r w:rsidRPr="007E40FA">
        <w:rPr>
          <w:rFonts w:ascii="Times New Roman" w:hAnsi="Times New Roman"/>
          <w:sz w:val="24"/>
          <w:szCs w:val="24"/>
          <w:lang w:val="en-US"/>
        </w:rPr>
        <w:t xml:space="preserve"> </w:t>
      </w:r>
      <w:r w:rsidRPr="007E40FA">
        <w:rPr>
          <w:rFonts w:ascii="Times New Roman" w:hAnsi="Times New Roman"/>
          <w:b/>
          <w:sz w:val="24"/>
          <w:szCs w:val="24"/>
          <w:lang w:val="en-US"/>
        </w:rPr>
        <w:t>(C)</w:t>
      </w:r>
      <w:r w:rsidRPr="007E40FA">
        <w:rPr>
          <w:rFonts w:ascii="Times New Roman" w:hAnsi="Times New Roman"/>
          <w:sz w:val="24"/>
          <w:szCs w:val="24"/>
          <w:lang w:val="en-US"/>
        </w:rPr>
        <w:t xml:space="preserve"> </w:t>
      </w:r>
      <w:r w:rsidR="007B6F3F" w:rsidRPr="007E40FA">
        <w:rPr>
          <w:rFonts w:ascii="Times New Roman" w:hAnsi="Times New Roman"/>
          <w:sz w:val="24"/>
          <w:szCs w:val="24"/>
          <w:lang w:val="en-US"/>
        </w:rPr>
        <w:t>Analysis of c</w:t>
      </w:r>
      <w:r w:rsidRPr="007E40FA">
        <w:rPr>
          <w:rFonts w:ascii="Times New Roman" w:hAnsi="Times New Roman"/>
          <w:sz w:val="24"/>
          <w:szCs w:val="24"/>
          <w:lang w:val="en-US"/>
        </w:rPr>
        <w:t>orrelation and</w:t>
      </w:r>
      <w:r w:rsidR="00815D07" w:rsidRPr="007E40FA">
        <w:rPr>
          <w:rFonts w:ascii="Times New Roman" w:hAnsi="Times New Roman"/>
          <w:sz w:val="24"/>
          <w:szCs w:val="24"/>
          <w:lang w:val="en-US"/>
        </w:rPr>
        <w:t xml:space="preserve"> linear</w:t>
      </w:r>
      <w:r w:rsidRPr="007E40FA">
        <w:rPr>
          <w:rFonts w:ascii="Times New Roman" w:hAnsi="Times New Roman"/>
          <w:sz w:val="24"/>
          <w:szCs w:val="24"/>
          <w:lang w:val="en-US"/>
        </w:rPr>
        <w:t xml:space="preserve"> regression </w:t>
      </w:r>
      <w:r w:rsidR="007B6F3F" w:rsidRPr="007E40FA">
        <w:rPr>
          <w:rFonts w:ascii="Times New Roman" w:hAnsi="Times New Roman"/>
          <w:sz w:val="24"/>
          <w:szCs w:val="24"/>
          <w:lang w:val="en-US"/>
        </w:rPr>
        <w:t xml:space="preserve">of </w:t>
      </w:r>
      <w:r w:rsidR="009724BA" w:rsidRPr="007E40FA">
        <w:rPr>
          <w:rFonts w:ascii="Times New Roman" w:hAnsi="Times New Roman"/>
          <w:sz w:val="24"/>
          <w:szCs w:val="24"/>
          <w:lang w:val="en-US"/>
        </w:rPr>
        <w:t xml:space="preserve">the expected </w:t>
      </w:r>
      <w:r w:rsidRPr="007E40FA">
        <w:rPr>
          <w:rFonts w:ascii="Times New Roman" w:hAnsi="Times New Roman"/>
          <w:sz w:val="24"/>
          <w:szCs w:val="24"/>
          <w:lang w:val="en-US"/>
        </w:rPr>
        <w:t xml:space="preserve">versus </w:t>
      </w:r>
      <w:r w:rsidR="009724BA" w:rsidRPr="007E40FA">
        <w:rPr>
          <w:rFonts w:ascii="Times New Roman" w:hAnsi="Times New Roman"/>
          <w:sz w:val="24"/>
          <w:szCs w:val="24"/>
          <w:lang w:val="en-US"/>
        </w:rPr>
        <w:t xml:space="preserve">recovered </w:t>
      </w:r>
      <w:r w:rsidRPr="007E40FA">
        <w:rPr>
          <w:rFonts w:ascii="Times New Roman" w:hAnsi="Times New Roman"/>
          <w:sz w:val="24"/>
          <w:szCs w:val="24"/>
          <w:lang w:val="en-US"/>
        </w:rPr>
        <w:t xml:space="preserve">number of </w:t>
      </w:r>
      <w:r w:rsidR="007B6F3F" w:rsidRPr="007E40FA">
        <w:rPr>
          <w:rFonts w:ascii="Times New Roman" w:hAnsi="Times New Roman"/>
          <w:sz w:val="24"/>
          <w:szCs w:val="24"/>
          <w:lang w:val="en-US"/>
        </w:rPr>
        <w:t xml:space="preserve">spiked tumor cells </w:t>
      </w:r>
      <w:r w:rsidRPr="007E40FA">
        <w:rPr>
          <w:rFonts w:ascii="Times New Roman" w:hAnsi="Times New Roman"/>
          <w:sz w:val="24"/>
          <w:szCs w:val="24"/>
          <w:lang w:val="en-US"/>
        </w:rPr>
        <w:t xml:space="preserve">at various </w:t>
      </w:r>
      <w:r w:rsidR="007B6F3F" w:rsidRPr="007E40FA">
        <w:rPr>
          <w:rFonts w:ascii="Times New Roman" w:hAnsi="Times New Roman"/>
          <w:sz w:val="24"/>
          <w:szCs w:val="24"/>
          <w:lang w:val="en-US"/>
        </w:rPr>
        <w:t>concentrations</w:t>
      </w:r>
      <w:r w:rsidR="00D372EA" w:rsidRPr="007E40FA">
        <w:rPr>
          <w:rFonts w:ascii="Times New Roman" w:hAnsi="Times New Roman"/>
          <w:sz w:val="24"/>
          <w:szCs w:val="24"/>
          <w:lang w:val="en-US"/>
        </w:rPr>
        <w:t xml:space="preserve">. </w:t>
      </w:r>
      <w:proofErr w:type="spellStart"/>
      <w:r w:rsidR="007B6F3F" w:rsidRPr="007E40FA">
        <w:rPr>
          <w:rFonts w:ascii="Times New Roman" w:hAnsi="Times New Roman"/>
          <w:sz w:val="24"/>
          <w:szCs w:val="24"/>
        </w:rPr>
        <w:t>LNCaP</w:t>
      </w:r>
      <w:proofErr w:type="spellEnd"/>
      <w:r w:rsidR="007B6F3F" w:rsidRPr="007E40FA">
        <w:rPr>
          <w:rFonts w:ascii="Times New Roman" w:hAnsi="Times New Roman"/>
          <w:sz w:val="24"/>
          <w:szCs w:val="24"/>
        </w:rPr>
        <w:t xml:space="preserve"> human prostate cancer cells </w:t>
      </w:r>
      <w:r w:rsidR="00D372EA" w:rsidRPr="007E40FA">
        <w:rPr>
          <w:rFonts w:ascii="Times New Roman" w:hAnsi="Times New Roman"/>
          <w:sz w:val="24"/>
          <w:szCs w:val="24"/>
        </w:rPr>
        <w:t xml:space="preserve">were </w:t>
      </w:r>
      <w:r w:rsidR="007B6F3F" w:rsidRPr="007E40FA">
        <w:rPr>
          <w:rFonts w:ascii="Times New Roman" w:hAnsi="Times New Roman"/>
          <w:sz w:val="24"/>
          <w:szCs w:val="24"/>
        </w:rPr>
        <w:t xml:space="preserve">initially </w:t>
      </w:r>
      <w:r w:rsidR="00D372EA" w:rsidRPr="007E40FA">
        <w:rPr>
          <w:rFonts w:ascii="Times New Roman" w:hAnsi="Times New Roman"/>
          <w:sz w:val="24"/>
          <w:szCs w:val="24"/>
        </w:rPr>
        <w:t xml:space="preserve">counted by </w:t>
      </w:r>
      <w:proofErr w:type="spellStart"/>
      <w:r w:rsidR="00D372EA" w:rsidRPr="007E40FA">
        <w:rPr>
          <w:rFonts w:ascii="Times New Roman" w:hAnsi="Times New Roman"/>
          <w:sz w:val="24"/>
          <w:szCs w:val="24"/>
        </w:rPr>
        <w:t>hemocytometer</w:t>
      </w:r>
      <w:proofErr w:type="spellEnd"/>
      <w:r w:rsidR="00D372EA" w:rsidRPr="007E40FA">
        <w:rPr>
          <w:rFonts w:ascii="Times New Roman" w:hAnsi="Times New Roman"/>
          <w:sz w:val="24"/>
          <w:szCs w:val="24"/>
        </w:rPr>
        <w:t xml:space="preserve"> and </w:t>
      </w:r>
      <w:r w:rsidR="007B6F3F" w:rsidRPr="007E40FA">
        <w:rPr>
          <w:rFonts w:ascii="Times New Roman" w:hAnsi="Times New Roman"/>
          <w:sz w:val="24"/>
          <w:szCs w:val="24"/>
        </w:rPr>
        <w:t xml:space="preserve">subsequently </w:t>
      </w:r>
      <w:r w:rsidR="00D372EA" w:rsidRPr="007E40FA">
        <w:rPr>
          <w:rFonts w:ascii="Times New Roman" w:hAnsi="Times New Roman"/>
          <w:sz w:val="24"/>
          <w:szCs w:val="24"/>
        </w:rPr>
        <w:t xml:space="preserve">spiked into mouse blood at a concentration of </w:t>
      </w:r>
      <w:r w:rsidR="00D2014B" w:rsidRPr="007E40FA">
        <w:rPr>
          <w:rFonts w:ascii="Times New Roman" w:hAnsi="Times New Roman"/>
          <w:sz w:val="24"/>
          <w:szCs w:val="24"/>
        </w:rPr>
        <w:t>~</w:t>
      </w:r>
      <w:r w:rsidR="00D372EA" w:rsidRPr="007E40FA">
        <w:rPr>
          <w:rFonts w:ascii="Times New Roman" w:hAnsi="Times New Roman"/>
          <w:sz w:val="24"/>
          <w:szCs w:val="24"/>
        </w:rPr>
        <w:t>1</w:t>
      </w:r>
      <w:r w:rsidR="009E154B" w:rsidRPr="007E40FA">
        <w:rPr>
          <w:rFonts w:ascii="Times New Roman" w:hAnsi="Times New Roman"/>
          <w:sz w:val="24"/>
          <w:szCs w:val="24"/>
        </w:rPr>
        <w:t>,</w:t>
      </w:r>
      <w:r w:rsidR="00D372EA" w:rsidRPr="007E40FA">
        <w:rPr>
          <w:rFonts w:ascii="Times New Roman" w:hAnsi="Times New Roman"/>
          <w:sz w:val="24"/>
          <w:szCs w:val="24"/>
        </w:rPr>
        <w:t xml:space="preserve">000 tumor cells/50µl of blood. </w:t>
      </w:r>
      <w:r w:rsidR="007B6F3F" w:rsidRPr="007E40FA">
        <w:rPr>
          <w:rFonts w:ascii="Times New Roman" w:hAnsi="Times New Roman"/>
          <w:sz w:val="24"/>
          <w:szCs w:val="24"/>
        </w:rPr>
        <w:t xml:space="preserve">Spiked mouse </w:t>
      </w:r>
      <w:r w:rsidR="00D372EA" w:rsidRPr="007E40FA">
        <w:rPr>
          <w:rFonts w:ascii="Times New Roman" w:hAnsi="Times New Roman"/>
          <w:sz w:val="24"/>
          <w:szCs w:val="24"/>
        </w:rPr>
        <w:t xml:space="preserve">blood was then serially diluted to a concentration of 5 tumor cells/50µl and processed using the mouse adapted </w:t>
      </w:r>
      <w:r w:rsidR="004C0272" w:rsidRPr="007E40FA">
        <w:rPr>
          <w:rFonts w:ascii="Times New Roman" w:hAnsi="Times New Roman"/>
          <w:sz w:val="24"/>
          <w:szCs w:val="24"/>
        </w:rPr>
        <w:t>CSS</w:t>
      </w:r>
      <w:r w:rsidR="00D372EA" w:rsidRPr="007E40FA">
        <w:rPr>
          <w:rFonts w:ascii="Times New Roman" w:hAnsi="Times New Roman"/>
          <w:sz w:val="24"/>
          <w:szCs w:val="24"/>
        </w:rPr>
        <w:t xml:space="preserve"> protocol</w:t>
      </w:r>
      <w:r w:rsidRPr="007E40FA">
        <w:rPr>
          <w:rFonts w:ascii="Times New Roman" w:hAnsi="Times New Roman"/>
          <w:sz w:val="24"/>
          <w:szCs w:val="24"/>
          <w:lang w:val="en-US"/>
        </w:rPr>
        <w:t xml:space="preserve"> (n=3).</w:t>
      </w:r>
    </w:p>
    <w:p w:rsidR="009E30BC" w:rsidRPr="007E40FA" w:rsidRDefault="009E30BC" w:rsidP="001F0875">
      <w:pPr>
        <w:spacing w:after="0" w:line="240" w:lineRule="auto"/>
        <w:jc w:val="both"/>
        <w:rPr>
          <w:rFonts w:ascii="Times New Roman" w:hAnsi="Times New Roman"/>
          <w:sz w:val="24"/>
          <w:szCs w:val="24"/>
          <w:lang w:val="en-US"/>
        </w:rPr>
      </w:pPr>
    </w:p>
    <w:p w:rsidR="009E30BC" w:rsidRPr="007E40FA" w:rsidRDefault="009E30BC" w:rsidP="001F0875">
      <w:pPr>
        <w:spacing w:after="0" w:line="240" w:lineRule="auto"/>
        <w:jc w:val="both"/>
        <w:rPr>
          <w:rFonts w:ascii="Times New Roman" w:hAnsi="Times New Roman"/>
          <w:b/>
          <w:sz w:val="24"/>
          <w:szCs w:val="24"/>
        </w:rPr>
      </w:pPr>
      <w:r w:rsidRPr="007E40FA">
        <w:rPr>
          <w:rFonts w:ascii="Times New Roman" w:hAnsi="Times New Roman"/>
          <w:b/>
          <w:sz w:val="24"/>
          <w:szCs w:val="24"/>
          <w:lang w:val="en-US"/>
        </w:rPr>
        <w:t xml:space="preserve">Table 1: </w:t>
      </w:r>
      <w:r w:rsidR="00201C52" w:rsidRPr="007E40FA">
        <w:rPr>
          <w:rFonts w:ascii="Times New Roman" w:hAnsi="Times New Roman"/>
          <w:b/>
          <w:sz w:val="24"/>
          <w:szCs w:val="24"/>
          <w:lang w:val="en-US"/>
        </w:rPr>
        <w:t xml:space="preserve">Total volume requirements for the </w:t>
      </w:r>
      <w:r w:rsidR="004C0272" w:rsidRPr="007E40FA">
        <w:rPr>
          <w:rFonts w:ascii="Times New Roman" w:hAnsi="Times New Roman"/>
          <w:b/>
          <w:sz w:val="24"/>
          <w:szCs w:val="24"/>
          <w:lang w:val="en-US"/>
        </w:rPr>
        <w:t>CSS</w:t>
      </w:r>
      <w:r w:rsidR="00201C52" w:rsidRPr="007E40FA">
        <w:rPr>
          <w:rFonts w:ascii="Times New Roman" w:hAnsi="Times New Roman"/>
          <w:b/>
          <w:sz w:val="24"/>
          <w:szCs w:val="24"/>
          <w:lang w:val="en-US"/>
        </w:rPr>
        <w:t xml:space="preserve"> when processing various numbers of samples with a user-defined marker.</w:t>
      </w:r>
    </w:p>
    <w:p w:rsidR="009E30BC" w:rsidRPr="007E40FA" w:rsidRDefault="009E30BC" w:rsidP="001F0875">
      <w:pPr>
        <w:pStyle w:val="ListParagraph"/>
        <w:spacing w:line="240" w:lineRule="auto"/>
        <w:ind w:left="0"/>
        <w:jc w:val="both"/>
        <w:rPr>
          <w:rFonts w:ascii="Times New Roman" w:hAnsi="Times New Roman"/>
          <w:sz w:val="24"/>
          <w:szCs w:val="24"/>
          <w:u w:val="single"/>
        </w:rPr>
      </w:pPr>
    </w:p>
    <w:p w:rsidR="00455918" w:rsidRPr="007E40FA" w:rsidRDefault="00455918" w:rsidP="001F0875">
      <w:pPr>
        <w:jc w:val="both"/>
        <w:rPr>
          <w:rFonts w:ascii="Times New Roman" w:hAnsi="Times New Roman"/>
          <w:b/>
          <w:sz w:val="24"/>
          <w:szCs w:val="24"/>
        </w:rPr>
      </w:pPr>
      <w:r w:rsidRPr="007E40FA">
        <w:rPr>
          <w:rFonts w:ascii="Times New Roman" w:hAnsi="Times New Roman"/>
          <w:b/>
          <w:sz w:val="24"/>
          <w:szCs w:val="24"/>
        </w:rPr>
        <w:br w:type="page"/>
      </w:r>
    </w:p>
    <w:p w:rsidR="009D2E8B" w:rsidRPr="007E40FA" w:rsidRDefault="009D2E8B" w:rsidP="001F0875">
      <w:pPr>
        <w:pStyle w:val="ListParagraph"/>
        <w:spacing w:after="0" w:line="240" w:lineRule="auto"/>
        <w:ind w:left="0"/>
        <w:jc w:val="both"/>
        <w:rPr>
          <w:rFonts w:ascii="Times New Roman" w:hAnsi="Times New Roman"/>
          <w:b/>
          <w:sz w:val="24"/>
          <w:szCs w:val="24"/>
        </w:rPr>
      </w:pPr>
      <w:r w:rsidRPr="007E40FA">
        <w:rPr>
          <w:rFonts w:ascii="Times New Roman" w:hAnsi="Times New Roman"/>
          <w:b/>
          <w:sz w:val="24"/>
          <w:szCs w:val="24"/>
        </w:rPr>
        <w:lastRenderedPageBreak/>
        <w:t>DISCUSSION:</w:t>
      </w:r>
    </w:p>
    <w:p w:rsidR="00976E39" w:rsidRPr="007E40FA" w:rsidRDefault="00976E39" w:rsidP="001F0875">
      <w:pPr>
        <w:spacing w:after="0" w:line="240" w:lineRule="auto"/>
        <w:jc w:val="both"/>
        <w:rPr>
          <w:rFonts w:ascii="Times New Roman" w:hAnsi="Times New Roman"/>
          <w:sz w:val="24"/>
          <w:szCs w:val="24"/>
        </w:rPr>
      </w:pPr>
    </w:p>
    <w:p w:rsidR="00976E39" w:rsidRPr="007E40FA" w:rsidRDefault="001201D9" w:rsidP="001F0875">
      <w:pPr>
        <w:spacing w:after="0" w:line="240" w:lineRule="auto"/>
        <w:jc w:val="both"/>
        <w:rPr>
          <w:rFonts w:ascii="Times New Roman" w:hAnsi="Times New Roman"/>
          <w:sz w:val="24"/>
          <w:szCs w:val="24"/>
        </w:rPr>
      </w:pPr>
      <w:r w:rsidRPr="007E40FA">
        <w:rPr>
          <w:rFonts w:ascii="Times New Roman" w:hAnsi="Times New Roman"/>
          <w:sz w:val="24"/>
          <w:szCs w:val="24"/>
        </w:rPr>
        <w:t xml:space="preserve">Despite the development of many new CTC technologies since the introduction of the </w:t>
      </w:r>
      <w:r w:rsidR="004C0272" w:rsidRPr="007E40FA">
        <w:rPr>
          <w:rFonts w:ascii="Times New Roman" w:hAnsi="Times New Roman"/>
          <w:sz w:val="24"/>
          <w:szCs w:val="24"/>
        </w:rPr>
        <w:t>CSS</w:t>
      </w:r>
      <w:r w:rsidRPr="007E40FA">
        <w:rPr>
          <w:rFonts w:ascii="Times New Roman" w:hAnsi="Times New Roman"/>
          <w:sz w:val="24"/>
          <w:szCs w:val="24"/>
        </w:rPr>
        <w:t xml:space="preserve"> in 2004, this technique is still the only clinically approved technology on the market today and therefore it is considered the current gold standard for CTC detection and enumeration. </w:t>
      </w:r>
      <w:r w:rsidR="005E5B56" w:rsidRPr="007E40FA">
        <w:rPr>
          <w:rFonts w:ascii="Times New Roman" w:hAnsi="Times New Roman"/>
          <w:sz w:val="24"/>
          <w:szCs w:val="24"/>
        </w:rPr>
        <w:t>T</w:t>
      </w:r>
      <w:r w:rsidRPr="007E40FA">
        <w:rPr>
          <w:rFonts w:ascii="Times New Roman" w:hAnsi="Times New Roman"/>
          <w:sz w:val="24"/>
          <w:szCs w:val="24"/>
        </w:rPr>
        <w:t xml:space="preserve">his manuscript </w:t>
      </w:r>
      <w:r w:rsidR="005E5B56" w:rsidRPr="007E40FA">
        <w:rPr>
          <w:rFonts w:ascii="Times New Roman" w:hAnsi="Times New Roman"/>
          <w:sz w:val="24"/>
          <w:szCs w:val="24"/>
        </w:rPr>
        <w:t xml:space="preserve">has demonstrated </w:t>
      </w:r>
      <w:r w:rsidRPr="007E40FA">
        <w:rPr>
          <w:rFonts w:ascii="Times New Roman" w:hAnsi="Times New Roman"/>
          <w:sz w:val="24"/>
          <w:szCs w:val="24"/>
        </w:rPr>
        <w:t xml:space="preserve">that although the </w:t>
      </w:r>
      <w:r w:rsidR="004C0272" w:rsidRPr="007E40FA">
        <w:rPr>
          <w:rFonts w:ascii="Times New Roman" w:hAnsi="Times New Roman"/>
          <w:sz w:val="24"/>
          <w:szCs w:val="24"/>
        </w:rPr>
        <w:t>CSS</w:t>
      </w:r>
      <w:r w:rsidRPr="007E40FA">
        <w:rPr>
          <w:rFonts w:ascii="Times New Roman" w:hAnsi="Times New Roman"/>
          <w:sz w:val="24"/>
          <w:szCs w:val="24"/>
        </w:rPr>
        <w:t xml:space="preserve"> has rigorous quality control standards it can be subject to interpretation bias and that CTC identification in patient samples is much different from </w:t>
      </w:r>
      <w:r w:rsidR="005E5B56" w:rsidRPr="007E40FA">
        <w:rPr>
          <w:rFonts w:ascii="Times New Roman" w:hAnsi="Times New Roman"/>
          <w:sz w:val="24"/>
          <w:szCs w:val="24"/>
        </w:rPr>
        <w:t xml:space="preserve">identification in </w:t>
      </w:r>
      <w:r w:rsidRPr="007E40FA">
        <w:rPr>
          <w:rFonts w:ascii="Times New Roman" w:hAnsi="Times New Roman"/>
          <w:sz w:val="24"/>
          <w:szCs w:val="24"/>
        </w:rPr>
        <w:t xml:space="preserve">spiked samples. </w:t>
      </w:r>
      <w:r w:rsidR="005E5B56" w:rsidRPr="007E40FA">
        <w:rPr>
          <w:rFonts w:ascii="Times New Roman" w:hAnsi="Times New Roman"/>
          <w:sz w:val="24"/>
          <w:szCs w:val="24"/>
        </w:rPr>
        <w:t>Six</w:t>
      </w:r>
      <w:r w:rsidRPr="007E40FA">
        <w:rPr>
          <w:rFonts w:ascii="Times New Roman" w:hAnsi="Times New Roman"/>
          <w:sz w:val="24"/>
          <w:szCs w:val="24"/>
        </w:rPr>
        <w:t xml:space="preserve"> categories of commonly discrepant items </w:t>
      </w:r>
      <w:r w:rsidR="005E5B56" w:rsidRPr="007E40FA">
        <w:rPr>
          <w:rFonts w:ascii="Times New Roman" w:hAnsi="Times New Roman"/>
          <w:sz w:val="24"/>
          <w:szCs w:val="24"/>
        </w:rPr>
        <w:t xml:space="preserve">were identified </w:t>
      </w:r>
      <w:r w:rsidRPr="007E40FA">
        <w:rPr>
          <w:rFonts w:ascii="Times New Roman" w:hAnsi="Times New Roman"/>
          <w:sz w:val="24"/>
          <w:szCs w:val="24"/>
        </w:rPr>
        <w:t xml:space="preserve">that can cause </w:t>
      </w:r>
      <w:r w:rsidR="005E5B56" w:rsidRPr="007E40FA">
        <w:rPr>
          <w:rFonts w:ascii="Times New Roman" w:hAnsi="Times New Roman"/>
          <w:sz w:val="24"/>
          <w:szCs w:val="24"/>
        </w:rPr>
        <w:t xml:space="preserve">CTC </w:t>
      </w:r>
      <w:r w:rsidRPr="007E40FA">
        <w:rPr>
          <w:rFonts w:ascii="Times New Roman" w:hAnsi="Times New Roman"/>
          <w:sz w:val="24"/>
          <w:szCs w:val="24"/>
        </w:rPr>
        <w:t xml:space="preserve">misclassifications to occur. These discrepant items highlight the need for multiple reviewers on each patient sample processed on this instrument. In addition, the differences observed in spiked versus patient obtained CTCs demonstrates that there is a necessity for </w:t>
      </w:r>
      <w:r w:rsidR="005E5B56" w:rsidRPr="007E40FA">
        <w:rPr>
          <w:rFonts w:ascii="Times New Roman" w:hAnsi="Times New Roman"/>
          <w:sz w:val="24"/>
          <w:szCs w:val="24"/>
        </w:rPr>
        <w:t xml:space="preserve">any </w:t>
      </w:r>
      <w:r w:rsidRPr="007E40FA">
        <w:rPr>
          <w:rFonts w:ascii="Times New Roman" w:hAnsi="Times New Roman"/>
          <w:sz w:val="24"/>
          <w:szCs w:val="24"/>
        </w:rPr>
        <w:t xml:space="preserve">new CTC technologies to be validated in both spiked and patient samples. In addition, </w:t>
      </w:r>
      <w:r w:rsidR="00A35C2E" w:rsidRPr="007E40FA">
        <w:rPr>
          <w:rFonts w:ascii="Times New Roman" w:hAnsi="Times New Roman"/>
          <w:sz w:val="24"/>
          <w:szCs w:val="24"/>
        </w:rPr>
        <w:t xml:space="preserve">these new technologies must be compared to </w:t>
      </w:r>
      <w:r w:rsidR="0077734C" w:rsidRPr="007E40FA">
        <w:rPr>
          <w:rFonts w:ascii="Times New Roman" w:hAnsi="Times New Roman"/>
          <w:sz w:val="24"/>
          <w:szCs w:val="24"/>
        </w:rPr>
        <w:t xml:space="preserve">the gold standard </w:t>
      </w:r>
      <w:r w:rsidR="004C0272" w:rsidRPr="007E40FA">
        <w:rPr>
          <w:rFonts w:ascii="Times New Roman" w:hAnsi="Times New Roman"/>
          <w:sz w:val="24"/>
          <w:szCs w:val="24"/>
        </w:rPr>
        <w:t>CSS</w:t>
      </w:r>
      <w:r w:rsidR="0077734C" w:rsidRPr="007E40FA">
        <w:rPr>
          <w:rFonts w:ascii="Times New Roman" w:hAnsi="Times New Roman"/>
          <w:sz w:val="24"/>
          <w:szCs w:val="24"/>
        </w:rPr>
        <w:t xml:space="preserve"> </w:t>
      </w:r>
      <w:r w:rsidR="00A35C2E" w:rsidRPr="007E40FA">
        <w:rPr>
          <w:rFonts w:ascii="Times New Roman" w:hAnsi="Times New Roman"/>
          <w:sz w:val="24"/>
          <w:szCs w:val="24"/>
        </w:rPr>
        <w:t xml:space="preserve">using </w:t>
      </w:r>
      <w:r w:rsidR="00796AED" w:rsidRPr="007E40FA">
        <w:rPr>
          <w:rFonts w:ascii="Times New Roman" w:hAnsi="Times New Roman"/>
          <w:sz w:val="24"/>
          <w:szCs w:val="24"/>
        </w:rPr>
        <w:t xml:space="preserve">split sample testing of </w:t>
      </w:r>
      <w:r w:rsidR="00A35C2E" w:rsidRPr="007E40FA">
        <w:rPr>
          <w:rFonts w:ascii="Times New Roman" w:hAnsi="Times New Roman"/>
          <w:sz w:val="24"/>
          <w:szCs w:val="24"/>
        </w:rPr>
        <w:t xml:space="preserve">both spiked and patient samples, as efficient CTC capture from spiked samples only does not necessarily reflect CTC capture efficiency in patient samples.     </w:t>
      </w:r>
      <w:r w:rsidRPr="007E40FA">
        <w:rPr>
          <w:rFonts w:ascii="Times New Roman" w:hAnsi="Times New Roman"/>
          <w:sz w:val="24"/>
          <w:szCs w:val="24"/>
        </w:rPr>
        <w:t xml:space="preserve">   </w:t>
      </w:r>
    </w:p>
    <w:p w:rsidR="00976E39" w:rsidRPr="007E40FA" w:rsidRDefault="00976E39" w:rsidP="001F0875">
      <w:pPr>
        <w:spacing w:after="0" w:line="240" w:lineRule="auto"/>
        <w:jc w:val="both"/>
        <w:rPr>
          <w:rFonts w:ascii="Times New Roman" w:hAnsi="Times New Roman"/>
          <w:sz w:val="24"/>
          <w:szCs w:val="24"/>
        </w:rPr>
      </w:pPr>
    </w:p>
    <w:p w:rsidR="00A35C2E" w:rsidRPr="007E40FA" w:rsidRDefault="000C45FB" w:rsidP="001F0875">
      <w:pPr>
        <w:spacing w:after="0" w:line="240" w:lineRule="auto"/>
        <w:jc w:val="both"/>
        <w:rPr>
          <w:rFonts w:ascii="Times New Roman" w:hAnsi="Times New Roman"/>
          <w:sz w:val="24"/>
          <w:szCs w:val="24"/>
        </w:rPr>
      </w:pPr>
      <w:r w:rsidRPr="007E40FA">
        <w:rPr>
          <w:rFonts w:ascii="Times New Roman" w:hAnsi="Times New Roman"/>
          <w:sz w:val="24"/>
          <w:szCs w:val="24"/>
        </w:rPr>
        <w:t xml:space="preserve">Although the </w:t>
      </w:r>
      <w:r w:rsidR="004C0272" w:rsidRPr="007E40FA">
        <w:rPr>
          <w:rFonts w:ascii="Times New Roman" w:hAnsi="Times New Roman"/>
          <w:sz w:val="24"/>
          <w:szCs w:val="24"/>
        </w:rPr>
        <w:t>CSS</w:t>
      </w:r>
      <w:r w:rsidRPr="007E40FA">
        <w:rPr>
          <w:rFonts w:ascii="Times New Roman" w:hAnsi="Times New Roman"/>
          <w:sz w:val="24"/>
          <w:szCs w:val="24"/>
        </w:rPr>
        <w:t xml:space="preserve"> has the capability to perform characterization of captured CTCs</w:t>
      </w:r>
      <w:r w:rsidR="005E5B56" w:rsidRPr="007E40FA">
        <w:rPr>
          <w:rFonts w:ascii="Times New Roman" w:hAnsi="Times New Roman"/>
          <w:sz w:val="24"/>
          <w:szCs w:val="24"/>
        </w:rPr>
        <w:t>,</w:t>
      </w:r>
      <w:r w:rsidRPr="007E40FA">
        <w:rPr>
          <w:rFonts w:ascii="Times New Roman" w:hAnsi="Times New Roman"/>
          <w:sz w:val="24"/>
          <w:szCs w:val="24"/>
        </w:rPr>
        <w:t xml:space="preserve"> it is quite restricted with regards to highly customizable optimization. In general, the only parameters that can be changed on this instrument for optimization of user-defined markers are the antibody concentration and the length of time that</w:t>
      </w:r>
      <w:r w:rsidR="005E5B56" w:rsidRPr="007E40FA">
        <w:rPr>
          <w:rFonts w:ascii="Times New Roman" w:hAnsi="Times New Roman"/>
          <w:sz w:val="24"/>
          <w:szCs w:val="24"/>
        </w:rPr>
        <w:t xml:space="preserve"> the</w:t>
      </w:r>
      <w:r w:rsidRPr="007E40FA">
        <w:rPr>
          <w:rFonts w:ascii="Times New Roman" w:hAnsi="Times New Roman"/>
          <w:sz w:val="24"/>
          <w:szCs w:val="24"/>
        </w:rPr>
        <w:t xml:space="preserve"> </w:t>
      </w:r>
      <w:proofErr w:type="spellStart"/>
      <w:r w:rsidRPr="007E40FA">
        <w:rPr>
          <w:rFonts w:ascii="Times New Roman" w:hAnsi="Times New Roman"/>
          <w:sz w:val="24"/>
          <w:szCs w:val="24"/>
        </w:rPr>
        <w:t>fluorophore</w:t>
      </w:r>
      <w:proofErr w:type="spellEnd"/>
      <w:r w:rsidRPr="007E40FA">
        <w:rPr>
          <w:rFonts w:ascii="Times New Roman" w:hAnsi="Times New Roman"/>
          <w:sz w:val="24"/>
          <w:szCs w:val="24"/>
        </w:rPr>
        <w:t xml:space="preserve"> is exposed to the mercury lamp. This limited capacity for optimization can present problems when working-up user-defined markers on the </w:t>
      </w:r>
      <w:r w:rsidR="004C0272" w:rsidRPr="007E40FA">
        <w:rPr>
          <w:rFonts w:ascii="Times New Roman" w:hAnsi="Times New Roman"/>
          <w:sz w:val="24"/>
          <w:szCs w:val="24"/>
        </w:rPr>
        <w:t>CSS</w:t>
      </w:r>
      <w:r w:rsidRPr="007E40FA">
        <w:rPr>
          <w:rFonts w:ascii="Times New Roman" w:hAnsi="Times New Roman"/>
          <w:sz w:val="24"/>
          <w:szCs w:val="24"/>
        </w:rPr>
        <w:t>. One solution proposed in this manuscript (described in detail previously</w:t>
      </w:r>
      <w:r w:rsidR="0036708D" w:rsidRPr="007E40FA">
        <w:rPr>
          <w:rFonts w:ascii="Times New Roman" w:hAnsi="Times New Roman"/>
          <w:sz w:val="24"/>
          <w:szCs w:val="24"/>
        </w:rPr>
        <w:fldChar w:fldCharType="begin" w:fldLock="1"/>
      </w:r>
      <w:r w:rsidR="007F0560" w:rsidRPr="007E40FA">
        <w:rPr>
          <w:rFonts w:ascii="Times New Roman" w:hAnsi="Times New Roman"/>
          <w:sz w:val="24"/>
          <w:szCs w:val="24"/>
        </w:rPr>
        <w:instrText>ADDIN CSL_CITATION { "citationItems" : [ { "id" : "ITEM-1", "itemData" : { "DOI" : "10.1002/cyto.a.22158", "ISSN" : "1552-4930", "PMID" : "22899576", "abstract" : "The majority of cancer-related deaths result from metastasis, which has been associated with the presence of circulating tumor cells (CTCs). It has been shown that CTC cut-off values exist that predict for poorer overall survival in metastatic breast (\u22655), prostate (\u22655), and colorectal (\u22653) cancer based on assessment of 7.5 ml of blood. Development of the CellSearch\u00ae system (Veridex) has allowed for sensitive enumeration of CTCs. In the current study, protocols were developed and optimized for use with the CellSearch system to characterize CTCs with respect to user-defined protein markers of interest in human blood samples, including the cancer stem cell marker CD44 and the apoptosis marker M-30. Flow cytometry (FCM) experiments were initially carried out to assess expression of CD44 and M-30 on MDA-MB-468 human tumor cells. Human blood samples were then spiked with MDA-MB-468 cells and processed with the appropriate antibody (CD44/M-30) on the CellSearch. Detailed optimization of CD44 was carried out on the CellSearch using various antibody concentrations, exposure times, and cell lines with varying CD44 expression. Troubleshooting experiments were undertaken to explain observed discrepancies between FCM and CellSearch results for the M-30 marker. After extensive optimization, the best CD44/M-30 concentrations and exposure times were determined to be 1.5/3.5 \u03bcg/ml and 0.2/0.8 s, respectively. The percentage of CD44(+) tumor cells was 99.5 \u00b1 0.39% by FCM and 98.8 \u00b1 0.51% by the CellSearch system. The percentage of M-30(+) tumor cells following paclitaxel treatment was 17.6 \u00b1 1.18% by FCM and 10.9 \u00b1 2.41% by CellSearch. Proper optimization of the CD44 marker was achieved; however, M-30 does not appear to be a suitable marker for use in this platform. Taken together, the current study provides a detailed description of the process of user-defined protein marker development and optimization using the CellSearch, and will be an important resource for the future development of protein marker assays by users of this platform.", "author" : [ { "dropping-particle" : "", "family" : "Lowes", "given" : "Lori E", "non-dropping-particle" : "", "parse-names" : false, "suffix" : "" }, { "dropping-particle" : "", "family" : "Hedley", "given" : "Benjamin D", "non-dropping-particle" : "", "parse-names" : false, "suffix" : "" }, { "dropping-particle" : "", "family" : "Keeney", "given" : "Mike", "non-dropping-particle" : "", "parse-names" : false, "suffix" : "" }, { "dropping-particle" : "", "family" : "Allan", "given" : "Alison L", "non-dropping-particle" : "", "parse-names" : false, "suffix" : "" } ], "container-title" : "Cytometry. Part A : the journal of the International Society for Analytical Cytology", "id" : "ITEM-1", "issue" : "11", "issued" : { "date-parts" : [ [ "2012", "11" ] ] }, "page" : "983-95", "title" : "User-defined protein marker assay development for characterization of circulating tumor cells using the CellSearch\u00ae system.", "type" : "article-journal", "volume" : "81" }, "uris" : [ "http://www.mendeley.com/documents/?uuid=a9a3aebd-cff0-4e16-8c3a-76b63633aab6" ] } ], "mendeley" : { "previouslyFormattedCitation" : "&lt;sup&gt;16&lt;/sup&gt;" }, "properties" : { "noteIndex" : 0 }, "schema" : "https://github.com/citation-style-language/schema/raw/master/csl-citation.json" }</w:instrText>
      </w:r>
      <w:r w:rsidR="0036708D" w:rsidRPr="007E40FA">
        <w:rPr>
          <w:rFonts w:ascii="Times New Roman" w:hAnsi="Times New Roman"/>
          <w:sz w:val="24"/>
          <w:szCs w:val="24"/>
        </w:rPr>
        <w:fldChar w:fldCharType="separate"/>
      </w:r>
      <w:r w:rsidR="007F0560" w:rsidRPr="007E40FA">
        <w:rPr>
          <w:rFonts w:ascii="Times New Roman" w:hAnsi="Times New Roman"/>
          <w:noProof/>
          <w:sz w:val="24"/>
          <w:szCs w:val="24"/>
          <w:vertAlign w:val="superscript"/>
        </w:rPr>
        <w:t>16</w:t>
      </w:r>
      <w:r w:rsidR="0036708D" w:rsidRPr="007E40FA">
        <w:rPr>
          <w:rFonts w:ascii="Times New Roman" w:hAnsi="Times New Roman"/>
          <w:sz w:val="24"/>
          <w:szCs w:val="24"/>
        </w:rPr>
        <w:fldChar w:fldCharType="end"/>
      </w:r>
      <w:r w:rsidRPr="007E40FA">
        <w:rPr>
          <w:rFonts w:ascii="Times New Roman" w:hAnsi="Times New Roman"/>
          <w:sz w:val="24"/>
          <w:szCs w:val="24"/>
        </w:rPr>
        <w:t xml:space="preserve">) is the use of the </w:t>
      </w:r>
      <w:r w:rsidR="00EB225B" w:rsidRPr="007E40FA">
        <w:rPr>
          <w:rFonts w:ascii="Times New Roman" w:hAnsi="Times New Roman"/>
          <w:sz w:val="24"/>
          <w:szCs w:val="24"/>
        </w:rPr>
        <w:t xml:space="preserve">low antigen density CTC </w:t>
      </w:r>
      <w:r w:rsidRPr="007E40FA">
        <w:rPr>
          <w:rFonts w:ascii="Times New Roman" w:hAnsi="Times New Roman"/>
          <w:sz w:val="24"/>
          <w:szCs w:val="24"/>
        </w:rPr>
        <w:t>kit which switches the FITC and PE fluorescent channels allowing for better visualization of markers with a low antigen density. Regardless of which kit is utilized (</w:t>
      </w:r>
      <w:r w:rsidR="00EB225B" w:rsidRPr="007E40FA">
        <w:rPr>
          <w:rFonts w:ascii="Times New Roman" w:hAnsi="Times New Roman"/>
          <w:sz w:val="24"/>
          <w:szCs w:val="24"/>
        </w:rPr>
        <w:t xml:space="preserve">traditional- </w:t>
      </w:r>
      <w:r w:rsidRPr="007E40FA">
        <w:rPr>
          <w:rFonts w:ascii="Times New Roman" w:hAnsi="Times New Roman"/>
          <w:sz w:val="24"/>
          <w:szCs w:val="24"/>
        </w:rPr>
        <w:t xml:space="preserve">or </w:t>
      </w:r>
      <w:r w:rsidR="00EB225B" w:rsidRPr="007E40FA">
        <w:rPr>
          <w:rFonts w:ascii="Times New Roman" w:hAnsi="Times New Roman"/>
          <w:sz w:val="24"/>
          <w:szCs w:val="24"/>
        </w:rPr>
        <w:t>low antigen density CTC kit</w:t>
      </w:r>
      <w:r w:rsidRPr="007E40FA">
        <w:rPr>
          <w:rFonts w:ascii="Times New Roman" w:hAnsi="Times New Roman"/>
          <w:sz w:val="24"/>
          <w:szCs w:val="24"/>
        </w:rPr>
        <w:t xml:space="preserve">) there are several necessary steps that must be undertaken to ensure appropriate marker sensitivity, specificity, and optimization. Firstly, assay sensitivity must </w:t>
      </w:r>
      <w:r w:rsidR="005E5B56" w:rsidRPr="007E40FA">
        <w:rPr>
          <w:rFonts w:ascii="Times New Roman" w:hAnsi="Times New Roman"/>
          <w:sz w:val="24"/>
          <w:szCs w:val="24"/>
        </w:rPr>
        <w:t>be assessed in comparison to a well</w:t>
      </w:r>
      <w:r w:rsidRPr="007E40FA">
        <w:rPr>
          <w:rFonts w:ascii="Times New Roman" w:hAnsi="Times New Roman"/>
          <w:sz w:val="24"/>
          <w:szCs w:val="24"/>
        </w:rPr>
        <w:t xml:space="preserve"> validated method</w:t>
      </w:r>
      <w:r w:rsidR="00622C27" w:rsidRPr="007E40FA">
        <w:rPr>
          <w:rFonts w:ascii="Times New Roman" w:hAnsi="Times New Roman"/>
          <w:sz w:val="24"/>
          <w:szCs w:val="24"/>
        </w:rPr>
        <w:t xml:space="preserve">, such as flow </w:t>
      </w:r>
      <w:proofErr w:type="spellStart"/>
      <w:r w:rsidR="00622C27" w:rsidRPr="007E40FA">
        <w:rPr>
          <w:rFonts w:ascii="Times New Roman" w:hAnsi="Times New Roman"/>
          <w:sz w:val="24"/>
          <w:szCs w:val="24"/>
        </w:rPr>
        <w:t>cytometry</w:t>
      </w:r>
      <w:proofErr w:type="spellEnd"/>
      <w:r w:rsidR="00622C27" w:rsidRPr="007E40FA">
        <w:rPr>
          <w:rFonts w:ascii="Times New Roman" w:hAnsi="Times New Roman"/>
          <w:sz w:val="24"/>
          <w:szCs w:val="24"/>
        </w:rPr>
        <w:t xml:space="preserve">, that will allow </w:t>
      </w:r>
      <w:r w:rsidR="005E5B56" w:rsidRPr="007E40FA">
        <w:rPr>
          <w:rFonts w:ascii="Times New Roman" w:hAnsi="Times New Roman"/>
          <w:sz w:val="24"/>
          <w:szCs w:val="24"/>
        </w:rPr>
        <w:t xml:space="preserve">determination of </w:t>
      </w:r>
      <w:r w:rsidR="00622C27" w:rsidRPr="007E40FA">
        <w:rPr>
          <w:rFonts w:ascii="Times New Roman" w:hAnsi="Times New Roman"/>
          <w:sz w:val="24"/>
          <w:szCs w:val="24"/>
        </w:rPr>
        <w:t xml:space="preserve">the expected detection level (i.e., the % of cells in </w:t>
      </w:r>
      <w:r w:rsidR="00EB225B" w:rsidRPr="007E40FA">
        <w:rPr>
          <w:rFonts w:ascii="Times New Roman" w:hAnsi="Times New Roman"/>
          <w:sz w:val="24"/>
          <w:szCs w:val="24"/>
        </w:rPr>
        <w:t xml:space="preserve">the </w:t>
      </w:r>
      <w:r w:rsidR="00622C27" w:rsidRPr="007E40FA">
        <w:rPr>
          <w:rFonts w:ascii="Times New Roman" w:hAnsi="Times New Roman"/>
          <w:sz w:val="24"/>
          <w:szCs w:val="24"/>
        </w:rPr>
        <w:t xml:space="preserve">cell population that express </w:t>
      </w:r>
      <w:r w:rsidR="00EB225B" w:rsidRPr="007E40FA">
        <w:rPr>
          <w:rFonts w:ascii="Times New Roman" w:hAnsi="Times New Roman"/>
          <w:sz w:val="24"/>
          <w:szCs w:val="24"/>
        </w:rPr>
        <w:t xml:space="preserve">the </w:t>
      </w:r>
      <w:r w:rsidR="00622C27" w:rsidRPr="007E40FA">
        <w:rPr>
          <w:rFonts w:ascii="Times New Roman" w:hAnsi="Times New Roman"/>
          <w:sz w:val="24"/>
          <w:szCs w:val="24"/>
        </w:rPr>
        <w:t>marker of interest) of the user-defined marker. Secondly, the assay must be assessed for its ability to detect the marker of interest in cell lines with various levels of expression (i.e., high and low</w:t>
      </w:r>
      <w:r w:rsidR="005E5B56" w:rsidRPr="007E40FA">
        <w:rPr>
          <w:rFonts w:ascii="Times New Roman" w:hAnsi="Times New Roman"/>
          <w:sz w:val="24"/>
          <w:szCs w:val="24"/>
        </w:rPr>
        <w:t xml:space="preserve"> antigen densities</w:t>
      </w:r>
      <w:r w:rsidR="00622C27" w:rsidRPr="007E40FA">
        <w:rPr>
          <w:rFonts w:ascii="Times New Roman" w:hAnsi="Times New Roman"/>
          <w:sz w:val="24"/>
          <w:szCs w:val="24"/>
        </w:rPr>
        <w:t xml:space="preserve">) and its specificity must be validated in a cell line that is negative for </w:t>
      </w:r>
      <w:r w:rsidR="005E5B56" w:rsidRPr="007E40FA">
        <w:rPr>
          <w:rFonts w:ascii="Times New Roman" w:hAnsi="Times New Roman"/>
          <w:sz w:val="24"/>
          <w:szCs w:val="24"/>
        </w:rPr>
        <w:t>the</w:t>
      </w:r>
      <w:r w:rsidR="00622C27" w:rsidRPr="007E40FA">
        <w:rPr>
          <w:rFonts w:ascii="Times New Roman" w:hAnsi="Times New Roman"/>
          <w:sz w:val="24"/>
          <w:szCs w:val="24"/>
        </w:rPr>
        <w:t xml:space="preserve"> marker of interest. In all cases, all cell lines must be tested using a cells only control (no antibody added), </w:t>
      </w:r>
      <w:r w:rsidR="00912048" w:rsidRPr="007E40FA">
        <w:rPr>
          <w:rFonts w:ascii="Times New Roman" w:hAnsi="Times New Roman"/>
          <w:sz w:val="24"/>
          <w:szCs w:val="24"/>
        </w:rPr>
        <w:t xml:space="preserve">the </w:t>
      </w:r>
      <w:r w:rsidR="00622C27" w:rsidRPr="007E40FA">
        <w:rPr>
          <w:rFonts w:ascii="Times New Roman" w:hAnsi="Times New Roman"/>
          <w:sz w:val="24"/>
          <w:szCs w:val="24"/>
        </w:rPr>
        <w:t xml:space="preserve">appropriate </w:t>
      </w:r>
      <w:proofErr w:type="spellStart"/>
      <w:r w:rsidR="00622C27" w:rsidRPr="007E40FA">
        <w:rPr>
          <w:rFonts w:ascii="Times New Roman" w:hAnsi="Times New Roman"/>
          <w:sz w:val="24"/>
          <w:szCs w:val="24"/>
        </w:rPr>
        <w:t>IgG</w:t>
      </w:r>
      <w:proofErr w:type="spellEnd"/>
      <w:r w:rsidR="00622C27" w:rsidRPr="007E40FA">
        <w:rPr>
          <w:rFonts w:ascii="Times New Roman" w:hAnsi="Times New Roman"/>
          <w:sz w:val="24"/>
          <w:szCs w:val="24"/>
        </w:rPr>
        <w:t xml:space="preserve"> control, and the antibody of interest at various concentrations and exposure times to determine the most appropriate settings that will ensure optimization of the user-defined marker.</w:t>
      </w:r>
      <w:r w:rsidR="00E06F00" w:rsidRPr="007E40FA">
        <w:rPr>
          <w:rFonts w:ascii="Times New Roman" w:hAnsi="Times New Roman"/>
          <w:sz w:val="24"/>
          <w:szCs w:val="24"/>
        </w:rPr>
        <w:t xml:space="preserve"> However, it should be noted that although characterization of CTCs is possible on the </w:t>
      </w:r>
      <w:r w:rsidR="004C0272" w:rsidRPr="007E40FA">
        <w:rPr>
          <w:rFonts w:ascii="Times New Roman" w:hAnsi="Times New Roman"/>
          <w:sz w:val="24"/>
          <w:szCs w:val="24"/>
        </w:rPr>
        <w:t>CSS</w:t>
      </w:r>
      <w:r w:rsidR="005E5B56" w:rsidRPr="007E40FA">
        <w:rPr>
          <w:rFonts w:ascii="Times New Roman" w:hAnsi="Times New Roman"/>
          <w:sz w:val="24"/>
          <w:szCs w:val="24"/>
        </w:rPr>
        <w:t>,</w:t>
      </w:r>
      <w:r w:rsidR="00E06F00" w:rsidRPr="007E40FA">
        <w:rPr>
          <w:rFonts w:ascii="Times New Roman" w:hAnsi="Times New Roman"/>
          <w:sz w:val="24"/>
          <w:szCs w:val="24"/>
        </w:rPr>
        <w:t xml:space="preserve"> currently only one user-defined marker of interest can be explored </w:t>
      </w:r>
      <w:r w:rsidR="0077734C" w:rsidRPr="007E40FA">
        <w:rPr>
          <w:rFonts w:ascii="Times New Roman" w:hAnsi="Times New Roman"/>
          <w:sz w:val="24"/>
          <w:szCs w:val="24"/>
        </w:rPr>
        <w:t>in each sample</w:t>
      </w:r>
      <w:r w:rsidR="003F3597" w:rsidRPr="007E40FA">
        <w:rPr>
          <w:rFonts w:ascii="Times New Roman" w:hAnsi="Times New Roman"/>
          <w:sz w:val="24"/>
          <w:szCs w:val="24"/>
        </w:rPr>
        <w:t>,</w:t>
      </w:r>
      <w:r w:rsidR="00E06F00" w:rsidRPr="007E40FA">
        <w:rPr>
          <w:rFonts w:ascii="Times New Roman" w:hAnsi="Times New Roman"/>
          <w:sz w:val="24"/>
          <w:szCs w:val="24"/>
        </w:rPr>
        <w:t xml:space="preserve"> and that </w:t>
      </w:r>
      <w:r w:rsidR="00425E34" w:rsidRPr="007E40FA">
        <w:rPr>
          <w:rFonts w:ascii="Times New Roman" w:hAnsi="Times New Roman"/>
          <w:sz w:val="24"/>
          <w:szCs w:val="24"/>
        </w:rPr>
        <w:t>the system is very</w:t>
      </w:r>
      <w:r w:rsidR="00E06F00" w:rsidRPr="007E40FA">
        <w:rPr>
          <w:rFonts w:ascii="Times New Roman" w:hAnsi="Times New Roman"/>
          <w:sz w:val="24"/>
          <w:szCs w:val="24"/>
        </w:rPr>
        <w:t xml:space="preserve"> limited with regards to downstream applications due to the harsh </w:t>
      </w:r>
      <w:r w:rsidR="00425E34" w:rsidRPr="007E40FA">
        <w:rPr>
          <w:rFonts w:ascii="Times New Roman" w:hAnsi="Times New Roman"/>
          <w:sz w:val="24"/>
          <w:szCs w:val="24"/>
        </w:rPr>
        <w:t>processing of</w:t>
      </w:r>
      <w:r w:rsidR="00E06F00" w:rsidRPr="007E40FA">
        <w:rPr>
          <w:rFonts w:ascii="Times New Roman" w:hAnsi="Times New Roman"/>
          <w:sz w:val="24"/>
          <w:szCs w:val="24"/>
        </w:rPr>
        <w:t xml:space="preserve"> the samples.</w:t>
      </w:r>
    </w:p>
    <w:p w:rsidR="00E06F00" w:rsidRPr="007E40FA" w:rsidRDefault="00E06F00" w:rsidP="001F0875">
      <w:pPr>
        <w:spacing w:after="0" w:line="240" w:lineRule="auto"/>
        <w:jc w:val="both"/>
        <w:rPr>
          <w:rFonts w:ascii="Times New Roman" w:hAnsi="Times New Roman"/>
          <w:sz w:val="24"/>
          <w:szCs w:val="24"/>
        </w:rPr>
      </w:pPr>
    </w:p>
    <w:p w:rsidR="00622C27" w:rsidRPr="007E40FA" w:rsidRDefault="00AE6B72" w:rsidP="001F0875">
      <w:pPr>
        <w:spacing w:line="240" w:lineRule="auto"/>
        <w:jc w:val="both"/>
        <w:rPr>
          <w:rFonts w:ascii="Times New Roman" w:hAnsi="Times New Roman"/>
          <w:sz w:val="24"/>
          <w:szCs w:val="24"/>
        </w:rPr>
      </w:pPr>
      <w:r w:rsidRPr="007E40FA">
        <w:rPr>
          <w:rFonts w:ascii="Times New Roman" w:hAnsi="Times New Roman"/>
          <w:sz w:val="24"/>
          <w:szCs w:val="24"/>
        </w:rPr>
        <w:t>The unique bedside-to-</w:t>
      </w:r>
      <w:proofErr w:type="spellStart"/>
      <w:r w:rsidRPr="007E40FA">
        <w:rPr>
          <w:rFonts w:ascii="Times New Roman" w:hAnsi="Times New Roman"/>
          <w:sz w:val="24"/>
          <w:szCs w:val="24"/>
        </w:rPr>
        <w:t>benchtop</w:t>
      </w:r>
      <w:proofErr w:type="spellEnd"/>
      <w:r w:rsidRPr="007E40FA">
        <w:rPr>
          <w:rFonts w:ascii="Times New Roman" w:hAnsi="Times New Roman"/>
          <w:sz w:val="24"/>
          <w:szCs w:val="24"/>
        </w:rPr>
        <w:t xml:space="preserve"> approach utilized in CTC research has allowed for quick entry of this useful assay into the clinical setting</w:t>
      </w:r>
      <w:r w:rsidR="003F3597" w:rsidRPr="007E40FA">
        <w:rPr>
          <w:rFonts w:ascii="Times New Roman" w:hAnsi="Times New Roman"/>
          <w:sz w:val="24"/>
          <w:szCs w:val="24"/>
        </w:rPr>
        <w:t>.</w:t>
      </w:r>
      <w:r w:rsidRPr="007E40FA">
        <w:rPr>
          <w:rFonts w:ascii="Times New Roman" w:hAnsi="Times New Roman"/>
          <w:sz w:val="24"/>
          <w:szCs w:val="24"/>
        </w:rPr>
        <w:t xml:space="preserve"> </w:t>
      </w:r>
      <w:r w:rsidR="003F3597" w:rsidRPr="007E40FA">
        <w:rPr>
          <w:rFonts w:ascii="Times New Roman" w:hAnsi="Times New Roman"/>
          <w:sz w:val="24"/>
          <w:szCs w:val="24"/>
        </w:rPr>
        <w:t>H</w:t>
      </w:r>
      <w:r w:rsidRPr="007E40FA">
        <w:rPr>
          <w:rFonts w:ascii="Times New Roman" w:hAnsi="Times New Roman"/>
          <w:sz w:val="24"/>
          <w:szCs w:val="24"/>
        </w:rPr>
        <w:t xml:space="preserve">owever, it has </w:t>
      </w:r>
      <w:r w:rsidR="005E5B56" w:rsidRPr="007E40FA">
        <w:rPr>
          <w:rFonts w:ascii="Times New Roman" w:hAnsi="Times New Roman"/>
          <w:sz w:val="24"/>
          <w:szCs w:val="24"/>
        </w:rPr>
        <w:t>resulted</w:t>
      </w:r>
      <w:r w:rsidR="00E825C4" w:rsidRPr="007E40FA">
        <w:rPr>
          <w:rFonts w:ascii="Times New Roman" w:hAnsi="Times New Roman"/>
          <w:sz w:val="24"/>
          <w:szCs w:val="24"/>
        </w:rPr>
        <w:t xml:space="preserve"> </w:t>
      </w:r>
      <w:r w:rsidR="005E5B56" w:rsidRPr="007E40FA">
        <w:rPr>
          <w:rFonts w:ascii="Times New Roman" w:hAnsi="Times New Roman"/>
          <w:sz w:val="24"/>
          <w:szCs w:val="24"/>
        </w:rPr>
        <w:t>in</w:t>
      </w:r>
      <w:r w:rsidR="00E825C4" w:rsidRPr="007E40FA">
        <w:rPr>
          <w:rFonts w:ascii="Times New Roman" w:hAnsi="Times New Roman"/>
          <w:sz w:val="24"/>
          <w:szCs w:val="24"/>
        </w:rPr>
        <w:t xml:space="preserve"> an inadequa</w:t>
      </w:r>
      <w:r w:rsidR="00EB225B" w:rsidRPr="007E40FA">
        <w:rPr>
          <w:rFonts w:ascii="Times New Roman" w:hAnsi="Times New Roman"/>
          <w:sz w:val="24"/>
          <w:szCs w:val="24"/>
        </w:rPr>
        <w:t>te</w:t>
      </w:r>
      <w:r w:rsidR="00E825C4" w:rsidRPr="007E40FA">
        <w:rPr>
          <w:rFonts w:ascii="Times New Roman" w:hAnsi="Times New Roman"/>
          <w:sz w:val="24"/>
          <w:szCs w:val="24"/>
        </w:rPr>
        <w:t xml:space="preserve"> </w:t>
      </w:r>
      <w:r w:rsidRPr="007E40FA">
        <w:rPr>
          <w:rFonts w:ascii="Times New Roman" w:hAnsi="Times New Roman"/>
          <w:sz w:val="24"/>
          <w:szCs w:val="24"/>
        </w:rPr>
        <w:t xml:space="preserve">understanding of the basic biology of these rare cells. Therefore </w:t>
      </w:r>
      <w:r w:rsidR="00E825C4" w:rsidRPr="007E40FA">
        <w:rPr>
          <w:rFonts w:ascii="Times New Roman" w:hAnsi="Times New Roman"/>
          <w:sz w:val="24"/>
          <w:szCs w:val="24"/>
        </w:rPr>
        <w:t xml:space="preserve">the development and optimization of assays that allow for assessment of CTCs in </w:t>
      </w:r>
      <w:r w:rsidR="005E5B56" w:rsidRPr="007E40FA">
        <w:rPr>
          <w:rFonts w:ascii="Times New Roman" w:hAnsi="Times New Roman"/>
          <w:sz w:val="24"/>
          <w:szCs w:val="24"/>
        </w:rPr>
        <w:t xml:space="preserve">pre-clinical </w:t>
      </w:r>
      <w:r w:rsidR="00E825C4" w:rsidRPr="007E40FA">
        <w:rPr>
          <w:rFonts w:ascii="Times New Roman" w:hAnsi="Times New Roman"/>
          <w:i/>
          <w:sz w:val="24"/>
          <w:szCs w:val="24"/>
        </w:rPr>
        <w:t>in vivo</w:t>
      </w:r>
      <w:r w:rsidR="00E825C4" w:rsidRPr="007E40FA">
        <w:rPr>
          <w:rFonts w:ascii="Times New Roman" w:hAnsi="Times New Roman"/>
          <w:sz w:val="24"/>
          <w:szCs w:val="24"/>
        </w:rPr>
        <w:t xml:space="preserve"> mouse models of cancer are needed. </w:t>
      </w:r>
      <w:r w:rsidR="005E5B56" w:rsidRPr="007E40FA">
        <w:rPr>
          <w:rFonts w:ascii="Times New Roman" w:hAnsi="Times New Roman"/>
          <w:sz w:val="24"/>
          <w:szCs w:val="24"/>
        </w:rPr>
        <w:t>This manuscript describes</w:t>
      </w:r>
      <w:r w:rsidR="00E825C4" w:rsidRPr="007E40FA">
        <w:rPr>
          <w:rFonts w:ascii="Times New Roman" w:hAnsi="Times New Roman"/>
          <w:sz w:val="24"/>
          <w:szCs w:val="24"/>
        </w:rPr>
        <w:t xml:space="preserve"> an adapted </w:t>
      </w:r>
      <w:r w:rsidR="004C0272" w:rsidRPr="007E40FA">
        <w:rPr>
          <w:rFonts w:ascii="Times New Roman" w:hAnsi="Times New Roman"/>
          <w:sz w:val="24"/>
          <w:szCs w:val="24"/>
        </w:rPr>
        <w:t>CSS</w:t>
      </w:r>
      <w:r w:rsidR="00E825C4" w:rsidRPr="007E40FA">
        <w:rPr>
          <w:rFonts w:ascii="Times New Roman" w:hAnsi="Times New Roman"/>
          <w:sz w:val="24"/>
          <w:szCs w:val="24"/>
        </w:rPr>
        <w:t xml:space="preserve"> protocol that allows for CTCs to be assessed in 50µl volumes of mouse blood, ideally suited for serial CTC collection </w:t>
      </w:r>
      <w:r w:rsidR="00E54D85" w:rsidRPr="007E40FA">
        <w:rPr>
          <w:rFonts w:ascii="Times New Roman" w:hAnsi="Times New Roman"/>
          <w:sz w:val="24"/>
          <w:szCs w:val="24"/>
        </w:rPr>
        <w:t>e</w:t>
      </w:r>
      <w:r w:rsidR="00E825C4" w:rsidRPr="007E40FA">
        <w:rPr>
          <w:rFonts w:ascii="Times New Roman" w:hAnsi="Times New Roman"/>
          <w:sz w:val="24"/>
          <w:szCs w:val="24"/>
        </w:rPr>
        <w:t xml:space="preserve">xperimentation. </w:t>
      </w:r>
      <w:r w:rsidR="00EB225B" w:rsidRPr="007E40FA">
        <w:rPr>
          <w:rFonts w:ascii="Times New Roman" w:hAnsi="Times New Roman"/>
          <w:sz w:val="24"/>
          <w:szCs w:val="24"/>
        </w:rPr>
        <w:t xml:space="preserve">This manuscript </w:t>
      </w:r>
      <w:r w:rsidR="00E825C4" w:rsidRPr="007E40FA">
        <w:rPr>
          <w:rFonts w:ascii="Times New Roman" w:hAnsi="Times New Roman"/>
          <w:sz w:val="24"/>
          <w:szCs w:val="24"/>
        </w:rPr>
        <w:t>demonstrat</w:t>
      </w:r>
      <w:r w:rsidR="00EB225B" w:rsidRPr="007E40FA">
        <w:rPr>
          <w:rFonts w:ascii="Times New Roman" w:hAnsi="Times New Roman"/>
          <w:sz w:val="24"/>
          <w:szCs w:val="24"/>
        </w:rPr>
        <w:t>es</w:t>
      </w:r>
      <w:r w:rsidR="00E825C4" w:rsidRPr="007E40FA">
        <w:rPr>
          <w:rFonts w:ascii="Times New Roman" w:hAnsi="Times New Roman"/>
          <w:sz w:val="24"/>
          <w:szCs w:val="24"/>
        </w:rPr>
        <w:t xml:space="preserve"> that CTC enumeration using </w:t>
      </w:r>
      <w:r w:rsidR="005E5B56" w:rsidRPr="007E40FA">
        <w:rPr>
          <w:rFonts w:ascii="Times New Roman" w:hAnsi="Times New Roman"/>
          <w:sz w:val="24"/>
          <w:szCs w:val="24"/>
        </w:rPr>
        <w:t xml:space="preserve">this protocol is </w:t>
      </w:r>
      <w:r w:rsidR="00E825C4" w:rsidRPr="007E40FA">
        <w:rPr>
          <w:rFonts w:ascii="Times New Roman" w:hAnsi="Times New Roman"/>
          <w:sz w:val="24"/>
          <w:szCs w:val="24"/>
        </w:rPr>
        <w:t xml:space="preserve"> </w:t>
      </w:r>
      <w:r w:rsidR="00E825C4" w:rsidRPr="007E40FA">
        <w:rPr>
          <w:rFonts w:ascii="Times New Roman" w:hAnsi="Times New Roman"/>
          <w:sz w:val="24"/>
          <w:szCs w:val="24"/>
        </w:rPr>
        <w:lastRenderedPageBreak/>
        <w:t xml:space="preserve">comparable to results obtained using the </w:t>
      </w:r>
      <w:r w:rsidR="00EB225B" w:rsidRPr="007E40FA">
        <w:rPr>
          <w:rFonts w:ascii="Times New Roman" w:hAnsi="Times New Roman"/>
          <w:sz w:val="24"/>
          <w:szCs w:val="24"/>
        </w:rPr>
        <w:t>CSS in combination with the traditional CTC</w:t>
      </w:r>
      <w:r w:rsidR="00E825C4" w:rsidRPr="007E40FA">
        <w:rPr>
          <w:rFonts w:ascii="Times New Roman" w:hAnsi="Times New Roman"/>
          <w:sz w:val="24"/>
          <w:szCs w:val="24"/>
        </w:rPr>
        <w:t xml:space="preserve"> kit, with no significant differences in CTC capture efficiency between the automa</w:t>
      </w:r>
      <w:r w:rsidR="005E5B56" w:rsidRPr="007E40FA">
        <w:rPr>
          <w:rFonts w:ascii="Times New Roman" w:hAnsi="Times New Roman"/>
          <w:sz w:val="24"/>
          <w:szCs w:val="24"/>
        </w:rPr>
        <w:t>ted and manual separation technique</w:t>
      </w:r>
      <w:r w:rsidR="00E825C4" w:rsidRPr="007E40FA">
        <w:rPr>
          <w:rFonts w:ascii="Times New Roman" w:hAnsi="Times New Roman"/>
          <w:sz w:val="24"/>
          <w:szCs w:val="24"/>
        </w:rPr>
        <w:t xml:space="preserve">s. In addition, during </w:t>
      </w:r>
      <w:r w:rsidR="00EB225B" w:rsidRPr="007E40FA">
        <w:rPr>
          <w:rFonts w:ascii="Times New Roman" w:hAnsi="Times New Roman"/>
          <w:sz w:val="24"/>
          <w:szCs w:val="24"/>
        </w:rPr>
        <w:t xml:space="preserve">the </w:t>
      </w:r>
      <w:r w:rsidR="00E825C4" w:rsidRPr="007E40FA">
        <w:rPr>
          <w:rFonts w:ascii="Times New Roman" w:hAnsi="Times New Roman"/>
          <w:sz w:val="24"/>
          <w:szCs w:val="24"/>
        </w:rPr>
        <w:t xml:space="preserve">development of this assay </w:t>
      </w:r>
      <w:r w:rsidR="00EB225B" w:rsidRPr="007E40FA">
        <w:rPr>
          <w:rFonts w:ascii="Times New Roman" w:hAnsi="Times New Roman"/>
          <w:sz w:val="24"/>
          <w:szCs w:val="24"/>
        </w:rPr>
        <w:t xml:space="preserve">it was </w:t>
      </w:r>
      <w:r w:rsidR="00E825C4" w:rsidRPr="007E40FA">
        <w:rPr>
          <w:rFonts w:ascii="Times New Roman" w:hAnsi="Times New Roman"/>
          <w:sz w:val="24"/>
          <w:szCs w:val="24"/>
        </w:rPr>
        <w:t>recognize</w:t>
      </w:r>
      <w:r w:rsidR="00EB225B" w:rsidRPr="007E40FA">
        <w:rPr>
          <w:rFonts w:ascii="Times New Roman" w:hAnsi="Times New Roman"/>
          <w:sz w:val="24"/>
          <w:szCs w:val="24"/>
        </w:rPr>
        <w:t>d</w:t>
      </w:r>
      <w:r w:rsidR="00E825C4" w:rsidRPr="007E40FA">
        <w:rPr>
          <w:rFonts w:ascii="Times New Roman" w:hAnsi="Times New Roman"/>
          <w:sz w:val="24"/>
          <w:szCs w:val="24"/>
        </w:rPr>
        <w:t>, as previously described in the literature</w:t>
      </w:r>
      <w:r w:rsidR="0036708D" w:rsidRPr="007E40FA">
        <w:rPr>
          <w:rFonts w:ascii="Times New Roman" w:hAnsi="Times New Roman"/>
          <w:sz w:val="24"/>
          <w:szCs w:val="24"/>
        </w:rPr>
        <w:fldChar w:fldCharType="begin" w:fldLock="1"/>
      </w:r>
      <w:r w:rsidR="007F0560" w:rsidRPr="007E40FA">
        <w:rPr>
          <w:rFonts w:ascii="Times New Roman" w:hAnsi="Times New Roman"/>
          <w:sz w:val="24"/>
          <w:szCs w:val="24"/>
        </w:rPr>
        <w:instrText>ADDIN CSL_CITATION { "citationItems" : [ { "id" : "ITEM-1", "itemData" : { "DOI" : "10.1158/0008-5472.CAN-08-0630", "ISSN" : "1538-7445", "PMID" : "18632603", "abstract" : "Circulating tumor cells (CTC) are emerging as a powerful prognostic and predictive biomarker in several types of cancer, including breast, colon, and prostate. Studies of CTC in metastasis and further development of CTC as a biomarker in cancer have been limited by the inability to repetitively monitor CTC in mouse models of cancer. We have validated a method to enumerate CTC in blood samples obtained from living mice using a modified version of an in vitro diagnostic system for quantifying CTC in patients. Different routes of blood collection were tested to identify a method to reproducibly recover CTC from tumor-bearing mice without interference from contaminating normal murine epithelial cells. CTC are present in blood samples from mice bearing orthotopic xenografts of several different breast cancer cell lines and primary breast cancer cells from patient biopsies. We also show that this technology can be used for serial monitoring of CTC in mouse xenograft models of human breast cancer. These results establish a new method for studying CTC in mouse models of epithelial cancer, providing the foundation for studies of molecular regulation of CTC in cancer and CTC as biomarker for therapeutic efficacy.", "author" : [ { "dropping-particle" : "", "family" : "Eliane", "given" : "Jean-Pierre", "non-dropping-particle" : "", "parse-names" : false, "suffix" : "" }, { "dropping-particle" : "", "family" : "Repollet", "given" : "Madeline", "non-dropping-particle" : "", "parse-names" : false, "suffix" : "" }, { "dropping-particle" : "", "family" : "Luker", "given" : "Kathryn E", "non-dropping-particle" : "", "parse-names" : false, "suffix" : "" }, { "dropping-particle" : "", "family" : "Brown", "given" : "Martha", "non-dropping-particle" : "", "parse-names" : false, "suffix" : "" }, { "dropping-particle" : "", "family" : "Rae", "given" : "James M", "non-dropping-particle" : "", "parse-names" : false, "suffix" : "" }, { "dropping-particle" : "", "family" : "Dontu", "given" : "Gabriela", "non-dropping-particle" : "", "parse-names" : false, "suffix" : "" }, { "dropping-particle" : "", "family" : "Schott", "given" : "Anne F", "non-dropping-particle" : "", "parse-names" : false, "suffix" : "" }, { "dropping-particle" : "", "family" : "Wicha", "given" : "Max", "non-dropping-particle" : "", "parse-names" : false, "suffix" : "" }, { "dropping-particle" : "V", "family" : "Doyle", "given" : "Gerald", "non-dropping-particle" : "", "parse-names" : false, "suffix" : "" }, { "dropping-particle" : "", "family" : "Hayes", "given" : "Daniel F", "non-dropping-particle" : "", "parse-names" : false, "suffix" : "" }, { "dropping-particle" : "", "family" : "Luker", "given" : "Gary D", "non-dropping-particle" : "", "parse-names" : false, "suffix" : "" } ], "container-title" : "Cancer research", "id" : "ITEM-1", "issue" : "14", "issued" : { "date-parts" : [ [ "2008", "7", "15" ] ] }, "page" : "5529-32", "title" : "Monitoring serial changes in circulating human breast cancer cells in murine xenograft models.", "type" : "article-journal", "volume" : "68" }, "uris" : [ "http://www.mendeley.com/documents/?uuid=15fedbed-25a3-4774-880f-49dcf911f9e3" ] } ], "mendeley" : { "previouslyFormattedCitation" : "&lt;sup&gt;25&lt;/sup&gt;" }, "properties" : { "noteIndex" : 0 }, "schema" : "https://github.com/citation-style-language/schema/raw/master/csl-citation.json" }</w:instrText>
      </w:r>
      <w:r w:rsidR="0036708D" w:rsidRPr="007E40FA">
        <w:rPr>
          <w:rFonts w:ascii="Times New Roman" w:hAnsi="Times New Roman"/>
          <w:sz w:val="24"/>
          <w:szCs w:val="24"/>
        </w:rPr>
        <w:fldChar w:fldCharType="separate"/>
      </w:r>
      <w:r w:rsidR="007F0560" w:rsidRPr="007E40FA">
        <w:rPr>
          <w:rFonts w:ascii="Times New Roman" w:hAnsi="Times New Roman"/>
          <w:noProof/>
          <w:sz w:val="24"/>
          <w:szCs w:val="24"/>
          <w:vertAlign w:val="superscript"/>
        </w:rPr>
        <w:t>25</w:t>
      </w:r>
      <w:r w:rsidR="0036708D" w:rsidRPr="007E40FA">
        <w:rPr>
          <w:rFonts w:ascii="Times New Roman" w:hAnsi="Times New Roman"/>
          <w:sz w:val="24"/>
          <w:szCs w:val="24"/>
        </w:rPr>
        <w:fldChar w:fldCharType="end"/>
      </w:r>
      <w:r w:rsidR="00E825C4" w:rsidRPr="007E40FA">
        <w:rPr>
          <w:rFonts w:ascii="Times New Roman" w:hAnsi="Times New Roman"/>
          <w:sz w:val="24"/>
          <w:szCs w:val="24"/>
        </w:rPr>
        <w:t xml:space="preserve">, that mouse </w:t>
      </w:r>
      <w:r w:rsidR="00803880" w:rsidRPr="007E40FA">
        <w:rPr>
          <w:rFonts w:ascii="Times New Roman" w:hAnsi="Times New Roman"/>
          <w:sz w:val="24"/>
          <w:szCs w:val="24"/>
        </w:rPr>
        <w:t xml:space="preserve">squamous </w:t>
      </w:r>
      <w:r w:rsidR="00E825C4" w:rsidRPr="007E40FA">
        <w:rPr>
          <w:rFonts w:ascii="Times New Roman" w:hAnsi="Times New Roman"/>
          <w:sz w:val="24"/>
          <w:szCs w:val="24"/>
        </w:rPr>
        <w:t>epithelial cell contamination can make accurate identification of CTCs more difficult and sometimes impossible. Therefore to combat this issue a user-defined HLA-A</w:t>
      </w:r>
      <w:r w:rsidR="003F3597" w:rsidRPr="007E40FA">
        <w:rPr>
          <w:rFonts w:ascii="Times New Roman" w:hAnsi="Times New Roman"/>
          <w:sz w:val="24"/>
          <w:szCs w:val="24"/>
        </w:rPr>
        <w:t>lexa</w:t>
      </w:r>
      <w:r w:rsidR="00E825C4" w:rsidRPr="007E40FA">
        <w:rPr>
          <w:rFonts w:ascii="Times New Roman" w:hAnsi="Times New Roman"/>
          <w:sz w:val="24"/>
          <w:szCs w:val="24"/>
        </w:rPr>
        <w:t>F</w:t>
      </w:r>
      <w:r w:rsidR="003F3597" w:rsidRPr="007E40FA">
        <w:rPr>
          <w:rFonts w:ascii="Times New Roman" w:hAnsi="Times New Roman"/>
          <w:sz w:val="24"/>
          <w:szCs w:val="24"/>
        </w:rPr>
        <w:t>luor</w:t>
      </w:r>
      <w:r w:rsidR="00E825C4" w:rsidRPr="007E40FA">
        <w:rPr>
          <w:rFonts w:ascii="Times New Roman" w:hAnsi="Times New Roman"/>
          <w:sz w:val="24"/>
          <w:szCs w:val="24"/>
        </w:rPr>
        <w:t xml:space="preserve">488 </w:t>
      </w:r>
      <w:r w:rsidR="00EB225B" w:rsidRPr="007E40FA">
        <w:rPr>
          <w:rFonts w:ascii="Times New Roman" w:hAnsi="Times New Roman"/>
          <w:sz w:val="24"/>
          <w:szCs w:val="24"/>
        </w:rPr>
        <w:t xml:space="preserve">was added to this </w:t>
      </w:r>
      <w:r w:rsidR="0077734C" w:rsidRPr="007E40FA">
        <w:rPr>
          <w:rFonts w:ascii="Times New Roman" w:hAnsi="Times New Roman"/>
          <w:sz w:val="24"/>
          <w:szCs w:val="24"/>
        </w:rPr>
        <w:t xml:space="preserve">protocol to ensure that </w:t>
      </w:r>
      <w:r w:rsidR="00E54D85" w:rsidRPr="007E40FA">
        <w:rPr>
          <w:rFonts w:ascii="Times New Roman" w:hAnsi="Times New Roman"/>
          <w:sz w:val="24"/>
          <w:szCs w:val="24"/>
        </w:rPr>
        <w:t>only human cells (CK+DAPI+CD45-HLA-A</w:t>
      </w:r>
      <w:r w:rsidR="003F3597" w:rsidRPr="007E40FA">
        <w:rPr>
          <w:rFonts w:ascii="Times New Roman" w:hAnsi="Times New Roman"/>
          <w:sz w:val="24"/>
          <w:szCs w:val="24"/>
        </w:rPr>
        <w:t>lexaFluor</w:t>
      </w:r>
      <w:r w:rsidR="00E54D85" w:rsidRPr="007E40FA">
        <w:rPr>
          <w:rFonts w:ascii="Times New Roman" w:hAnsi="Times New Roman"/>
          <w:sz w:val="24"/>
          <w:szCs w:val="24"/>
        </w:rPr>
        <w:t xml:space="preserve">488+) are being appropriately assigned as CTCs. </w:t>
      </w:r>
      <w:r w:rsidR="000A2CF0" w:rsidRPr="007E40FA">
        <w:rPr>
          <w:rFonts w:ascii="Times New Roman" w:hAnsi="Times New Roman"/>
          <w:sz w:val="24"/>
          <w:szCs w:val="24"/>
        </w:rPr>
        <w:t xml:space="preserve">It is important to note that the </w:t>
      </w:r>
      <w:proofErr w:type="spellStart"/>
      <w:r w:rsidR="000A2CF0" w:rsidRPr="007E40FA">
        <w:rPr>
          <w:rFonts w:ascii="Times New Roman" w:hAnsi="Times New Roman"/>
          <w:sz w:val="24"/>
          <w:szCs w:val="24"/>
        </w:rPr>
        <w:t>LNCaP</w:t>
      </w:r>
      <w:proofErr w:type="spellEnd"/>
      <w:r w:rsidR="000A2CF0" w:rsidRPr="007E40FA">
        <w:rPr>
          <w:rFonts w:ascii="Times New Roman" w:hAnsi="Times New Roman"/>
          <w:sz w:val="24"/>
          <w:szCs w:val="24"/>
        </w:rPr>
        <w:t xml:space="preserve"> cell line used in this manuscript is </w:t>
      </w:r>
      <w:proofErr w:type="spellStart"/>
      <w:r w:rsidR="000A2CF0" w:rsidRPr="007E40FA">
        <w:rPr>
          <w:rFonts w:ascii="Times New Roman" w:hAnsi="Times New Roman"/>
          <w:sz w:val="24"/>
          <w:szCs w:val="24"/>
        </w:rPr>
        <w:t>HLA</w:t>
      </w:r>
      <w:r w:rsidR="000A2CF0" w:rsidRPr="007E40FA">
        <w:rPr>
          <w:rFonts w:ascii="Times New Roman" w:hAnsi="Times New Roman"/>
          <w:sz w:val="24"/>
          <w:szCs w:val="24"/>
          <w:vertAlign w:val="superscript"/>
        </w:rPr>
        <w:t>low</w:t>
      </w:r>
      <w:proofErr w:type="spellEnd"/>
      <w:r w:rsidR="000A2CF0" w:rsidRPr="007E40FA">
        <w:rPr>
          <w:rFonts w:ascii="Times New Roman" w:hAnsi="Times New Roman"/>
          <w:sz w:val="24"/>
          <w:szCs w:val="24"/>
        </w:rPr>
        <w:t xml:space="preserve"> and therefore HLA-AlexaFluor488 may need to be titrated for cell lines with varying HLA expression. </w:t>
      </w:r>
      <w:r w:rsidR="0097171E" w:rsidRPr="007E40FA">
        <w:rPr>
          <w:rFonts w:ascii="Times New Roman" w:hAnsi="Times New Roman"/>
          <w:sz w:val="24"/>
          <w:szCs w:val="24"/>
        </w:rPr>
        <w:t>Although we have added an HLA-</w:t>
      </w:r>
      <w:proofErr w:type="spellStart"/>
      <w:r w:rsidR="0097171E" w:rsidRPr="007E40FA">
        <w:rPr>
          <w:rFonts w:ascii="Times New Roman" w:hAnsi="Times New Roman"/>
          <w:sz w:val="24"/>
          <w:szCs w:val="24"/>
        </w:rPr>
        <w:t>AlexaFluor</w:t>
      </w:r>
      <w:proofErr w:type="spellEnd"/>
      <w:r w:rsidR="0097171E" w:rsidRPr="007E40FA">
        <w:rPr>
          <w:rFonts w:ascii="Times New Roman" w:hAnsi="Times New Roman"/>
          <w:sz w:val="24"/>
          <w:szCs w:val="24"/>
        </w:rPr>
        <w:t xml:space="preserve"> 488 to our protocol to ensure accurate identification of CTCs</w:t>
      </w:r>
      <w:r w:rsidR="00EF5077" w:rsidRPr="007E40FA">
        <w:rPr>
          <w:rFonts w:ascii="Times New Roman" w:hAnsi="Times New Roman"/>
          <w:sz w:val="24"/>
          <w:szCs w:val="24"/>
        </w:rPr>
        <w:t>,</w:t>
      </w:r>
      <w:r w:rsidR="0097171E" w:rsidRPr="007E40FA">
        <w:rPr>
          <w:rFonts w:ascii="Times New Roman" w:hAnsi="Times New Roman"/>
          <w:sz w:val="24"/>
          <w:szCs w:val="24"/>
        </w:rPr>
        <w:t xml:space="preserve"> it is noteworthy that the vast majority of mouse squamous </w:t>
      </w:r>
      <w:r w:rsidR="00803880" w:rsidRPr="007E40FA">
        <w:rPr>
          <w:rFonts w:ascii="Times New Roman" w:hAnsi="Times New Roman"/>
          <w:sz w:val="24"/>
          <w:szCs w:val="24"/>
        </w:rPr>
        <w:t xml:space="preserve">epithelial </w:t>
      </w:r>
      <w:r w:rsidR="0097171E" w:rsidRPr="007E40FA">
        <w:rPr>
          <w:rFonts w:ascii="Times New Roman" w:hAnsi="Times New Roman"/>
          <w:sz w:val="24"/>
          <w:szCs w:val="24"/>
        </w:rPr>
        <w:t>cells were easily identifiable by morphology and were limited in cell number</w:t>
      </w:r>
      <w:r w:rsidR="00B8186E" w:rsidRPr="007E40FA">
        <w:rPr>
          <w:rFonts w:ascii="Times New Roman" w:hAnsi="Times New Roman"/>
          <w:sz w:val="24"/>
          <w:szCs w:val="24"/>
        </w:rPr>
        <w:t xml:space="preserve"> </w:t>
      </w:r>
      <w:r w:rsidR="0036708D" w:rsidRPr="007E40FA">
        <w:rPr>
          <w:rFonts w:ascii="Times New Roman" w:hAnsi="Times New Roman"/>
          <w:sz w:val="24"/>
          <w:szCs w:val="24"/>
        </w:rPr>
        <w:t>(0.33±0.24 events/50µl; n=9)</w:t>
      </w:r>
      <w:r w:rsidR="0097171E" w:rsidRPr="007E40FA">
        <w:rPr>
          <w:rFonts w:ascii="Times New Roman" w:hAnsi="Times New Roman"/>
          <w:sz w:val="24"/>
          <w:szCs w:val="24"/>
        </w:rPr>
        <w:t>. Higher cell number</w:t>
      </w:r>
      <w:r w:rsidR="000A2CF0" w:rsidRPr="007E40FA">
        <w:rPr>
          <w:rFonts w:ascii="Times New Roman" w:hAnsi="Times New Roman"/>
          <w:sz w:val="24"/>
          <w:szCs w:val="24"/>
        </w:rPr>
        <w:t>s</w:t>
      </w:r>
      <w:r w:rsidR="0097171E" w:rsidRPr="007E40FA">
        <w:rPr>
          <w:rFonts w:ascii="Times New Roman" w:hAnsi="Times New Roman"/>
          <w:sz w:val="24"/>
          <w:szCs w:val="24"/>
        </w:rPr>
        <w:t xml:space="preserve"> </w:t>
      </w:r>
      <w:proofErr w:type="gramStart"/>
      <w:r w:rsidR="00B8186E" w:rsidRPr="007E40FA">
        <w:rPr>
          <w:rFonts w:ascii="Times New Roman" w:hAnsi="Times New Roman"/>
          <w:sz w:val="24"/>
          <w:szCs w:val="24"/>
        </w:rPr>
        <w:t>(up to 11 events/50µl)</w:t>
      </w:r>
      <w:proofErr w:type="gramEnd"/>
      <w:r w:rsidR="00B8186E" w:rsidRPr="007E40FA">
        <w:rPr>
          <w:rFonts w:ascii="Times New Roman" w:hAnsi="Times New Roman"/>
          <w:sz w:val="24"/>
          <w:szCs w:val="24"/>
        </w:rPr>
        <w:t xml:space="preserve"> </w:t>
      </w:r>
      <w:r w:rsidR="0097171E" w:rsidRPr="007E40FA">
        <w:rPr>
          <w:rFonts w:ascii="Times New Roman" w:hAnsi="Times New Roman"/>
          <w:sz w:val="24"/>
          <w:szCs w:val="24"/>
        </w:rPr>
        <w:t>were only observed when blood collection</w:t>
      </w:r>
      <w:r w:rsidR="00EF5077" w:rsidRPr="007E40FA">
        <w:rPr>
          <w:rFonts w:ascii="Times New Roman" w:hAnsi="Times New Roman"/>
          <w:sz w:val="24"/>
          <w:szCs w:val="24"/>
        </w:rPr>
        <w:t xml:space="preserve"> (</w:t>
      </w:r>
      <w:r w:rsidR="0097171E" w:rsidRPr="007E40FA">
        <w:rPr>
          <w:rFonts w:ascii="Times New Roman" w:hAnsi="Times New Roman"/>
          <w:sz w:val="24"/>
          <w:szCs w:val="24"/>
        </w:rPr>
        <w:t>via cardiac puncture</w:t>
      </w:r>
      <w:r w:rsidR="00EF5077" w:rsidRPr="007E40FA">
        <w:rPr>
          <w:rFonts w:ascii="Times New Roman" w:hAnsi="Times New Roman"/>
          <w:sz w:val="24"/>
          <w:szCs w:val="24"/>
        </w:rPr>
        <w:t>)</w:t>
      </w:r>
      <w:r w:rsidR="0097171E" w:rsidRPr="007E40FA">
        <w:rPr>
          <w:rFonts w:ascii="Times New Roman" w:hAnsi="Times New Roman"/>
          <w:sz w:val="24"/>
          <w:szCs w:val="24"/>
        </w:rPr>
        <w:t xml:space="preserve"> </w:t>
      </w:r>
      <w:r w:rsidR="000A2CF0" w:rsidRPr="007E40FA">
        <w:rPr>
          <w:rFonts w:ascii="Times New Roman" w:hAnsi="Times New Roman"/>
          <w:sz w:val="24"/>
          <w:szCs w:val="24"/>
        </w:rPr>
        <w:t xml:space="preserve">proved difficult and repeated attempts were necessary. </w:t>
      </w:r>
      <w:r w:rsidR="0097171E" w:rsidRPr="007E40FA">
        <w:rPr>
          <w:rFonts w:ascii="Times New Roman" w:hAnsi="Times New Roman"/>
          <w:sz w:val="24"/>
          <w:szCs w:val="24"/>
        </w:rPr>
        <w:t xml:space="preserve">Therefore we propose that if desired, on-system characterization </w:t>
      </w:r>
      <w:r w:rsidR="000A2CF0" w:rsidRPr="007E40FA">
        <w:rPr>
          <w:rFonts w:ascii="Times New Roman" w:hAnsi="Times New Roman"/>
          <w:sz w:val="24"/>
          <w:szCs w:val="24"/>
        </w:rPr>
        <w:t xml:space="preserve">of CTCs </w:t>
      </w:r>
      <w:r w:rsidR="0097171E" w:rsidRPr="007E40FA">
        <w:rPr>
          <w:rFonts w:ascii="Times New Roman" w:hAnsi="Times New Roman"/>
          <w:sz w:val="24"/>
          <w:szCs w:val="24"/>
        </w:rPr>
        <w:t>could be accomplished by omitting this marker.</w:t>
      </w:r>
      <w:r w:rsidR="000A2CF0" w:rsidRPr="007E40FA">
        <w:rPr>
          <w:rFonts w:ascii="Times New Roman" w:hAnsi="Times New Roman"/>
          <w:sz w:val="24"/>
          <w:szCs w:val="24"/>
        </w:rPr>
        <w:t xml:space="preserve"> In addition, although not described here, we anticipate that </w:t>
      </w:r>
      <w:r w:rsidR="00EF5077" w:rsidRPr="007E40FA">
        <w:rPr>
          <w:rFonts w:ascii="Times New Roman" w:hAnsi="Times New Roman"/>
          <w:sz w:val="24"/>
          <w:szCs w:val="24"/>
        </w:rPr>
        <w:t xml:space="preserve">collection of and further </w:t>
      </w:r>
      <w:r w:rsidR="000A2CF0" w:rsidRPr="007E40FA">
        <w:rPr>
          <w:rFonts w:ascii="Times New Roman" w:hAnsi="Times New Roman"/>
          <w:sz w:val="24"/>
          <w:szCs w:val="24"/>
        </w:rPr>
        <w:t>downstream characterization</w:t>
      </w:r>
      <w:r w:rsidR="00B8186E" w:rsidRPr="007E40FA">
        <w:rPr>
          <w:rFonts w:ascii="Times New Roman" w:hAnsi="Times New Roman"/>
          <w:sz w:val="24"/>
          <w:szCs w:val="24"/>
        </w:rPr>
        <w:t xml:space="preserve"> of CTCs</w:t>
      </w:r>
      <w:r w:rsidR="000A2CF0" w:rsidRPr="007E40FA">
        <w:rPr>
          <w:rFonts w:ascii="Times New Roman" w:hAnsi="Times New Roman"/>
          <w:sz w:val="24"/>
          <w:szCs w:val="24"/>
        </w:rPr>
        <w:t xml:space="preserve"> </w:t>
      </w:r>
      <w:r w:rsidR="00EF5077" w:rsidRPr="007E40FA">
        <w:rPr>
          <w:rFonts w:ascii="Times New Roman" w:hAnsi="Times New Roman"/>
          <w:sz w:val="24"/>
          <w:szCs w:val="24"/>
        </w:rPr>
        <w:t xml:space="preserve">using other methods </w:t>
      </w:r>
      <w:r w:rsidR="000A2CF0" w:rsidRPr="007E40FA">
        <w:rPr>
          <w:rFonts w:ascii="Times New Roman" w:hAnsi="Times New Roman"/>
          <w:sz w:val="24"/>
          <w:szCs w:val="24"/>
        </w:rPr>
        <w:t>could be easily achieved as demonstrated previously</w:t>
      </w:r>
      <w:r w:rsidR="00B8186E" w:rsidRPr="007E40FA">
        <w:rPr>
          <w:rFonts w:ascii="Times New Roman" w:hAnsi="Times New Roman"/>
          <w:sz w:val="24"/>
          <w:szCs w:val="24"/>
        </w:rPr>
        <w:t xml:space="preserve"> using the CSS</w:t>
      </w:r>
      <w:r w:rsidR="0036708D" w:rsidRPr="007E40FA">
        <w:rPr>
          <w:rFonts w:ascii="Times New Roman" w:hAnsi="Times New Roman"/>
          <w:sz w:val="24"/>
          <w:szCs w:val="24"/>
        </w:rPr>
        <w:fldChar w:fldCharType="begin" w:fldLock="1"/>
      </w:r>
      <w:r w:rsidR="007F0560" w:rsidRPr="007E40FA">
        <w:rPr>
          <w:rFonts w:ascii="Times New Roman" w:hAnsi="Times New Roman"/>
          <w:sz w:val="24"/>
          <w:szCs w:val="24"/>
        </w:rPr>
        <w:instrText>ADDIN CSL_CITATION { "citationItems" : [ { "id" : "ITEM-1", "itemData" : { "ISSN" : "1532-1827", "PMID" : "20461092", "abstract" : "BACKGROUND: Circulating tumour cells (CTCs) offer a non-invasive approach to obtain and characterise metastatic tumour cells, but their usefulness has been limited by low CTC yields from conventional isolation methods. METHODS: To improve CTC yields and facilitate their molecular characterisation we compared the Food and Drug Administration-approved CellSearch Epithelial Kit (CEK) to a simplified CTC capture method, CellSearch Profile Kit (CPK), on paired blood samples from patients with metastatic breast (n=75) and lung (n=71) cancer. Molecular markers including Human Epidermal growth factor Receptor 2 (HER2) were evaluated on CTCs by fluorescence in situ hybridisation (FISH) and compared to patients' primary and metastatic cancer. RESULTS: The median cell count from patients with breast cancer using the CPK was 117 vs 4 for CEK (P&lt;0.0001). Lung cancer samples were similar; CPK: 145 cells vs CEK:4 cells (P&lt;0.0001). Recovered CTCs were relatively pure (60-70%) and were evaluable by FISH and immunofluorescence. A total of 10 of 30 (33%) breast cancer patients with HER2-negative primary and metastatic tissue had HER2-amplified CTCs. CONCLUSION: The CPK method provides a high yield of relatively pure CTCs, facilitating their molecular characterisation. Circulating tumour cells obtained using CPK technology demonstrate that significant discordance exists between HER2 amplification of a patient's CTCs and that of the primary and metastatic tumour.", "author" : [ { "dropping-particle" : "", "family" : "Flores", "given" : "L M", "non-dropping-particle" : "", "parse-names" : false, "suffix" : "" }, { "dropping-particle" : "", "family" : "Kindelberger", "given" : "D W", "non-dropping-particle" : "", "parse-names" : false, "suffix" : "" }, { "dropping-particle" : "", "family" : "Ligon", "given" : "a H", "non-dropping-particle" : "", "parse-names" : false, "suffix" : "" }, { "dropping-particle" : "", "family" : "Capelletti", "given" : "M", "non-dropping-particle" : "", "parse-names" : false, "suffix" : "" }, { "dropping-particle" : "", "family" : "Fiorentino", "given" : "M", "non-dropping-particle" : "", "parse-names" : false, "suffix" : "" }, { "dropping-particle" : "", "family" : "Loda", "given" : "M", "non-dropping-particle" : "", "parse-names" : false, "suffix" : "" }, { "dropping-particle" : "", "family" : "Cibas", "given" : "E S", "non-dropping-particle" : "", "parse-names" : false, "suffix" : "" }, { "dropping-particle" : "", "family" : "J\u00e4nne", "given" : "P a", "non-dropping-particle" : "", "parse-names" : false, "suffix" : "" }, { "dropping-particle" : "", "family" : "Krop", "given" : "I E", "non-dropping-particle" : "", "parse-names" : false, "suffix" : "" } ], "container-title" : "British journal of cancer", "id" : "ITEM-1", "issue" : "10", "issued" : { "date-parts" : [ [ "2010", "5" ] ] }, "page" : "1495-502", "title" : "Improving the yield of circulating tumour cells facilitates molecular characterisation and recognition of discordant HER2 amplification in breast cancer.", "type" : "article-journal", "volume" : "102" }, "uris" : [ "http://www.mendeley.com/documents/?uuid=f54da162-ee00-4694-a49d-ea3e75e00ce5" ] }, { "id" : "ITEM-2", "itemData" : { "DOI" : "10.1007/s10549-008-0290-0", "ISSN" : "1573-7217", "PMID" : "19115104", "abstract" : "Detection of circulating tumor cells (CTCs) in whole blood from metastatic cancer patients by the CellSearch CTC Test (Veridex LLC, Warren, NJ, USA) has been shown to have clinical relevance. In addition to enumeration, there is great interest in molecular characterization of these CTCs. We aimed to establish a robust method to perform mRNA expression analysis of multiple genes by a real-time reverse transcriptase (RT)-PCR on small numbers of CTCs enriched from whole blood by the CellSearch system. Despite the 4 log depletion of leukocytes after CellSearch enrichment, the CTC-enriched fractions still contained leukocytes, in particular B-lymphocytes, which severely interfered with our CTC-specific gene expression profiling. After extensive washing and leukocyte-specific depletion by anti-CD45 coated magnetic beads prior to CellSearch enrichment, the number of leukocytes present in the enriched fraction was still high (range 60-929). However, by using a set of genes with no or minor expression by leukocytes, we succeeded to perform quantitative gene expression profiling specific for as little as one breast cancer CTC present in a CTC-enriched environment typically containing over 800 contaminating leukocytes. Our method allows molecular characterization specific for as little as one CTC, and can be used to expand the understanding of the biology of metastasis and, potentially, to improve patient management.", "author" : [ { "dropping-particle" : "", "family" : "Sieuwerts", "given" : "Anieta M", "non-dropping-particle" : "", "parse-names" : false, "suffix" : "" }, { "dropping-particle" : "", "family" : "Kraan", "given" : "Jaco", "non-dropping-particle" : "", "parse-names" : false, "suffix" : "" }, { "dropping-particle" : "", "family" : "Bolt-de Vries", "given" : "Joan", "non-dropping-particle" : "", "parse-names" : false, "suffix" : "" }, { "dropping-particle" : "", "family" : "Spoel", "given" : "Petra", "non-dropping-particle" : "van der", "parse-names" : false, "suffix" : "" }, { "dropping-particle" : "", "family" : "Mostert", "given" : "Bianca", "non-dropping-particle" : "", "parse-names" : false, "suffix" : "" }, { "dropping-particle" : "", "family" : "Martens", "given" : "John W M", "non-dropping-particle" : "", "parse-names" : false, "suffix" : "" }, { "dropping-particle" : "", "family" : "Gratama", "given" : "Jan-Willem", "non-dropping-particle" : "", "parse-names" : false, "suffix" : "" }, { "dropping-particle" : "", "family" : "Sleijfer", "given" : "Stefan", "non-dropping-particle" : "", "parse-names" : false, "suffix" : "" }, { "dropping-particle" : "", "family" : "Foekens", "given" : "John a", "non-dropping-particle" : "", "parse-names" : false, "suffix" : "" } ], "container-title" : "Breast cancer research and treatment", "id" : "ITEM-2", "issue" : "3", "issued" : { "date-parts" : [ [ "2009", "12" ] ] }, "page" : "455-68", "title" : "Molecular characterization of circulating tumor cells in large quantities of contaminating leukocytes by a multiplex real-time PCR.", "type" : "article-journal", "volume" : "118" }, "uris" : [ "http://www.mendeley.com/documents/?uuid=cfc4f5f2-1183-4ef8-8c99-f30ce04f132e" ] } ], "mendeley" : { "previouslyFormattedCitation" : "&lt;sup&gt;27,28&lt;/sup&gt;" }, "properties" : { "noteIndex" : 0 }, "schema" : "https://github.com/citation-style-language/schema/raw/master/csl-citation.json" }</w:instrText>
      </w:r>
      <w:r w:rsidR="0036708D" w:rsidRPr="007E40FA">
        <w:rPr>
          <w:rFonts w:ascii="Times New Roman" w:hAnsi="Times New Roman"/>
          <w:sz w:val="24"/>
          <w:szCs w:val="24"/>
        </w:rPr>
        <w:fldChar w:fldCharType="separate"/>
      </w:r>
      <w:r w:rsidR="007F0560" w:rsidRPr="007E40FA">
        <w:rPr>
          <w:rFonts w:ascii="Times New Roman" w:hAnsi="Times New Roman"/>
          <w:noProof/>
          <w:sz w:val="24"/>
          <w:szCs w:val="24"/>
          <w:vertAlign w:val="superscript"/>
        </w:rPr>
        <w:t>27,28</w:t>
      </w:r>
      <w:r w:rsidR="0036708D" w:rsidRPr="007E40FA">
        <w:rPr>
          <w:rFonts w:ascii="Times New Roman" w:hAnsi="Times New Roman"/>
          <w:sz w:val="24"/>
          <w:szCs w:val="24"/>
        </w:rPr>
        <w:fldChar w:fldCharType="end"/>
      </w:r>
      <w:r w:rsidR="000A2CF0" w:rsidRPr="007E40FA">
        <w:rPr>
          <w:rFonts w:ascii="Times New Roman" w:hAnsi="Times New Roman"/>
          <w:sz w:val="24"/>
          <w:szCs w:val="24"/>
        </w:rPr>
        <w:t xml:space="preserve">. </w:t>
      </w:r>
    </w:p>
    <w:p w:rsidR="00E54D85" w:rsidRPr="007E40FA" w:rsidRDefault="00E06F00" w:rsidP="001F0875">
      <w:pPr>
        <w:spacing w:line="240" w:lineRule="auto"/>
        <w:jc w:val="both"/>
        <w:rPr>
          <w:rFonts w:ascii="Times New Roman" w:hAnsi="Times New Roman"/>
          <w:sz w:val="24"/>
          <w:szCs w:val="24"/>
        </w:rPr>
      </w:pPr>
      <w:r w:rsidRPr="007E40FA">
        <w:rPr>
          <w:rFonts w:ascii="Times New Roman" w:hAnsi="Times New Roman"/>
          <w:sz w:val="24"/>
          <w:szCs w:val="24"/>
        </w:rPr>
        <w:t>Although</w:t>
      </w:r>
      <w:r w:rsidR="00E54D85" w:rsidRPr="007E40FA">
        <w:rPr>
          <w:rFonts w:ascii="Times New Roman" w:hAnsi="Times New Roman"/>
          <w:sz w:val="24"/>
          <w:szCs w:val="24"/>
        </w:rPr>
        <w:t xml:space="preserve"> </w:t>
      </w:r>
      <w:r w:rsidRPr="007E40FA">
        <w:rPr>
          <w:rFonts w:ascii="Times New Roman" w:hAnsi="Times New Roman"/>
          <w:sz w:val="24"/>
          <w:szCs w:val="24"/>
        </w:rPr>
        <w:t xml:space="preserve">the </w:t>
      </w:r>
      <w:r w:rsidR="004C0272" w:rsidRPr="007E40FA">
        <w:rPr>
          <w:rFonts w:ascii="Times New Roman" w:hAnsi="Times New Roman"/>
          <w:sz w:val="24"/>
          <w:szCs w:val="24"/>
        </w:rPr>
        <w:t>CSS</w:t>
      </w:r>
      <w:r w:rsidRPr="007E40FA">
        <w:rPr>
          <w:rFonts w:ascii="Times New Roman" w:hAnsi="Times New Roman"/>
          <w:sz w:val="24"/>
          <w:szCs w:val="24"/>
        </w:rPr>
        <w:t xml:space="preserve"> </w:t>
      </w:r>
      <w:r w:rsidR="00E54D85" w:rsidRPr="007E40FA">
        <w:rPr>
          <w:rFonts w:ascii="Times New Roman" w:hAnsi="Times New Roman"/>
          <w:sz w:val="24"/>
          <w:szCs w:val="24"/>
        </w:rPr>
        <w:t>has been utilized clinically to effectively detect CTCs in the blood of metastatic breast, prostate and colorectal cancer patients</w:t>
      </w:r>
      <w:r w:rsidR="0036708D" w:rsidRPr="007E40FA">
        <w:rPr>
          <w:rFonts w:ascii="Times New Roman" w:hAnsi="Times New Roman"/>
          <w:sz w:val="24"/>
          <w:szCs w:val="24"/>
        </w:rPr>
        <w:fldChar w:fldCharType="begin" w:fldLock="1"/>
      </w:r>
      <w:r w:rsidR="007F0560" w:rsidRPr="007E40FA">
        <w:rPr>
          <w:rFonts w:ascii="Times New Roman" w:hAnsi="Times New Roman"/>
          <w:sz w:val="24"/>
          <w:szCs w:val="24"/>
        </w:rPr>
        <w:instrText>ADDIN CSL_CITATION { "citationItems" : [ { "id" : "ITEM-1", "itemData" : { "ISSN" : "1533-4406", "PMID" : "15317891", "abstract" : "BACKGROUND: We tested the hypothesis that the level of circulating tumor cells can predict survival in metastatic breast cancer. METHODS: In a prospective, multicenter study, we tested 177 patients with measurable metastatic breast cancer for levels of circulating tumor cells both before the patients were to start a new line of treatment and at the first follow-up visit. The progression of the disease or the response to treatment was determined with the use of standard imaging studies at the participating centers. RESULTS: Outcomes were assessed according to levels of circulating tumor cells at baseline, before the patients started a new treatment for metastatic disease. Patients in a training set with levels of circulating tumor cells equal to or higher than 5 per 7.5 ml of whole blood, as compared with the group with fewer than 5 circulating tumor cells per 7.5 ml, had a shorter median progression-free survival (2.7 months vs. 7.0 months, P&lt;0.001) and shorter overall survival (10.1 months vs. &gt;18 months, P&lt;0.001). At the first follow-up visit after the initiation of therapy, this difference between the groups persisted (progression-free survival, 2.1 months vs. 7.0 months; P&lt;0.001; overall survival, 8.2 months vs. &gt;18 months; P&lt;0.001), and the reduced proportion of patients (from 49 percent to 30 percent) in the group with an unfavorable prognosis suggested that there was a benefit from therapy. The multivariate Cox proportional-hazards regression showed that, of all the variables in the statistical model, the levels of circulating tumor cells at baseline and at the first follow-up visit were the most significant predictors of progression-free and overall survival. CONCLUSIONS: The number of circulating tumor cells before treatment is an independent predictor of progression-free survival and overall survival in patients with metastatic breast cancer.", "author" : [ { "dropping-particle" : "", "family" : "Cristofanilli", "given" : "Massimo", "non-dropping-particle" : "", "parse-names" : false, "suffix" : "" }, { "dropping-particle" : "", "family" : "Budd", "given" : "G Thomas", "non-dropping-particle" : "", "parse-names" : false, "suffix" : "" }, { "dropping-particle" : "", "family" : "Ellis", "given" : "Matthew J", "non-dropping-particle" : "", "parse-names" : false, "suffix" : "" }, { "dropping-particle" : "", "family" : "Stopeck", "given" : "Alison", "non-dropping-particle" : "", "parse-names" : false, "suffix" : "" }, { "dropping-particle" : "", "family" : "Matera", "given" : "Jeri", "non-dropping-particle" : "", "parse-names" : false, "suffix" : "" }, { "dropping-particle" : "", "family" : "Miller", "given" : "M Craig", "non-dropping-particle" : "", "parse-names" : false, "suffix" : "" }, { "dropping-particle" : "", "family" : "Reuben", "given" : "James M", "non-dropping-particle" : "", "parse-names" : false, "suffix" : "" }, { "dropping-particle" : "V", "family" : "Doyle", "given" : "Gerald", "non-dropping-particle" : "", "parse-names" : false, "suffix" : "" }, { "dropping-particle" : "", "family" : "Allard", "given" : "W Jeffrey", "non-dropping-particle" : "", "parse-names" : false, "suffix" : "" }, { "dropping-particle" : "", "family" : "Terstappen", "given" : "Leon W M M", "non-dropping-particle" : "", "parse-names" : false, "suffix" : "" }, { "dropping-particle" : "", "family" : "Hayes", "given" : "Daniel F", "non-dropping-particle" : "", "parse-names" : false, "suffix" : "" } ], "container-title" : "The New England journal of medicine", "id" : "ITEM-1", "issue" : "8", "issued" : { "date-parts" : [ [ "2004", "8" ] ] }, "page" : "781-91", "title" : "Circulating tumor cells, disease progression, and survival in metastatic breast cancer.", "type" : "article-journal", "volume" : "351" }, "uris" : [ "http://www.mendeley.com/documents/?uuid=f0f96870-40c2-4219-af60-a26756fec374" ] }, { "id" : "ITEM-2", "itemData" : { "ISSN" : "1078-0432", "PMID" : "18829513", "abstract" : "PURPOSE: A method for enumerating circulating tumor cells (CTC) has received regulatory clearance. The primary objective of this prospective study was to establish the relationship between posttreatment CTC count and overall survival (OS) in castration-resistant prostate cancer (CRPC). Secondary objectives included determining the prognostic utility of CTC measurement before initiating therapy, and the relationship of CTC to prostate-specific antigen (PSA) changes and OS at these and other time points. EXPERIMENTAL DESIGN: Blood was drawn from CRPC patients with progressive disease starting a new line of chemotherapy before treatment and monthly thereafter. Patients were stratified into predetermined Favorable or Unfavorable groups (&lt;5 and &gt; or =5 CTC/7.5mL). RESULTS: Two hundred thirty-one of 276 enrolled patients (84%) were evaluable. Patients with Unfavorable pretreatment CTC (57%) had shorter OS (median OS, 11.5 versus 21.7 months; Cox hazard ratio, 3.3; P &lt; 0.0001). Unfavorable posttreatment CTC counts also predicted shorter OS at 2 to 5, 6 to 8, 9 to 12, and 13 to 20 weeks (median OS, 6.7-9.5 versus 19.6-20.7 months; Cox hazard ratio, 3.6-6.5; P &lt; 0.0001). CTC counts predicted OS better than PSA decrement algorithms at all time points; area under the receiver operator curve for CTC was 81% to 87% and 58% to 68% for 30% PSA reduction (P = 0.0218). Prognosis for patients with (a) Unfavorable baseline CTC who converted to Favorable CTC improved (6.8 to 21.3 months); (b) Favorable baseline CTC who converted to Unfavorable worsened (&gt;26 to 9.3 months). CONCLUSIONS: CTC are the most accurate and independent predictor of OS in CRPC. These data led to Food and Drug Administration clearance of this assay for the evaluation of CRPC.", "author" : [ { "dropping-particle" : "", "family" : "Bono", "given" : "Johann S", "non-dropping-particle" : "de", "parse-names" : false, "suffix" : "" }, { "dropping-particle" : "", "family" : "Scher", "given" : "Howard I", "non-dropping-particle" : "", "parse-names" : false, "suffix" : "" }, { "dropping-particle" : "", "family" : "Montgomery", "given" : "R Bruce", "non-dropping-particle" : "", "parse-names" : false, "suffix" : "" }, { "dropping-particle" : "", "family" : "Parker", "given" : "Christopher", "non-dropping-particle" : "", "parse-names" : false, "suffix" : "" }, { "dropping-particle" : "", "family" : "Miller", "given" : "M Craig", "non-dropping-particle" : "", "parse-names" : false, "suffix" : "" }, { "dropping-particle" : "", "family" : "Tissing", "given" : "Henk", "non-dropping-particle" : "", "parse-names" : false, "suffix" : "" }, { "dropping-particle" : "V", "family" : "Doyle", "given" : "Gerald", "non-dropping-particle" : "", "parse-names" : false, "suffix" : "" }, { "dropping-particle" : "", "family" : "Terstappen", "given" : "Leon W W M", "non-dropping-particle" : "", "parse-names" : false, "suffix" : "" }, { "dropping-particle" : "", "family" : "Pienta", "given" : "Kenneth J", "non-dropping-particle" : "", "parse-names" : false, "suffix" : "" }, { "dropping-particle" : "", "family" : "Raghavan", "given" : "Derek", "non-dropping-particle" : "", "parse-names" : false, "suffix" : "" } ], "container-title" : "Clinical cancer research : an official journal of the American Association for Cancer Research", "id" : "ITEM-2", "issue" : "19", "issued" : { "date-parts" : [ [ "2008", "10" ] ] }, "page" : "6302-9", "title" : "Circulating tumor cells predict survival benefit from treatment in metastatic castration-resistant prostate cancer.", "type" : "article-journal", "volume" : "14" }, "uris" : [ "http://www.mendeley.com/documents/?uuid=e395c73b-2fe0-47e7-bccd-d72809bcbcca" ] }, { "id" : "ITEM-3", "itemData" : { "DOI" : "10.1200/JCO.2007.15.8923", "ISSN" : "1527-7755", "PMID" : "18591556", "abstract" : "PURPOSE: As treatment options expand for metastatic colorectal cancer (mCRC), a blood marker with a prognostic and predictive role could guide treatment. We tested the hypothesis that circulating tumor cells (CTCs) could predict clinical outcome in patients with mCRC. PATIENTS AND METHODS: In a prospective multicenter study, CTCs were enumerated in the peripheral blood of 430 patients with mCRC at baseline and after starting first-, second-, or third-line therapy. CTCs were measured using an immunomagnetic separation technique. RESULTS: Patients were stratified into unfavorable and favorable prognostic groups based on CTC levels of three or more or less than three CTCs/7.5 mL, respectively. Patients with unfavorable compared with favorable baseline CTCs had shorter median progression-free survival (PFS; 4.5 v 7.9 months; P = .0002) and overall survival (OS; 9.4 v 18.5 months; P &lt; .0001). Differences persisted at 1 to 2, 3 to 5, 6 to 12, and 13 to 20 weeks after therapy. Conversion of baseline unfavorable CTCs to favorable at 3 to 5 weeks was associated with significantly longer PFS and OS compared with patients with unfavorable CTCs at both time points (PFS, 6.2 v 1.6 months; P = .02; OS, 11.0 v 3.7 months; P = .0002). Among nonprogressing patients, favorable compared with unfavorable CTCs within 1 month of imaging was associated with longer survival (18.8 v 7.1 months; P &lt; .0001). Baseline and follow-up CTC levels remained strong predictors of PFS and OS after adjustment for clinically significant factors. CONCLUSION: The number of CTCs before and during treatment is an independent predictor of PFS and OS in patients with metastatic colorectal cancer. CTCs provide prognostic information in addition to that of imaging studies.", "author" : [ { "dropping-particle" : "", "family" : "Cohen", "given" : "Steven J", "non-dropping-particle" : "", "parse-names" : false, "suffix" : "" }, { "dropping-particle" : "", "family" : "Punt", "given" : "Cornelis J a", "non-dropping-particle" : "", "parse-names" : false, "suffix" : "" }, { "dropping-particle" : "", "family" : "Iannotti", "given" : "Nicholas", "non-dropping-particle" : "", "parse-names" : false, "suffix" : "" }, { "dropping-particle" : "", "family" : "Saidman", "given" : "Bruce H", "non-dropping-particle" : "", "parse-names" : false, "suffix" : "" }, { "dropping-particle" : "", "family" : "Sabbath", "given" : "Kert D", "non-dropping-particle" : "", "parse-names" : false, "suffix" : "" }, { "dropping-particle" : "", "family" : "Gabrail", "given" : "Nashat Y", "non-dropping-particle" : "", "parse-names" : false, "suffix" : "" }, { "dropping-particle" : "", "family" : "Picus", "given" : "Joel", "non-dropping-particle" : "", "parse-names" : false, "suffix" : "" }, { "dropping-particle" : "", "family" : "Morse", "given" : "Michael", "non-dropping-particle" : "", "parse-names" : false, "suffix" : "" }, { "dropping-particle" : "", "family" : "Mitchell", "given" : "Edith", "non-dropping-particle" : "", "parse-names" : false, "suffix" : "" }, { "dropping-particle" : "", "family" : "Miller", "given" : "M Craig", "non-dropping-particle" : "", "parse-names" : false, "suffix" : "" }, { "dropping-particle" : "V", "family" : "Doyle", "given" : "Gerald", "non-dropping-particle" : "", "parse-names" : false, "suffix" : "" }, { "dropping-particle" : "", "family" : "Tissing", "given" : "Henk", "non-dropping-particle" : "", "parse-names" : false, "suffix" : "" }, { "dropping-particle" : "", "family" : "Terstappen", "given" : "Leon W M M", "non-dropping-particle" : "", "parse-names" : false, "suffix" : "" }, { "dropping-particle" : "", "family" : "Meropol", "given" : "Neal J", "non-dropping-particle" : "", "parse-names" : false, "suffix" : "" } ], "container-title" : "Journal of clinical oncology : official journal of the American Society of Clinical Oncology", "id" : "ITEM-3", "issue" : "19", "issued" : { "date-parts" : [ [ "2008", "7" ] ] }, "page" : "3213-21", "title" : "Relationship of circulating tumor cells to tumor response, progression-free survival, and overall survival in patients with metastatic colorectal cancer.", "type" : "article-journal", "volume" : "26" }, "uris" : [ "http://www.mendeley.com/documents/?uuid=d94de309-b349-47d7-b087-f985f5091e42" ] } ], "mendeley" : { "previouslyFormattedCitation" : "&lt;sup&gt;4,10,29&lt;/sup&gt;" }, "properties" : { "noteIndex" : 0 }, "schema" : "https://github.com/citation-style-language/schema/raw/master/csl-citation.json" }</w:instrText>
      </w:r>
      <w:r w:rsidR="0036708D" w:rsidRPr="007E40FA">
        <w:rPr>
          <w:rFonts w:ascii="Times New Roman" w:hAnsi="Times New Roman"/>
          <w:sz w:val="24"/>
          <w:szCs w:val="24"/>
        </w:rPr>
        <w:fldChar w:fldCharType="separate"/>
      </w:r>
      <w:r w:rsidR="007F0560" w:rsidRPr="007E40FA">
        <w:rPr>
          <w:rFonts w:ascii="Times New Roman" w:hAnsi="Times New Roman"/>
          <w:noProof/>
          <w:sz w:val="24"/>
          <w:szCs w:val="24"/>
          <w:vertAlign w:val="superscript"/>
        </w:rPr>
        <w:t>4,10,29</w:t>
      </w:r>
      <w:r w:rsidR="0036708D" w:rsidRPr="007E40FA">
        <w:rPr>
          <w:rFonts w:ascii="Times New Roman" w:hAnsi="Times New Roman"/>
          <w:sz w:val="24"/>
          <w:szCs w:val="24"/>
        </w:rPr>
        <w:fldChar w:fldCharType="end"/>
      </w:r>
      <w:r w:rsidRPr="007E40FA">
        <w:rPr>
          <w:rFonts w:ascii="Times New Roman" w:hAnsi="Times New Roman"/>
          <w:sz w:val="24"/>
          <w:szCs w:val="24"/>
        </w:rPr>
        <w:t>,</w:t>
      </w:r>
      <w:r w:rsidR="00E54D85" w:rsidRPr="007E40FA">
        <w:rPr>
          <w:rFonts w:ascii="Times New Roman" w:hAnsi="Times New Roman"/>
          <w:sz w:val="24"/>
          <w:szCs w:val="24"/>
        </w:rPr>
        <w:t xml:space="preserve"> </w:t>
      </w:r>
      <w:r w:rsidRPr="007E40FA">
        <w:rPr>
          <w:rFonts w:ascii="Times New Roman" w:hAnsi="Times New Roman"/>
          <w:sz w:val="24"/>
          <w:szCs w:val="24"/>
        </w:rPr>
        <w:t>it does have several limitations. I</w:t>
      </w:r>
      <w:r w:rsidR="00E54D85" w:rsidRPr="007E40FA">
        <w:rPr>
          <w:rFonts w:ascii="Times New Roman" w:hAnsi="Times New Roman"/>
          <w:sz w:val="24"/>
          <w:szCs w:val="24"/>
        </w:rPr>
        <w:t>n up to 35% of patients with various metastatic cancers, CTCs are undetectable despite the presence of widespread systemic disease</w:t>
      </w:r>
      <w:r w:rsidR="0036708D" w:rsidRPr="007E40FA">
        <w:rPr>
          <w:rFonts w:ascii="Times New Roman" w:hAnsi="Times New Roman"/>
          <w:sz w:val="24"/>
          <w:szCs w:val="24"/>
        </w:rPr>
        <w:fldChar w:fldCharType="begin" w:fldLock="1"/>
      </w:r>
      <w:r w:rsidR="007F0560" w:rsidRPr="007E40FA">
        <w:rPr>
          <w:rFonts w:ascii="Times New Roman" w:hAnsi="Times New Roman"/>
          <w:sz w:val="24"/>
          <w:szCs w:val="24"/>
        </w:rPr>
        <w:instrText>ADDIN CSL_CITATION { "citationItems" : [ { "id" : "ITEM-1", "itemData" : { "ISSN" : "1078-0432", "PMID" : "15501967", "abstract" : "PURPOSE: The purpose of this study was to determine the accuracy, precision, and linearity of the CellSearch system and evaluate the number of circulating tumor cells (CTCs) per 7.5 mL of blood in healthy subjects, patients with nonmalignant diseases, and patients with a variety of metastatic carcinomas. EXPERIMENTAL DESIGN: The CellSearch system was used to enumerate CTCs in 7.5 mL of blood. Blood samples spiked with cells from tumor cell lines were used to establish analytical accuracy, reproducibility, and linearity. Prevalence of CTCs was determined in blood from 199 patients with nonmalignant diseases, 964 patients with metastatic carcinomas, and 145 healthy donors. RESULTS: Enumeration of spiked tumor cells was linear over the range of 5 to 1,142 cells, with an average recovery of &gt;/=85% at each spike level. Only 1 of the 344 (0.3%) healthy and nonmalignant disease subjects had &gt;/=2 CTCs per 7.5 mL of blood. In 2,183 blood samples from 964 metastatic carcinoma patients, CTCs ranged from 0 to 23,618 CTCs per 7.5 mL (mean, 60 +/- 693 CTCs per 7.5 mL), and 36% (781 of 2,183) of the specimens had &gt;/=2 CTCs. Detection of &gt;/=2 CTCs occurred at the following rates: 57% (107 of 188) of prostate cancers, 37% (489 of 1,316) of breast cancers, 37% (20 of 53) of ovarian cancers, 30% (99 of 333) of colorectal cancers, 20% (34 of 168) of lung cancers, and 26% (32 of 125) of other cancers. CONCLUSIONS: The CellSearch system can be standardized across multiple laboratories and may be used to determine the clinical utility of CTCs. CTCs are extremely rare in healthy subjects and patients with nonmalignant diseases but present in various metastatic carcinomas with a wide range of frequencies.", "author" : [ { "dropping-particle" : "", "family" : "Allard", "given" : "W Jeffrey", "non-dropping-particle" : "", "parse-names" : false, "suffix" : "" }, { "dropping-particle" : "", "family" : "Matera", "given" : "Jeri", "non-dropping-particle" : "", "parse-names" : false, "suffix" : "" }, { "dropping-particle" : "", "family" : "Miller", "given" : "M Craig", "non-dropping-particle" : "", "parse-names" : false, "suffix" : "" }, { "dropping-particle" : "", "family" : "Repollet", "given" : "Madeline", "non-dropping-particle" : "", "parse-names" : false, "suffix" : "" }, { "dropping-particle" : "", "family" : "Connelly", "given" : "Mark C", "non-dropping-particle" : "", "parse-names" : false, "suffix" : "" }, { "dropping-particle" : "", "family" : "Rao", "given" : "Chandra", "non-dropping-particle" : "", "parse-names" : false, "suffix" : "" }, { "dropping-particle" : "", "family" : "Tibbe", "given" : "Arjan G J", "non-dropping-particle" : "", "parse-names" : false, "suffix" : "" }, { "dropping-particle" : "", "family" : "Uhr", "given" : "Jonathan W", "non-dropping-particle" : "", "parse-names" : false, "suffix" : "" }, { "dropping-particle" : "", "family" : "Terstappen", "given" : "Leon W M M", "non-dropping-particle" : "", "parse-names" : false, "suffix" : "" } ], "container-title" : "Clinical cancer research : an official journal of the American Association for Cancer Research", "id" : "ITEM-1", "issue" : "20", "issued" : { "date-parts" : [ [ "2004", "10" ] ] }, "page" : "6897-904", "title" : "Tumor cells circulate in the peripheral blood of all major carcinomas but not in healthy subjects or patients with nonmalignant diseases.", "type" : "article-journal", "volume" : "10" }, "uris" : [ "http://www.mendeley.com/documents/?uuid=fe25f3f0-26bc-41d2-b80d-659e739050fd" ] } ], "mendeley" : { "previouslyFormattedCitation" : "&lt;sup&gt;30&lt;/sup&gt;" }, "properties" : { "noteIndex" : 0 }, "schema" : "https://github.com/citation-style-language/schema/raw/master/csl-citation.json" }</w:instrText>
      </w:r>
      <w:r w:rsidR="0036708D" w:rsidRPr="007E40FA">
        <w:rPr>
          <w:rFonts w:ascii="Times New Roman" w:hAnsi="Times New Roman"/>
          <w:sz w:val="24"/>
          <w:szCs w:val="24"/>
        </w:rPr>
        <w:fldChar w:fldCharType="separate"/>
      </w:r>
      <w:r w:rsidR="007F0560" w:rsidRPr="007E40FA">
        <w:rPr>
          <w:rFonts w:ascii="Times New Roman" w:hAnsi="Times New Roman"/>
          <w:noProof/>
          <w:sz w:val="24"/>
          <w:szCs w:val="24"/>
          <w:vertAlign w:val="superscript"/>
        </w:rPr>
        <w:t>30</w:t>
      </w:r>
      <w:r w:rsidR="0036708D" w:rsidRPr="007E40FA">
        <w:rPr>
          <w:rFonts w:ascii="Times New Roman" w:hAnsi="Times New Roman"/>
          <w:sz w:val="24"/>
          <w:szCs w:val="24"/>
        </w:rPr>
        <w:fldChar w:fldCharType="end"/>
      </w:r>
      <w:r w:rsidR="00E54D85" w:rsidRPr="007E40FA">
        <w:rPr>
          <w:rFonts w:ascii="Times New Roman" w:hAnsi="Times New Roman"/>
          <w:sz w:val="24"/>
          <w:szCs w:val="24"/>
        </w:rPr>
        <w:t xml:space="preserve">. </w:t>
      </w:r>
      <w:r w:rsidRPr="007E40FA">
        <w:rPr>
          <w:rFonts w:ascii="Times New Roman" w:hAnsi="Times New Roman"/>
          <w:sz w:val="24"/>
          <w:szCs w:val="24"/>
        </w:rPr>
        <w:t>This lack of detection has been proposed to be as a result of the</w:t>
      </w:r>
      <w:r w:rsidR="00E54D85" w:rsidRPr="007E40FA">
        <w:rPr>
          <w:rFonts w:ascii="Times New Roman" w:hAnsi="Times New Roman"/>
          <w:sz w:val="24"/>
          <w:szCs w:val="24"/>
        </w:rPr>
        <w:t xml:space="preserve"> epithelial-to-</w:t>
      </w:r>
      <w:proofErr w:type="spellStart"/>
      <w:r w:rsidR="00E54D85" w:rsidRPr="007E40FA">
        <w:rPr>
          <w:rFonts w:ascii="Times New Roman" w:hAnsi="Times New Roman"/>
          <w:sz w:val="24"/>
          <w:szCs w:val="24"/>
        </w:rPr>
        <w:t>mesenchymal</w:t>
      </w:r>
      <w:proofErr w:type="spellEnd"/>
      <w:r w:rsidR="00E54D85" w:rsidRPr="007E40FA">
        <w:rPr>
          <w:rFonts w:ascii="Times New Roman" w:hAnsi="Times New Roman"/>
          <w:sz w:val="24"/>
          <w:szCs w:val="24"/>
        </w:rPr>
        <w:t xml:space="preserve"> transition</w:t>
      </w:r>
      <w:r w:rsidRPr="007E40FA">
        <w:rPr>
          <w:rFonts w:ascii="Times New Roman" w:hAnsi="Times New Roman"/>
          <w:sz w:val="24"/>
          <w:szCs w:val="24"/>
        </w:rPr>
        <w:t>, a</w:t>
      </w:r>
      <w:r w:rsidR="00E54D85" w:rsidRPr="007E40FA">
        <w:rPr>
          <w:rFonts w:ascii="Times New Roman" w:hAnsi="Times New Roman"/>
          <w:sz w:val="24"/>
          <w:szCs w:val="24"/>
        </w:rPr>
        <w:t xml:space="preserve"> well</w:t>
      </w:r>
      <w:r w:rsidR="003F3597" w:rsidRPr="007E40FA">
        <w:rPr>
          <w:rFonts w:ascii="Times New Roman" w:hAnsi="Times New Roman"/>
          <w:sz w:val="24"/>
          <w:szCs w:val="24"/>
        </w:rPr>
        <w:t>-</w:t>
      </w:r>
      <w:r w:rsidR="00E54D85" w:rsidRPr="007E40FA">
        <w:rPr>
          <w:rFonts w:ascii="Times New Roman" w:hAnsi="Times New Roman"/>
          <w:sz w:val="24"/>
          <w:szCs w:val="24"/>
        </w:rPr>
        <w:t xml:space="preserve">documented </w:t>
      </w:r>
      <w:r w:rsidRPr="007E40FA">
        <w:rPr>
          <w:rFonts w:ascii="Times New Roman" w:hAnsi="Times New Roman"/>
          <w:sz w:val="24"/>
          <w:szCs w:val="24"/>
        </w:rPr>
        <w:t>process known to enhance</w:t>
      </w:r>
      <w:r w:rsidR="00E54D85" w:rsidRPr="007E40FA">
        <w:rPr>
          <w:rFonts w:ascii="Times New Roman" w:hAnsi="Times New Roman"/>
          <w:sz w:val="24"/>
          <w:szCs w:val="24"/>
        </w:rPr>
        <w:t xml:space="preserve"> cancer invasion, metastasis, and overall aggressiveness</w:t>
      </w:r>
      <w:r w:rsidR="0036708D" w:rsidRPr="007E40FA">
        <w:rPr>
          <w:rFonts w:ascii="Times New Roman" w:hAnsi="Times New Roman"/>
          <w:sz w:val="24"/>
          <w:szCs w:val="24"/>
        </w:rPr>
        <w:fldChar w:fldCharType="begin" w:fldLock="1"/>
      </w:r>
      <w:r w:rsidR="007F0560" w:rsidRPr="007E40FA">
        <w:rPr>
          <w:rFonts w:ascii="Times New Roman" w:hAnsi="Times New Roman"/>
          <w:sz w:val="24"/>
          <w:szCs w:val="24"/>
        </w:rPr>
        <w:instrText>ADDIN CSL_CITATION { "citationItems" : [ { "id" : "ITEM-1", "itemData" : { "DOI" : "10.1016/j.cell.2009.11.007", "ISSN" : "1097-4172", "PMID" : "19945376", "abstract" : "The epithelial to mesenchymal transition (EMT) plays crucial roles in the formation of the body plan and in the differentiation of multiple tissues and organs. EMT also contributes to tissue repair, but it can adversely cause organ fibrosis and promote carcinoma progression through a variety of mechanisms. EMT endows cells with migratory and invasive properties, induces stem cell properties, prevents apoptosis and senescence, and contributes to immunosuppression. Thus, the mesenchymal state is associated with the capacity of cells to migrate to distant organs and maintain stemness, allowing their subsequent differentiation into multiple cell types during development and the initiation of metastasis.", "author" : [ { "dropping-particle" : "", "family" : "Thiery", "given" : "Jean Paul", "non-dropping-particle" : "", "parse-names" : false, "suffix" : "" }, { "dropping-particle" : "", "family" : "Acloque", "given" : "Herv\u00e9", "non-dropping-particle" : "", "parse-names" : false, "suffix" : "" }, { "dropping-particle" : "", "family" : "Huang", "given" : "Ruby Y J", "non-dropping-particle" : "", "parse-names" : false, "suffix" : "" }, { "dropping-particle" : "", "family" : "Nieto", "given" : "M Angela", "non-dropping-particle" : "", "parse-names" : false, "suffix" : "" } ], "container-title" : "Cell", "id" : "ITEM-1", "issue" : "5", "issued" : { "date-parts" : [ [ "2009", "11", "25" ] ] }, "page" : "871-90", "title" : "Epithelial-mesenchymal transitions in development and disease.", "type" : "article-journal", "volume" : "139" }, "uris" : [ "http://www.mendeley.com/documents/?uuid=dd96b724-cd45-4d44-ad8e-8830db9f2fe4" ] } ], "mendeley" : { "previouslyFormattedCitation" : "&lt;sup&gt;31&lt;/sup&gt;" }, "properties" : { "noteIndex" : 0 }, "schema" : "https://github.com/citation-style-language/schema/raw/master/csl-citation.json" }</w:instrText>
      </w:r>
      <w:r w:rsidR="0036708D" w:rsidRPr="007E40FA">
        <w:rPr>
          <w:rFonts w:ascii="Times New Roman" w:hAnsi="Times New Roman"/>
          <w:sz w:val="24"/>
          <w:szCs w:val="24"/>
        </w:rPr>
        <w:fldChar w:fldCharType="separate"/>
      </w:r>
      <w:r w:rsidR="007F0560" w:rsidRPr="007E40FA">
        <w:rPr>
          <w:rFonts w:ascii="Times New Roman" w:hAnsi="Times New Roman"/>
          <w:noProof/>
          <w:sz w:val="24"/>
          <w:szCs w:val="24"/>
          <w:vertAlign w:val="superscript"/>
        </w:rPr>
        <w:t>31</w:t>
      </w:r>
      <w:r w:rsidR="0036708D" w:rsidRPr="007E40FA">
        <w:rPr>
          <w:rFonts w:ascii="Times New Roman" w:hAnsi="Times New Roman"/>
          <w:sz w:val="24"/>
          <w:szCs w:val="24"/>
        </w:rPr>
        <w:fldChar w:fldCharType="end"/>
      </w:r>
      <w:r w:rsidR="00E54D85" w:rsidRPr="007E40FA">
        <w:rPr>
          <w:rFonts w:ascii="Times New Roman" w:hAnsi="Times New Roman"/>
          <w:sz w:val="24"/>
          <w:szCs w:val="24"/>
        </w:rPr>
        <w:t xml:space="preserve">. This transition has been associated with a significant reduction in epithelial markers, such as </w:t>
      </w:r>
      <w:proofErr w:type="spellStart"/>
      <w:r w:rsidR="00E54D85" w:rsidRPr="007E40FA">
        <w:rPr>
          <w:rFonts w:ascii="Times New Roman" w:hAnsi="Times New Roman"/>
          <w:sz w:val="24"/>
          <w:szCs w:val="24"/>
        </w:rPr>
        <w:t>EpCAM</w:t>
      </w:r>
      <w:proofErr w:type="spellEnd"/>
      <w:r w:rsidRPr="007E40FA">
        <w:rPr>
          <w:rFonts w:ascii="Times New Roman" w:hAnsi="Times New Roman"/>
          <w:sz w:val="24"/>
          <w:szCs w:val="24"/>
        </w:rPr>
        <w:t xml:space="preserve">, </w:t>
      </w:r>
      <w:r w:rsidR="00E54D85" w:rsidRPr="007E40FA">
        <w:rPr>
          <w:rFonts w:ascii="Times New Roman" w:hAnsi="Times New Roman"/>
          <w:sz w:val="24"/>
          <w:szCs w:val="24"/>
        </w:rPr>
        <w:t xml:space="preserve">and a corresponding increase in </w:t>
      </w:r>
      <w:proofErr w:type="spellStart"/>
      <w:r w:rsidR="00E54D85" w:rsidRPr="007E40FA">
        <w:rPr>
          <w:rFonts w:ascii="Times New Roman" w:hAnsi="Times New Roman"/>
          <w:sz w:val="24"/>
          <w:szCs w:val="24"/>
        </w:rPr>
        <w:t>mesenchymal</w:t>
      </w:r>
      <w:proofErr w:type="spellEnd"/>
      <w:r w:rsidR="00E54D85" w:rsidRPr="007E40FA">
        <w:rPr>
          <w:rFonts w:ascii="Times New Roman" w:hAnsi="Times New Roman"/>
          <w:sz w:val="24"/>
          <w:szCs w:val="24"/>
        </w:rPr>
        <w:t xml:space="preserve"> markers</w:t>
      </w:r>
      <w:r w:rsidR="0036708D" w:rsidRPr="007E40FA">
        <w:rPr>
          <w:rFonts w:ascii="Times New Roman" w:hAnsi="Times New Roman"/>
          <w:sz w:val="24"/>
          <w:szCs w:val="24"/>
        </w:rPr>
        <w:fldChar w:fldCharType="begin" w:fldLock="1"/>
      </w:r>
      <w:r w:rsidR="007F0560" w:rsidRPr="007E40FA">
        <w:rPr>
          <w:rFonts w:ascii="Times New Roman" w:hAnsi="Times New Roman"/>
          <w:sz w:val="24"/>
          <w:szCs w:val="24"/>
        </w:rPr>
        <w:instrText>ADDIN CSL_CITATION { "citationItems" : [ { "id" : "ITEM-1", "itemData" : { "ISSN" : "1878-1551", "PMID" : "18539112", "abstract" : "The epithelial-mesenchymal transition is a highly conserved cellular program that allows polarized, immotile epithelial cells to convert to motile mesenchymal cells. This important process was initially recognized during several critical stages of embryonic development and has more recently been implicated in promoting carcinoma invasion and metastasis. In this review, we summarize and compare major signaling pathways that regulate the epithelial-mesenchymal transitions during both development and tumor metastasis. Studies in both fields are critical for our molecular understanding of cell migration and morphogenesis.", "author" : [ { "dropping-particle" : "", "family" : "Yang", "given" : "Jing", "non-dropping-particle" : "", "parse-names" : false, "suffix" : "" }, { "dropping-particle" : "", "family" : "Weinberg", "given" : "Robert a", "non-dropping-particle" : "", "parse-names" : false, "suffix" : "" } ], "container-title" : "Developmental cell", "id" : "ITEM-1", "issue" : "6", "issued" : { "date-parts" : [ [ "2008", "6" ] ] }, "page" : "818-29", "title" : "Epithelial-mesenchymal transition: at the crossroads of development and tumor metastasis.", "type" : "article-journal", "volume" : "14" }, "uris" : [ "http://www.mendeley.com/documents/?uuid=90cf5e36-55dc-44b4-8e55-0f3b822c34f9" ] } ], "mendeley" : { "previouslyFormattedCitation" : "&lt;sup&gt;32&lt;/sup&gt;" }, "properties" : { "noteIndex" : 0 }, "schema" : "https://github.com/citation-style-language/schema/raw/master/csl-citation.json" }</w:instrText>
      </w:r>
      <w:r w:rsidR="0036708D" w:rsidRPr="007E40FA">
        <w:rPr>
          <w:rFonts w:ascii="Times New Roman" w:hAnsi="Times New Roman"/>
          <w:sz w:val="24"/>
          <w:szCs w:val="24"/>
        </w:rPr>
        <w:fldChar w:fldCharType="separate"/>
      </w:r>
      <w:r w:rsidR="007F0560" w:rsidRPr="007E40FA">
        <w:rPr>
          <w:rFonts w:ascii="Times New Roman" w:hAnsi="Times New Roman"/>
          <w:noProof/>
          <w:sz w:val="24"/>
          <w:szCs w:val="24"/>
          <w:vertAlign w:val="superscript"/>
        </w:rPr>
        <w:t>32</w:t>
      </w:r>
      <w:r w:rsidR="0036708D" w:rsidRPr="007E40FA">
        <w:rPr>
          <w:rFonts w:ascii="Times New Roman" w:hAnsi="Times New Roman"/>
          <w:sz w:val="24"/>
          <w:szCs w:val="24"/>
        </w:rPr>
        <w:fldChar w:fldCharType="end"/>
      </w:r>
      <w:r w:rsidR="00E54D85" w:rsidRPr="007E40FA">
        <w:rPr>
          <w:rFonts w:ascii="Times New Roman" w:hAnsi="Times New Roman"/>
          <w:sz w:val="24"/>
          <w:szCs w:val="24"/>
        </w:rPr>
        <w:t xml:space="preserve">. Several studies have recently demonstrated that the presence of these </w:t>
      </w:r>
      <w:proofErr w:type="spellStart"/>
      <w:r w:rsidR="00E54D85" w:rsidRPr="007E40FA">
        <w:rPr>
          <w:rFonts w:ascii="Times New Roman" w:hAnsi="Times New Roman"/>
          <w:sz w:val="24"/>
          <w:szCs w:val="24"/>
        </w:rPr>
        <w:t>mesenchymal</w:t>
      </w:r>
      <w:proofErr w:type="spellEnd"/>
      <w:r w:rsidR="00E54D85" w:rsidRPr="007E40FA">
        <w:rPr>
          <w:rFonts w:ascii="Times New Roman" w:hAnsi="Times New Roman"/>
          <w:sz w:val="24"/>
          <w:szCs w:val="24"/>
        </w:rPr>
        <w:t xml:space="preserve"> markers in CTCs are predictive of poorer prognosis and that many of these cells lack expression of epithelial markers that would be necessary for their detection using the </w:t>
      </w:r>
      <w:r w:rsidR="004C0272" w:rsidRPr="007E40FA">
        <w:rPr>
          <w:rFonts w:ascii="Times New Roman" w:hAnsi="Times New Roman"/>
          <w:sz w:val="24"/>
          <w:szCs w:val="24"/>
        </w:rPr>
        <w:t>CSS</w:t>
      </w:r>
      <w:r w:rsidR="0036708D" w:rsidRPr="007E40FA">
        <w:rPr>
          <w:rFonts w:ascii="Times New Roman" w:hAnsi="Times New Roman"/>
          <w:sz w:val="24"/>
          <w:szCs w:val="24"/>
        </w:rPr>
        <w:fldChar w:fldCharType="begin" w:fldLock="1"/>
      </w:r>
      <w:r w:rsidR="007F0560" w:rsidRPr="007E40FA">
        <w:rPr>
          <w:rFonts w:ascii="Times New Roman" w:hAnsi="Times New Roman"/>
          <w:sz w:val="24"/>
          <w:szCs w:val="24"/>
        </w:rPr>
        <w:instrText>ADDIN CSL_CITATION { "citationItems" : [ { "id" : "ITEM-1", "itemData" : { "DOI" : "10.1111/j.1582-4934.2011.01285.x", "ISSN" : "1582-4934", "PMID" : "21352474", "abstract" : "Circulating tumour cells (CTCs) are independent predictor of prognosis in metastatic breast cancer. Nevertheless, in one third of patients, circulating tumour cells are undetected by conventional methods. Aim of the study was to assess the prognostic value of circulating tumour cells expressing mesenchymal markers in metastatic breast cancer patients. We isolated CTC from blood of 55 metastatic breast cancer patients. CTC were characterized for cytokeratins and markers of epithelial mesenchymal transition. The gain of mesenchymal markers in CTC was correlated to prognosis of patients in a follow-up of 24 months. The presence of mesenchymal markers on CTC more accurately predicted worse prognosis than the expression of cytokeratins alone. Because of the frequent loss of epithelial antigens by CTC, assays targeting epithelial antigens may miss the most invasive cell population. Thus, there is an urgent need to improve detection methods to identify CTC which undergone epithelial mesenchymal transition program.", "author" : [ { "dropping-particle" : "", "family" : "Gradilone", "given" : "Angela", "non-dropping-particle" : "", "parse-names" : false, "suffix" : "" }, { "dropping-particle" : "", "family" : "Raimondi", "given" : "Cristina", "non-dropping-particle" : "", "parse-names" : false, "suffix" : "" }, { "dropping-particle" : "", "family" : "Nicolazzo", "given" : "Chiara", "non-dropping-particle" : "", "parse-names" : false, "suffix" : "" }, { "dropping-particle" : "", "family" : "Petracca", "given" : "Arianna", "non-dropping-particle" : "", "parse-names" : false, "suffix" : "" }, { "dropping-particle" : "", "family" : "Gandini", "given" : "Orietta", "non-dropping-particle" : "", "parse-names" : false, "suffix" : "" }, { "dropping-particle" : "", "family" : "Vincenzi", "given" : "Bruno", "non-dropping-particle" : "", "parse-names" : false, "suffix" : "" }, { "dropping-particle" : "", "family" : "Naso", "given" : "Giuseppe", "non-dropping-particle" : "", "parse-names" : false, "suffix" : "" }, { "dropping-particle" : "", "family" : "Aglian\u00f2", "given" : "Anna Maria", "non-dropping-particle" : "", "parse-names" : false, "suffix" : "" }, { "dropping-particle" : "", "family" : "Cortesi", "given" : "Enrico", "non-dropping-particle" : "", "parse-names" : false, "suffix" : "" }, { "dropping-particle" : "", "family" : "Gazzaniga", "given" : "Paola", "non-dropping-particle" : "", "parse-names" : false, "suffix" : "" } ], "container-title" : "Journal of cellular and molecular medicine", "id" : "ITEM-1", "issue" : "5", "issued" : { "date-parts" : [ [ "2011", "5" ] ] }, "page" : "1066-70", "title" : "Circulating tumour cells lacking cytokeratin in breast cancer: the importance of being mesenchymal.", "type" : "article-journal", "volume" : "15" }, "uris" : [ "http://www.mendeley.com/documents/?uuid=2df416ac-f71d-42b0-a565-c49ad92676d1" ] }, { "id" : "ITEM-2", "itemData" : { "ISSN" : "1651-226X", "PMID" : "21261508", "abstract" : "Abstract Background. Immunomagnetic EpCAM based methods are used to enrich circulating tumor cells (CTCs) in metastatic breast cancer (mBC) patients. EpCAM negative CTCs may be missed. We addressed the question of the reliability of an EpCAM dependent assay to enrich CTCs. Methods. To elucidate this issue, our study has been designed to assess two different CTC enrichment technologies (i) in EpCAM positive (+) and EpCAM negative cell lines and (ii) in mBC patients in dependency on their respective EpCAM expression. These two technologies encompass one anti-EpCAM immunomagnetic enrichment technology, MACS HEA MicroBeads(\u00ae) (MACS), and one EpCAM independent density centrifugation method, OncoQuick(\u00ae) plus (OQ+). Furthermore, the coherence between EpCAM expression in the primary tumor tissue of mBC patients and the CTC detection rates in the corresponding patients is analyzed. Results. (i) MACS recovered significantly more EpCAM (+) than EpCAM (-) tumor cells (p &lt; 0.001) in spiked blood samples. With OQ+ no significantly different recovery rates between EpCAM (+) and EpCAM (-) tumor cells (p = 0.796) were detected. (ii) In mBC patients MACS yielded a significantly higher (p = 0.024) detection rate of EpCAM (+) CTCs. No statistically significant difference (p = 0.070) was found concerning the EpCAM status-based detection rate of CTCs by OQ+. (iii) CTC detection rates are independent of the primary tumors\u00b4 EpCAM expression. Conclusions. EpCAM (-) CTCs can not be detected by immunomagnetic EpCAM dependent enrichment methods. EpCAM independent enrichment technologies seem to be superior to detect the entire CTC population. Evaluation of CTCs as prognostic marker should compromise EpCAM (+) and (-) subpopulations.", "author" : [ { "dropping-particle" : "", "family" : "K\u00f6nigsberg", "given" : "Robert", "non-dropping-particle" : "", "parse-names" : false, "suffix" : "" }, { "dropping-particle" : "", "family" : "Obermayr", "given" : "Eva", "non-dropping-particle" : "", "parse-names" : false, "suffix" : "" }, { "dropping-particle" : "", "family" : "Bises", "given" : "Giovanna", "non-dropping-particle" : "", "parse-names" : false, "suffix" : "" }, { "dropping-particle" : "", "family" : "Pfeiler", "given" : "Georg", "non-dropping-particle" : "", "parse-names" : false, "suffix" : "" }, { "dropping-particle" : "", "family" : "Gneist", "given" : "Margit", "non-dropping-particle" : "", "parse-names" : false, "suffix" : "" }, { "dropping-particle" : "", "family" : "Wrba", "given" : "Fritz", "non-dropping-particle" : "", "parse-names" : false, "suffix" : "" }, { "dropping-particle" : "", "family" : "Santis", "given" : "Maria", "non-dropping-particle" : "De", "parse-names" : false, "suffix" : "" }, { "dropping-particle" : "", "family" : "Zeillinger", "given" : "Robert", "non-dropping-particle" : "", "parse-names" : false, "suffix" : "" }, { "dropping-particle" : "", "family" : "Hudec", "given" : "Marcus", "non-dropping-particle" : "", "parse-names" : false, "suffix" : "" }, { "dropping-particle" : "", "family" : "Dittrich", "given" : "Christian", "non-dropping-particle" : "", "parse-names" : false, "suffix" : "" } ], "container-title" : "Acta oncologica (Stockholm, Sweden)", "id" : "ITEM-2", "issue" : "Epub", "issued" : { "date-parts" : [ [ "2011", "1", "24" ] ] }, "page" : "Epub", "title" : "Detection of EpCAM positive and negative circulating tumor cells in metastatic breast cancer patients.", "type" : "article-journal", "volume" : "Epub" }, "uris" : [ "http://www.mendeley.com/documents/?uuid=3c466b00-be97-45fe-a7c9-a45f9e16c37c" ] }, { "id" : "ITEM-3", "itemData" : { "DOI" : "10.1186/bcr3099", "ISSN" : "1465-542X", "PMID" : "22264265", "abstract" : "ABSTRACT:  INTRODUCTION: The presence of circulating tumor cells (CTC) in breast cancer might be associated with stem cell like tumor cells which have been suggested to be the active source of metastatic spread in primary tumors. Furthermore, to be able to disseminate and metastasize, CTC must be able to perform epithelial-mesenchymal transition (EMT). We studied the expression of three EMT markers and the stem cell marker ALDH1 in CTC from 502 primary breast cancer patients. Data were correlated with the presence of disseminated tumor cells (DTC) in the bone marrow (BM) and clinicopathological data of the patients. METHODS: 2 x 5 ml blood was analyzed for CTC with the AdnaTest BreastCancer (AdnaGen AG) for the detection of EpCAM, MUC-1, HER2 and beta-Actin transcripts. The recovered c-DNA was additionally multiplex tested for three EMT markers [TWIST1, Akt2, PI3Kalpha] and separately for the tumor stem cell marker ALDH1. The identification of EMT markers was considered positive if at least one marker was detected in the sample. Two BM aspirates from all patients were analyzed for DTC by immunocytochemistry using the pan-cytokeratin antibody A45-B/B3.  RESULTS: 97% of 30 healthy donor samples investigated were negative for EMT and 95% for ALDH1 transcripts, respectively. CTCs were detected in 97/502 (19%) patients. At least one of the EMT markers was expressed in 29% and ALDH1 was present in 14% of the samples, respectively. Interestingly, 5% of the ALDH1-positive and 18% of the EMT-positive patients were CTC-negative based on the cut-off level determined for CTC-positivity applying the AdnaTest BreastCancer. DTC in the BM were detected in 107/502 (21%) patients and no correlation was found between BM status and CTC positivity (p=0.41). The presence of CTC, EMT and ALDH1 expression was not correlated to any of the prognostic clinical markers.  CONCLUSION: Our data indicate that (1) a subset of primary breast cancer patients shows EMT and stem cell characteristics and (2) the currently used detection methods for CTC are not efficient to identify a subtype of CTC which underwent EMT. (3) The clinical relevance on prognosis and therapy response has to be further evaluated in a prospective trial.", "author" : [ { "dropping-particle" : "", "family" : "Kasimir-Bauer", "given" : "Sabine", "non-dropping-particle" : "", "parse-names" : false, "suffix" : "" }, { "dropping-particle" : "", "family" : "Hoffmann", "given" : "Oliver", "non-dropping-particle" : "", "parse-names" : false, "suffix" : "" }, { "dropping-particle" : "", "family" : "Wallwiener", "given" : "Diethelm", "non-dropping-particle" : "", "parse-names" : false, "suffix" : "" }, { "dropping-particle" : "", "family" : "Kimmig", "given" : "Rainer", "non-dropping-particle" : "", "parse-names" : false, "suffix" : "" }, { "dropping-particle" : "", "family" : "Fehm", "given" : "Tanja", "non-dropping-particle" : "", "parse-names" : false, "suffix" : "" } ], "container-title" : "Breast cancer research : BCR", "id" : "ITEM-3", "issue" : "1", "issued" : { "date-parts" : [ [ "2012", "1", "20" ] ] }, "page" : "R15", "title" : "Expression of stem cell and epithelial-mesenchymal transition markers in primary breast cancer patients with circulating tumor cells.", "type" : "article-journal", "volume" : "14" }, "uris" : [ "http://www.mendeley.com/documents/?uuid=93b74a65-20fd-41ab-9727-6c81f10ccc28" ] }, { "id" : "ITEM-4", "itemData" : { "ISSN" : "1097-0215", "PMID" : "21387303", "abstract" : "Epithelial cancer cells are likely to undergo epithelial mesenchymal transition (EMT) prior to entering the peripheral circulation. By undergoing EMT, circulating tumor cells (CTCs) lose epithelial markers and may escape detection by conventional methods. Therefore, we conducted a pilot study to investigate mRNA transcripts of EMT-inducing transcription factors (TFs) in tumor cells from the peripheral blood (PB) of primary breast cancer (PBC) patients. Peripheral blood mononuclear cells were isolated from 52 stages I-III PBC patients and 30 healthy donors (HD) and sequentially depleted of EpCAM(+) cells and CD45(+) leukocytes, henceforth referred to as CD45(-) . The expression levels of EMT-inducing TFs (TWIST1, SNAIL1, SLUG, ZEB1, and FOXC2) in the CD45(-) cells were determined using qRT-PCR. The highest level of expression by the CD45(-) cell fraction of HD was used as \"cut off\" to determine if samples from PBC patients overexpressed any EMT-inducing TFs. In total, 15.4% of PBC patients overexpressed at least one of the EMT-inducing TF transcripts. Overexpression of any EMT-inducing TF transcripts was more likely to be detected in PBC patients who received neoadjuvant therapies (NAT) than patients who received no NAT (P = 0.003). Concurrently, CTCs were detected in 7 out of 38 (18.4%) patients by CellSearch\u00ae and 15 out of 42 (35.7%) patients by AdnaTest\u2122. There was no association between the presence of CTCs measured by CellSearch\u00ae or AdnaTest\u2122. In summary, our results demonstrate that CTCs with EMT phenotype may occur in the peripheral circulation of PBC patients and NAT is unable to eliminate CTCs undergoing EMT.", "author" : [ { "dropping-particle" : "", "family" : "Mego", "given" : "Michal", "non-dropping-particle" : "", "parse-names" : false, "suffix" : "" }, { "dropping-particle" : "", "family" : "Mani", "given" : "Sendurai A", "non-dropping-particle" : "", "parse-names" : false, "suffix" : "" }, { "dropping-particle" : "", "family" : "Lee", "given" : "Bang-Ning", "non-dropping-particle" : "", "parse-names" : false, "suffix" : "" }, { "dropping-particle" : "", "family" : "Li", "given" : "Changping", "non-dropping-particle" : "", "parse-names" : false, "suffix" : "" }, { "dropping-particle" : "", "family" : "Evans", "given" : "Kurt W", "non-dropping-particle" : "", "parse-names" : false, "suffix" : "" }, { "dropping-particle" : "", "family" : "Cohen", "given" : "Evan N", "non-dropping-particle" : "", "parse-names" : false, "suffix" : "" }, { "dropping-particle" : "", "family" : "Gao", "given" : "Hui", "non-dropping-particle" : "", "parse-names" : false, "suffix" : "" }, { "dropping-particle" : "", "family" : "Jackson", "given" : "Summer A", "non-dropping-particle" : "", "parse-names" : false, "suffix" : "" }, { "dropping-particle" : "", "family" : "Giordano", "given" : "Antonio", "non-dropping-particle" : "", "parse-names" : false, "suffix" : "" }, { "dropping-particle" : "", "family" : "Hortobagyi", "given" : "Gabriel N", "non-dropping-particle" : "", "parse-names" : false, "suffix" : "" }, { "dropping-particle" : "", "family" : "Cristofanilli", "given" : "Massimo", "non-dropping-particle" : "", "parse-names" : false, "suffix" : "" }, { "dropping-particle" : "", "family" : "Lucci", "given" : "Anthony", "non-dropping-particle" : "", "parse-names" : false, "suffix" : "" }, { "dropping-particle" : "", "family" : "Reuben", "given" : "James M", "non-dropping-particle" : "", "parse-names" : false, "suffix" : "" } ], "container-title" : "International journal of cancer. Journal international du cancer", "id" : "ITEM-4", "issue" : "Epub", "issued" : { "date-parts" : [ [ "2011", "3", "8" ] ] }, "page" : "Epub", "title" : "Expression of epithelial-mesenchymal transition-inducing transcription factors in primary breast cancer: The effect of neoadjuvant therapy.", "type" : "article-journal", "volume" : "Epub" }, "uris" : [ "http://www.mendeley.com/documents/?uuid=e59eb01c-66e2-4857-a8da-98b1387f1c81" ] }, { "id" : "ITEM-5", "itemData" : { "DOI" : "10.1126/science.1228522", "ISSN" : "1095-9203", "PMID" : "23372014", "abstract" : "Epithelial-mesenchymal transition (EMT) of adherent epithelial cells to a migratory mesenchymal state has been implicated in tumor metastasis in preclinical models. To investigate its role in human cancer, we characterized EMT in circulating tumor cells (CTCs) from breast cancer patients. Rare primary tumor cells simultaneously expressed mesenchymal and epithelial markers, but mesenchymal cells were highly enriched in CTCs. Serial CTC monitoring in 11 patients suggested an association of mesenchymal CTCs with disease progression. In an index patient, reversible shifts between these cell fates accompanied each cycle of response to therapy and disease progression. Mesenchymal CTCs occurred as both single cells and multicellular clusters, expressing known EMT regulators, including transforming growth factor (TGF)-\u03b2 pathway components and the FOXC1 transcription factor. These data support a role for EMT in the blood-borne dissemination of human breast cancer.", "author" : [ { "dropping-particle" : "", "family" : "Yu", "given" : "Min", "non-dropping-particle" : "", "parse-names" : false, "suffix" : "" }, { "dropping-particle" : "", "family" : "Bardia", "given" : "Aditya", "non-dropping-particle" : "", "parse-names" : false, "suffix" : "" }, { "dropping-particle" : "", "family" : "Wittner", "given" : "Ben S", "non-dropping-particle" : "", "parse-names" : false, "suffix" : "" }, { "dropping-particle" : "", "family" : "Stott", "given" : "Shannon L", "non-dropping-particle" : "", "parse-names" : false, "suffix" : "" }, { "dropping-particle" : "", "family" : "Smas", "given" : "Malgorzata E", "non-dropping-particle" : "", "parse-names" : false, "suffix" : "" }, { "dropping-particle" : "", "family" : "Ting", "given" : "David T", "non-dropping-particle" : "", "parse-names" : false, "suffix" : "" }, { "dropping-particle" : "", "family" : "Isakoff", "given" : "Steven J", "non-dropping-particle" : "", "parse-names" : false, "suffix" : "" }, { "dropping-particle" : "", "family" : "Ciciliano", "given" : "Jordan C", "non-dropping-particle" : "", "parse-names" : false, "suffix" : "" }, { "dropping-particle" : "", "family" : "Wells", "given" : "Marissa N", "non-dropping-particle" : "", "parse-names" : false, "suffix" : "" }, { "dropping-particle" : "", "family" : "Shah", "given" : "Ajay M", "non-dropping-particle" : "", "parse-names" : false, "suffix" : "" }, { "dropping-particle" : "", "family" : "Concannon", "given" : "Kyle F", "non-dropping-particle" : "", "parse-names" : false, "suffix" : "" }, { "dropping-particle" : "", "family" : "Donaldson", "given" : "Maria C", "non-dropping-particle" : "", "parse-names" : false, "suffix" : "" }, { "dropping-particle" : "V", "family" : "Sequist", "given" : "Lecia", "non-dropping-particle" : "", "parse-names" : false, "suffix" : "" }, { "dropping-particle" : "", "family" : "Brachtel", "given" : "Elena", "non-dropping-particle" : "", "parse-names" : false, "suffix" : "" }, { "dropping-particle" : "", "family" : "Sgroi", "given" : "Dennis", "non-dropping-particle" : "", "parse-names" : false, "suffix" : "" }, { "dropping-particle" : "", "family" : "Baselga", "given" : "Jose", "non-dropping-particle" : "", "parse-names" : false, "suffix" : "" }, { "dropping-particle" : "", "family" : "Ramaswamy", "given" : "Sridhar", "non-dropping-particle" : "", "parse-names" : false, "suffix" : "" }, { "dropping-particle" : "", "family" : "Toner", "given" : "Mehmet", "non-dropping-particle" : "", "parse-names" : false, "suffix" : "" }, { "dropping-particle" : "", "family" : "Haber", "given" : "Daniel a", "non-dropping-particle" : "", "parse-names" : false, "suffix" : "" }, { "dropping-particle" : "", "family" : "Maheswaran", "given" : "Shyamala", "non-dropping-particle" : "", "parse-names" : false, "suffix" : "" } ], "container-title" : "Science (New York, N.Y.)", "id" : "ITEM-5", "issue" : "6119", "issued" : { "date-parts" : [ [ "2013", "2", "1" ] ] }, "page" : "580-4", "title" : "Circulating breast tumor cells exhibit dynamic changes in epithelial and mesenchymal composition.", "type" : "article-journal", "volume" : "339" }, "uris" : [ "http://www.mendeley.com/documents/?uuid=a1055e5a-319a-40d6-b05e-5f870d7bc918" ] }, { "id" : "ITEM-6", "itemData" : { "DOI" : "10.1186/1471-2407-12-178", "ISSN" : "1471-2407", "PMID" : "22591372", "abstract" : "Circulating tumour cells (CTCs) have shown prognostic relevance in metastatic breast, prostate, colon and pancreatic cancer. For further development of CTCs as a biomarker, we compared the performance of different protocols for CTC detection in murine breast cancer xenograft models (MDA-MB-231, MDA-MB-468 and KPL-4). Blood samples were taken from tumour bearing animals (20 to 200\u2009mm2) and analysed for CTCs using 1. an epithelial marker based enrichment method (AdnaTest), 2. an antibody independent technique, targeting human gene transcripts (qualitative PCR), and 3. an antibody-independent approach, targeting human DNA-sequences (quantitative PCR). Further, gene expression changes associated with epithelial-to-mesenchymal transition (EMT) were determined with an EMT-specific PCR assay.", "author" : [ { "dropping-particle" : "", "family" : "Gorges", "given" : "Tobias M", "non-dropping-particle" : "", "parse-names" : false, "suffix" : "" }, { "dropping-particle" : "", "family" : "Tinhofer", "given" : "Ingeborg", "non-dropping-particle" : "", "parse-names" : false, "suffix" : "" }, { "dropping-particle" : "", "family" : "Drosch", "given" : "Michael", "non-dropping-particle" : "", "parse-names" : false, "suffix" : "" }, { "dropping-particle" : "", "family" : "R\u00f6se", "given" : "Lars", "non-dropping-particle" : "", "parse-names" : false, "suffix" : "" }, { "dropping-particle" : "", "family" : "Zollner", "given" : "Thomas M", "non-dropping-particle" : "", "parse-names" : false, "suffix" : "" }, { "dropping-particle" : "", "family" : "Krahn", "given" : "Thomas", "non-dropping-particle" : "", "parse-names" : false, "suffix" : "" }, { "dropping-particle" : "", "family" : "Ahsen", "given" : "Oliver", "non-dropping-particle" : "von", "parse-names" : false, "suffix" : "" } ], "container-title" : "BMC cancer", "id" : "ITEM-6", "issued" : { "date-parts" : [ [ "2012", "1" ] ] }, "page" : "178", "title" : "Circulating tumour cells escape from EpCAM-based detection due to epithelial-to-mesenchymal transition.", "type" : "article-journal", "volume" : "12" }, "uris" : [ "http://www.mendeley.com/documents/?uuid=8a1b6d65-8451-481f-9516-38d7108d6767" ] }, { "id" : "ITEM-7", "itemData" : { "DOI" : "10.1158/1541-7786.MCR-10-0490", "ISSN" : "1557-3125", "PMID" : "21665936", "abstract" : "During cancer progression, malignant cells undergo epithelial-mesenchymal transitions (EMT) and mesenchymal-epithelial transitions (MET) as part of a broad invasion and metastasis program. We previously observed MET events among lung metastases in a preclinical model of prostate adenocarcinoma that suggested a relationship between epithelial plasticity and metastatic spread. We thus sought to translate these findings into clinical evidence by examining the existence of EMT in circulating tumor cells (CTC) from patients with progressive metastatic solid tumors, with a focus on men with castration-resistant prostate cancer (CRPC) and women with metastatic breast cancer. We showed that the majority (&gt; 80%) of these CTCs in patients with metastatic CRPC coexpress epithelial proteins such as epithelial cell adhesion molecule (EpCAM), cytokeratins (CK), and E-cadherin, with mesenchymal proteins including vimentin, N-cadherin and O-cadherin, and the stem cell marker CD133. Equally, we found that more than 75% of CTCs from women with metastatic breast cancer coexpress CK, vimentin, and N-cadherin. The existence and high frequency of these CTCs coexpressing epithelial, mesenchymal, and stem cell markers in patients with progressive metastases has important implications for the application and interpretation of approved methods to detect CTCs.", "author" : [ { "dropping-particle" : "", "family" : "Armstrong", "given" : "Andrew J", "non-dropping-particle" : "", "parse-names" : false, "suffix" : "" }, { "dropping-particle" : "", "family" : "Marengo", "given" : "Matthew S", "non-dropping-particle" : "", "parse-names" : false, "suffix" : "" }, { "dropping-particle" : "", "family" : "Oltean", "given" : "Sebastian", "non-dropping-particle" : "", "parse-names" : false, "suffix" : "" }, { "dropping-particle" : "", "family" : "Kemeny", "given" : "Gabor", "non-dropping-particle" : "", "parse-names" : false, "suffix" : "" }, { "dropping-particle" : "", "family" : "Bitting", "given" : "Rhonda L", "non-dropping-particle" : "", "parse-names" : false, "suffix" : "" }, { "dropping-particle" : "", "family" : "Turnbull", "given" : "James D", "non-dropping-particle" : "", "parse-names" : false, "suffix" : "" }, { "dropping-particle" : "", "family" : "Herold", "given" : "Christina I", "non-dropping-particle" : "", "parse-names" : false, "suffix" : "" }, { "dropping-particle" : "", "family" : "Marcom", "given" : "Paul K", "non-dropping-particle" : "", "parse-names" : false, "suffix" : "" }, { "dropping-particle" : "", "family" : "George", "given" : "Daniel J", "non-dropping-particle" : "", "parse-names" : false, "suffix" : "" }, { "dropping-particle" : "", "family" : "Garcia-Blanco", "given" : "Mariano a", "non-dropping-particle" : "", "parse-names" : false, "suffix" : "" } ], "container-title" : "Molecular cancer research : MCR", "id" : "ITEM-7", "issue" : "8", "issued" : { "date-parts" : [ [ "2011", "8" ] ] }, "page" : "997-1007", "title" : "Circulating tumor cells from patients with advanced prostate and breast cancer display both epithelial and mesenchymal markers.", "type" : "article-journal", "volume" : "9" }, "uris" : [ "http://www.mendeley.com/documents/?uuid=a3924191-3dec-47bf-bb3f-2a9a44b4fb81" ] } ], "mendeley" : { "previouslyFormattedCitation" : "&lt;sup&gt;24,33\u201338&lt;/sup&gt;" }, "properties" : { "noteIndex" : 0 }, "schema" : "https://github.com/citation-style-language/schema/raw/master/csl-citation.json" }</w:instrText>
      </w:r>
      <w:r w:rsidR="0036708D" w:rsidRPr="007E40FA">
        <w:rPr>
          <w:rFonts w:ascii="Times New Roman" w:hAnsi="Times New Roman"/>
          <w:sz w:val="24"/>
          <w:szCs w:val="24"/>
        </w:rPr>
        <w:fldChar w:fldCharType="separate"/>
      </w:r>
      <w:r w:rsidR="007F0560" w:rsidRPr="007E40FA">
        <w:rPr>
          <w:rFonts w:ascii="Times New Roman" w:hAnsi="Times New Roman"/>
          <w:noProof/>
          <w:sz w:val="24"/>
          <w:szCs w:val="24"/>
          <w:vertAlign w:val="superscript"/>
        </w:rPr>
        <w:t>24,33–38</w:t>
      </w:r>
      <w:r w:rsidR="0036708D" w:rsidRPr="007E40FA">
        <w:rPr>
          <w:rFonts w:ascii="Times New Roman" w:hAnsi="Times New Roman"/>
          <w:sz w:val="24"/>
          <w:szCs w:val="24"/>
        </w:rPr>
        <w:fldChar w:fldCharType="end"/>
      </w:r>
      <w:r w:rsidR="00E54D85" w:rsidRPr="007E40FA">
        <w:rPr>
          <w:rFonts w:ascii="Times New Roman" w:hAnsi="Times New Roman"/>
          <w:sz w:val="24"/>
          <w:szCs w:val="24"/>
        </w:rPr>
        <w:t xml:space="preserve">. This suggests that the standard </w:t>
      </w:r>
      <w:r w:rsidR="004C0272" w:rsidRPr="007E40FA">
        <w:rPr>
          <w:rFonts w:ascii="Times New Roman" w:hAnsi="Times New Roman"/>
          <w:sz w:val="24"/>
          <w:szCs w:val="24"/>
        </w:rPr>
        <w:t>CSS</w:t>
      </w:r>
      <w:r w:rsidR="00E54D85" w:rsidRPr="007E40FA">
        <w:rPr>
          <w:rFonts w:ascii="Times New Roman" w:hAnsi="Times New Roman"/>
          <w:sz w:val="24"/>
          <w:szCs w:val="24"/>
        </w:rPr>
        <w:t xml:space="preserve"> definition may be missing some of the most </w:t>
      </w:r>
      <w:r w:rsidRPr="007E40FA">
        <w:rPr>
          <w:rFonts w:ascii="Times New Roman" w:hAnsi="Times New Roman"/>
          <w:sz w:val="24"/>
          <w:szCs w:val="24"/>
        </w:rPr>
        <w:t>aggressive CTCs</w:t>
      </w:r>
      <w:r w:rsidR="00E54D85" w:rsidRPr="007E40FA">
        <w:rPr>
          <w:rFonts w:ascii="Times New Roman" w:hAnsi="Times New Roman"/>
          <w:sz w:val="24"/>
          <w:szCs w:val="24"/>
        </w:rPr>
        <w:t>.</w:t>
      </w:r>
      <w:r w:rsidRPr="007E40FA">
        <w:rPr>
          <w:rFonts w:ascii="Times New Roman" w:hAnsi="Times New Roman"/>
          <w:sz w:val="24"/>
          <w:szCs w:val="24"/>
        </w:rPr>
        <w:t xml:space="preserve"> </w:t>
      </w:r>
      <w:r w:rsidR="00E54D85" w:rsidRPr="007E40FA">
        <w:rPr>
          <w:rFonts w:ascii="Times New Roman" w:hAnsi="Times New Roman"/>
          <w:sz w:val="24"/>
          <w:szCs w:val="24"/>
        </w:rPr>
        <w:t xml:space="preserve"> </w:t>
      </w:r>
    </w:p>
    <w:p w:rsidR="003F3597" w:rsidRPr="007E40FA" w:rsidRDefault="00425E34" w:rsidP="001F0875">
      <w:pPr>
        <w:autoSpaceDE w:val="0"/>
        <w:autoSpaceDN w:val="0"/>
        <w:adjustRightInd w:val="0"/>
        <w:spacing w:after="0" w:line="240" w:lineRule="auto"/>
        <w:jc w:val="both"/>
        <w:rPr>
          <w:rFonts w:ascii="Times New Roman" w:eastAsiaTheme="minorHAnsi" w:hAnsi="Times New Roman"/>
          <w:sz w:val="24"/>
          <w:szCs w:val="24"/>
        </w:rPr>
      </w:pPr>
      <w:r w:rsidRPr="007E40FA">
        <w:rPr>
          <w:rFonts w:ascii="Times New Roman" w:hAnsi="Times New Roman"/>
          <w:sz w:val="24"/>
          <w:szCs w:val="24"/>
        </w:rPr>
        <w:t xml:space="preserve">Despite the described limitations, </w:t>
      </w:r>
      <w:r w:rsidR="00EB225B" w:rsidRPr="007E40FA">
        <w:rPr>
          <w:rFonts w:ascii="Times New Roman" w:hAnsi="Times New Roman"/>
          <w:sz w:val="24"/>
          <w:szCs w:val="24"/>
        </w:rPr>
        <w:t xml:space="preserve">it is anticipated </w:t>
      </w:r>
      <w:r w:rsidRPr="007E40FA">
        <w:rPr>
          <w:rFonts w:ascii="Times New Roman" w:hAnsi="Times New Roman"/>
          <w:sz w:val="24"/>
          <w:szCs w:val="24"/>
        </w:rPr>
        <w:t xml:space="preserve">the </w:t>
      </w:r>
      <w:r w:rsidR="003F3597" w:rsidRPr="007E40FA">
        <w:rPr>
          <w:rFonts w:ascii="Times New Roman" w:hAnsi="Times New Roman"/>
          <w:sz w:val="24"/>
          <w:szCs w:val="24"/>
        </w:rPr>
        <w:t>protocols</w:t>
      </w:r>
      <w:r w:rsidRPr="007E40FA">
        <w:rPr>
          <w:rFonts w:ascii="Times New Roman" w:hAnsi="Times New Roman"/>
          <w:sz w:val="24"/>
          <w:szCs w:val="24"/>
        </w:rPr>
        <w:t xml:space="preserve"> described in this manuscript will be important tools for improved CTC analysis</w:t>
      </w:r>
      <w:r w:rsidR="009E30BC" w:rsidRPr="007E40FA">
        <w:rPr>
          <w:rFonts w:ascii="Times New Roman" w:hAnsi="Times New Roman"/>
          <w:sz w:val="24"/>
          <w:szCs w:val="24"/>
        </w:rPr>
        <w:t xml:space="preserve"> using the </w:t>
      </w:r>
      <w:r w:rsidR="004C0272" w:rsidRPr="007E40FA">
        <w:rPr>
          <w:rFonts w:ascii="Times New Roman" w:hAnsi="Times New Roman"/>
          <w:sz w:val="24"/>
          <w:szCs w:val="24"/>
        </w:rPr>
        <w:t>CSS</w:t>
      </w:r>
      <w:r w:rsidR="009E30BC" w:rsidRPr="007E40FA">
        <w:rPr>
          <w:rFonts w:ascii="Times New Roman" w:hAnsi="Times New Roman"/>
          <w:sz w:val="24"/>
          <w:szCs w:val="24"/>
        </w:rPr>
        <w:t>, development of novel CTC t</w:t>
      </w:r>
      <w:r w:rsidR="005E5B56" w:rsidRPr="007E40FA">
        <w:rPr>
          <w:rFonts w:ascii="Times New Roman" w:hAnsi="Times New Roman"/>
          <w:sz w:val="24"/>
          <w:szCs w:val="24"/>
        </w:rPr>
        <w:t>echn</w:t>
      </w:r>
      <w:r w:rsidR="009E30BC" w:rsidRPr="007E40FA">
        <w:rPr>
          <w:rFonts w:ascii="Times New Roman" w:hAnsi="Times New Roman"/>
          <w:sz w:val="24"/>
          <w:szCs w:val="24"/>
        </w:rPr>
        <w:t>ologies</w:t>
      </w:r>
      <w:r w:rsidRPr="007E40FA">
        <w:rPr>
          <w:rFonts w:ascii="Times New Roman" w:hAnsi="Times New Roman"/>
          <w:sz w:val="24"/>
          <w:szCs w:val="24"/>
        </w:rPr>
        <w:t xml:space="preserve">, </w:t>
      </w:r>
      <w:r w:rsidR="005E5B56" w:rsidRPr="007E40FA">
        <w:rPr>
          <w:rFonts w:ascii="Times New Roman" w:hAnsi="Times New Roman"/>
          <w:sz w:val="24"/>
          <w:szCs w:val="24"/>
        </w:rPr>
        <w:t>optimization</w:t>
      </w:r>
      <w:r w:rsidRPr="007E40FA">
        <w:rPr>
          <w:rFonts w:ascii="Times New Roman" w:hAnsi="Times New Roman"/>
          <w:sz w:val="24"/>
          <w:szCs w:val="24"/>
        </w:rPr>
        <w:t xml:space="preserve"> of user-defined markers</w:t>
      </w:r>
      <w:r w:rsidR="009E30BC" w:rsidRPr="007E40FA">
        <w:rPr>
          <w:rFonts w:ascii="Times New Roman" w:hAnsi="Times New Roman"/>
          <w:sz w:val="24"/>
          <w:szCs w:val="24"/>
        </w:rPr>
        <w:t>,</w:t>
      </w:r>
      <w:r w:rsidRPr="007E40FA">
        <w:rPr>
          <w:rFonts w:ascii="Times New Roman" w:hAnsi="Times New Roman"/>
          <w:sz w:val="24"/>
          <w:szCs w:val="24"/>
        </w:rPr>
        <w:t xml:space="preserve"> and </w:t>
      </w:r>
      <w:r w:rsidR="003F3597" w:rsidRPr="007E40FA">
        <w:rPr>
          <w:rFonts w:ascii="Times New Roman" w:hAnsi="Times New Roman"/>
          <w:sz w:val="24"/>
          <w:szCs w:val="24"/>
        </w:rPr>
        <w:t xml:space="preserve">improved </w:t>
      </w:r>
      <w:r w:rsidRPr="007E40FA">
        <w:rPr>
          <w:rFonts w:ascii="Times New Roman" w:hAnsi="Times New Roman"/>
          <w:sz w:val="24"/>
          <w:szCs w:val="24"/>
        </w:rPr>
        <w:t xml:space="preserve">understanding of CTC biology using </w:t>
      </w:r>
      <w:r w:rsidRPr="007E40FA">
        <w:rPr>
          <w:rFonts w:ascii="Times New Roman" w:hAnsi="Times New Roman"/>
          <w:i/>
          <w:sz w:val="24"/>
          <w:szCs w:val="24"/>
        </w:rPr>
        <w:t>in vivo</w:t>
      </w:r>
      <w:r w:rsidRPr="007E40FA">
        <w:rPr>
          <w:rFonts w:ascii="Times New Roman" w:hAnsi="Times New Roman"/>
          <w:sz w:val="24"/>
          <w:szCs w:val="24"/>
        </w:rPr>
        <w:t xml:space="preserve"> </w:t>
      </w:r>
      <w:r w:rsidR="003F3597" w:rsidRPr="007E40FA">
        <w:rPr>
          <w:rFonts w:ascii="Times New Roman" w:hAnsi="Times New Roman"/>
          <w:sz w:val="24"/>
          <w:szCs w:val="24"/>
        </w:rPr>
        <w:t xml:space="preserve">pre-clinical </w:t>
      </w:r>
      <w:r w:rsidRPr="007E40FA">
        <w:rPr>
          <w:rFonts w:ascii="Times New Roman" w:hAnsi="Times New Roman"/>
          <w:sz w:val="24"/>
          <w:szCs w:val="24"/>
        </w:rPr>
        <w:t>mouse model</w:t>
      </w:r>
      <w:r w:rsidR="003F3597" w:rsidRPr="007E40FA">
        <w:rPr>
          <w:rFonts w:ascii="Times New Roman" w:hAnsi="Times New Roman"/>
          <w:sz w:val="24"/>
          <w:szCs w:val="24"/>
        </w:rPr>
        <w:t>s</w:t>
      </w:r>
      <w:r w:rsidRPr="007E40FA">
        <w:rPr>
          <w:rFonts w:ascii="Times New Roman" w:hAnsi="Times New Roman"/>
          <w:sz w:val="24"/>
          <w:szCs w:val="24"/>
        </w:rPr>
        <w:t>.</w:t>
      </w:r>
      <w:r w:rsidR="003F3597" w:rsidRPr="007E40FA">
        <w:rPr>
          <w:rFonts w:ascii="Times New Roman" w:hAnsi="Times New Roman"/>
          <w:sz w:val="24"/>
          <w:szCs w:val="24"/>
        </w:rPr>
        <w:t xml:space="preserve"> Taken together, these protocols will provide a useful resource for users of this platform interested in pre-clinical and clinical research pertaining to metastasis and CTCs.</w:t>
      </w:r>
    </w:p>
    <w:p w:rsidR="00042D31" w:rsidRPr="007E40FA" w:rsidRDefault="00042D31" w:rsidP="001F0875">
      <w:pPr>
        <w:spacing w:after="0" w:line="240" w:lineRule="auto"/>
        <w:jc w:val="both"/>
        <w:rPr>
          <w:rFonts w:ascii="Times New Roman" w:hAnsi="Times New Roman"/>
          <w:sz w:val="24"/>
          <w:szCs w:val="24"/>
        </w:rPr>
      </w:pPr>
    </w:p>
    <w:p w:rsidR="00D372EA" w:rsidRPr="007E40FA" w:rsidRDefault="00D372EA" w:rsidP="001F0875">
      <w:pPr>
        <w:spacing w:after="0" w:line="240" w:lineRule="auto"/>
        <w:jc w:val="both"/>
        <w:rPr>
          <w:rFonts w:ascii="Times New Roman" w:hAnsi="Times New Roman"/>
          <w:b/>
          <w:bCs/>
          <w:sz w:val="24"/>
          <w:szCs w:val="24"/>
        </w:rPr>
      </w:pPr>
    </w:p>
    <w:p w:rsidR="00D372EA" w:rsidRPr="007E40FA" w:rsidRDefault="009E30BC" w:rsidP="001F0875">
      <w:pPr>
        <w:spacing w:after="0" w:line="240" w:lineRule="auto"/>
        <w:jc w:val="both"/>
        <w:rPr>
          <w:rFonts w:ascii="Times New Roman" w:hAnsi="Times New Roman"/>
          <w:sz w:val="24"/>
          <w:szCs w:val="24"/>
          <w:highlight w:val="yellow"/>
        </w:rPr>
      </w:pPr>
      <w:r w:rsidRPr="007E40FA">
        <w:rPr>
          <w:rFonts w:ascii="Times New Roman" w:hAnsi="Times New Roman"/>
          <w:b/>
          <w:bCs/>
          <w:sz w:val="24"/>
          <w:szCs w:val="24"/>
        </w:rPr>
        <w:t>ACKNOWLEDGMENTS:</w:t>
      </w:r>
    </w:p>
    <w:p w:rsidR="00D372EA" w:rsidRPr="007E40FA" w:rsidRDefault="00201C52" w:rsidP="001F0875">
      <w:pPr>
        <w:spacing w:after="0" w:line="240" w:lineRule="auto"/>
        <w:jc w:val="both"/>
        <w:rPr>
          <w:rFonts w:ascii="Times New Roman" w:hAnsi="Times New Roman"/>
          <w:sz w:val="24"/>
          <w:szCs w:val="24"/>
        </w:rPr>
      </w:pPr>
      <w:r w:rsidRPr="007E40FA">
        <w:rPr>
          <w:rFonts w:ascii="Times New Roman" w:hAnsi="Times New Roman"/>
          <w:sz w:val="24"/>
          <w:szCs w:val="24"/>
        </w:rPr>
        <w:t xml:space="preserve">This work was supported by grants from the Ontario Institute of Cancer Research (#08NOV230), the Canada Foundation for Innovation (#13199), </w:t>
      </w:r>
      <w:r w:rsidR="00EF5077" w:rsidRPr="007E40FA">
        <w:rPr>
          <w:rFonts w:ascii="Times New Roman" w:hAnsi="Times New Roman"/>
          <w:sz w:val="24"/>
          <w:szCs w:val="24"/>
        </w:rPr>
        <w:t xml:space="preserve">Prostate Cancer Canada, </w:t>
      </w:r>
      <w:r w:rsidR="00545AE0" w:rsidRPr="007E40FA">
        <w:rPr>
          <w:rFonts w:ascii="Times New Roman" w:hAnsi="Times New Roman"/>
          <w:sz w:val="24"/>
          <w:szCs w:val="24"/>
        </w:rPr>
        <w:t xml:space="preserve">Janssen Oncology, </w:t>
      </w:r>
      <w:r w:rsidRPr="007E40FA">
        <w:rPr>
          <w:rFonts w:ascii="Times New Roman" w:hAnsi="Times New Roman"/>
          <w:sz w:val="24"/>
          <w:szCs w:val="24"/>
        </w:rPr>
        <w:t xml:space="preserve">the London Regional Cancer Program, and donor support from John and Donna Bristol through the London Health Sciences Foundation (to A.L.A.). L.E.L. is supported by a </w:t>
      </w:r>
      <w:r w:rsidRPr="007E40FA">
        <w:rPr>
          <w:rStyle w:val="Strong"/>
          <w:rFonts w:ascii="Times New Roman" w:hAnsi="Times New Roman"/>
          <w:b w:val="0"/>
          <w:sz w:val="24"/>
          <w:szCs w:val="24"/>
          <w:shd w:val="clear" w:color="auto" w:fill="FFFFFF"/>
        </w:rPr>
        <w:t xml:space="preserve">Frederick </w:t>
      </w:r>
      <w:proofErr w:type="spellStart"/>
      <w:r w:rsidRPr="007E40FA">
        <w:rPr>
          <w:rStyle w:val="Strong"/>
          <w:rFonts w:ascii="Times New Roman" w:hAnsi="Times New Roman"/>
          <w:b w:val="0"/>
          <w:sz w:val="24"/>
          <w:szCs w:val="24"/>
          <w:shd w:val="clear" w:color="auto" w:fill="FFFFFF"/>
        </w:rPr>
        <w:t>Banting</w:t>
      </w:r>
      <w:proofErr w:type="spellEnd"/>
      <w:r w:rsidRPr="007E40FA">
        <w:rPr>
          <w:rStyle w:val="Strong"/>
          <w:rFonts w:ascii="Times New Roman" w:hAnsi="Times New Roman"/>
          <w:b w:val="0"/>
          <w:sz w:val="24"/>
          <w:szCs w:val="24"/>
          <w:shd w:val="clear" w:color="auto" w:fill="FFFFFF"/>
        </w:rPr>
        <w:t xml:space="preserve"> and Charles Best Canada Graduate Scholarship Doctoral Award</w:t>
      </w:r>
      <w:r w:rsidRPr="007E40FA">
        <w:rPr>
          <w:rFonts w:ascii="Times New Roman" w:hAnsi="Times New Roman"/>
          <w:sz w:val="24"/>
          <w:szCs w:val="24"/>
        </w:rPr>
        <w:t xml:space="preserve">. A.L.A is supported by a CIHR New </w:t>
      </w:r>
      <w:r w:rsidRPr="007E40FA">
        <w:rPr>
          <w:rFonts w:ascii="Times New Roman" w:hAnsi="Times New Roman"/>
          <w:sz w:val="24"/>
          <w:szCs w:val="24"/>
        </w:rPr>
        <w:lastRenderedPageBreak/>
        <w:t>Investigator Award and an Early Researcher Award from the Ontario Ministry of Research and Innovation.</w:t>
      </w:r>
    </w:p>
    <w:p w:rsidR="009E30BC" w:rsidRPr="007E40FA" w:rsidRDefault="009E30BC" w:rsidP="001F0875">
      <w:pPr>
        <w:spacing w:after="0" w:line="240" w:lineRule="auto"/>
        <w:jc w:val="both"/>
        <w:rPr>
          <w:rFonts w:ascii="Times New Roman" w:hAnsi="Times New Roman"/>
          <w:b/>
          <w:bCs/>
          <w:sz w:val="24"/>
          <w:szCs w:val="24"/>
        </w:rPr>
      </w:pPr>
    </w:p>
    <w:p w:rsidR="009E30BC" w:rsidRPr="007E40FA" w:rsidRDefault="009E30BC" w:rsidP="001F0875">
      <w:pPr>
        <w:spacing w:after="0" w:line="240" w:lineRule="auto"/>
        <w:jc w:val="both"/>
        <w:rPr>
          <w:rFonts w:ascii="Times New Roman" w:hAnsi="Times New Roman"/>
          <w:b/>
          <w:bCs/>
          <w:sz w:val="24"/>
          <w:szCs w:val="24"/>
        </w:rPr>
      </w:pPr>
    </w:p>
    <w:p w:rsidR="009E30BC" w:rsidRPr="007E40FA" w:rsidRDefault="009E30BC" w:rsidP="001F0875">
      <w:pPr>
        <w:spacing w:after="0" w:line="240" w:lineRule="auto"/>
        <w:jc w:val="both"/>
        <w:rPr>
          <w:rFonts w:ascii="Times New Roman" w:hAnsi="Times New Roman"/>
          <w:b/>
          <w:bCs/>
          <w:sz w:val="24"/>
          <w:szCs w:val="24"/>
        </w:rPr>
      </w:pPr>
      <w:r w:rsidRPr="007E40FA">
        <w:rPr>
          <w:rFonts w:ascii="Times New Roman" w:hAnsi="Times New Roman"/>
          <w:b/>
          <w:bCs/>
          <w:sz w:val="24"/>
          <w:szCs w:val="24"/>
        </w:rPr>
        <w:t>DISCLOSURES:</w:t>
      </w:r>
    </w:p>
    <w:p w:rsidR="00D372EA" w:rsidRPr="007E40FA" w:rsidRDefault="00545AE0" w:rsidP="001F0875">
      <w:pPr>
        <w:spacing w:after="0" w:line="240" w:lineRule="auto"/>
        <w:jc w:val="both"/>
        <w:rPr>
          <w:rFonts w:ascii="Times New Roman" w:hAnsi="Times New Roman"/>
          <w:bCs/>
          <w:sz w:val="24"/>
          <w:szCs w:val="24"/>
        </w:rPr>
      </w:pPr>
      <w:r w:rsidRPr="007E40FA">
        <w:rPr>
          <w:rFonts w:ascii="Times New Roman" w:hAnsi="Times New Roman"/>
          <w:bCs/>
          <w:sz w:val="24"/>
          <w:szCs w:val="24"/>
        </w:rPr>
        <w:t>The author (A.L</w:t>
      </w:r>
      <w:r w:rsidR="00D372EA" w:rsidRPr="007E40FA">
        <w:rPr>
          <w:rFonts w:ascii="Times New Roman" w:hAnsi="Times New Roman"/>
          <w:bCs/>
          <w:sz w:val="24"/>
          <w:szCs w:val="24"/>
        </w:rPr>
        <w:t>.</w:t>
      </w:r>
      <w:r w:rsidRPr="007E40FA">
        <w:rPr>
          <w:rFonts w:ascii="Times New Roman" w:hAnsi="Times New Roman"/>
          <w:bCs/>
          <w:sz w:val="24"/>
          <w:szCs w:val="24"/>
        </w:rPr>
        <w:t xml:space="preserve">A.) received funding that was provided by Janssen Oncology, whose parent company Johnson &amp; Johnson also </w:t>
      </w:r>
      <w:proofErr w:type="gramStart"/>
      <w:r w:rsidRPr="007E40FA">
        <w:rPr>
          <w:rFonts w:ascii="Times New Roman" w:hAnsi="Times New Roman"/>
          <w:bCs/>
          <w:sz w:val="24"/>
          <w:szCs w:val="24"/>
        </w:rPr>
        <w:t xml:space="preserve">owns </w:t>
      </w:r>
      <w:r w:rsidR="00F81022" w:rsidRPr="007E40FA">
        <w:rPr>
          <w:rFonts w:ascii="Times New Roman" w:hAnsi="Times New Roman"/>
          <w:bCs/>
          <w:sz w:val="24"/>
          <w:szCs w:val="24"/>
        </w:rPr>
        <w:t xml:space="preserve"> Janssen</w:t>
      </w:r>
      <w:proofErr w:type="gramEnd"/>
      <w:r w:rsidR="00F81022" w:rsidRPr="007E40FA">
        <w:rPr>
          <w:rFonts w:ascii="Times New Roman" w:hAnsi="Times New Roman"/>
          <w:bCs/>
          <w:sz w:val="24"/>
          <w:szCs w:val="24"/>
        </w:rPr>
        <w:t xml:space="preserve"> Diagnostics LLC, </w:t>
      </w:r>
      <w:r w:rsidRPr="007E40FA">
        <w:rPr>
          <w:rFonts w:ascii="Times New Roman" w:hAnsi="Times New Roman"/>
          <w:bCs/>
          <w:sz w:val="24"/>
          <w:szCs w:val="24"/>
        </w:rPr>
        <w:t>which produces reagents and instruments used in this article.</w:t>
      </w:r>
    </w:p>
    <w:p w:rsidR="009E30BC" w:rsidRPr="007E40FA" w:rsidRDefault="009E30BC" w:rsidP="001F0875">
      <w:pPr>
        <w:spacing w:after="0" w:line="240" w:lineRule="auto"/>
        <w:jc w:val="both"/>
        <w:rPr>
          <w:rFonts w:ascii="Times New Roman" w:hAnsi="Times New Roman"/>
          <w:b/>
          <w:bCs/>
          <w:sz w:val="24"/>
          <w:szCs w:val="24"/>
        </w:rPr>
      </w:pPr>
    </w:p>
    <w:p w:rsidR="00D372EA" w:rsidRPr="007E40FA" w:rsidRDefault="00D372EA" w:rsidP="001F0875">
      <w:pPr>
        <w:spacing w:after="0" w:line="240" w:lineRule="auto"/>
        <w:jc w:val="both"/>
        <w:rPr>
          <w:rFonts w:ascii="Times New Roman" w:hAnsi="Times New Roman"/>
          <w:b/>
          <w:bCs/>
          <w:sz w:val="24"/>
          <w:szCs w:val="24"/>
        </w:rPr>
      </w:pPr>
    </w:p>
    <w:p w:rsidR="00042D31" w:rsidRPr="007E40FA" w:rsidRDefault="00042D31" w:rsidP="001F0875">
      <w:pPr>
        <w:spacing w:after="0" w:line="240" w:lineRule="auto"/>
        <w:jc w:val="both"/>
        <w:rPr>
          <w:rFonts w:ascii="Times New Roman" w:hAnsi="Times New Roman"/>
          <w:sz w:val="24"/>
          <w:szCs w:val="24"/>
        </w:rPr>
      </w:pPr>
      <w:r w:rsidRPr="007E40FA">
        <w:rPr>
          <w:rFonts w:ascii="Times New Roman" w:hAnsi="Times New Roman"/>
          <w:b/>
          <w:bCs/>
          <w:sz w:val="24"/>
          <w:szCs w:val="24"/>
        </w:rPr>
        <w:t>REFERENCES:</w:t>
      </w:r>
    </w:p>
    <w:p w:rsidR="007F0560" w:rsidRPr="007E40FA" w:rsidRDefault="0036708D">
      <w:pPr>
        <w:pStyle w:val="NormalWeb"/>
        <w:ind w:left="640" w:hanging="640"/>
        <w:divId w:val="941186404"/>
        <w:rPr>
          <w:noProof/>
        </w:rPr>
      </w:pPr>
      <w:r w:rsidRPr="007E40FA">
        <w:rPr>
          <w:b/>
        </w:rPr>
        <w:fldChar w:fldCharType="begin" w:fldLock="1"/>
      </w:r>
      <w:r w:rsidR="00042D31" w:rsidRPr="007E40FA">
        <w:rPr>
          <w:b/>
        </w:rPr>
        <w:instrText xml:space="preserve">ADDIN Mendeley Bibliography CSL_BIBLIOGRAPHY </w:instrText>
      </w:r>
      <w:r w:rsidRPr="007E40FA">
        <w:rPr>
          <w:b/>
        </w:rPr>
        <w:fldChar w:fldCharType="separate"/>
      </w:r>
      <w:r w:rsidR="007F0560" w:rsidRPr="007E40FA">
        <w:rPr>
          <w:noProof/>
        </w:rPr>
        <w:t>1.</w:t>
      </w:r>
      <w:r w:rsidR="007F0560" w:rsidRPr="007E40FA">
        <w:rPr>
          <w:noProof/>
        </w:rPr>
        <w:tab/>
        <w:t xml:space="preserve">Siegel, R., Naishadham, D. &amp; Jemal, A. Cancer statistics, 2013. </w:t>
      </w:r>
      <w:r w:rsidR="007F0560" w:rsidRPr="007E40FA">
        <w:rPr>
          <w:i/>
          <w:iCs/>
          <w:noProof/>
        </w:rPr>
        <w:t>CA: a cancer journal for clinicians</w:t>
      </w:r>
      <w:r w:rsidR="007F0560" w:rsidRPr="007E40FA">
        <w:rPr>
          <w:noProof/>
        </w:rPr>
        <w:t xml:space="preserve"> </w:t>
      </w:r>
      <w:r w:rsidR="007F0560" w:rsidRPr="007E40FA">
        <w:rPr>
          <w:b/>
          <w:bCs/>
          <w:noProof/>
        </w:rPr>
        <w:t>63</w:t>
      </w:r>
      <w:r w:rsidR="007F0560" w:rsidRPr="007E40FA">
        <w:rPr>
          <w:noProof/>
        </w:rPr>
        <w:t xml:space="preserve"> (1), 11–30, doi:10.3322/caac.21166 (2013).</w:t>
      </w:r>
    </w:p>
    <w:p w:rsidR="007F0560" w:rsidRPr="007E40FA" w:rsidRDefault="007F0560">
      <w:pPr>
        <w:pStyle w:val="NormalWeb"/>
        <w:ind w:left="640" w:hanging="640"/>
        <w:divId w:val="941186404"/>
        <w:rPr>
          <w:noProof/>
        </w:rPr>
      </w:pPr>
      <w:r w:rsidRPr="007E40FA">
        <w:rPr>
          <w:noProof/>
        </w:rPr>
        <w:t>2.</w:t>
      </w:r>
      <w:r w:rsidRPr="007E40FA">
        <w:rPr>
          <w:noProof/>
        </w:rPr>
        <w:tab/>
        <w:t xml:space="preserve">Chambers, A. F., Groom, A. C. &amp; MacDonald, I. C. Dissemination and growth of cancer cells in metastatic sites. </w:t>
      </w:r>
      <w:r w:rsidRPr="007E40FA">
        <w:rPr>
          <w:i/>
          <w:iCs/>
          <w:noProof/>
        </w:rPr>
        <w:t>Nature reviews. Cancer</w:t>
      </w:r>
      <w:r w:rsidRPr="007E40FA">
        <w:rPr>
          <w:noProof/>
        </w:rPr>
        <w:t xml:space="preserve"> </w:t>
      </w:r>
      <w:r w:rsidRPr="007E40FA">
        <w:rPr>
          <w:b/>
          <w:bCs/>
          <w:noProof/>
        </w:rPr>
        <w:t>2</w:t>
      </w:r>
      <w:r w:rsidRPr="007E40FA">
        <w:rPr>
          <w:noProof/>
        </w:rPr>
        <w:t xml:space="preserve"> (8), 563–72 (2002).</w:t>
      </w:r>
    </w:p>
    <w:p w:rsidR="007F0560" w:rsidRPr="007E40FA" w:rsidRDefault="007F0560">
      <w:pPr>
        <w:pStyle w:val="NormalWeb"/>
        <w:ind w:left="640" w:hanging="640"/>
        <w:divId w:val="941186404"/>
        <w:rPr>
          <w:noProof/>
        </w:rPr>
      </w:pPr>
      <w:r w:rsidRPr="007E40FA">
        <w:rPr>
          <w:noProof/>
        </w:rPr>
        <w:t>3.</w:t>
      </w:r>
      <w:r w:rsidRPr="007E40FA">
        <w:rPr>
          <w:noProof/>
        </w:rPr>
        <w:tab/>
        <w:t xml:space="preserve">Pantel, K. &amp; Brakenhoff, R. H. Dissecting the metastatic cascade. </w:t>
      </w:r>
      <w:r w:rsidRPr="007E40FA">
        <w:rPr>
          <w:i/>
          <w:iCs/>
          <w:noProof/>
        </w:rPr>
        <w:t>Nature reviews. Cancer</w:t>
      </w:r>
      <w:r w:rsidRPr="007E40FA">
        <w:rPr>
          <w:noProof/>
        </w:rPr>
        <w:t xml:space="preserve"> </w:t>
      </w:r>
      <w:r w:rsidRPr="007E40FA">
        <w:rPr>
          <w:b/>
          <w:bCs/>
          <w:noProof/>
        </w:rPr>
        <w:t>4</w:t>
      </w:r>
      <w:r w:rsidRPr="007E40FA">
        <w:rPr>
          <w:noProof/>
        </w:rPr>
        <w:t xml:space="preserve"> (6), 448–56, doi:10.1038/nrc1370 (2004).</w:t>
      </w:r>
    </w:p>
    <w:p w:rsidR="007F0560" w:rsidRPr="007E40FA" w:rsidRDefault="007F0560">
      <w:pPr>
        <w:pStyle w:val="NormalWeb"/>
        <w:ind w:left="640" w:hanging="640"/>
        <w:divId w:val="941186404"/>
        <w:rPr>
          <w:noProof/>
        </w:rPr>
      </w:pPr>
      <w:r w:rsidRPr="007E40FA">
        <w:rPr>
          <w:noProof/>
        </w:rPr>
        <w:t>4.</w:t>
      </w:r>
      <w:r w:rsidRPr="007E40FA">
        <w:rPr>
          <w:noProof/>
        </w:rPr>
        <w:tab/>
        <w:t xml:space="preserve">Cristofanilli, M., Budd, G. T., </w:t>
      </w:r>
      <w:r w:rsidRPr="007E40FA">
        <w:rPr>
          <w:i/>
          <w:iCs/>
          <w:noProof/>
        </w:rPr>
        <w:t>et al.</w:t>
      </w:r>
      <w:r w:rsidRPr="007E40FA">
        <w:rPr>
          <w:noProof/>
        </w:rPr>
        <w:t xml:space="preserve"> Circulating tumor cells, disease progression, and survival in metastatic breast cancer. </w:t>
      </w:r>
      <w:r w:rsidRPr="007E40FA">
        <w:rPr>
          <w:i/>
          <w:iCs/>
          <w:noProof/>
        </w:rPr>
        <w:t>The New England journal of medicine</w:t>
      </w:r>
      <w:r w:rsidRPr="007E40FA">
        <w:rPr>
          <w:noProof/>
        </w:rPr>
        <w:t xml:space="preserve"> </w:t>
      </w:r>
      <w:r w:rsidRPr="007E40FA">
        <w:rPr>
          <w:b/>
          <w:bCs/>
          <w:noProof/>
        </w:rPr>
        <w:t>351</w:t>
      </w:r>
      <w:r w:rsidRPr="007E40FA">
        <w:rPr>
          <w:noProof/>
        </w:rPr>
        <w:t xml:space="preserve"> (8), 781–91 (2004).</w:t>
      </w:r>
    </w:p>
    <w:p w:rsidR="007F0560" w:rsidRPr="007E40FA" w:rsidRDefault="007F0560">
      <w:pPr>
        <w:pStyle w:val="NormalWeb"/>
        <w:ind w:left="640" w:hanging="640"/>
        <w:divId w:val="941186404"/>
        <w:rPr>
          <w:noProof/>
        </w:rPr>
      </w:pPr>
      <w:r w:rsidRPr="007E40FA">
        <w:rPr>
          <w:noProof/>
        </w:rPr>
        <w:t>5.</w:t>
      </w:r>
      <w:r w:rsidRPr="007E40FA">
        <w:rPr>
          <w:noProof/>
        </w:rPr>
        <w:tab/>
        <w:t xml:space="preserve">De Bono, J. S., Scher, H. I., </w:t>
      </w:r>
      <w:r w:rsidRPr="007E40FA">
        <w:rPr>
          <w:i/>
          <w:iCs/>
          <w:noProof/>
        </w:rPr>
        <w:t>et al.</w:t>
      </w:r>
      <w:r w:rsidRPr="007E40FA">
        <w:rPr>
          <w:noProof/>
        </w:rPr>
        <w:t xml:space="preserve"> Circulating tumor cells predict survival benefit from treatment in metastatic castration-resistant prostate cancer. </w:t>
      </w:r>
      <w:r w:rsidRPr="007E40FA">
        <w:rPr>
          <w:i/>
          <w:iCs/>
          <w:noProof/>
        </w:rPr>
        <w:t>Clinical cancer research : an official journal of the American Association for Cancer Research</w:t>
      </w:r>
      <w:r w:rsidRPr="007E40FA">
        <w:rPr>
          <w:noProof/>
        </w:rPr>
        <w:t xml:space="preserve"> </w:t>
      </w:r>
      <w:r w:rsidRPr="007E40FA">
        <w:rPr>
          <w:b/>
          <w:bCs/>
          <w:noProof/>
        </w:rPr>
        <w:t>14</w:t>
      </w:r>
      <w:r w:rsidRPr="007E40FA">
        <w:rPr>
          <w:noProof/>
        </w:rPr>
        <w:t xml:space="preserve"> (19), 6302–9, doi:10.1158/1078-0432.CCR-08-0872 (2008).</w:t>
      </w:r>
    </w:p>
    <w:p w:rsidR="007F0560" w:rsidRPr="007E40FA" w:rsidRDefault="007F0560">
      <w:pPr>
        <w:pStyle w:val="NormalWeb"/>
        <w:ind w:left="640" w:hanging="640"/>
        <w:divId w:val="941186404"/>
        <w:rPr>
          <w:noProof/>
        </w:rPr>
      </w:pPr>
      <w:r w:rsidRPr="007E40FA">
        <w:rPr>
          <w:noProof/>
        </w:rPr>
        <w:t>6.</w:t>
      </w:r>
      <w:r w:rsidRPr="007E40FA">
        <w:rPr>
          <w:noProof/>
        </w:rPr>
        <w:tab/>
        <w:t xml:space="preserve">Cohen, S. J., Punt, C. J. a, </w:t>
      </w:r>
      <w:r w:rsidRPr="007E40FA">
        <w:rPr>
          <w:i/>
          <w:iCs/>
          <w:noProof/>
        </w:rPr>
        <w:t>et al.</w:t>
      </w:r>
      <w:r w:rsidRPr="007E40FA">
        <w:rPr>
          <w:noProof/>
        </w:rPr>
        <w:t xml:space="preserve"> Prognostic significance of circulating tumor cells in patients with metastatic colorectal cancer. </w:t>
      </w:r>
      <w:r w:rsidRPr="007E40FA">
        <w:rPr>
          <w:i/>
          <w:iCs/>
          <w:noProof/>
        </w:rPr>
        <w:t>Annals of oncology : official journal of the European Society for Medical Oncology / ESMO</w:t>
      </w:r>
      <w:r w:rsidRPr="007E40FA">
        <w:rPr>
          <w:noProof/>
        </w:rPr>
        <w:t xml:space="preserve"> </w:t>
      </w:r>
      <w:r w:rsidRPr="007E40FA">
        <w:rPr>
          <w:b/>
          <w:bCs/>
          <w:noProof/>
        </w:rPr>
        <w:t>20</w:t>
      </w:r>
      <w:r w:rsidRPr="007E40FA">
        <w:rPr>
          <w:noProof/>
        </w:rPr>
        <w:t xml:space="preserve"> (7), 1223–9, doi:10.1093/annonc/mdn786 (2009).</w:t>
      </w:r>
    </w:p>
    <w:p w:rsidR="007F0560" w:rsidRPr="007E40FA" w:rsidRDefault="007F0560">
      <w:pPr>
        <w:pStyle w:val="NormalWeb"/>
        <w:ind w:left="640" w:hanging="640"/>
        <w:divId w:val="941186404"/>
        <w:rPr>
          <w:noProof/>
        </w:rPr>
      </w:pPr>
      <w:r w:rsidRPr="007E40FA">
        <w:rPr>
          <w:noProof/>
        </w:rPr>
        <w:t>7.</w:t>
      </w:r>
      <w:r w:rsidRPr="007E40FA">
        <w:rPr>
          <w:noProof/>
        </w:rPr>
        <w:tab/>
        <w:t xml:space="preserve">Hayes, D. F., Cristofanilli, M., </w:t>
      </w:r>
      <w:r w:rsidRPr="007E40FA">
        <w:rPr>
          <w:i/>
          <w:iCs/>
          <w:noProof/>
        </w:rPr>
        <w:t>et al.</w:t>
      </w:r>
      <w:r w:rsidRPr="007E40FA">
        <w:rPr>
          <w:noProof/>
        </w:rPr>
        <w:t xml:space="preserve"> Circulating tumor cells at each follow-up time point during therapy of metastatic breast cancer patients predict progression-free and overall survival. </w:t>
      </w:r>
      <w:r w:rsidRPr="007E40FA">
        <w:rPr>
          <w:i/>
          <w:iCs/>
          <w:noProof/>
        </w:rPr>
        <w:t>Clinical cancer research : an official journal of the American Association for Cancer Research</w:t>
      </w:r>
      <w:r w:rsidRPr="007E40FA">
        <w:rPr>
          <w:noProof/>
        </w:rPr>
        <w:t xml:space="preserve"> </w:t>
      </w:r>
      <w:r w:rsidRPr="007E40FA">
        <w:rPr>
          <w:b/>
          <w:bCs/>
          <w:noProof/>
        </w:rPr>
        <w:t>12</w:t>
      </w:r>
      <w:r w:rsidRPr="007E40FA">
        <w:rPr>
          <w:noProof/>
        </w:rPr>
        <w:t xml:space="preserve"> (14 Pt 1), 4218–24, doi:10.1158/1078-0432.CCR-05-2821 (2006).</w:t>
      </w:r>
    </w:p>
    <w:p w:rsidR="007F0560" w:rsidRPr="007E40FA" w:rsidRDefault="007F0560">
      <w:pPr>
        <w:pStyle w:val="NormalWeb"/>
        <w:ind w:left="640" w:hanging="640"/>
        <w:divId w:val="941186404"/>
        <w:rPr>
          <w:noProof/>
        </w:rPr>
      </w:pPr>
      <w:r w:rsidRPr="007E40FA">
        <w:rPr>
          <w:noProof/>
        </w:rPr>
        <w:t>8.</w:t>
      </w:r>
      <w:r w:rsidRPr="007E40FA">
        <w:rPr>
          <w:noProof/>
        </w:rPr>
        <w:tab/>
        <w:t xml:space="preserve">Budd, G. T., Cristofanilli, M., </w:t>
      </w:r>
      <w:r w:rsidRPr="007E40FA">
        <w:rPr>
          <w:i/>
          <w:iCs/>
          <w:noProof/>
        </w:rPr>
        <w:t>et al.</w:t>
      </w:r>
      <w:r w:rsidRPr="007E40FA">
        <w:rPr>
          <w:noProof/>
        </w:rPr>
        <w:t xml:space="preserve"> Circulating tumor cells versus imaging--predicting overall survival in metastatic breast cancer. </w:t>
      </w:r>
      <w:r w:rsidRPr="007E40FA">
        <w:rPr>
          <w:i/>
          <w:iCs/>
          <w:noProof/>
        </w:rPr>
        <w:t>Clinical cancer research : an official journal of the American Association for Cancer Research</w:t>
      </w:r>
      <w:r w:rsidRPr="007E40FA">
        <w:rPr>
          <w:noProof/>
        </w:rPr>
        <w:t xml:space="preserve"> </w:t>
      </w:r>
      <w:r w:rsidRPr="007E40FA">
        <w:rPr>
          <w:b/>
          <w:bCs/>
          <w:noProof/>
        </w:rPr>
        <w:t>12</w:t>
      </w:r>
      <w:r w:rsidRPr="007E40FA">
        <w:rPr>
          <w:noProof/>
        </w:rPr>
        <w:t xml:space="preserve"> (21), 6403–9, doi:10.1158/1078-0432.CCR-05-1769 (2006).</w:t>
      </w:r>
    </w:p>
    <w:p w:rsidR="007F0560" w:rsidRPr="007E40FA" w:rsidRDefault="007F0560">
      <w:pPr>
        <w:pStyle w:val="NormalWeb"/>
        <w:ind w:left="640" w:hanging="640"/>
        <w:divId w:val="941186404"/>
        <w:rPr>
          <w:noProof/>
        </w:rPr>
      </w:pPr>
      <w:r w:rsidRPr="007E40FA">
        <w:rPr>
          <w:noProof/>
        </w:rPr>
        <w:lastRenderedPageBreak/>
        <w:t>9.</w:t>
      </w:r>
      <w:r w:rsidRPr="007E40FA">
        <w:rPr>
          <w:noProof/>
        </w:rPr>
        <w:tab/>
        <w:t xml:space="preserve">Olmos, D., Arkenau, H.-T., </w:t>
      </w:r>
      <w:r w:rsidRPr="007E40FA">
        <w:rPr>
          <w:i/>
          <w:iCs/>
          <w:noProof/>
        </w:rPr>
        <w:t>et al.</w:t>
      </w:r>
      <w:r w:rsidRPr="007E40FA">
        <w:rPr>
          <w:noProof/>
        </w:rPr>
        <w:t xml:space="preserve"> Circulating tumour cell (CTC) counts as intermediate end points in castration-resistant prostate cancer (CRPC): a single-centre experience. </w:t>
      </w:r>
      <w:r w:rsidRPr="007E40FA">
        <w:rPr>
          <w:i/>
          <w:iCs/>
          <w:noProof/>
        </w:rPr>
        <w:t>Annals of oncology : official journal of the European Society for Medical Oncology / ESMO</w:t>
      </w:r>
      <w:r w:rsidRPr="007E40FA">
        <w:rPr>
          <w:noProof/>
        </w:rPr>
        <w:t xml:space="preserve"> </w:t>
      </w:r>
      <w:r w:rsidRPr="007E40FA">
        <w:rPr>
          <w:b/>
          <w:bCs/>
          <w:noProof/>
        </w:rPr>
        <w:t>20</w:t>
      </w:r>
      <w:r w:rsidRPr="007E40FA">
        <w:rPr>
          <w:noProof/>
        </w:rPr>
        <w:t xml:space="preserve"> (1), 27–33, doi:10.1093/annonc/mdn544 (2009).</w:t>
      </w:r>
    </w:p>
    <w:p w:rsidR="007F0560" w:rsidRPr="007E40FA" w:rsidRDefault="007F0560">
      <w:pPr>
        <w:pStyle w:val="NormalWeb"/>
        <w:ind w:left="640" w:hanging="640"/>
        <w:divId w:val="941186404"/>
        <w:rPr>
          <w:noProof/>
        </w:rPr>
      </w:pPr>
      <w:r w:rsidRPr="007E40FA">
        <w:rPr>
          <w:noProof/>
        </w:rPr>
        <w:t>10.</w:t>
      </w:r>
      <w:r w:rsidRPr="007E40FA">
        <w:rPr>
          <w:noProof/>
        </w:rPr>
        <w:tab/>
        <w:t xml:space="preserve">De Bono, J. S., Scher, H. I., </w:t>
      </w:r>
      <w:r w:rsidRPr="007E40FA">
        <w:rPr>
          <w:i/>
          <w:iCs/>
          <w:noProof/>
        </w:rPr>
        <w:t>et al.</w:t>
      </w:r>
      <w:r w:rsidRPr="007E40FA">
        <w:rPr>
          <w:noProof/>
        </w:rPr>
        <w:t xml:space="preserve"> Circulating tumor cells predict survival benefit from treatment in metastatic castration-resistant prostate cancer. </w:t>
      </w:r>
      <w:r w:rsidRPr="007E40FA">
        <w:rPr>
          <w:i/>
          <w:iCs/>
          <w:noProof/>
        </w:rPr>
        <w:t>Clinical cancer research : an official journal of the American Association for Cancer Research</w:t>
      </w:r>
      <w:r w:rsidRPr="007E40FA">
        <w:rPr>
          <w:noProof/>
        </w:rPr>
        <w:t xml:space="preserve"> </w:t>
      </w:r>
      <w:r w:rsidRPr="007E40FA">
        <w:rPr>
          <w:b/>
          <w:bCs/>
          <w:noProof/>
        </w:rPr>
        <w:t>14</w:t>
      </w:r>
      <w:r w:rsidRPr="007E40FA">
        <w:rPr>
          <w:noProof/>
        </w:rPr>
        <w:t xml:space="preserve"> (19), 6302–9 (2008).</w:t>
      </w:r>
    </w:p>
    <w:p w:rsidR="007F0560" w:rsidRPr="007E40FA" w:rsidRDefault="007F0560">
      <w:pPr>
        <w:pStyle w:val="NormalWeb"/>
        <w:ind w:left="640" w:hanging="640"/>
        <w:divId w:val="941186404"/>
        <w:rPr>
          <w:noProof/>
        </w:rPr>
      </w:pPr>
      <w:r w:rsidRPr="007E40FA">
        <w:rPr>
          <w:noProof/>
        </w:rPr>
        <w:t>11.</w:t>
      </w:r>
      <w:r w:rsidRPr="007E40FA">
        <w:rPr>
          <w:noProof/>
        </w:rPr>
        <w:tab/>
        <w:t xml:space="preserve">Allan, A. L. &amp; Keeney, M. Circulating tumor cell analysis: technical and statistical considerations for application to the clinic. </w:t>
      </w:r>
      <w:r w:rsidRPr="007E40FA">
        <w:rPr>
          <w:i/>
          <w:iCs/>
          <w:noProof/>
        </w:rPr>
        <w:t>Journal of oncology</w:t>
      </w:r>
      <w:r w:rsidRPr="007E40FA">
        <w:rPr>
          <w:noProof/>
        </w:rPr>
        <w:t xml:space="preserve"> </w:t>
      </w:r>
      <w:r w:rsidRPr="007E40FA">
        <w:rPr>
          <w:b/>
          <w:bCs/>
          <w:noProof/>
        </w:rPr>
        <w:t>2010</w:t>
      </w:r>
      <w:r w:rsidRPr="007E40FA">
        <w:rPr>
          <w:noProof/>
        </w:rPr>
        <w:t>, 426218 (2010).</w:t>
      </w:r>
    </w:p>
    <w:p w:rsidR="007F0560" w:rsidRPr="007E40FA" w:rsidRDefault="007F0560">
      <w:pPr>
        <w:pStyle w:val="NormalWeb"/>
        <w:ind w:left="640" w:hanging="640"/>
        <w:divId w:val="941186404"/>
        <w:rPr>
          <w:noProof/>
        </w:rPr>
      </w:pPr>
      <w:r w:rsidRPr="007E40FA">
        <w:rPr>
          <w:noProof/>
        </w:rPr>
        <w:t>12.</w:t>
      </w:r>
      <w:r w:rsidRPr="007E40FA">
        <w:rPr>
          <w:noProof/>
        </w:rPr>
        <w:tab/>
        <w:t xml:space="preserve">Lowes, L. E., Goodale, D., Keeney, M. &amp; Allan, A. L. Image cytometry analysis of circulating tumor cells. </w:t>
      </w:r>
      <w:r w:rsidRPr="007E40FA">
        <w:rPr>
          <w:i/>
          <w:iCs/>
          <w:noProof/>
        </w:rPr>
        <w:t>Methods in cell biology</w:t>
      </w:r>
      <w:r w:rsidRPr="007E40FA">
        <w:rPr>
          <w:noProof/>
        </w:rPr>
        <w:t xml:space="preserve"> </w:t>
      </w:r>
      <w:r w:rsidRPr="007E40FA">
        <w:rPr>
          <w:b/>
          <w:bCs/>
          <w:noProof/>
        </w:rPr>
        <w:t>102</w:t>
      </w:r>
      <w:r w:rsidRPr="007E40FA">
        <w:rPr>
          <w:noProof/>
        </w:rPr>
        <w:t>, 261–90, doi:10.1016/B978-0-12-374912-3.00010-9 (2011).</w:t>
      </w:r>
    </w:p>
    <w:p w:rsidR="007F0560" w:rsidRPr="007E40FA" w:rsidRDefault="007F0560">
      <w:pPr>
        <w:pStyle w:val="NormalWeb"/>
        <w:ind w:left="640" w:hanging="640"/>
        <w:divId w:val="941186404"/>
        <w:rPr>
          <w:noProof/>
        </w:rPr>
      </w:pPr>
      <w:r w:rsidRPr="007E40FA">
        <w:rPr>
          <w:noProof/>
        </w:rPr>
        <w:t>13.</w:t>
      </w:r>
      <w:r w:rsidRPr="007E40FA">
        <w:rPr>
          <w:noProof/>
        </w:rPr>
        <w:tab/>
        <w:t xml:space="preserve">Lianidou, E. S. &amp; Markou, A. Circulating tumor cells in breast cancer: detection systems, molecular characterization, and future challenges. </w:t>
      </w:r>
      <w:r w:rsidRPr="007E40FA">
        <w:rPr>
          <w:i/>
          <w:iCs/>
          <w:noProof/>
        </w:rPr>
        <w:t>Clinical chemistry</w:t>
      </w:r>
      <w:r w:rsidRPr="007E40FA">
        <w:rPr>
          <w:noProof/>
        </w:rPr>
        <w:t xml:space="preserve"> </w:t>
      </w:r>
      <w:r w:rsidRPr="007E40FA">
        <w:rPr>
          <w:b/>
          <w:bCs/>
          <w:noProof/>
        </w:rPr>
        <w:t>57</w:t>
      </w:r>
      <w:r w:rsidRPr="007E40FA">
        <w:rPr>
          <w:noProof/>
        </w:rPr>
        <w:t xml:space="preserve"> (9), 1242–55, doi:10.1373/clinchem.2011.165068 (2011).</w:t>
      </w:r>
    </w:p>
    <w:p w:rsidR="007F0560" w:rsidRPr="007E40FA" w:rsidRDefault="007F0560">
      <w:pPr>
        <w:pStyle w:val="NormalWeb"/>
        <w:ind w:left="640" w:hanging="640"/>
        <w:divId w:val="941186404"/>
        <w:rPr>
          <w:noProof/>
        </w:rPr>
      </w:pPr>
      <w:r w:rsidRPr="007E40FA">
        <w:rPr>
          <w:noProof/>
        </w:rPr>
        <w:t>14.</w:t>
      </w:r>
      <w:r w:rsidRPr="007E40FA">
        <w:rPr>
          <w:noProof/>
        </w:rPr>
        <w:tab/>
        <w:t xml:space="preserve">Alix-Panabières, C. &amp; Pantel, K. Circulating tumor cells: liquid biopsy of cancer. </w:t>
      </w:r>
      <w:r w:rsidRPr="007E40FA">
        <w:rPr>
          <w:i/>
          <w:iCs/>
          <w:noProof/>
        </w:rPr>
        <w:t>Clinical chemistry</w:t>
      </w:r>
      <w:r w:rsidRPr="007E40FA">
        <w:rPr>
          <w:noProof/>
        </w:rPr>
        <w:t xml:space="preserve"> </w:t>
      </w:r>
      <w:r w:rsidRPr="007E40FA">
        <w:rPr>
          <w:b/>
          <w:bCs/>
          <w:noProof/>
        </w:rPr>
        <w:t>59</w:t>
      </w:r>
      <w:r w:rsidRPr="007E40FA">
        <w:rPr>
          <w:noProof/>
        </w:rPr>
        <w:t xml:space="preserve"> (1), 110–8, doi:10.1373/clinchem.2012.194258 (2013).</w:t>
      </w:r>
    </w:p>
    <w:p w:rsidR="007F0560" w:rsidRPr="007E40FA" w:rsidRDefault="007F0560">
      <w:pPr>
        <w:pStyle w:val="NormalWeb"/>
        <w:ind w:left="640" w:hanging="640"/>
        <w:divId w:val="941186404"/>
        <w:rPr>
          <w:noProof/>
        </w:rPr>
      </w:pPr>
      <w:r w:rsidRPr="007E40FA">
        <w:rPr>
          <w:noProof/>
        </w:rPr>
        <w:t>15.</w:t>
      </w:r>
      <w:r w:rsidRPr="007E40FA">
        <w:rPr>
          <w:noProof/>
        </w:rPr>
        <w:tab/>
        <w:t xml:space="preserve">Parkinson, D. R., Dracopoli, N., </w:t>
      </w:r>
      <w:r w:rsidRPr="007E40FA">
        <w:rPr>
          <w:i/>
          <w:iCs/>
          <w:noProof/>
        </w:rPr>
        <w:t>et al.</w:t>
      </w:r>
      <w:r w:rsidRPr="007E40FA">
        <w:rPr>
          <w:noProof/>
        </w:rPr>
        <w:t xml:space="preserve"> Considerations in the development of circulating tumor cell technology for clinical use. </w:t>
      </w:r>
      <w:r w:rsidRPr="007E40FA">
        <w:rPr>
          <w:i/>
          <w:iCs/>
          <w:noProof/>
        </w:rPr>
        <w:t>Journal of translational medicine</w:t>
      </w:r>
      <w:r w:rsidRPr="007E40FA">
        <w:rPr>
          <w:noProof/>
        </w:rPr>
        <w:t xml:space="preserve"> </w:t>
      </w:r>
      <w:r w:rsidRPr="007E40FA">
        <w:rPr>
          <w:b/>
          <w:bCs/>
          <w:noProof/>
        </w:rPr>
        <w:t>10</w:t>
      </w:r>
      <w:r w:rsidRPr="007E40FA">
        <w:rPr>
          <w:noProof/>
        </w:rPr>
        <w:t>, 138, doi:10.1186/1479-5876-10-138 (2012).</w:t>
      </w:r>
    </w:p>
    <w:p w:rsidR="007F0560" w:rsidRPr="007E40FA" w:rsidRDefault="007F0560">
      <w:pPr>
        <w:pStyle w:val="NormalWeb"/>
        <w:ind w:left="640" w:hanging="640"/>
        <w:divId w:val="941186404"/>
        <w:rPr>
          <w:noProof/>
        </w:rPr>
      </w:pPr>
      <w:r w:rsidRPr="007E40FA">
        <w:rPr>
          <w:noProof/>
        </w:rPr>
        <w:t>16.</w:t>
      </w:r>
      <w:r w:rsidRPr="007E40FA">
        <w:rPr>
          <w:noProof/>
        </w:rPr>
        <w:tab/>
        <w:t xml:space="preserve">Lowes, L. E., Hedley, B. D., Keeney, M. &amp; Allan, A. L. User-defined protein marker assay development for characterization of circulating tumor cells using the CellSearch® system. </w:t>
      </w:r>
      <w:r w:rsidRPr="007E40FA">
        <w:rPr>
          <w:i/>
          <w:iCs/>
          <w:noProof/>
        </w:rPr>
        <w:t>Cytometry. Part A : the journal of the International Society for Analytical Cytology</w:t>
      </w:r>
      <w:r w:rsidRPr="007E40FA">
        <w:rPr>
          <w:noProof/>
        </w:rPr>
        <w:t xml:space="preserve"> </w:t>
      </w:r>
      <w:r w:rsidRPr="007E40FA">
        <w:rPr>
          <w:b/>
          <w:bCs/>
          <w:noProof/>
        </w:rPr>
        <w:t>81</w:t>
      </w:r>
      <w:r w:rsidRPr="007E40FA">
        <w:rPr>
          <w:noProof/>
        </w:rPr>
        <w:t xml:space="preserve"> (11), 983–95, doi:10.1002/cyto.a.22158 (2012).</w:t>
      </w:r>
    </w:p>
    <w:p w:rsidR="007F0560" w:rsidRPr="007E40FA" w:rsidRDefault="007F0560">
      <w:pPr>
        <w:pStyle w:val="NormalWeb"/>
        <w:ind w:left="640" w:hanging="640"/>
        <w:divId w:val="941186404"/>
        <w:rPr>
          <w:noProof/>
        </w:rPr>
      </w:pPr>
      <w:r w:rsidRPr="007E40FA">
        <w:rPr>
          <w:noProof/>
        </w:rPr>
        <w:t>17.</w:t>
      </w:r>
      <w:r w:rsidRPr="007E40FA">
        <w:rPr>
          <w:noProof/>
        </w:rPr>
        <w:tab/>
        <w:t xml:space="preserve">Fehm, T., Müller, V., </w:t>
      </w:r>
      <w:r w:rsidRPr="007E40FA">
        <w:rPr>
          <w:i/>
          <w:iCs/>
          <w:noProof/>
        </w:rPr>
        <w:t>et al.</w:t>
      </w:r>
      <w:r w:rsidRPr="007E40FA">
        <w:rPr>
          <w:noProof/>
        </w:rPr>
        <w:t xml:space="preserve"> HER2 status of circulating tumor cells in patients with metastatic breast cancer: a prospective, multicenter trial. </w:t>
      </w:r>
      <w:r w:rsidRPr="007E40FA">
        <w:rPr>
          <w:i/>
          <w:iCs/>
          <w:noProof/>
        </w:rPr>
        <w:t>Breast cancer research and treatment</w:t>
      </w:r>
      <w:r w:rsidRPr="007E40FA">
        <w:rPr>
          <w:noProof/>
        </w:rPr>
        <w:t xml:space="preserve"> </w:t>
      </w:r>
      <w:r w:rsidRPr="007E40FA">
        <w:rPr>
          <w:b/>
          <w:bCs/>
          <w:noProof/>
        </w:rPr>
        <w:t>124</w:t>
      </w:r>
      <w:r w:rsidRPr="007E40FA">
        <w:rPr>
          <w:noProof/>
        </w:rPr>
        <w:t xml:space="preserve"> (2), 403–12 (2010).</w:t>
      </w:r>
    </w:p>
    <w:p w:rsidR="007F0560" w:rsidRPr="007E40FA" w:rsidRDefault="007F0560">
      <w:pPr>
        <w:pStyle w:val="NormalWeb"/>
        <w:ind w:left="640" w:hanging="640"/>
        <w:divId w:val="941186404"/>
        <w:rPr>
          <w:noProof/>
        </w:rPr>
      </w:pPr>
      <w:r w:rsidRPr="007E40FA">
        <w:rPr>
          <w:noProof/>
        </w:rPr>
        <w:t>18.</w:t>
      </w:r>
      <w:r w:rsidRPr="007E40FA">
        <w:rPr>
          <w:noProof/>
        </w:rPr>
        <w:tab/>
        <w:t xml:space="preserve">Liu, Y., Liu, Q., </w:t>
      </w:r>
      <w:r w:rsidRPr="007E40FA">
        <w:rPr>
          <w:i/>
          <w:iCs/>
          <w:noProof/>
        </w:rPr>
        <w:t>et al.</w:t>
      </w:r>
      <w:r w:rsidRPr="007E40FA">
        <w:rPr>
          <w:noProof/>
        </w:rPr>
        <w:t xml:space="preserve"> Circulating tumor cells in HER2-positive metastatic breast cancer patients: a valuable prognostic and predictive biomarker. </w:t>
      </w:r>
      <w:r w:rsidRPr="007E40FA">
        <w:rPr>
          <w:i/>
          <w:iCs/>
          <w:noProof/>
        </w:rPr>
        <w:t>BMC cancer</w:t>
      </w:r>
      <w:r w:rsidRPr="007E40FA">
        <w:rPr>
          <w:noProof/>
        </w:rPr>
        <w:t xml:space="preserve"> </w:t>
      </w:r>
      <w:r w:rsidRPr="007E40FA">
        <w:rPr>
          <w:b/>
          <w:bCs/>
          <w:noProof/>
        </w:rPr>
        <w:t>13</w:t>
      </w:r>
      <w:r w:rsidRPr="007E40FA">
        <w:rPr>
          <w:noProof/>
        </w:rPr>
        <w:t>, 202, doi:10.1186/1471-2407-13-202 (2013).</w:t>
      </w:r>
    </w:p>
    <w:p w:rsidR="007F0560" w:rsidRPr="007E40FA" w:rsidRDefault="007F0560">
      <w:pPr>
        <w:pStyle w:val="NormalWeb"/>
        <w:ind w:left="640" w:hanging="640"/>
        <w:divId w:val="941186404"/>
        <w:rPr>
          <w:noProof/>
        </w:rPr>
      </w:pPr>
      <w:r w:rsidRPr="007E40FA">
        <w:rPr>
          <w:noProof/>
        </w:rPr>
        <w:t>19.</w:t>
      </w:r>
      <w:r w:rsidRPr="007E40FA">
        <w:rPr>
          <w:noProof/>
        </w:rPr>
        <w:tab/>
        <w:t xml:space="preserve">Slamon, D. J., Leyland-Jones, B., </w:t>
      </w:r>
      <w:r w:rsidRPr="007E40FA">
        <w:rPr>
          <w:i/>
          <w:iCs/>
          <w:noProof/>
        </w:rPr>
        <w:t>et al.</w:t>
      </w:r>
      <w:r w:rsidRPr="007E40FA">
        <w:rPr>
          <w:noProof/>
        </w:rPr>
        <w:t xml:space="preserve"> Use of chemotherapy plus a monoclonal antibody against HER2 for metastatic breast cancer that overexpresses HER2. </w:t>
      </w:r>
      <w:r w:rsidRPr="007E40FA">
        <w:rPr>
          <w:i/>
          <w:iCs/>
          <w:noProof/>
        </w:rPr>
        <w:t>The New England journal of medicine</w:t>
      </w:r>
      <w:r w:rsidRPr="007E40FA">
        <w:rPr>
          <w:noProof/>
        </w:rPr>
        <w:t xml:space="preserve"> </w:t>
      </w:r>
      <w:r w:rsidRPr="007E40FA">
        <w:rPr>
          <w:b/>
          <w:bCs/>
          <w:noProof/>
        </w:rPr>
        <w:t>344</w:t>
      </w:r>
      <w:r w:rsidRPr="007E40FA">
        <w:rPr>
          <w:noProof/>
        </w:rPr>
        <w:t xml:space="preserve"> (11), 783–92, doi:10.1056/NEJM200103153441101 (2001).</w:t>
      </w:r>
    </w:p>
    <w:p w:rsidR="007F0560" w:rsidRPr="007E40FA" w:rsidRDefault="007F0560">
      <w:pPr>
        <w:pStyle w:val="NormalWeb"/>
        <w:ind w:left="640" w:hanging="640"/>
        <w:divId w:val="941186404"/>
        <w:rPr>
          <w:noProof/>
        </w:rPr>
      </w:pPr>
      <w:r w:rsidRPr="007E40FA">
        <w:rPr>
          <w:noProof/>
        </w:rPr>
        <w:t>20.</w:t>
      </w:r>
      <w:r w:rsidRPr="007E40FA">
        <w:rPr>
          <w:noProof/>
        </w:rPr>
        <w:tab/>
        <w:t xml:space="preserve">Marty, M., Cognetti, F., </w:t>
      </w:r>
      <w:r w:rsidRPr="007E40FA">
        <w:rPr>
          <w:i/>
          <w:iCs/>
          <w:noProof/>
        </w:rPr>
        <w:t>et al.</w:t>
      </w:r>
      <w:r w:rsidRPr="007E40FA">
        <w:rPr>
          <w:noProof/>
        </w:rPr>
        <w:t xml:space="preserve"> Randomized phase II trial of the efficacy and safety of trastuzumab combined with docetaxel in patients with human epidermal growth factor </w:t>
      </w:r>
      <w:r w:rsidRPr="007E40FA">
        <w:rPr>
          <w:noProof/>
        </w:rPr>
        <w:lastRenderedPageBreak/>
        <w:t xml:space="preserve">receptor 2-positive metastatic breast cancer administered as first-line treatment: the M77001 study group. </w:t>
      </w:r>
      <w:r w:rsidRPr="007E40FA">
        <w:rPr>
          <w:i/>
          <w:iCs/>
          <w:noProof/>
        </w:rPr>
        <w:t>Journal of clinical oncology : official journal of the American Society of Clinical Oncology</w:t>
      </w:r>
      <w:r w:rsidRPr="007E40FA">
        <w:rPr>
          <w:noProof/>
        </w:rPr>
        <w:t xml:space="preserve"> </w:t>
      </w:r>
      <w:r w:rsidRPr="007E40FA">
        <w:rPr>
          <w:b/>
          <w:bCs/>
          <w:noProof/>
        </w:rPr>
        <w:t>23</w:t>
      </w:r>
      <w:r w:rsidRPr="007E40FA">
        <w:rPr>
          <w:noProof/>
        </w:rPr>
        <w:t xml:space="preserve"> (19), 4265–74, doi:10.1200/JCO.2005.04.173 (2005).</w:t>
      </w:r>
    </w:p>
    <w:p w:rsidR="007F0560" w:rsidRPr="007E40FA" w:rsidRDefault="007F0560">
      <w:pPr>
        <w:pStyle w:val="NormalWeb"/>
        <w:ind w:left="640" w:hanging="640"/>
        <w:divId w:val="941186404"/>
        <w:rPr>
          <w:noProof/>
        </w:rPr>
      </w:pPr>
      <w:r w:rsidRPr="007E40FA">
        <w:rPr>
          <w:noProof/>
        </w:rPr>
        <w:t>21.</w:t>
      </w:r>
      <w:r w:rsidRPr="007E40FA">
        <w:rPr>
          <w:noProof/>
        </w:rPr>
        <w:tab/>
        <w:t xml:space="preserve">Slamon, D., Eiermann, W., </w:t>
      </w:r>
      <w:r w:rsidRPr="007E40FA">
        <w:rPr>
          <w:i/>
          <w:iCs/>
          <w:noProof/>
        </w:rPr>
        <w:t>et al.</w:t>
      </w:r>
      <w:r w:rsidRPr="007E40FA">
        <w:rPr>
          <w:noProof/>
        </w:rPr>
        <w:t xml:space="preserve"> Adjuvant trastuzumab in HER2-positive breast cancer. </w:t>
      </w:r>
      <w:r w:rsidRPr="007E40FA">
        <w:rPr>
          <w:i/>
          <w:iCs/>
          <w:noProof/>
        </w:rPr>
        <w:t>The New England journal of medicine</w:t>
      </w:r>
      <w:r w:rsidRPr="007E40FA">
        <w:rPr>
          <w:noProof/>
        </w:rPr>
        <w:t xml:space="preserve"> </w:t>
      </w:r>
      <w:r w:rsidRPr="007E40FA">
        <w:rPr>
          <w:b/>
          <w:bCs/>
          <w:noProof/>
        </w:rPr>
        <w:t>365</w:t>
      </w:r>
      <w:r w:rsidRPr="007E40FA">
        <w:rPr>
          <w:noProof/>
        </w:rPr>
        <w:t xml:space="preserve"> (14), 1273–83, doi:10.1056/NEJMoa0910383 (2011).</w:t>
      </w:r>
    </w:p>
    <w:p w:rsidR="007F0560" w:rsidRPr="007E40FA" w:rsidRDefault="007F0560">
      <w:pPr>
        <w:pStyle w:val="NormalWeb"/>
        <w:ind w:left="640" w:hanging="640"/>
        <w:divId w:val="941186404"/>
        <w:rPr>
          <w:noProof/>
        </w:rPr>
      </w:pPr>
      <w:r w:rsidRPr="007E40FA">
        <w:rPr>
          <w:noProof/>
        </w:rPr>
        <w:t>22.</w:t>
      </w:r>
      <w:r w:rsidRPr="007E40FA">
        <w:rPr>
          <w:noProof/>
        </w:rPr>
        <w:tab/>
        <w:t xml:space="preserve">Welch, D. R. Technical considerations for studying cancer metastasis in vivo. </w:t>
      </w:r>
      <w:r w:rsidRPr="007E40FA">
        <w:rPr>
          <w:i/>
          <w:iCs/>
          <w:noProof/>
        </w:rPr>
        <w:t>Clinical &amp; experimental metastasis</w:t>
      </w:r>
      <w:r w:rsidRPr="007E40FA">
        <w:rPr>
          <w:noProof/>
        </w:rPr>
        <w:t xml:space="preserve"> </w:t>
      </w:r>
      <w:r w:rsidRPr="007E40FA">
        <w:rPr>
          <w:b/>
          <w:bCs/>
          <w:noProof/>
        </w:rPr>
        <w:t>15</w:t>
      </w:r>
      <w:r w:rsidRPr="007E40FA">
        <w:rPr>
          <w:noProof/>
        </w:rPr>
        <w:t xml:space="preserve"> (3), 272–306at &lt;http://www.ncbi.nlm.nih.gov/pubmed/9174129&gt; (1997).</w:t>
      </w:r>
    </w:p>
    <w:p w:rsidR="007F0560" w:rsidRPr="007E40FA" w:rsidRDefault="007F0560">
      <w:pPr>
        <w:pStyle w:val="NormalWeb"/>
        <w:ind w:left="640" w:hanging="640"/>
        <w:divId w:val="941186404"/>
        <w:rPr>
          <w:noProof/>
        </w:rPr>
      </w:pPr>
      <w:r w:rsidRPr="007E40FA">
        <w:rPr>
          <w:noProof/>
        </w:rPr>
        <w:t>23.</w:t>
      </w:r>
      <w:r w:rsidRPr="007E40FA">
        <w:rPr>
          <w:noProof/>
        </w:rPr>
        <w:tab/>
        <w:t xml:space="preserve">Goodale, D., Phay, C., Postenka, C. O., Keeney, M. &amp; Allan, A. L. Characterization of tumor cell dissemination patterns in preclinical models of cancer metastasis using flow cytometry and laser scanning cytometry. </w:t>
      </w:r>
      <w:r w:rsidRPr="007E40FA">
        <w:rPr>
          <w:i/>
          <w:iCs/>
          <w:noProof/>
        </w:rPr>
        <w:t>Cytometry. Part A : the journal of the International Society for Analytical Cytology</w:t>
      </w:r>
      <w:r w:rsidRPr="007E40FA">
        <w:rPr>
          <w:noProof/>
        </w:rPr>
        <w:t xml:space="preserve"> </w:t>
      </w:r>
      <w:r w:rsidRPr="007E40FA">
        <w:rPr>
          <w:b/>
          <w:bCs/>
          <w:noProof/>
        </w:rPr>
        <w:t>75</w:t>
      </w:r>
      <w:r w:rsidRPr="007E40FA">
        <w:rPr>
          <w:noProof/>
        </w:rPr>
        <w:t xml:space="preserve"> (4), 344–55 (2009).</w:t>
      </w:r>
    </w:p>
    <w:p w:rsidR="007F0560" w:rsidRPr="007E40FA" w:rsidRDefault="007F0560">
      <w:pPr>
        <w:pStyle w:val="NormalWeb"/>
        <w:ind w:left="640" w:hanging="640"/>
        <w:divId w:val="941186404"/>
        <w:rPr>
          <w:noProof/>
        </w:rPr>
      </w:pPr>
      <w:r w:rsidRPr="007E40FA">
        <w:rPr>
          <w:noProof/>
        </w:rPr>
        <w:t>24.</w:t>
      </w:r>
      <w:r w:rsidRPr="007E40FA">
        <w:rPr>
          <w:noProof/>
        </w:rPr>
        <w:tab/>
        <w:t xml:space="preserve">Gorges, T. M., Tinhofer, I., </w:t>
      </w:r>
      <w:r w:rsidRPr="007E40FA">
        <w:rPr>
          <w:i/>
          <w:iCs/>
          <w:noProof/>
        </w:rPr>
        <w:t>et al.</w:t>
      </w:r>
      <w:r w:rsidRPr="007E40FA">
        <w:rPr>
          <w:noProof/>
        </w:rPr>
        <w:t xml:space="preserve"> Circulating tumour cells escape from EpCAM-based detection due to epithelial-to-mesenchymal transition. </w:t>
      </w:r>
      <w:r w:rsidRPr="007E40FA">
        <w:rPr>
          <w:i/>
          <w:iCs/>
          <w:noProof/>
        </w:rPr>
        <w:t>BMC cancer</w:t>
      </w:r>
      <w:r w:rsidRPr="007E40FA">
        <w:rPr>
          <w:noProof/>
        </w:rPr>
        <w:t xml:space="preserve"> </w:t>
      </w:r>
      <w:r w:rsidRPr="007E40FA">
        <w:rPr>
          <w:b/>
          <w:bCs/>
          <w:noProof/>
        </w:rPr>
        <w:t>12</w:t>
      </w:r>
      <w:r w:rsidRPr="007E40FA">
        <w:rPr>
          <w:noProof/>
        </w:rPr>
        <w:t>, 178, doi:10.1186/1471-2407-12-178 (2012).</w:t>
      </w:r>
    </w:p>
    <w:p w:rsidR="007F0560" w:rsidRPr="007E40FA" w:rsidRDefault="007F0560">
      <w:pPr>
        <w:pStyle w:val="NormalWeb"/>
        <w:ind w:left="640" w:hanging="640"/>
        <w:divId w:val="941186404"/>
        <w:rPr>
          <w:noProof/>
        </w:rPr>
      </w:pPr>
      <w:r w:rsidRPr="007E40FA">
        <w:rPr>
          <w:noProof/>
        </w:rPr>
        <w:t>25.</w:t>
      </w:r>
      <w:r w:rsidRPr="007E40FA">
        <w:rPr>
          <w:noProof/>
        </w:rPr>
        <w:tab/>
        <w:t xml:space="preserve">Eliane, J.-P., Repollet, M., </w:t>
      </w:r>
      <w:r w:rsidRPr="007E40FA">
        <w:rPr>
          <w:i/>
          <w:iCs/>
          <w:noProof/>
        </w:rPr>
        <w:t>et al.</w:t>
      </w:r>
      <w:r w:rsidRPr="007E40FA">
        <w:rPr>
          <w:noProof/>
        </w:rPr>
        <w:t xml:space="preserve"> Monitoring serial changes in circulating human breast cancer cells in murine xenograft models. </w:t>
      </w:r>
      <w:r w:rsidRPr="007E40FA">
        <w:rPr>
          <w:i/>
          <w:iCs/>
          <w:noProof/>
        </w:rPr>
        <w:t>Cancer research</w:t>
      </w:r>
      <w:r w:rsidRPr="007E40FA">
        <w:rPr>
          <w:noProof/>
        </w:rPr>
        <w:t xml:space="preserve"> </w:t>
      </w:r>
      <w:r w:rsidRPr="007E40FA">
        <w:rPr>
          <w:b/>
          <w:bCs/>
          <w:noProof/>
        </w:rPr>
        <w:t>68</w:t>
      </w:r>
      <w:r w:rsidRPr="007E40FA">
        <w:rPr>
          <w:noProof/>
        </w:rPr>
        <w:t xml:space="preserve"> (14), 5529–32, doi:10.1158/0008-5472.CAN-08-0630 (2008).</w:t>
      </w:r>
    </w:p>
    <w:p w:rsidR="007F0560" w:rsidRPr="007E40FA" w:rsidRDefault="007F0560">
      <w:pPr>
        <w:pStyle w:val="NormalWeb"/>
        <w:ind w:left="640" w:hanging="640"/>
        <w:divId w:val="941186404"/>
        <w:rPr>
          <w:noProof/>
        </w:rPr>
      </w:pPr>
      <w:r w:rsidRPr="007E40FA">
        <w:rPr>
          <w:noProof/>
        </w:rPr>
        <w:t>26.</w:t>
      </w:r>
      <w:r w:rsidRPr="007E40FA">
        <w:rPr>
          <w:noProof/>
        </w:rPr>
        <w:tab/>
        <w:t>Veridex White Pages. Available at: http://www.veridex.com/pdf/CXC_Application_Guideline.PDF. (2008).</w:t>
      </w:r>
    </w:p>
    <w:p w:rsidR="007F0560" w:rsidRPr="007E40FA" w:rsidRDefault="007F0560">
      <w:pPr>
        <w:pStyle w:val="NormalWeb"/>
        <w:ind w:left="640" w:hanging="640"/>
        <w:divId w:val="941186404"/>
        <w:rPr>
          <w:noProof/>
        </w:rPr>
      </w:pPr>
      <w:r w:rsidRPr="007E40FA">
        <w:rPr>
          <w:noProof/>
        </w:rPr>
        <w:t>27.</w:t>
      </w:r>
      <w:r w:rsidRPr="007E40FA">
        <w:rPr>
          <w:noProof/>
        </w:rPr>
        <w:tab/>
        <w:t xml:space="preserve">Flores, L. M., Kindelberger, D. W., </w:t>
      </w:r>
      <w:r w:rsidRPr="007E40FA">
        <w:rPr>
          <w:i/>
          <w:iCs/>
          <w:noProof/>
        </w:rPr>
        <w:t>et al.</w:t>
      </w:r>
      <w:r w:rsidRPr="007E40FA">
        <w:rPr>
          <w:noProof/>
        </w:rPr>
        <w:t xml:space="preserve"> Improving the yield of circulating tumour cells facilitates molecular characterisation and recognition of discordant HER2 amplification in breast cancer. </w:t>
      </w:r>
      <w:r w:rsidRPr="007E40FA">
        <w:rPr>
          <w:i/>
          <w:iCs/>
          <w:noProof/>
        </w:rPr>
        <w:t>British journal of cancer</w:t>
      </w:r>
      <w:r w:rsidRPr="007E40FA">
        <w:rPr>
          <w:noProof/>
        </w:rPr>
        <w:t xml:space="preserve"> </w:t>
      </w:r>
      <w:r w:rsidRPr="007E40FA">
        <w:rPr>
          <w:b/>
          <w:bCs/>
          <w:noProof/>
        </w:rPr>
        <w:t>102</w:t>
      </w:r>
      <w:r w:rsidRPr="007E40FA">
        <w:rPr>
          <w:noProof/>
        </w:rPr>
        <w:t xml:space="preserve"> (10), 1495–502 (2010).</w:t>
      </w:r>
    </w:p>
    <w:p w:rsidR="007F0560" w:rsidRPr="007E40FA" w:rsidRDefault="007F0560">
      <w:pPr>
        <w:pStyle w:val="NormalWeb"/>
        <w:ind w:left="640" w:hanging="640"/>
        <w:divId w:val="941186404"/>
        <w:rPr>
          <w:noProof/>
        </w:rPr>
      </w:pPr>
      <w:r w:rsidRPr="007E40FA">
        <w:rPr>
          <w:noProof/>
        </w:rPr>
        <w:t>28.</w:t>
      </w:r>
      <w:r w:rsidRPr="007E40FA">
        <w:rPr>
          <w:noProof/>
        </w:rPr>
        <w:tab/>
        <w:t xml:space="preserve">Sieuwerts, A. M., Kraan, J., </w:t>
      </w:r>
      <w:r w:rsidRPr="007E40FA">
        <w:rPr>
          <w:i/>
          <w:iCs/>
          <w:noProof/>
        </w:rPr>
        <w:t>et al.</w:t>
      </w:r>
      <w:r w:rsidRPr="007E40FA">
        <w:rPr>
          <w:noProof/>
        </w:rPr>
        <w:t xml:space="preserve"> Molecular characterization of circulating tumor cells in large quantities of contaminating leukocytes by a multiplex real-time PCR. </w:t>
      </w:r>
      <w:r w:rsidRPr="007E40FA">
        <w:rPr>
          <w:i/>
          <w:iCs/>
          <w:noProof/>
        </w:rPr>
        <w:t>Breast cancer research and treatment</w:t>
      </w:r>
      <w:r w:rsidRPr="007E40FA">
        <w:rPr>
          <w:noProof/>
        </w:rPr>
        <w:t xml:space="preserve"> </w:t>
      </w:r>
      <w:r w:rsidRPr="007E40FA">
        <w:rPr>
          <w:b/>
          <w:bCs/>
          <w:noProof/>
        </w:rPr>
        <w:t>118</w:t>
      </w:r>
      <w:r w:rsidRPr="007E40FA">
        <w:rPr>
          <w:noProof/>
        </w:rPr>
        <w:t xml:space="preserve"> (3), 455–68, doi:10.1007/s10549-008-0290-0 (2009).</w:t>
      </w:r>
    </w:p>
    <w:p w:rsidR="007F0560" w:rsidRPr="007E40FA" w:rsidRDefault="007F0560">
      <w:pPr>
        <w:pStyle w:val="NormalWeb"/>
        <w:ind w:left="640" w:hanging="640"/>
        <w:divId w:val="941186404"/>
        <w:rPr>
          <w:noProof/>
        </w:rPr>
      </w:pPr>
      <w:r w:rsidRPr="007E40FA">
        <w:rPr>
          <w:noProof/>
        </w:rPr>
        <w:t>29.</w:t>
      </w:r>
      <w:r w:rsidRPr="007E40FA">
        <w:rPr>
          <w:noProof/>
        </w:rPr>
        <w:tab/>
        <w:t xml:space="preserve">Cohen, S. J., Punt, C. J. a, </w:t>
      </w:r>
      <w:r w:rsidRPr="007E40FA">
        <w:rPr>
          <w:i/>
          <w:iCs/>
          <w:noProof/>
        </w:rPr>
        <w:t>et al.</w:t>
      </w:r>
      <w:r w:rsidRPr="007E40FA">
        <w:rPr>
          <w:noProof/>
        </w:rPr>
        <w:t xml:space="preserve"> Relationship of circulating tumor cells to tumor response, progression-free survival, and overall survival in patients with metastatic colorectal cancer. </w:t>
      </w:r>
      <w:r w:rsidRPr="007E40FA">
        <w:rPr>
          <w:i/>
          <w:iCs/>
          <w:noProof/>
        </w:rPr>
        <w:t>Journal of clinical oncology : official journal of the American Society of Clinical Oncology</w:t>
      </w:r>
      <w:r w:rsidRPr="007E40FA">
        <w:rPr>
          <w:noProof/>
        </w:rPr>
        <w:t xml:space="preserve"> </w:t>
      </w:r>
      <w:r w:rsidRPr="007E40FA">
        <w:rPr>
          <w:b/>
          <w:bCs/>
          <w:noProof/>
        </w:rPr>
        <w:t>26</w:t>
      </w:r>
      <w:r w:rsidRPr="007E40FA">
        <w:rPr>
          <w:noProof/>
        </w:rPr>
        <w:t xml:space="preserve"> (19), 3213–21, doi:10.1200/JCO.2007.15.8923 (2008).</w:t>
      </w:r>
    </w:p>
    <w:p w:rsidR="007F0560" w:rsidRPr="007E40FA" w:rsidRDefault="007F0560">
      <w:pPr>
        <w:pStyle w:val="NormalWeb"/>
        <w:ind w:left="640" w:hanging="640"/>
        <w:divId w:val="941186404"/>
        <w:rPr>
          <w:noProof/>
        </w:rPr>
      </w:pPr>
      <w:r w:rsidRPr="007E40FA">
        <w:rPr>
          <w:noProof/>
        </w:rPr>
        <w:t>30.</w:t>
      </w:r>
      <w:r w:rsidRPr="007E40FA">
        <w:rPr>
          <w:noProof/>
        </w:rPr>
        <w:tab/>
        <w:t xml:space="preserve">Allard, W. J., Matera, J., </w:t>
      </w:r>
      <w:r w:rsidRPr="007E40FA">
        <w:rPr>
          <w:i/>
          <w:iCs/>
          <w:noProof/>
        </w:rPr>
        <w:t>et al.</w:t>
      </w:r>
      <w:r w:rsidRPr="007E40FA">
        <w:rPr>
          <w:noProof/>
        </w:rPr>
        <w:t xml:space="preserve"> Tumor cells circulate in the peripheral blood of all major carcinomas but not in healthy subjects or patients with nonmalignant diseases. </w:t>
      </w:r>
      <w:r w:rsidRPr="007E40FA">
        <w:rPr>
          <w:i/>
          <w:iCs/>
          <w:noProof/>
        </w:rPr>
        <w:t>Clinical cancer research : an official journal of the American Association for Cancer Research</w:t>
      </w:r>
      <w:r w:rsidRPr="007E40FA">
        <w:rPr>
          <w:noProof/>
        </w:rPr>
        <w:t xml:space="preserve"> </w:t>
      </w:r>
      <w:r w:rsidRPr="007E40FA">
        <w:rPr>
          <w:b/>
          <w:bCs/>
          <w:noProof/>
        </w:rPr>
        <w:t>10</w:t>
      </w:r>
      <w:r w:rsidRPr="007E40FA">
        <w:rPr>
          <w:noProof/>
        </w:rPr>
        <w:t xml:space="preserve"> (20), 6897–904 (2004).</w:t>
      </w:r>
    </w:p>
    <w:p w:rsidR="007F0560" w:rsidRPr="007E40FA" w:rsidRDefault="007F0560">
      <w:pPr>
        <w:pStyle w:val="NormalWeb"/>
        <w:ind w:left="640" w:hanging="640"/>
        <w:divId w:val="941186404"/>
        <w:rPr>
          <w:noProof/>
        </w:rPr>
      </w:pPr>
      <w:r w:rsidRPr="007E40FA">
        <w:rPr>
          <w:noProof/>
        </w:rPr>
        <w:lastRenderedPageBreak/>
        <w:t>31.</w:t>
      </w:r>
      <w:r w:rsidRPr="007E40FA">
        <w:rPr>
          <w:noProof/>
        </w:rPr>
        <w:tab/>
        <w:t xml:space="preserve">Thiery, J. P., Acloque, H., Huang, R. Y. J. &amp; Nieto, M. A. Epithelial-mesenchymal transitions in development and disease. </w:t>
      </w:r>
      <w:r w:rsidRPr="007E40FA">
        <w:rPr>
          <w:i/>
          <w:iCs/>
          <w:noProof/>
        </w:rPr>
        <w:t>Cell</w:t>
      </w:r>
      <w:r w:rsidRPr="007E40FA">
        <w:rPr>
          <w:noProof/>
        </w:rPr>
        <w:t xml:space="preserve"> </w:t>
      </w:r>
      <w:r w:rsidRPr="007E40FA">
        <w:rPr>
          <w:b/>
          <w:bCs/>
          <w:noProof/>
        </w:rPr>
        <w:t>139</w:t>
      </w:r>
      <w:r w:rsidRPr="007E40FA">
        <w:rPr>
          <w:noProof/>
        </w:rPr>
        <w:t xml:space="preserve"> (5), 871–90, doi:10.1016/j.cell.2009.11.007 (2009).</w:t>
      </w:r>
    </w:p>
    <w:p w:rsidR="007F0560" w:rsidRPr="007E40FA" w:rsidRDefault="007F0560">
      <w:pPr>
        <w:pStyle w:val="NormalWeb"/>
        <w:ind w:left="640" w:hanging="640"/>
        <w:divId w:val="941186404"/>
        <w:rPr>
          <w:noProof/>
        </w:rPr>
      </w:pPr>
      <w:r w:rsidRPr="007E40FA">
        <w:rPr>
          <w:noProof/>
        </w:rPr>
        <w:t>32.</w:t>
      </w:r>
      <w:r w:rsidRPr="007E40FA">
        <w:rPr>
          <w:noProof/>
        </w:rPr>
        <w:tab/>
        <w:t xml:space="preserve">Yang, J. &amp; Weinberg, R. a Epithelial-mesenchymal transition: at the crossroads of development and tumor metastasis. </w:t>
      </w:r>
      <w:r w:rsidRPr="007E40FA">
        <w:rPr>
          <w:i/>
          <w:iCs/>
          <w:noProof/>
        </w:rPr>
        <w:t>Developmental cell</w:t>
      </w:r>
      <w:r w:rsidRPr="007E40FA">
        <w:rPr>
          <w:noProof/>
        </w:rPr>
        <w:t xml:space="preserve"> </w:t>
      </w:r>
      <w:r w:rsidRPr="007E40FA">
        <w:rPr>
          <w:b/>
          <w:bCs/>
          <w:noProof/>
        </w:rPr>
        <w:t>14</w:t>
      </w:r>
      <w:r w:rsidRPr="007E40FA">
        <w:rPr>
          <w:noProof/>
        </w:rPr>
        <w:t xml:space="preserve"> (6), 818–29 (2008).</w:t>
      </w:r>
    </w:p>
    <w:p w:rsidR="007F0560" w:rsidRPr="007E40FA" w:rsidRDefault="007F0560">
      <w:pPr>
        <w:pStyle w:val="NormalWeb"/>
        <w:ind w:left="640" w:hanging="640"/>
        <w:divId w:val="941186404"/>
        <w:rPr>
          <w:noProof/>
        </w:rPr>
      </w:pPr>
      <w:r w:rsidRPr="007E40FA">
        <w:rPr>
          <w:noProof/>
        </w:rPr>
        <w:t>33.</w:t>
      </w:r>
      <w:r w:rsidRPr="007E40FA">
        <w:rPr>
          <w:noProof/>
        </w:rPr>
        <w:tab/>
        <w:t xml:space="preserve">Gradilone, A., Raimondi, C., </w:t>
      </w:r>
      <w:r w:rsidRPr="007E40FA">
        <w:rPr>
          <w:i/>
          <w:iCs/>
          <w:noProof/>
        </w:rPr>
        <w:t>et al.</w:t>
      </w:r>
      <w:r w:rsidRPr="007E40FA">
        <w:rPr>
          <w:noProof/>
        </w:rPr>
        <w:t xml:space="preserve"> Circulating tumour cells lacking cytokeratin in breast cancer: the importance of being mesenchymal. </w:t>
      </w:r>
      <w:r w:rsidRPr="007E40FA">
        <w:rPr>
          <w:i/>
          <w:iCs/>
          <w:noProof/>
        </w:rPr>
        <w:t>Journal of cellular and molecular medicine</w:t>
      </w:r>
      <w:r w:rsidRPr="007E40FA">
        <w:rPr>
          <w:noProof/>
        </w:rPr>
        <w:t xml:space="preserve"> </w:t>
      </w:r>
      <w:r w:rsidRPr="007E40FA">
        <w:rPr>
          <w:b/>
          <w:bCs/>
          <w:noProof/>
        </w:rPr>
        <w:t>15</w:t>
      </w:r>
      <w:r w:rsidRPr="007E40FA">
        <w:rPr>
          <w:noProof/>
        </w:rPr>
        <w:t xml:space="preserve"> (5), 1066–70, doi:10.1111/j.1582-4934.2011.01285.x (2011).</w:t>
      </w:r>
    </w:p>
    <w:p w:rsidR="007F0560" w:rsidRPr="007E40FA" w:rsidRDefault="007F0560">
      <w:pPr>
        <w:pStyle w:val="NormalWeb"/>
        <w:ind w:left="640" w:hanging="640"/>
        <w:divId w:val="941186404"/>
        <w:rPr>
          <w:noProof/>
        </w:rPr>
      </w:pPr>
      <w:r w:rsidRPr="007E40FA">
        <w:rPr>
          <w:noProof/>
        </w:rPr>
        <w:t>34.</w:t>
      </w:r>
      <w:r w:rsidRPr="007E40FA">
        <w:rPr>
          <w:noProof/>
        </w:rPr>
        <w:tab/>
        <w:t xml:space="preserve">Königsberg, R., Obermayr, E., </w:t>
      </w:r>
      <w:r w:rsidRPr="007E40FA">
        <w:rPr>
          <w:i/>
          <w:iCs/>
          <w:noProof/>
        </w:rPr>
        <w:t>et al.</w:t>
      </w:r>
      <w:r w:rsidRPr="007E40FA">
        <w:rPr>
          <w:noProof/>
        </w:rPr>
        <w:t xml:space="preserve"> Detection of EpCAM positive and negative circulating tumor cells in metastatic breast cancer patients. </w:t>
      </w:r>
      <w:r w:rsidRPr="007E40FA">
        <w:rPr>
          <w:i/>
          <w:iCs/>
          <w:noProof/>
        </w:rPr>
        <w:t>Acta oncologica (Stockholm, Sweden)</w:t>
      </w:r>
      <w:r w:rsidRPr="007E40FA">
        <w:rPr>
          <w:noProof/>
        </w:rPr>
        <w:t xml:space="preserve"> </w:t>
      </w:r>
      <w:r w:rsidRPr="007E40FA">
        <w:rPr>
          <w:b/>
          <w:bCs/>
          <w:noProof/>
        </w:rPr>
        <w:t>Epub</w:t>
      </w:r>
      <w:r w:rsidRPr="007E40FA">
        <w:rPr>
          <w:noProof/>
        </w:rPr>
        <w:t xml:space="preserve"> (Epub), Epub (2011).</w:t>
      </w:r>
    </w:p>
    <w:p w:rsidR="007F0560" w:rsidRPr="007E40FA" w:rsidRDefault="007F0560">
      <w:pPr>
        <w:pStyle w:val="NormalWeb"/>
        <w:ind w:left="640" w:hanging="640"/>
        <w:divId w:val="941186404"/>
        <w:rPr>
          <w:noProof/>
        </w:rPr>
      </w:pPr>
      <w:r w:rsidRPr="007E40FA">
        <w:rPr>
          <w:noProof/>
        </w:rPr>
        <w:t>35.</w:t>
      </w:r>
      <w:r w:rsidRPr="007E40FA">
        <w:rPr>
          <w:noProof/>
        </w:rPr>
        <w:tab/>
        <w:t xml:space="preserve">Kasimir-Bauer, S., Hoffmann, O., Wallwiener, D., Kimmig, R. &amp; Fehm, T. Expression of stem cell and epithelial-mesenchymal transition markers in primary breast cancer patients with circulating tumor cells. </w:t>
      </w:r>
      <w:r w:rsidRPr="007E40FA">
        <w:rPr>
          <w:i/>
          <w:iCs/>
          <w:noProof/>
        </w:rPr>
        <w:t>Breast cancer research : BCR</w:t>
      </w:r>
      <w:r w:rsidRPr="007E40FA">
        <w:rPr>
          <w:noProof/>
        </w:rPr>
        <w:t xml:space="preserve"> </w:t>
      </w:r>
      <w:r w:rsidRPr="007E40FA">
        <w:rPr>
          <w:b/>
          <w:bCs/>
          <w:noProof/>
        </w:rPr>
        <w:t>14</w:t>
      </w:r>
      <w:r w:rsidRPr="007E40FA">
        <w:rPr>
          <w:noProof/>
        </w:rPr>
        <w:t xml:space="preserve"> (1), R15, doi:10.1186/bcr3099 (2012).</w:t>
      </w:r>
    </w:p>
    <w:p w:rsidR="007F0560" w:rsidRPr="007E40FA" w:rsidRDefault="007F0560">
      <w:pPr>
        <w:pStyle w:val="NormalWeb"/>
        <w:ind w:left="640" w:hanging="640"/>
        <w:divId w:val="941186404"/>
        <w:rPr>
          <w:noProof/>
        </w:rPr>
      </w:pPr>
      <w:r w:rsidRPr="007E40FA">
        <w:rPr>
          <w:noProof/>
        </w:rPr>
        <w:t>36.</w:t>
      </w:r>
      <w:r w:rsidRPr="007E40FA">
        <w:rPr>
          <w:noProof/>
        </w:rPr>
        <w:tab/>
        <w:t xml:space="preserve">Mego, M., Mani, S. A., </w:t>
      </w:r>
      <w:r w:rsidRPr="007E40FA">
        <w:rPr>
          <w:i/>
          <w:iCs/>
          <w:noProof/>
        </w:rPr>
        <w:t>et al.</w:t>
      </w:r>
      <w:r w:rsidRPr="007E40FA">
        <w:rPr>
          <w:noProof/>
        </w:rPr>
        <w:t xml:space="preserve"> Expression of epithelial-mesenchymal transition-inducing transcription factors in primary breast cancer: The effect of neoadjuvant therapy. </w:t>
      </w:r>
      <w:r w:rsidRPr="007E40FA">
        <w:rPr>
          <w:i/>
          <w:iCs/>
          <w:noProof/>
        </w:rPr>
        <w:t>International journal of cancer. Journal international du cancer</w:t>
      </w:r>
      <w:r w:rsidRPr="007E40FA">
        <w:rPr>
          <w:noProof/>
        </w:rPr>
        <w:t xml:space="preserve"> </w:t>
      </w:r>
      <w:r w:rsidRPr="007E40FA">
        <w:rPr>
          <w:b/>
          <w:bCs/>
          <w:noProof/>
        </w:rPr>
        <w:t>Epub</w:t>
      </w:r>
      <w:r w:rsidRPr="007E40FA">
        <w:rPr>
          <w:noProof/>
        </w:rPr>
        <w:t xml:space="preserve"> (Epub), Epub (2011).</w:t>
      </w:r>
    </w:p>
    <w:p w:rsidR="007F0560" w:rsidRPr="007E40FA" w:rsidRDefault="007F0560">
      <w:pPr>
        <w:pStyle w:val="NormalWeb"/>
        <w:ind w:left="640" w:hanging="640"/>
        <w:divId w:val="941186404"/>
        <w:rPr>
          <w:noProof/>
        </w:rPr>
      </w:pPr>
      <w:r w:rsidRPr="007E40FA">
        <w:rPr>
          <w:noProof/>
        </w:rPr>
        <w:t>37.</w:t>
      </w:r>
      <w:r w:rsidRPr="007E40FA">
        <w:rPr>
          <w:noProof/>
        </w:rPr>
        <w:tab/>
        <w:t xml:space="preserve">Yu, M., Bardia, A., </w:t>
      </w:r>
      <w:r w:rsidRPr="007E40FA">
        <w:rPr>
          <w:i/>
          <w:iCs/>
          <w:noProof/>
        </w:rPr>
        <w:t>et al.</w:t>
      </w:r>
      <w:r w:rsidRPr="007E40FA">
        <w:rPr>
          <w:noProof/>
        </w:rPr>
        <w:t xml:space="preserve"> Circulating breast tumor cells exhibit dynamic changes in epithelial and mesenchymal composition. </w:t>
      </w:r>
      <w:r w:rsidRPr="007E40FA">
        <w:rPr>
          <w:i/>
          <w:iCs/>
          <w:noProof/>
        </w:rPr>
        <w:t>Science (New York, N.Y.)</w:t>
      </w:r>
      <w:r w:rsidRPr="007E40FA">
        <w:rPr>
          <w:noProof/>
        </w:rPr>
        <w:t xml:space="preserve"> </w:t>
      </w:r>
      <w:r w:rsidRPr="007E40FA">
        <w:rPr>
          <w:b/>
          <w:bCs/>
          <w:noProof/>
        </w:rPr>
        <w:t>339</w:t>
      </w:r>
      <w:r w:rsidRPr="007E40FA">
        <w:rPr>
          <w:noProof/>
        </w:rPr>
        <w:t xml:space="preserve"> (6119), 580–4, doi:10.1126/science.1228522 (2013).</w:t>
      </w:r>
    </w:p>
    <w:p w:rsidR="007F0560" w:rsidRPr="007E40FA" w:rsidRDefault="007F0560">
      <w:pPr>
        <w:pStyle w:val="NormalWeb"/>
        <w:ind w:left="640" w:hanging="640"/>
        <w:divId w:val="941186404"/>
        <w:rPr>
          <w:noProof/>
        </w:rPr>
      </w:pPr>
      <w:r w:rsidRPr="007E40FA">
        <w:rPr>
          <w:noProof/>
        </w:rPr>
        <w:t>38.</w:t>
      </w:r>
      <w:r w:rsidRPr="007E40FA">
        <w:rPr>
          <w:noProof/>
        </w:rPr>
        <w:tab/>
        <w:t xml:space="preserve">Armstrong, A. J., Marengo, M. S., </w:t>
      </w:r>
      <w:r w:rsidRPr="007E40FA">
        <w:rPr>
          <w:i/>
          <w:iCs/>
          <w:noProof/>
        </w:rPr>
        <w:t>et al.</w:t>
      </w:r>
      <w:r w:rsidRPr="007E40FA">
        <w:rPr>
          <w:noProof/>
        </w:rPr>
        <w:t xml:space="preserve"> Circulating tumor cells from patients with advanced prostate and breast cancer display both epithelial and mesenchymal markers. </w:t>
      </w:r>
      <w:r w:rsidRPr="007E40FA">
        <w:rPr>
          <w:i/>
          <w:iCs/>
          <w:noProof/>
        </w:rPr>
        <w:t>Molecular cancer research : MCR</w:t>
      </w:r>
      <w:r w:rsidRPr="007E40FA">
        <w:rPr>
          <w:noProof/>
        </w:rPr>
        <w:t xml:space="preserve"> </w:t>
      </w:r>
      <w:r w:rsidRPr="007E40FA">
        <w:rPr>
          <w:b/>
          <w:bCs/>
          <w:noProof/>
        </w:rPr>
        <w:t>9</w:t>
      </w:r>
      <w:r w:rsidRPr="007E40FA">
        <w:rPr>
          <w:noProof/>
        </w:rPr>
        <w:t xml:space="preserve"> (8), 997–1007, doi:10.1158/1541-7786.MCR-10-0490 (2011). </w:t>
      </w:r>
    </w:p>
    <w:p w:rsidR="000874E0" w:rsidRPr="007E40FA" w:rsidRDefault="0036708D" w:rsidP="007F0560">
      <w:pPr>
        <w:pStyle w:val="NormalWeb"/>
        <w:ind w:left="640" w:hanging="640"/>
        <w:divId w:val="351610388"/>
        <w:rPr>
          <w:b/>
        </w:rPr>
      </w:pPr>
      <w:r w:rsidRPr="007E40FA">
        <w:rPr>
          <w:b/>
        </w:rPr>
        <w:fldChar w:fldCharType="end"/>
      </w:r>
    </w:p>
    <w:sectPr w:rsidR="000874E0" w:rsidRPr="007E40FA" w:rsidSect="007C26BF">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927" w:rsidRDefault="00BF4927" w:rsidP="000668F2">
      <w:pPr>
        <w:spacing w:after="0" w:line="240" w:lineRule="auto"/>
      </w:pPr>
      <w:r>
        <w:separator/>
      </w:r>
    </w:p>
  </w:endnote>
  <w:endnote w:type="continuationSeparator" w:id="0">
    <w:p w:rsidR="00BF4927" w:rsidRDefault="00BF4927" w:rsidP="00066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654430"/>
      <w:docPartObj>
        <w:docPartGallery w:val="Page Numbers (Bottom of Page)"/>
        <w:docPartUnique/>
      </w:docPartObj>
    </w:sdtPr>
    <w:sdtEndPr>
      <w:rPr>
        <w:rFonts w:ascii="Times New Roman" w:hAnsi="Times New Roman"/>
        <w:noProof/>
        <w:sz w:val="24"/>
        <w:szCs w:val="24"/>
      </w:rPr>
    </w:sdtEndPr>
    <w:sdtContent>
      <w:p w:rsidR="0038557C" w:rsidRPr="000668F2" w:rsidRDefault="0036708D">
        <w:pPr>
          <w:pStyle w:val="Footer"/>
          <w:jc w:val="center"/>
          <w:rPr>
            <w:rFonts w:ascii="Times New Roman" w:hAnsi="Times New Roman"/>
            <w:sz w:val="24"/>
            <w:szCs w:val="24"/>
          </w:rPr>
        </w:pPr>
        <w:r w:rsidRPr="00201C52">
          <w:rPr>
            <w:rFonts w:ascii="Times New Roman" w:hAnsi="Times New Roman"/>
            <w:sz w:val="24"/>
            <w:szCs w:val="24"/>
          </w:rPr>
          <w:fldChar w:fldCharType="begin"/>
        </w:r>
        <w:r w:rsidR="0038557C" w:rsidRPr="00201C52">
          <w:rPr>
            <w:rFonts w:ascii="Times New Roman" w:hAnsi="Times New Roman"/>
            <w:sz w:val="24"/>
            <w:szCs w:val="24"/>
          </w:rPr>
          <w:instrText xml:space="preserve"> PAGE   \* MERGEFORMAT </w:instrText>
        </w:r>
        <w:r w:rsidRPr="00201C52">
          <w:rPr>
            <w:rFonts w:ascii="Times New Roman" w:hAnsi="Times New Roman"/>
            <w:sz w:val="24"/>
            <w:szCs w:val="24"/>
          </w:rPr>
          <w:fldChar w:fldCharType="separate"/>
        </w:r>
        <w:r w:rsidR="003C131A">
          <w:rPr>
            <w:rFonts w:ascii="Times New Roman" w:hAnsi="Times New Roman"/>
            <w:noProof/>
            <w:sz w:val="24"/>
            <w:szCs w:val="24"/>
          </w:rPr>
          <w:t>8</w:t>
        </w:r>
        <w:r w:rsidRPr="00201C52">
          <w:rPr>
            <w:rFonts w:ascii="Times New Roman" w:hAnsi="Times New Roman"/>
            <w:noProof/>
            <w:sz w:val="24"/>
            <w:szCs w:val="24"/>
          </w:rPr>
          <w:fldChar w:fldCharType="end"/>
        </w:r>
      </w:p>
    </w:sdtContent>
  </w:sdt>
  <w:p w:rsidR="0038557C" w:rsidRDefault="003855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927" w:rsidRDefault="00BF4927" w:rsidP="000668F2">
      <w:pPr>
        <w:spacing w:after="0" w:line="240" w:lineRule="auto"/>
      </w:pPr>
      <w:r>
        <w:separator/>
      </w:r>
    </w:p>
  </w:footnote>
  <w:footnote w:type="continuationSeparator" w:id="0">
    <w:p w:rsidR="00BF4927" w:rsidRDefault="00BF4927" w:rsidP="000668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475B"/>
    <w:multiLevelType w:val="hybridMultilevel"/>
    <w:tmpl w:val="C5DAF97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278263E7"/>
    <w:multiLevelType w:val="multilevel"/>
    <w:tmpl w:val="263C1C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2A4B3187"/>
    <w:multiLevelType w:val="hybridMultilevel"/>
    <w:tmpl w:val="4D6A298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358A2D5A"/>
    <w:multiLevelType w:val="hybridMultilevel"/>
    <w:tmpl w:val="43DA90A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39C33911"/>
    <w:multiLevelType w:val="multilevel"/>
    <w:tmpl w:val="EAB606E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0B77686"/>
    <w:multiLevelType w:val="multilevel"/>
    <w:tmpl w:val="0EB2429A"/>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518F2DEF"/>
    <w:multiLevelType w:val="hybridMultilevel"/>
    <w:tmpl w:val="839694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53FB0A12"/>
    <w:multiLevelType w:val="multilevel"/>
    <w:tmpl w:val="46D4BA38"/>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58D11B7F"/>
    <w:multiLevelType w:val="multilevel"/>
    <w:tmpl w:val="E3E09134"/>
    <w:lvl w:ilvl="0">
      <w:start w:val="5"/>
      <w:numFmt w:val="decimal"/>
      <w:lvlText w:val="%1."/>
      <w:lvlJc w:val="left"/>
      <w:pPr>
        <w:ind w:left="360" w:hanging="360"/>
      </w:pPr>
      <w:rPr>
        <w:rFonts w:hint="default"/>
      </w:rPr>
    </w:lvl>
    <w:lvl w:ilvl="1">
      <w:start w:val="2"/>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68A43C37"/>
    <w:multiLevelType w:val="hybridMultilevel"/>
    <w:tmpl w:val="401A8D5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nsid w:val="6AEE79DF"/>
    <w:multiLevelType w:val="multilevel"/>
    <w:tmpl w:val="0468703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6FA37E19"/>
    <w:multiLevelType w:val="multilevel"/>
    <w:tmpl w:val="7ED64858"/>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76393317"/>
    <w:multiLevelType w:val="multilevel"/>
    <w:tmpl w:val="263C1C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7EC46F28"/>
    <w:multiLevelType w:val="hybridMultilevel"/>
    <w:tmpl w:val="130E82DE"/>
    <w:lvl w:ilvl="0" w:tplc="13CCDC3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1"/>
  </w:num>
  <w:num w:numId="5">
    <w:abstractNumId w:val="4"/>
  </w:num>
  <w:num w:numId="6">
    <w:abstractNumId w:val="6"/>
  </w:num>
  <w:num w:numId="7">
    <w:abstractNumId w:val="12"/>
  </w:num>
  <w:num w:numId="8">
    <w:abstractNumId w:val="10"/>
  </w:num>
  <w:num w:numId="9">
    <w:abstractNumId w:val="11"/>
  </w:num>
  <w:num w:numId="10">
    <w:abstractNumId w:val="8"/>
  </w:num>
  <w:num w:numId="11">
    <w:abstractNumId w:val="7"/>
  </w:num>
  <w:num w:numId="12">
    <w:abstractNumId w:val="13"/>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C3C"/>
    <w:rsid w:val="000113D1"/>
    <w:rsid w:val="0001196B"/>
    <w:rsid w:val="00013A92"/>
    <w:rsid w:val="00021CFF"/>
    <w:rsid w:val="00024A9C"/>
    <w:rsid w:val="000336C0"/>
    <w:rsid w:val="00036BF0"/>
    <w:rsid w:val="00041704"/>
    <w:rsid w:val="00042D31"/>
    <w:rsid w:val="000454F5"/>
    <w:rsid w:val="00052FD7"/>
    <w:rsid w:val="000624BC"/>
    <w:rsid w:val="00065062"/>
    <w:rsid w:val="000668F2"/>
    <w:rsid w:val="00074403"/>
    <w:rsid w:val="000874E0"/>
    <w:rsid w:val="000A2CF0"/>
    <w:rsid w:val="000B3614"/>
    <w:rsid w:val="000B53C1"/>
    <w:rsid w:val="000C2941"/>
    <w:rsid w:val="000C45FB"/>
    <w:rsid w:val="000C6AE4"/>
    <w:rsid w:val="000C7419"/>
    <w:rsid w:val="000C7822"/>
    <w:rsid w:val="000D081F"/>
    <w:rsid w:val="000D2445"/>
    <w:rsid w:val="000E16E4"/>
    <w:rsid w:val="000E2E27"/>
    <w:rsid w:val="000F798A"/>
    <w:rsid w:val="001073BB"/>
    <w:rsid w:val="0011208F"/>
    <w:rsid w:val="001144B4"/>
    <w:rsid w:val="001201D9"/>
    <w:rsid w:val="00127DC4"/>
    <w:rsid w:val="001423C5"/>
    <w:rsid w:val="0014313E"/>
    <w:rsid w:val="00145492"/>
    <w:rsid w:val="0016707F"/>
    <w:rsid w:val="001723FC"/>
    <w:rsid w:val="00174FD1"/>
    <w:rsid w:val="00180583"/>
    <w:rsid w:val="00182EB9"/>
    <w:rsid w:val="00187E4B"/>
    <w:rsid w:val="00192C0A"/>
    <w:rsid w:val="001931ED"/>
    <w:rsid w:val="00195E41"/>
    <w:rsid w:val="001A4CF2"/>
    <w:rsid w:val="001C3034"/>
    <w:rsid w:val="001C4853"/>
    <w:rsid w:val="001F0875"/>
    <w:rsid w:val="001F62D0"/>
    <w:rsid w:val="00201C52"/>
    <w:rsid w:val="0020506B"/>
    <w:rsid w:val="002051C5"/>
    <w:rsid w:val="0020665C"/>
    <w:rsid w:val="00210B3A"/>
    <w:rsid w:val="00237481"/>
    <w:rsid w:val="00241D66"/>
    <w:rsid w:val="00244330"/>
    <w:rsid w:val="00257A1E"/>
    <w:rsid w:val="00273723"/>
    <w:rsid w:val="0029193C"/>
    <w:rsid w:val="00293670"/>
    <w:rsid w:val="002957A6"/>
    <w:rsid w:val="002B1A00"/>
    <w:rsid w:val="002C3864"/>
    <w:rsid w:val="002D38C3"/>
    <w:rsid w:val="002D4866"/>
    <w:rsid w:val="002E4FDA"/>
    <w:rsid w:val="002F616D"/>
    <w:rsid w:val="00305068"/>
    <w:rsid w:val="00327378"/>
    <w:rsid w:val="0035563F"/>
    <w:rsid w:val="0036708D"/>
    <w:rsid w:val="00383CC4"/>
    <w:rsid w:val="0038557C"/>
    <w:rsid w:val="003A0B84"/>
    <w:rsid w:val="003A7B51"/>
    <w:rsid w:val="003C131A"/>
    <w:rsid w:val="003D48AD"/>
    <w:rsid w:val="003E5224"/>
    <w:rsid w:val="003F0506"/>
    <w:rsid w:val="003F3597"/>
    <w:rsid w:val="003F51E8"/>
    <w:rsid w:val="003F6DD8"/>
    <w:rsid w:val="003F7839"/>
    <w:rsid w:val="004107AD"/>
    <w:rsid w:val="0041519E"/>
    <w:rsid w:val="0042148B"/>
    <w:rsid w:val="0042187A"/>
    <w:rsid w:val="004244FF"/>
    <w:rsid w:val="00425E34"/>
    <w:rsid w:val="00436000"/>
    <w:rsid w:val="004424F5"/>
    <w:rsid w:val="00455918"/>
    <w:rsid w:val="00457A13"/>
    <w:rsid w:val="004636EF"/>
    <w:rsid w:val="00474214"/>
    <w:rsid w:val="00480999"/>
    <w:rsid w:val="004959E1"/>
    <w:rsid w:val="004B191B"/>
    <w:rsid w:val="004B1B1C"/>
    <w:rsid w:val="004B532F"/>
    <w:rsid w:val="004C0272"/>
    <w:rsid w:val="004C7C29"/>
    <w:rsid w:val="004E34F9"/>
    <w:rsid w:val="004E3D16"/>
    <w:rsid w:val="004E6416"/>
    <w:rsid w:val="004F2D36"/>
    <w:rsid w:val="004F44AC"/>
    <w:rsid w:val="004F6ADB"/>
    <w:rsid w:val="004F6F65"/>
    <w:rsid w:val="00501054"/>
    <w:rsid w:val="005153D1"/>
    <w:rsid w:val="00517ADF"/>
    <w:rsid w:val="0052180F"/>
    <w:rsid w:val="00522D1A"/>
    <w:rsid w:val="0053069B"/>
    <w:rsid w:val="00533ACB"/>
    <w:rsid w:val="0053484E"/>
    <w:rsid w:val="00545AE0"/>
    <w:rsid w:val="005629D8"/>
    <w:rsid w:val="00593534"/>
    <w:rsid w:val="005978C2"/>
    <w:rsid w:val="005B2A59"/>
    <w:rsid w:val="005B6A3A"/>
    <w:rsid w:val="005C0375"/>
    <w:rsid w:val="005C7D73"/>
    <w:rsid w:val="005D0E6C"/>
    <w:rsid w:val="005E5B56"/>
    <w:rsid w:val="00606B83"/>
    <w:rsid w:val="00622C27"/>
    <w:rsid w:val="00625FA1"/>
    <w:rsid w:val="006368B7"/>
    <w:rsid w:val="00637B50"/>
    <w:rsid w:val="00680882"/>
    <w:rsid w:val="006925ED"/>
    <w:rsid w:val="006975D9"/>
    <w:rsid w:val="006A040F"/>
    <w:rsid w:val="006A125C"/>
    <w:rsid w:val="006A3BD5"/>
    <w:rsid w:val="006B0793"/>
    <w:rsid w:val="006B0BA4"/>
    <w:rsid w:val="006B0E63"/>
    <w:rsid w:val="006D7A74"/>
    <w:rsid w:val="006E79F7"/>
    <w:rsid w:val="006F6BBE"/>
    <w:rsid w:val="0070034D"/>
    <w:rsid w:val="00712D63"/>
    <w:rsid w:val="007163B6"/>
    <w:rsid w:val="00716910"/>
    <w:rsid w:val="00716E90"/>
    <w:rsid w:val="007275A0"/>
    <w:rsid w:val="0074233A"/>
    <w:rsid w:val="007442AE"/>
    <w:rsid w:val="0074455B"/>
    <w:rsid w:val="00753352"/>
    <w:rsid w:val="00770775"/>
    <w:rsid w:val="0077734C"/>
    <w:rsid w:val="00785528"/>
    <w:rsid w:val="00787CD3"/>
    <w:rsid w:val="00796AED"/>
    <w:rsid w:val="00796AFA"/>
    <w:rsid w:val="007B14DD"/>
    <w:rsid w:val="007B17E2"/>
    <w:rsid w:val="007B6991"/>
    <w:rsid w:val="007B6F3F"/>
    <w:rsid w:val="007C0CC8"/>
    <w:rsid w:val="007C26BF"/>
    <w:rsid w:val="007D3BE8"/>
    <w:rsid w:val="007E35D5"/>
    <w:rsid w:val="007E40FA"/>
    <w:rsid w:val="007F0560"/>
    <w:rsid w:val="007F3854"/>
    <w:rsid w:val="00801893"/>
    <w:rsid w:val="00801E35"/>
    <w:rsid w:val="00803037"/>
    <w:rsid w:val="00803880"/>
    <w:rsid w:val="00803A51"/>
    <w:rsid w:val="00803CF4"/>
    <w:rsid w:val="00807AAC"/>
    <w:rsid w:val="00810DB8"/>
    <w:rsid w:val="00815D07"/>
    <w:rsid w:val="00831FC3"/>
    <w:rsid w:val="0086398C"/>
    <w:rsid w:val="0087062A"/>
    <w:rsid w:val="00872057"/>
    <w:rsid w:val="00876466"/>
    <w:rsid w:val="008833B7"/>
    <w:rsid w:val="008907C6"/>
    <w:rsid w:val="008A186F"/>
    <w:rsid w:val="008E7ED2"/>
    <w:rsid w:val="008F2899"/>
    <w:rsid w:val="008F7E02"/>
    <w:rsid w:val="0090301D"/>
    <w:rsid w:val="00910643"/>
    <w:rsid w:val="00912048"/>
    <w:rsid w:val="00933B35"/>
    <w:rsid w:val="00955BAB"/>
    <w:rsid w:val="009619F8"/>
    <w:rsid w:val="009640DA"/>
    <w:rsid w:val="00964121"/>
    <w:rsid w:val="009677E4"/>
    <w:rsid w:val="0097171E"/>
    <w:rsid w:val="009724BA"/>
    <w:rsid w:val="00974472"/>
    <w:rsid w:val="009748AD"/>
    <w:rsid w:val="00976E39"/>
    <w:rsid w:val="00980147"/>
    <w:rsid w:val="00980D78"/>
    <w:rsid w:val="00985430"/>
    <w:rsid w:val="00990F17"/>
    <w:rsid w:val="00996C16"/>
    <w:rsid w:val="009A13A1"/>
    <w:rsid w:val="009D2E8B"/>
    <w:rsid w:val="009D3085"/>
    <w:rsid w:val="009E154B"/>
    <w:rsid w:val="009E296F"/>
    <w:rsid w:val="009E30BC"/>
    <w:rsid w:val="009F3ABD"/>
    <w:rsid w:val="009F6562"/>
    <w:rsid w:val="00A00947"/>
    <w:rsid w:val="00A202EF"/>
    <w:rsid w:val="00A35C2E"/>
    <w:rsid w:val="00A379BC"/>
    <w:rsid w:val="00A5544E"/>
    <w:rsid w:val="00A62ABC"/>
    <w:rsid w:val="00A83BC7"/>
    <w:rsid w:val="00A83F17"/>
    <w:rsid w:val="00A840B1"/>
    <w:rsid w:val="00AB0B31"/>
    <w:rsid w:val="00AC1CCE"/>
    <w:rsid w:val="00AC3BF4"/>
    <w:rsid w:val="00AD6C70"/>
    <w:rsid w:val="00AE6B72"/>
    <w:rsid w:val="00AF2B42"/>
    <w:rsid w:val="00AF5966"/>
    <w:rsid w:val="00B009F0"/>
    <w:rsid w:val="00B00DF1"/>
    <w:rsid w:val="00B06B91"/>
    <w:rsid w:val="00B22D9E"/>
    <w:rsid w:val="00B25CB7"/>
    <w:rsid w:val="00B34E0E"/>
    <w:rsid w:val="00B35A92"/>
    <w:rsid w:val="00B45987"/>
    <w:rsid w:val="00B54798"/>
    <w:rsid w:val="00B56066"/>
    <w:rsid w:val="00B61054"/>
    <w:rsid w:val="00B65C09"/>
    <w:rsid w:val="00B8186E"/>
    <w:rsid w:val="00B91C3C"/>
    <w:rsid w:val="00B92A69"/>
    <w:rsid w:val="00B93920"/>
    <w:rsid w:val="00BA6488"/>
    <w:rsid w:val="00BC43B2"/>
    <w:rsid w:val="00BC680E"/>
    <w:rsid w:val="00BD04DF"/>
    <w:rsid w:val="00BD4EF3"/>
    <w:rsid w:val="00BD50A2"/>
    <w:rsid w:val="00BE067D"/>
    <w:rsid w:val="00BE1405"/>
    <w:rsid w:val="00BF056B"/>
    <w:rsid w:val="00BF4927"/>
    <w:rsid w:val="00BF62F2"/>
    <w:rsid w:val="00C0404E"/>
    <w:rsid w:val="00C12787"/>
    <w:rsid w:val="00C14320"/>
    <w:rsid w:val="00C21378"/>
    <w:rsid w:val="00C26629"/>
    <w:rsid w:val="00C5393D"/>
    <w:rsid w:val="00C75F50"/>
    <w:rsid w:val="00C76CB8"/>
    <w:rsid w:val="00C8275D"/>
    <w:rsid w:val="00C86D70"/>
    <w:rsid w:val="00C957C7"/>
    <w:rsid w:val="00CC7947"/>
    <w:rsid w:val="00CE4005"/>
    <w:rsid w:val="00D04C9A"/>
    <w:rsid w:val="00D178C2"/>
    <w:rsid w:val="00D2014B"/>
    <w:rsid w:val="00D234F3"/>
    <w:rsid w:val="00D372EA"/>
    <w:rsid w:val="00D55ADC"/>
    <w:rsid w:val="00D566C1"/>
    <w:rsid w:val="00D63122"/>
    <w:rsid w:val="00D652F5"/>
    <w:rsid w:val="00D96BFB"/>
    <w:rsid w:val="00DA2034"/>
    <w:rsid w:val="00DA459D"/>
    <w:rsid w:val="00DB4844"/>
    <w:rsid w:val="00DC6570"/>
    <w:rsid w:val="00DD758E"/>
    <w:rsid w:val="00DF5DE3"/>
    <w:rsid w:val="00E06F00"/>
    <w:rsid w:val="00E212EF"/>
    <w:rsid w:val="00E26DE4"/>
    <w:rsid w:val="00E330A4"/>
    <w:rsid w:val="00E34021"/>
    <w:rsid w:val="00E34F2B"/>
    <w:rsid w:val="00E429F0"/>
    <w:rsid w:val="00E42C4C"/>
    <w:rsid w:val="00E530AE"/>
    <w:rsid w:val="00E54D85"/>
    <w:rsid w:val="00E63838"/>
    <w:rsid w:val="00E64C43"/>
    <w:rsid w:val="00E64CE6"/>
    <w:rsid w:val="00E64FE0"/>
    <w:rsid w:val="00E7248A"/>
    <w:rsid w:val="00E72801"/>
    <w:rsid w:val="00E73953"/>
    <w:rsid w:val="00E825C4"/>
    <w:rsid w:val="00EA3C29"/>
    <w:rsid w:val="00EB225B"/>
    <w:rsid w:val="00EB4713"/>
    <w:rsid w:val="00ED2A1E"/>
    <w:rsid w:val="00EE08B3"/>
    <w:rsid w:val="00EE38E7"/>
    <w:rsid w:val="00EF1409"/>
    <w:rsid w:val="00EF4C01"/>
    <w:rsid w:val="00EF5077"/>
    <w:rsid w:val="00EF7FED"/>
    <w:rsid w:val="00F03D5A"/>
    <w:rsid w:val="00F131F9"/>
    <w:rsid w:val="00F135CF"/>
    <w:rsid w:val="00F137C4"/>
    <w:rsid w:val="00F36283"/>
    <w:rsid w:val="00F55541"/>
    <w:rsid w:val="00F57115"/>
    <w:rsid w:val="00F67D13"/>
    <w:rsid w:val="00F736B2"/>
    <w:rsid w:val="00F749F3"/>
    <w:rsid w:val="00F81022"/>
    <w:rsid w:val="00FB5225"/>
    <w:rsid w:val="00FB75F9"/>
    <w:rsid w:val="00FC1CA6"/>
    <w:rsid w:val="00FC5CDC"/>
    <w:rsid w:val="00FC6428"/>
    <w:rsid w:val="00FE4028"/>
    <w:rsid w:val="00FE7D08"/>
    <w:rsid w:val="00FF7709"/>
    <w:rsid w:val="00FF79F5"/>
    <w:rsid w:val="00FF7F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5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91C3C"/>
  </w:style>
  <w:style w:type="character" w:styleId="Hyperlink">
    <w:name w:val="Hyperlink"/>
    <w:basedOn w:val="DefaultParagraphFont"/>
    <w:uiPriority w:val="99"/>
    <w:unhideWhenUsed/>
    <w:rsid w:val="00B91C3C"/>
    <w:rPr>
      <w:color w:val="0000FF"/>
      <w:u w:val="single"/>
    </w:rPr>
  </w:style>
  <w:style w:type="paragraph" w:customStyle="1" w:styleId="Default">
    <w:name w:val="Default"/>
    <w:rsid w:val="00B91C3C"/>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606B83"/>
    <w:pPr>
      <w:ind w:left="720"/>
      <w:contextualSpacing/>
    </w:pPr>
  </w:style>
  <w:style w:type="character" w:styleId="Strong">
    <w:name w:val="Strong"/>
    <w:basedOn w:val="DefaultParagraphFont"/>
    <w:uiPriority w:val="22"/>
    <w:qFormat/>
    <w:rsid w:val="00BC43B2"/>
    <w:rPr>
      <w:b/>
      <w:bCs/>
    </w:rPr>
  </w:style>
  <w:style w:type="paragraph" w:styleId="NormalWeb">
    <w:name w:val="Normal (Web)"/>
    <w:basedOn w:val="Normal"/>
    <w:uiPriority w:val="99"/>
    <w:unhideWhenUsed/>
    <w:rsid w:val="00042D31"/>
    <w:pPr>
      <w:spacing w:before="100" w:beforeAutospacing="1" w:after="100" w:afterAutospacing="1" w:line="240" w:lineRule="auto"/>
    </w:pPr>
    <w:rPr>
      <w:rFonts w:ascii="Times New Roman" w:eastAsiaTheme="minorEastAsia" w:hAnsi="Times New Roman"/>
      <w:sz w:val="24"/>
      <w:szCs w:val="24"/>
      <w:lang w:eastAsia="en-CA"/>
    </w:rPr>
  </w:style>
  <w:style w:type="paragraph" w:styleId="Header">
    <w:name w:val="header"/>
    <w:basedOn w:val="Normal"/>
    <w:link w:val="HeaderChar"/>
    <w:uiPriority w:val="99"/>
    <w:unhideWhenUsed/>
    <w:rsid w:val="00066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8F2"/>
    <w:rPr>
      <w:rFonts w:ascii="Calibri" w:eastAsia="Calibri" w:hAnsi="Calibri" w:cs="Times New Roman"/>
    </w:rPr>
  </w:style>
  <w:style w:type="paragraph" w:styleId="Footer">
    <w:name w:val="footer"/>
    <w:basedOn w:val="Normal"/>
    <w:link w:val="FooterChar"/>
    <w:uiPriority w:val="99"/>
    <w:unhideWhenUsed/>
    <w:rsid w:val="00066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8F2"/>
    <w:rPr>
      <w:rFonts w:ascii="Calibri" w:eastAsia="Calibri" w:hAnsi="Calibri" w:cs="Times New Roman"/>
    </w:rPr>
  </w:style>
  <w:style w:type="paragraph" w:styleId="BalloonText">
    <w:name w:val="Balloon Text"/>
    <w:basedOn w:val="Normal"/>
    <w:link w:val="BalloonTextChar"/>
    <w:uiPriority w:val="99"/>
    <w:semiHidden/>
    <w:unhideWhenUsed/>
    <w:rsid w:val="00052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FD7"/>
    <w:rPr>
      <w:rFonts w:ascii="Tahoma" w:eastAsia="Calibri" w:hAnsi="Tahoma" w:cs="Tahoma"/>
      <w:sz w:val="16"/>
      <w:szCs w:val="16"/>
    </w:rPr>
  </w:style>
  <w:style w:type="character" w:styleId="CommentReference">
    <w:name w:val="annotation reference"/>
    <w:basedOn w:val="DefaultParagraphFont"/>
    <w:uiPriority w:val="99"/>
    <w:semiHidden/>
    <w:unhideWhenUsed/>
    <w:rsid w:val="00052FD7"/>
    <w:rPr>
      <w:sz w:val="16"/>
      <w:szCs w:val="16"/>
    </w:rPr>
  </w:style>
  <w:style w:type="paragraph" w:styleId="CommentText">
    <w:name w:val="annotation text"/>
    <w:basedOn w:val="Normal"/>
    <w:link w:val="CommentTextChar"/>
    <w:uiPriority w:val="99"/>
    <w:semiHidden/>
    <w:unhideWhenUsed/>
    <w:rsid w:val="00052FD7"/>
    <w:pPr>
      <w:spacing w:line="240" w:lineRule="auto"/>
    </w:pPr>
    <w:rPr>
      <w:sz w:val="20"/>
      <w:szCs w:val="20"/>
    </w:rPr>
  </w:style>
  <w:style w:type="character" w:customStyle="1" w:styleId="CommentTextChar">
    <w:name w:val="Comment Text Char"/>
    <w:basedOn w:val="DefaultParagraphFont"/>
    <w:link w:val="CommentText"/>
    <w:uiPriority w:val="99"/>
    <w:semiHidden/>
    <w:rsid w:val="00052FD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52FD7"/>
    <w:rPr>
      <w:b/>
      <w:bCs/>
    </w:rPr>
  </w:style>
  <w:style w:type="character" w:customStyle="1" w:styleId="CommentSubjectChar">
    <w:name w:val="Comment Subject Char"/>
    <w:basedOn w:val="CommentTextChar"/>
    <w:link w:val="CommentSubject"/>
    <w:uiPriority w:val="99"/>
    <w:semiHidden/>
    <w:rsid w:val="00052FD7"/>
    <w:rPr>
      <w:rFonts w:ascii="Calibri" w:eastAsia="Calibri" w:hAnsi="Calibri" w:cs="Times New Roman"/>
      <w:b/>
      <w:bCs/>
      <w:sz w:val="20"/>
      <w:szCs w:val="20"/>
    </w:rPr>
  </w:style>
  <w:style w:type="paragraph" w:styleId="Revision">
    <w:name w:val="Revision"/>
    <w:hidden/>
    <w:uiPriority w:val="99"/>
    <w:semiHidden/>
    <w:rsid w:val="00D566C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5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91C3C"/>
  </w:style>
  <w:style w:type="character" w:styleId="Hyperlink">
    <w:name w:val="Hyperlink"/>
    <w:basedOn w:val="DefaultParagraphFont"/>
    <w:uiPriority w:val="99"/>
    <w:unhideWhenUsed/>
    <w:rsid w:val="00B91C3C"/>
    <w:rPr>
      <w:color w:val="0000FF"/>
      <w:u w:val="single"/>
    </w:rPr>
  </w:style>
  <w:style w:type="paragraph" w:customStyle="1" w:styleId="Default">
    <w:name w:val="Default"/>
    <w:rsid w:val="00B91C3C"/>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606B83"/>
    <w:pPr>
      <w:ind w:left="720"/>
      <w:contextualSpacing/>
    </w:pPr>
  </w:style>
  <w:style w:type="character" w:styleId="Strong">
    <w:name w:val="Strong"/>
    <w:basedOn w:val="DefaultParagraphFont"/>
    <w:uiPriority w:val="22"/>
    <w:qFormat/>
    <w:rsid w:val="00BC43B2"/>
    <w:rPr>
      <w:b/>
      <w:bCs/>
    </w:rPr>
  </w:style>
  <w:style w:type="paragraph" w:styleId="NormalWeb">
    <w:name w:val="Normal (Web)"/>
    <w:basedOn w:val="Normal"/>
    <w:uiPriority w:val="99"/>
    <w:unhideWhenUsed/>
    <w:rsid w:val="00042D31"/>
    <w:pPr>
      <w:spacing w:before="100" w:beforeAutospacing="1" w:after="100" w:afterAutospacing="1" w:line="240" w:lineRule="auto"/>
    </w:pPr>
    <w:rPr>
      <w:rFonts w:ascii="Times New Roman" w:eastAsiaTheme="minorEastAsia" w:hAnsi="Times New Roman"/>
      <w:sz w:val="24"/>
      <w:szCs w:val="24"/>
      <w:lang w:eastAsia="en-CA"/>
    </w:rPr>
  </w:style>
  <w:style w:type="paragraph" w:styleId="Header">
    <w:name w:val="header"/>
    <w:basedOn w:val="Normal"/>
    <w:link w:val="HeaderChar"/>
    <w:uiPriority w:val="99"/>
    <w:unhideWhenUsed/>
    <w:rsid w:val="00066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8F2"/>
    <w:rPr>
      <w:rFonts w:ascii="Calibri" w:eastAsia="Calibri" w:hAnsi="Calibri" w:cs="Times New Roman"/>
    </w:rPr>
  </w:style>
  <w:style w:type="paragraph" w:styleId="Footer">
    <w:name w:val="footer"/>
    <w:basedOn w:val="Normal"/>
    <w:link w:val="FooterChar"/>
    <w:uiPriority w:val="99"/>
    <w:unhideWhenUsed/>
    <w:rsid w:val="00066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8F2"/>
    <w:rPr>
      <w:rFonts w:ascii="Calibri" w:eastAsia="Calibri" w:hAnsi="Calibri" w:cs="Times New Roman"/>
    </w:rPr>
  </w:style>
  <w:style w:type="paragraph" w:styleId="BalloonText">
    <w:name w:val="Balloon Text"/>
    <w:basedOn w:val="Normal"/>
    <w:link w:val="BalloonTextChar"/>
    <w:uiPriority w:val="99"/>
    <w:semiHidden/>
    <w:unhideWhenUsed/>
    <w:rsid w:val="00052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FD7"/>
    <w:rPr>
      <w:rFonts w:ascii="Tahoma" w:eastAsia="Calibri" w:hAnsi="Tahoma" w:cs="Tahoma"/>
      <w:sz w:val="16"/>
      <w:szCs w:val="16"/>
    </w:rPr>
  </w:style>
  <w:style w:type="character" w:styleId="CommentReference">
    <w:name w:val="annotation reference"/>
    <w:basedOn w:val="DefaultParagraphFont"/>
    <w:uiPriority w:val="99"/>
    <w:semiHidden/>
    <w:unhideWhenUsed/>
    <w:rsid w:val="00052FD7"/>
    <w:rPr>
      <w:sz w:val="16"/>
      <w:szCs w:val="16"/>
    </w:rPr>
  </w:style>
  <w:style w:type="paragraph" w:styleId="CommentText">
    <w:name w:val="annotation text"/>
    <w:basedOn w:val="Normal"/>
    <w:link w:val="CommentTextChar"/>
    <w:uiPriority w:val="99"/>
    <w:semiHidden/>
    <w:unhideWhenUsed/>
    <w:rsid w:val="00052FD7"/>
    <w:pPr>
      <w:spacing w:line="240" w:lineRule="auto"/>
    </w:pPr>
    <w:rPr>
      <w:sz w:val="20"/>
      <w:szCs w:val="20"/>
    </w:rPr>
  </w:style>
  <w:style w:type="character" w:customStyle="1" w:styleId="CommentTextChar">
    <w:name w:val="Comment Text Char"/>
    <w:basedOn w:val="DefaultParagraphFont"/>
    <w:link w:val="CommentText"/>
    <w:uiPriority w:val="99"/>
    <w:semiHidden/>
    <w:rsid w:val="00052FD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52FD7"/>
    <w:rPr>
      <w:b/>
      <w:bCs/>
    </w:rPr>
  </w:style>
  <w:style w:type="character" w:customStyle="1" w:styleId="CommentSubjectChar">
    <w:name w:val="Comment Subject Char"/>
    <w:basedOn w:val="CommentTextChar"/>
    <w:link w:val="CommentSubject"/>
    <w:uiPriority w:val="99"/>
    <w:semiHidden/>
    <w:rsid w:val="00052FD7"/>
    <w:rPr>
      <w:rFonts w:ascii="Calibri" w:eastAsia="Calibri" w:hAnsi="Calibri" w:cs="Times New Roman"/>
      <w:b/>
      <w:bCs/>
      <w:sz w:val="20"/>
      <w:szCs w:val="20"/>
    </w:rPr>
  </w:style>
  <w:style w:type="paragraph" w:styleId="Revision">
    <w:name w:val="Revision"/>
    <w:hidden/>
    <w:uiPriority w:val="99"/>
    <w:semiHidden/>
    <w:rsid w:val="00D566C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94263">
      <w:bodyDiv w:val="1"/>
      <w:marLeft w:val="0"/>
      <w:marRight w:val="0"/>
      <w:marTop w:val="0"/>
      <w:marBottom w:val="0"/>
      <w:divBdr>
        <w:top w:val="none" w:sz="0" w:space="0" w:color="auto"/>
        <w:left w:val="none" w:sz="0" w:space="0" w:color="auto"/>
        <w:bottom w:val="none" w:sz="0" w:space="0" w:color="auto"/>
        <w:right w:val="none" w:sz="0" w:space="0" w:color="auto"/>
      </w:divBdr>
      <w:divsChild>
        <w:div w:id="630982457">
          <w:marLeft w:val="0"/>
          <w:marRight w:val="0"/>
          <w:marTop w:val="0"/>
          <w:marBottom w:val="0"/>
          <w:divBdr>
            <w:top w:val="none" w:sz="0" w:space="0" w:color="auto"/>
            <w:left w:val="none" w:sz="0" w:space="0" w:color="auto"/>
            <w:bottom w:val="none" w:sz="0" w:space="0" w:color="auto"/>
            <w:right w:val="none" w:sz="0" w:space="0" w:color="auto"/>
          </w:divBdr>
          <w:divsChild>
            <w:div w:id="1409881502">
              <w:marLeft w:val="0"/>
              <w:marRight w:val="0"/>
              <w:marTop w:val="0"/>
              <w:marBottom w:val="0"/>
              <w:divBdr>
                <w:top w:val="none" w:sz="0" w:space="0" w:color="auto"/>
                <w:left w:val="none" w:sz="0" w:space="0" w:color="auto"/>
                <w:bottom w:val="none" w:sz="0" w:space="0" w:color="auto"/>
                <w:right w:val="none" w:sz="0" w:space="0" w:color="auto"/>
              </w:divBdr>
              <w:divsChild>
                <w:div w:id="1993485756">
                  <w:marLeft w:val="0"/>
                  <w:marRight w:val="0"/>
                  <w:marTop w:val="0"/>
                  <w:marBottom w:val="0"/>
                  <w:divBdr>
                    <w:top w:val="none" w:sz="0" w:space="0" w:color="auto"/>
                    <w:left w:val="none" w:sz="0" w:space="0" w:color="auto"/>
                    <w:bottom w:val="none" w:sz="0" w:space="0" w:color="auto"/>
                    <w:right w:val="none" w:sz="0" w:space="0" w:color="auto"/>
                  </w:divBdr>
                  <w:divsChild>
                    <w:div w:id="2115858285">
                      <w:marLeft w:val="0"/>
                      <w:marRight w:val="0"/>
                      <w:marTop w:val="0"/>
                      <w:marBottom w:val="0"/>
                      <w:divBdr>
                        <w:top w:val="none" w:sz="0" w:space="0" w:color="auto"/>
                        <w:left w:val="none" w:sz="0" w:space="0" w:color="auto"/>
                        <w:bottom w:val="none" w:sz="0" w:space="0" w:color="auto"/>
                        <w:right w:val="none" w:sz="0" w:space="0" w:color="auto"/>
                      </w:divBdr>
                      <w:divsChild>
                        <w:div w:id="1272709124">
                          <w:marLeft w:val="0"/>
                          <w:marRight w:val="0"/>
                          <w:marTop w:val="0"/>
                          <w:marBottom w:val="0"/>
                          <w:divBdr>
                            <w:top w:val="none" w:sz="0" w:space="0" w:color="auto"/>
                            <w:left w:val="none" w:sz="0" w:space="0" w:color="auto"/>
                            <w:bottom w:val="none" w:sz="0" w:space="0" w:color="auto"/>
                            <w:right w:val="none" w:sz="0" w:space="0" w:color="auto"/>
                          </w:divBdr>
                          <w:divsChild>
                            <w:div w:id="260383974">
                              <w:marLeft w:val="0"/>
                              <w:marRight w:val="0"/>
                              <w:marTop w:val="0"/>
                              <w:marBottom w:val="0"/>
                              <w:divBdr>
                                <w:top w:val="none" w:sz="0" w:space="0" w:color="auto"/>
                                <w:left w:val="none" w:sz="0" w:space="0" w:color="auto"/>
                                <w:bottom w:val="none" w:sz="0" w:space="0" w:color="auto"/>
                                <w:right w:val="none" w:sz="0" w:space="0" w:color="auto"/>
                              </w:divBdr>
                              <w:divsChild>
                                <w:div w:id="1827434890">
                                  <w:marLeft w:val="0"/>
                                  <w:marRight w:val="0"/>
                                  <w:marTop w:val="0"/>
                                  <w:marBottom w:val="0"/>
                                  <w:divBdr>
                                    <w:top w:val="none" w:sz="0" w:space="0" w:color="auto"/>
                                    <w:left w:val="none" w:sz="0" w:space="0" w:color="auto"/>
                                    <w:bottom w:val="none" w:sz="0" w:space="0" w:color="auto"/>
                                    <w:right w:val="none" w:sz="0" w:space="0" w:color="auto"/>
                                  </w:divBdr>
                                  <w:divsChild>
                                    <w:div w:id="2022972228">
                                      <w:marLeft w:val="0"/>
                                      <w:marRight w:val="0"/>
                                      <w:marTop w:val="0"/>
                                      <w:marBottom w:val="0"/>
                                      <w:divBdr>
                                        <w:top w:val="none" w:sz="0" w:space="0" w:color="auto"/>
                                        <w:left w:val="none" w:sz="0" w:space="0" w:color="auto"/>
                                        <w:bottom w:val="none" w:sz="0" w:space="0" w:color="auto"/>
                                        <w:right w:val="none" w:sz="0" w:space="0" w:color="auto"/>
                                      </w:divBdr>
                                      <w:divsChild>
                                        <w:div w:id="166332313">
                                          <w:marLeft w:val="0"/>
                                          <w:marRight w:val="0"/>
                                          <w:marTop w:val="0"/>
                                          <w:marBottom w:val="0"/>
                                          <w:divBdr>
                                            <w:top w:val="none" w:sz="0" w:space="0" w:color="auto"/>
                                            <w:left w:val="none" w:sz="0" w:space="0" w:color="auto"/>
                                            <w:bottom w:val="none" w:sz="0" w:space="0" w:color="auto"/>
                                            <w:right w:val="none" w:sz="0" w:space="0" w:color="auto"/>
                                          </w:divBdr>
                                          <w:divsChild>
                                            <w:div w:id="2438148">
                                              <w:marLeft w:val="0"/>
                                              <w:marRight w:val="0"/>
                                              <w:marTop w:val="0"/>
                                              <w:marBottom w:val="0"/>
                                              <w:divBdr>
                                                <w:top w:val="none" w:sz="0" w:space="0" w:color="auto"/>
                                                <w:left w:val="none" w:sz="0" w:space="0" w:color="auto"/>
                                                <w:bottom w:val="none" w:sz="0" w:space="0" w:color="auto"/>
                                                <w:right w:val="none" w:sz="0" w:space="0" w:color="auto"/>
                                              </w:divBdr>
                                              <w:divsChild>
                                                <w:div w:id="1891845650">
                                                  <w:marLeft w:val="0"/>
                                                  <w:marRight w:val="0"/>
                                                  <w:marTop w:val="0"/>
                                                  <w:marBottom w:val="0"/>
                                                  <w:divBdr>
                                                    <w:top w:val="none" w:sz="0" w:space="0" w:color="auto"/>
                                                    <w:left w:val="none" w:sz="0" w:space="0" w:color="auto"/>
                                                    <w:bottom w:val="none" w:sz="0" w:space="0" w:color="auto"/>
                                                    <w:right w:val="none" w:sz="0" w:space="0" w:color="auto"/>
                                                  </w:divBdr>
                                                  <w:divsChild>
                                                    <w:div w:id="925042439">
                                                      <w:marLeft w:val="0"/>
                                                      <w:marRight w:val="0"/>
                                                      <w:marTop w:val="0"/>
                                                      <w:marBottom w:val="0"/>
                                                      <w:divBdr>
                                                        <w:top w:val="none" w:sz="0" w:space="0" w:color="auto"/>
                                                        <w:left w:val="none" w:sz="0" w:space="0" w:color="auto"/>
                                                        <w:bottom w:val="none" w:sz="0" w:space="0" w:color="auto"/>
                                                        <w:right w:val="none" w:sz="0" w:space="0" w:color="auto"/>
                                                      </w:divBdr>
                                                      <w:divsChild>
                                                        <w:div w:id="1013265546">
                                                          <w:marLeft w:val="0"/>
                                                          <w:marRight w:val="0"/>
                                                          <w:marTop w:val="0"/>
                                                          <w:marBottom w:val="0"/>
                                                          <w:divBdr>
                                                            <w:top w:val="none" w:sz="0" w:space="0" w:color="auto"/>
                                                            <w:left w:val="none" w:sz="0" w:space="0" w:color="auto"/>
                                                            <w:bottom w:val="none" w:sz="0" w:space="0" w:color="auto"/>
                                                            <w:right w:val="none" w:sz="0" w:space="0" w:color="auto"/>
                                                          </w:divBdr>
                                                          <w:divsChild>
                                                            <w:div w:id="468787330">
                                                              <w:marLeft w:val="0"/>
                                                              <w:marRight w:val="0"/>
                                                              <w:marTop w:val="0"/>
                                                              <w:marBottom w:val="0"/>
                                                              <w:divBdr>
                                                                <w:top w:val="none" w:sz="0" w:space="0" w:color="auto"/>
                                                                <w:left w:val="none" w:sz="0" w:space="0" w:color="auto"/>
                                                                <w:bottom w:val="none" w:sz="0" w:space="0" w:color="auto"/>
                                                                <w:right w:val="none" w:sz="0" w:space="0" w:color="auto"/>
                                                              </w:divBdr>
                                                              <w:divsChild>
                                                                <w:div w:id="54477114">
                                                                  <w:marLeft w:val="0"/>
                                                                  <w:marRight w:val="0"/>
                                                                  <w:marTop w:val="0"/>
                                                                  <w:marBottom w:val="0"/>
                                                                  <w:divBdr>
                                                                    <w:top w:val="none" w:sz="0" w:space="0" w:color="auto"/>
                                                                    <w:left w:val="none" w:sz="0" w:space="0" w:color="auto"/>
                                                                    <w:bottom w:val="none" w:sz="0" w:space="0" w:color="auto"/>
                                                                    <w:right w:val="none" w:sz="0" w:space="0" w:color="auto"/>
                                                                  </w:divBdr>
                                                                  <w:divsChild>
                                                                    <w:div w:id="1812012728">
                                                                      <w:marLeft w:val="0"/>
                                                                      <w:marRight w:val="0"/>
                                                                      <w:marTop w:val="0"/>
                                                                      <w:marBottom w:val="0"/>
                                                                      <w:divBdr>
                                                                        <w:top w:val="none" w:sz="0" w:space="0" w:color="auto"/>
                                                                        <w:left w:val="none" w:sz="0" w:space="0" w:color="auto"/>
                                                                        <w:bottom w:val="none" w:sz="0" w:space="0" w:color="auto"/>
                                                                        <w:right w:val="none" w:sz="0" w:space="0" w:color="auto"/>
                                                                      </w:divBdr>
                                                                      <w:divsChild>
                                                                        <w:div w:id="1168520461">
                                                                          <w:marLeft w:val="0"/>
                                                                          <w:marRight w:val="0"/>
                                                                          <w:marTop w:val="0"/>
                                                                          <w:marBottom w:val="0"/>
                                                                          <w:divBdr>
                                                                            <w:top w:val="none" w:sz="0" w:space="0" w:color="auto"/>
                                                                            <w:left w:val="none" w:sz="0" w:space="0" w:color="auto"/>
                                                                            <w:bottom w:val="none" w:sz="0" w:space="0" w:color="auto"/>
                                                                            <w:right w:val="none" w:sz="0" w:space="0" w:color="auto"/>
                                                                          </w:divBdr>
                                                                          <w:divsChild>
                                                                            <w:div w:id="542136920">
                                                                              <w:marLeft w:val="0"/>
                                                                              <w:marRight w:val="0"/>
                                                                              <w:marTop w:val="0"/>
                                                                              <w:marBottom w:val="0"/>
                                                                              <w:divBdr>
                                                                                <w:top w:val="none" w:sz="0" w:space="0" w:color="auto"/>
                                                                                <w:left w:val="none" w:sz="0" w:space="0" w:color="auto"/>
                                                                                <w:bottom w:val="none" w:sz="0" w:space="0" w:color="auto"/>
                                                                                <w:right w:val="none" w:sz="0" w:space="0" w:color="auto"/>
                                                                              </w:divBdr>
                                                                              <w:divsChild>
                                                                                <w:div w:id="180509589">
                                                                                  <w:marLeft w:val="0"/>
                                                                                  <w:marRight w:val="0"/>
                                                                                  <w:marTop w:val="0"/>
                                                                                  <w:marBottom w:val="0"/>
                                                                                  <w:divBdr>
                                                                                    <w:top w:val="none" w:sz="0" w:space="0" w:color="auto"/>
                                                                                    <w:left w:val="none" w:sz="0" w:space="0" w:color="auto"/>
                                                                                    <w:bottom w:val="none" w:sz="0" w:space="0" w:color="auto"/>
                                                                                    <w:right w:val="none" w:sz="0" w:space="0" w:color="auto"/>
                                                                                  </w:divBdr>
                                                                                  <w:divsChild>
                                                                                    <w:div w:id="14818447">
                                                                                      <w:marLeft w:val="0"/>
                                                                                      <w:marRight w:val="0"/>
                                                                                      <w:marTop w:val="0"/>
                                                                                      <w:marBottom w:val="0"/>
                                                                                      <w:divBdr>
                                                                                        <w:top w:val="none" w:sz="0" w:space="0" w:color="auto"/>
                                                                                        <w:left w:val="none" w:sz="0" w:space="0" w:color="auto"/>
                                                                                        <w:bottom w:val="none" w:sz="0" w:space="0" w:color="auto"/>
                                                                                        <w:right w:val="none" w:sz="0" w:space="0" w:color="auto"/>
                                                                                      </w:divBdr>
                                                                                      <w:divsChild>
                                                                                        <w:div w:id="445850448">
                                                                                          <w:marLeft w:val="0"/>
                                                                                          <w:marRight w:val="0"/>
                                                                                          <w:marTop w:val="0"/>
                                                                                          <w:marBottom w:val="0"/>
                                                                                          <w:divBdr>
                                                                                            <w:top w:val="none" w:sz="0" w:space="0" w:color="auto"/>
                                                                                            <w:left w:val="none" w:sz="0" w:space="0" w:color="auto"/>
                                                                                            <w:bottom w:val="none" w:sz="0" w:space="0" w:color="auto"/>
                                                                                            <w:right w:val="none" w:sz="0" w:space="0" w:color="auto"/>
                                                                                          </w:divBdr>
                                                                                          <w:divsChild>
                                                                                            <w:div w:id="777022695">
                                                                                              <w:marLeft w:val="0"/>
                                                                                              <w:marRight w:val="0"/>
                                                                                              <w:marTop w:val="0"/>
                                                                                              <w:marBottom w:val="0"/>
                                                                                              <w:divBdr>
                                                                                                <w:top w:val="none" w:sz="0" w:space="0" w:color="auto"/>
                                                                                                <w:left w:val="none" w:sz="0" w:space="0" w:color="auto"/>
                                                                                                <w:bottom w:val="none" w:sz="0" w:space="0" w:color="auto"/>
                                                                                                <w:right w:val="none" w:sz="0" w:space="0" w:color="auto"/>
                                                                                              </w:divBdr>
                                                                                              <w:divsChild>
                                                                                                <w:div w:id="776874111">
                                                                                                  <w:marLeft w:val="0"/>
                                                                                                  <w:marRight w:val="0"/>
                                                                                                  <w:marTop w:val="0"/>
                                                                                                  <w:marBottom w:val="0"/>
                                                                                                  <w:divBdr>
                                                                                                    <w:top w:val="none" w:sz="0" w:space="0" w:color="auto"/>
                                                                                                    <w:left w:val="none" w:sz="0" w:space="0" w:color="auto"/>
                                                                                                    <w:bottom w:val="none" w:sz="0" w:space="0" w:color="auto"/>
                                                                                                    <w:right w:val="none" w:sz="0" w:space="0" w:color="auto"/>
                                                                                                  </w:divBdr>
                                                                                                  <w:divsChild>
                                                                                                    <w:div w:id="1400904362">
                                                                                                      <w:marLeft w:val="0"/>
                                                                                                      <w:marRight w:val="0"/>
                                                                                                      <w:marTop w:val="0"/>
                                                                                                      <w:marBottom w:val="0"/>
                                                                                                      <w:divBdr>
                                                                                                        <w:top w:val="none" w:sz="0" w:space="0" w:color="auto"/>
                                                                                                        <w:left w:val="none" w:sz="0" w:space="0" w:color="auto"/>
                                                                                                        <w:bottom w:val="none" w:sz="0" w:space="0" w:color="auto"/>
                                                                                                        <w:right w:val="none" w:sz="0" w:space="0" w:color="auto"/>
                                                                                                      </w:divBdr>
                                                                                                      <w:divsChild>
                                                                                                        <w:div w:id="1860510423">
                                                                                                          <w:marLeft w:val="0"/>
                                                                                                          <w:marRight w:val="0"/>
                                                                                                          <w:marTop w:val="0"/>
                                                                                                          <w:marBottom w:val="0"/>
                                                                                                          <w:divBdr>
                                                                                                            <w:top w:val="none" w:sz="0" w:space="0" w:color="auto"/>
                                                                                                            <w:left w:val="none" w:sz="0" w:space="0" w:color="auto"/>
                                                                                                            <w:bottom w:val="none" w:sz="0" w:space="0" w:color="auto"/>
                                                                                                            <w:right w:val="none" w:sz="0" w:space="0" w:color="auto"/>
                                                                                                          </w:divBdr>
                                                                                                          <w:divsChild>
                                                                                                            <w:div w:id="1047605689">
                                                                                                              <w:marLeft w:val="0"/>
                                                                                                              <w:marRight w:val="0"/>
                                                                                                              <w:marTop w:val="0"/>
                                                                                                              <w:marBottom w:val="0"/>
                                                                                                              <w:divBdr>
                                                                                                                <w:top w:val="none" w:sz="0" w:space="0" w:color="auto"/>
                                                                                                                <w:left w:val="none" w:sz="0" w:space="0" w:color="auto"/>
                                                                                                                <w:bottom w:val="none" w:sz="0" w:space="0" w:color="auto"/>
                                                                                                                <w:right w:val="none" w:sz="0" w:space="0" w:color="auto"/>
                                                                                                              </w:divBdr>
                                                                                                              <w:divsChild>
                                                                                                                <w:div w:id="166212648">
                                                                                                                  <w:marLeft w:val="0"/>
                                                                                                                  <w:marRight w:val="0"/>
                                                                                                                  <w:marTop w:val="0"/>
                                                                                                                  <w:marBottom w:val="0"/>
                                                                                                                  <w:divBdr>
                                                                                                                    <w:top w:val="none" w:sz="0" w:space="0" w:color="auto"/>
                                                                                                                    <w:left w:val="none" w:sz="0" w:space="0" w:color="auto"/>
                                                                                                                    <w:bottom w:val="none" w:sz="0" w:space="0" w:color="auto"/>
                                                                                                                    <w:right w:val="none" w:sz="0" w:space="0" w:color="auto"/>
                                                                                                                  </w:divBdr>
                                                                                                                  <w:divsChild>
                                                                                                                    <w:div w:id="351610388">
                                                                                                                      <w:marLeft w:val="0"/>
                                                                                                                      <w:marRight w:val="0"/>
                                                                                                                      <w:marTop w:val="0"/>
                                                                                                                      <w:marBottom w:val="0"/>
                                                                                                                      <w:divBdr>
                                                                                                                        <w:top w:val="none" w:sz="0" w:space="0" w:color="auto"/>
                                                                                                                        <w:left w:val="none" w:sz="0" w:space="0" w:color="auto"/>
                                                                                                                        <w:bottom w:val="none" w:sz="0" w:space="0" w:color="auto"/>
                                                                                                                        <w:right w:val="none" w:sz="0" w:space="0" w:color="auto"/>
                                                                                                                      </w:divBdr>
                                                                                                                      <w:divsChild>
                                                                                                                        <w:div w:id="94118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ison.Allan@lhsc.on.c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lison.Allan@lhsc.on.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ke.Keeney@lhsc.on.c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en.Hedley@lhsc.on.ca" TargetMode="External"/><Relationship Id="rId4" Type="http://schemas.microsoft.com/office/2007/relationships/stylesWithEffects" Target="stylesWithEffects.xml"/><Relationship Id="rId9" Type="http://schemas.openxmlformats.org/officeDocument/2006/relationships/hyperlink" Target="mailto:llowes@uwo.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673CD3-9976-4FC7-AAF7-09CEB5D2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29690</Words>
  <Characters>169236</Characters>
  <Application>Microsoft Office Word</Application>
  <DocSecurity>0</DocSecurity>
  <Lines>1410</Lines>
  <Paragraphs>397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2013-04-17T13:48:00Z</cp:lastPrinted>
  <dcterms:created xsi:type="dcterms:W3CDTF">2013-08-29T19:24:00Z</dcterms:created>
  <dcterms:modified xsi:type="dcterms:W3CDTF">2013-08-29T21:18:00Z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lelowes@sympatico.ca@www.mendeley.com</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(AMA)</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http://www.zotero.org/styles/journal-of-visualized-experiments</vt:lpwstr>
  </property>
  <property fmtid="{D5CDD505-2E9C-101B-9397-08002B2CF9AE}" pid="20" name="Mendeley Recent Style Name 7_1">
    <vt:lpwstr>Journal of Visualized Experiments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