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CB" w:rsidRDefault="008033CB" w:rsidP="008033CB">
      <w:proofErr w:type="spellStart"/>
      <w:r>
        <w:rPr>
          <w:u w:val="single"/>
        </w:rPr>
        <w:t>Eslami</w:t>
      </w:r>
      <w:proofErr w:type="spellEnd"/>
      <w:r>
        <w:rPr>
          <w:u w:val="single"/>
        </w:rPr>
        <w:t xml:space="preserve"> 51211 </w:t>
      </w:r>
      <w:proofErr w:type="spellStart"/>
      <w:r>
        <w:rPr>
          <w:u w:val="single"/>
        </w:rPr>
        <w:t>redos</w:t>
      </w:r>
      <w:proofErr w:type="spellEnd"/>
      <w:r>
        <w:rPr>
          <w:u w:val="single"/>
        </w:rPr>
        <w:t xml:space="preserve"> (19)</w:t>
      </w:r>
    </w:p>
    <w:p w:rsidR="008033CB" w:rsidRPr="00823C75" w:rsidRDefault="008033CB" w:rsidP="008033CB">
      <w:pPr>
        <w:rPr>
          <w:rFonts w:ascii="Times New Roman" w:hAnsi="Times New Roman"/>
        </w:rPr>
      </w:pPr>
      <w:r w:rsidRPr="00823C75">
        <w:rPr>
          <w:rFonts w:ascii="Times New Roman" w:hAnsi="Times New Roman"/>
        </w:rPr>
        <w:t xml:space="preserve">P1 Use the abbreviated pronunciation of </w:t>
      </w:r>
      <w:r w:rsidRPr="00823C75">
        <w:rPr>
          <w:rFonts w:ascii="Times New Roman" w:hAnsi="Times New Roman"/>
          <w:b/>
        </w:rPr>
        <w:t>HEp-2</w:t>
      </w:r>
      <w:r w:rsidRPr="00823C75">
        <w:rPr>
          <w:rFonts w:ascii="Times New Roman" w:hAnsi="Times New Roman"/>
        </w:rPr>
        <w:t xml:space="preserve"> in the voiceover </w:t>
      </w:r>
      <w:r w:rsidRPr="00823C75">
        <w:rPr>
          <w:rFonts w:ascii="Times New Roman" w:hAnsi="Times New Roman"/>
          <w:b/>
        </w:rPr>
        <w:t>(call it “</w:t>
      </w:r>
      <w:proofErr w:type="spellStart"/>
      <w:r w:rsidRPr="00823C75">
        <w:rPr>
          <w:rFonts w:ascii="Times New Roman" w:hAnsi="Times New Roman"/>
          <w:b/>
        </w:rPr>
        <w:t>HEp</w:t>
      </w:r>
      <w:proofErr w:type="spellEnd"/>
      <w:r w:rsidRPr="00823C75">
        <w:rPr>
          <w:rFonts w:ascii="Times New Roman" w:hAnsi="Times New Roman"/>
          <w:b/>
        </w:rPr>
        <w:t xml:space="preserve">” “2” without naming each letter and the number 2)  </w:t>
      </w:r>
      <w:r w:rsidRPr="00823C75">
        <w:rPr>
          <w:rFonts w:ascii="Times New Roman" w:hAnsi="Times New Roman"/>
        </w:rPr>
        <w:t>(0:15)</w:t>
      </w:r>
    </w:p>
    <w:p w:rsidR="008033CB" w:rsidRPr="00823C75" w:rsidRDefault="008033CB" w:rsidP="008033CB">
      <w:pPr>
        <w:rPr>
          <w:rFonts w:ascii="Times New Roman" w:hAnsi="Times New Roman"/>
        </w:rPr>
      </w:pPr>
    </w:p>
    <w:p w:rsidR="008033CB" w:rsidRPr="00823C75" w:rsidRDefault="008033CB" w:rsidP="008033CB">
      <w:pPr>
        <w:rPr>
          <w:rFonts w:ascii="Times New Roman" w:hAnsi="Times New Roman"/>
        </w:rPr>
      </w:pPr>
      <w:r w:rsidRPr="00823C75">
        <w:rPr>
          <w:rFonts w:ascii="Times New Roman" w:hAnsi="Times New Roman"/>
        </w:rPr>
        <w:t>P4</w:t>
      </w:r>
      <w:r w:rsidRPr="00823C75">
        <w:rPr>
          <w:rFonts w:ascii="Times New Roman" w:hAnsi="Times New Roman"/>
          <w:b/>
        </w:rPr>
        <w:t xml:space="preserve"> </w:t>
      </w:r>
      <w:r w:rsidRPr="00823C75">
        <w:rPr>
          <w:rFonts w:ascii="Times New Roman" w:hAnsi="Times New Roman"/>
        </w:rPr>
        <w:t>Ultimately, the presence of ANAs can be used to aid in the diagnosis of connective tissue diseases.  (</w:t>
      </w:r>
      <w:proofErr w:type="gramStart"/>
      <w:r w:rsidRPr="00823C75">
        <w:rPr>
          <w:rFonts w:ascii="Times New Roman" w:hAnsi="Times New Roman"/>
        </w:rPr>
        <w:t>0:54,</w:t>
      </w:r>
      <w:proofErr w:type="gramEnd"/>
      <w:r w:rsidRPr="00823C75">
        <w:rPr>
          <w:rFonts w:ascii="Times New Roman" w:hAnsi="Times New Roman"/>
        </w:rPr>
        <w:t xml:space="preserve"> rewrite)</w:t>
      </w:r>
    </w:p>
    <w:p w:rsidR="008033CB" w:rsidRPr="00823C75" w:rsidRDefault="008033CB" w:rsidP="008033CB">
      <w:pPr>
        <w:rPr>
          <w:rFonts w:ascii="Times New Roman" w:hAnsi="Times New Roman"/>
        </w:rPr>
      </w:pPr>
    </w:p>
    <w:p w:rsidR="008033CB" w:rsidRPr="00823C75" w:rsidRDefault="008033CB" w:rsidP="008033CB">
      <w:pPr>
        <w:rPr>
          <w:rFonts w:ascii="Times New Roman" w:hAnsi="Times New Roman"/>
          <w:b/>
        </w:rPr>
      </w:pPr>
      <w:r w:rsidRPr="00823C75">
        <w:rPr>
          <w:rFonts w:ascii="Times New Roman" w:hAnsi="Times New Roman"/>
        </w:rPr>
        <w:t xml:space="preserve">2.1a </w:t>
      </w:r>
      <w:r w:rsidRPr="00823C75">
        <w:rPr>
          <w:rFonts w:ascii="Times New Roman" w:hAnsi="Times New Roman"/>
          <w:b/>
        </w:rPr>
        <w:t xml:space="preserve">Remove reagents from packaging and allow each item to come to room temperature. Prepare reagents and dilute patient sera according to the direction insert.  Slides are barcoded and can be easily integrated into automated systems. This procedure illustrates manual slide processing; high throughput laboratories, however, may opt for automated slide processing equipment with barcode scanning capabilities. </w:t>
      </w:r>
      <w:r w:rsidRPr="00823C75">
        <w:rPr>
          <w:rFonts w:ascii="Times New Roman" w:hAnsi="Times New Roman"/>
        </w:rPr>
        <w:t>(2:08, new sentences)</w:t>
      </w:r>
    </w:p>
    <w:p w:rsidR="008033CB" w:rsidRPr="00823C75" w:rsidRDefault="008033CB" w:rsidP="008033CB">
      <w:pPr>
        <w:rPr>
          <w:rFonts w:ascii="Times New Roman" w:hAnsi="Times New Roman"/>
          <w:b/>
        </w:rPr>
      </w:pPr>
    </w:p>
    <w:p w:rsidR="008033CB" w:rsidRPr="00823C75" w:rsidRDefault="008033CB" w:rsidP="008033CB">
      <w:pPr>
        <w:rPr>
          <w:rFonts w:ascii="Times New Roman" w:hAnsi="Times New Roman"/>
          <w:b/>
        </w:rPr>
      </w:pPr>
      <w:r w:rsidRPr="00823C75">
        <w:rPr>
          <w:rFonts w:ascii="Times New Roman" w:hAnsi="Times New Roman"/>
        </w:rPr>
        <w:t>2.1b</w:t>
      </w:r>
      <w:r w:rsidRPr="00823C75">
        <w:rPr>
          <w:rFonts w:ascii="Times New Roman" w:hAnsi="Times New Roman"/>
          <w:b/>
        </w:rPr>
        <w:t xml:space="preserve"> INOVA instruments are connected through a centralized intelligent network that provides control over workflow, results, and reporting.  For IFA, this results in positive patient identification from processing, and elimination of transcription and related errors. </w:t>
      </w:r>
      <w:r w:rsidRPr="00823C75">
        <w:rPr>
          <w:rFonts w:ascii="Times New Roman" w:hAnsi="Times New Roman"/>
        </w:rPr>
        <w:t>(</w:t>
      </w:r>
      <w:proofErr w:type="gramStart"/>
      <w:r w:rsidRPr="00823C75">
        <w:rPr>
          <w:rFonts w:ascii="Times New Roman" w:hAnsi="Times New Roman"/>
        </w:rPr>
        <w:t>new</w:t>
      </w:r>
      <w:proofErr w:type="gramEnd"/>
      <w:r w:rsidRPr="00823C75">
        <w:rPr>
          <w:rFonts w:ascii="Times New Roman" w:hAnsi="Times New Roman"/>
        </w:rPr>
        <w:t xml:space="preserve"> sentence)</w:t>
      </w:r>
    </w:p>
    <w:p w:rsidR="008033CB" w:rsidRPr="00823C75" w:rsidRDefault="008033CB" w:rsidP="008033CB">
      <w:pPr>
        <w:rPr>
          <w:rFonts w:ascii="Times New Roman" w:hAnsi="Times New Roman"/>
          <w:b/>
        </w:rPr>
      </w:pPr>
    </w:p>
    <w:p w:rsidR="008033CB" w:rsidRPr="00823C75" w:rsidRDefault="008033CB" w:rsidP="008033CB">
      <w:pPr>
        <w:rPr>
          <w:rFonts w:ascii="Times New Roman" w:hAnsi="Times New Roman"/>
        </w:rPr>
      </w:pPr>
      <w:r w:rsidRPr="00823C75">
        <w:rPr>
          <w:rFonts w:ascii="Times New Roman" w:hAnsi="Times New Roman"/>
        </w:rPr>
        <w:t>2.1c</w:t>
      </w:r>
      <w:r w:rsidRPr="00823C75">
        <w:rPr>
          <w:rFonts w:ascii="Times New Roman" w:hAnsi="Times New Roman"/>
          <w:b/>
        </w:rPr>
        <w:t xml:space="preserve"> </w:t>
      </w:r>
      <w:proofErr w:type="gramStart"/>
      <w:r w:rsidRPr="00823C75">
        <w:rPr>
          <w:rFonts w:ascii="Times New Roman" w:hAnsi="Times New Roman"/>
          <w:b/>
        </w:rPr>
        <w:t>After</w:t>
      </w:r>
      <w:proofErr w:type="gramEnd"/>
      <w:r w:rsidRPr="00823C75">
        <w:rPr>
          <w:rFonts w:ascii="Times New Roman" w:hAnsi="Times New Roman"/>
          <w:b/>
        </w:rPr>
        <w:t xml:space="preserve"> accessioning, sample orders are downloaded from the LIS to the QUANTA Link. (</w:t>
      </w:r>
      <w:proofErr w:type="gramStart"/>
      <w:r w:rsidRPr="00823C75">
        <w:rPr>
          <w:rFonts w:ascii="Times New Roman" w:hAnsi="Times New Roman"/>
        </w:rPr>
        <w:t>new</w:t>
      </w:r>
      <w:proofErr w:type="gramEnd"/>
      <w:r w:rsidRPr="00823C75">
        <w:rPr>
          <w:rFonts w:ascii="Times New Roman" w:hAnsi="Times New Roman"/>
        </w:rPr>
        <w:t xml:space="preserve"> sentence)</w:t>
      </w:r>
    </w:p>
    <w:p w:rsidR="008033CB" w:rsidRPr="00823C75" w:rsidRDefault="008033CB" w:rsidP="008033CB">
      <w:pPr>
        <w:rPr>
          <w:rFonts w:ascii="Times New Roman" w:hAnsi="Times New Roman"/>
          <w:b/>
        </w:rPr>
      </w:pPr>
    </w:p>
    <w:p w:rsidR="008033CB" w:rsidRPr="00823C75" w:rsidRDefault="008033CB" w:rsidP="008033CB">
      <w:pPr>
        <w:rPr>
          <w:rFonts w:ascii="Times New Roman" w:hAnsi="Times New Roman"/>
          <w:b/>
        </w:rPr>
      </w:pPr>
      <w:r w:rsidRPr="00823C75">
        <w:rPr>
          <w:rFonts w:ascii="Times New Roman" w:hAnsi="Times New Roman"/>
        </w:rPr>
        <w:t>2.1d</w:t>
      </w:r>
      <w:r w:rsidRPr="00823C75">
        <w:rPr>
          <w:rFonts w:ascii="Times New Roman" w:hAnsi="Times New Roman"/>
          <w:b/>
        </w:rPr>
        <w:t xml:space="preserve"> Automated processing performed by QUANTA-</w:t>
      </w:r>
      <w:proofErr w:type="spellStart"/>
      <w:r w:rsidRPr="00823C75">
        <w:rPr>
          <w:rFonts w:ascii="Times New Roman" w:hAnsi="Times New Roman"/>
          <w:b/>
        </w:rPr>
        <w:t>Lyser</w:t>
      </w:r>
      <w:proofErr w:type="spellEnd"/>
      <w:r w:rsidRPr="00823C75">
        <w:rPr>
          <w:rFonts w:ascii="Times New Roman" w:hAnsi="Times New Roman"/>
          <w:b/>
        </w:rPr>
        <w:t xml:space="preserve">, ensures sample integrity, maximizes throughput and minimizes hands-on time. </w:t>
      </w:r>
      <w:r w:rsidRPr="00823C75">
        <w:rPr>
          <w:rFonts w:ascii="Times New Roman" w:hAnsi="Times New Roman"/>
        </w:rPr>
        <w:t>(</w:t>
      </w:r>
      <w:proofErr w:type="gramStart"/>
      <w:r w:rsidRPr="00823C75">
        <w:rPr>
          <w:rFonts w:ascii="Times New Roman" w:hAnsi="Times New Roman"/>
        </w:rPr>
        <w:t>new</w:t>
      </w:r>
      <w:proofErr w:type="gramEnd"/>
      <w:r w:rsidRPr="00823C75">
        <w:rPr>
          <w:rFonts w:ascii="Times New Roman" w:hAnsi="Times New Roman"/>
        </w:rPr>
        <w:t xml:space="preserve"> sentence)</w:t>
      </w:r>
    </w:p>
    <w:p w:rsidR="008033CB" w:rsidRPr="00823C75" w:rsidRDefault="008033CB" w:rsidP="008033CB">
      <w:pPr>
        <w:rPr>
          <w:rFonts w:ascii="Times New Roman" w:hAnsi="Times New Roman"/>
          <w:b/>
        </w:rPr>
      </w:pPr>
    </w:p>
    <w:p w:rsidR="008033CB" w:rsidRPr="00823C75" w:rsidRDefault="008033CB" w:rsidP="008033CB">
      <w:pPr>
        <w:rPr>
          <w:rFonts w:ascii="Times New Roman" w:hAnsi="Times New Roman"/>
          <w:b/>
        </w:rPr>
      </w:pPr>
      <w:r w:rsidRPr="00823C75">
        <w:rPr>
          <w:rFonts w:ascii="Times New Roman" w:hAnsi="Times New Roman"/>
        </w:rPr>
        <w:t>2.1e</w:t>
      </w:r>
      <w:r w:rsidRPr="00823C75">
        <w:rPr>
          <w:rFonts w:ascii="Times New Roman" w:hAnsi="Times New Roman"/>
          <w:b/>
        </w:rPr>
        <w:t xml:space="preserve"> </w:t>
      </w:r>
      <w:proofErr w:type="gramStart"/>
      <w:r w:rsidRPr="00823C75">
        <w:rPr>
          <w:rFonts w:ascii="Times New Roman" w:hAnsi="Times New Roman"/>
          <w:b/>
        </w:rPr>
        <w:t>For</w:t>
      </w:r>
      <w:proofErr w:type="gramEnd"/>
      <w:r w:rsidRPr="00823C75">
        <w:rPr>
          <w:rFonts w:ascii="Times New Roman" w:hAnsi="Times New Roman"/>
          <w:b/>
        </w:rPr>
        <w:t xml:space="preserve"> higher volume labs, NOVA View provides a platform designed to help standardize the interpretation of IFA slides, captures and archives digital images for operator review.</w:t>
      </w:r>
      <w:r w:rsidRPr="00823C75">
        <w:rPr>
          <w:rFonts w:ascii="Times New Roman" w:hAnsi="Times New Roman"/>
        </w:rPr>
        <w:t xml:space="preserve"> (</w:t>
      </w:r>
      <w:proofErr w:type="gramStart"/>
      <w:r w:rsidRPr="00823C75">
        <w:rPr>
          <w:rFonts w:ascii="Times New Roman" w:hAnsi="Times New Roman"/>
        </w:rPr>
        <w:t>new</w:t>
      </w:r>
      <w:proofErr w:type="gramEnd"/>
      <w:r w:rsidRPr="00823C75">
        <w:rPr>
          <w:rFonts w:ascii="Times New Roman" w:hAnsi="Times New Roman"/>
        </w:rPr>
        <w:t xml:space="preserve"> sentence)</w:t>
      </w:r>
    </w:p>
    <w:p w:rsidR="008033CB" w:rsidRPr="00823C75" w:rsidRDefault="008033CB" w:rsidP="008033CB">
      <w:pPr>
        <w:rPr>
          <w:rFonts w:ascii="Times New Roman" w:hAnsi="Times New Roman"/>
          <w:b/>
        </w:rPr>
      </w:pPr>
    </w:p>
    <w:p w:rsidR="008033CB" w:rsidRPr="00823C75" w:rsidRDefault="008033CB" w:rsidP="008033CB">
      <w:pPr>
        <w:rPr>
          <w:rFonts w:ascii="Times New Roman" w:hAnsi="Times New Roman"/>
        </w:rPr>
      </w:pPr>
      <w:r w:rsidRPr="00823C75">
        <w:rPr>
          <w:rFonts w:ascii="Times New Roman" w:hAnsi="Times New Roman"/>
        </w:rPr>
        <w:t>3.2</w:t>
      </w:r>
      <w:r w:rsidRPr="00823C75">
        <w:rPr>
          <w:rFonts w:ascii="Times New Roman" w:hAnsi="Times New Roman"/>
          <w:b/>
        </w:rPr>
        <w:t xml:space="preserve"> Place the slide in a staining container with a damp paper towel on the bottom. Cover the container and incubate the slide for 30 minutes. The humid conditions will prevent the substrate from drying out which could result in </w:t>
      </w:r>
      <w:proofErr w:type="spellStart"/>
      <w:r w:rsidRPr="00823C75">
        <w:rPr>
          <w:rFonts w:ascii="Times New Roman" w:hAnsi="Times New Roman"/>
          <w:b/>
        </w:rPr>
        <w:t>artifactual</w:t>
      </w:r>
      <w:proofErr w:type="spellEnd"/>
      <w:r w:rsidRPr="00823C75">
        <w:rPr>
          <w:rFonts w:ascii="Times New Roman" w:hAnsi="Times New Roman"/>
          <w:b/>
        </w:rPr>
        <w:t xml:space="preserve"> staining. </w:t>
      </w:r>
      <w:r w:rsidRPr="00823C75">
        <w:rPr>
          <w:rFonts w:ascii="Times New Roman" w:hAnsi="Times New Roman"/>
        </w:rPr>
        <w:t>(3:15</w:t>
      </w:r>
      <w:r>
        <w:rPr>
          <w:rFonts w:ascii="Times New Roman" w:hAnsi="Times New Roman"/>
        </w:rPr>
        <w:t>, rewrite</w:t>
      </w:r>
      <w:r w:rsidRPr="00823C75">
        <w:rPr>
          <w:rFonts w:ascii="Times New Roman" w:hAnsi="Times New Roman"/>
        </w:rPr>
        <w:t xml:space="preserve">) </w:t>
      </w:r>
    </w:p>
    <w:p w:rsidR="008033CB" w:rsidRPr="00823C75" w:rsidRDefault="008033CB" w:rsidP="008033CB">
      <w:pPr>
        <w:rPr>
          <w:rFonts w:ascii="Times New Roman" w:hAnsi="Times New Roman"/>
        </w:rPr>
      </w:pPr>
    </w:p>
    <w:p w:rsidR="008033CB" w:rsidRPr="004E7D0C" w:rsidRDefault="008033CB" w:rsidP="008033CB">
      <w:pPr>
        <w:rPr>
          <w:rFonts w:ascii="Times New Roman" w:hAnsi="Times New Roman" w:cs="Calibri"/>
          <w:szCs w:val="22"/>
        </w:rPr>
      </w:pPr>
      <w:r w:rsidRPr="00823C75">
        <w:rPr>
          <w:rFonts w:ascii="Times New Roman" w:hAnsi="Times New Roman"/>
        </w:rPr>
        <w:t xml:space="preserve">3.3a </w:t>
      </w:r>
      <w:proofErr w:type="gramStart"/>
      <w:r w:rsidRPr="00823C75">
        <w:rPr>
          <w:rFonts w:ascii="Times New Roman" w:hAnsi="Times New Roman" w:cs="Calibri"/>
          <w:b/>
          <w:szCs w:val="22"/>
        </w:rPr>
        <w:t>After</w:t>
      </w:r>
      <w:proofErr w:type="gramEnd"/>
      <w:r w:rsidRPr="00823C75">
        <w:rPr>
          <w:rFonts w:ascii="Times New Roman" w:hAnsi="Times New Roman" w:cs="Calibri"/>
          <w:b/>
          <w:szCs w:val="22"/>
        </w:rPr>
        <w:t xml:space="preserve"> the incubation period, rinse off the serum using a gentle stream of wash buffer. In order to avoid damaging the substrate, angle the slide slightly so that the stream is not directly pointed on the substrate.</w:t>
      </w:r>
      <w:r>
        <w:rPr>
          <w:rFonts w:ascii="Times New Roman" w:hAnsi="Times New Roman" w:cs="Calibri"/>
          <w:szCs w:val="22"/>
        </w:rPr>
        <w:t xml:space="preserve"> (</w:t>
      </w:r>
      <w:proofErr w:type="gramStart"/>
      <w:r>
        <w:rPr>
          <w:rFonts w:ascii="Times New Roman" w:hAnsi="Times New Roman" w:cs="Calibri"/>
          <w:szCs w:val="22"/>
        </w:rPr>
        <w:t>rewrite</w:t>
      </w:r>
      <w:proofErr w:type="gramEnd"/>
      <w:r>
        <w:rPr>
          <w:rFonts w:ascii="Times New Roman" w:hAnsi="Times New Roman" w:cs="Calibri"/>
          <w:szCs w:val="22"/>
        </w:rPr>
        <w:t>)</w:t>
      </w:r>
    </w:p>
    <w:p w:rsidR="008033CB" w:rsidRPr="00823C75" w:rsidRDefault="008033CB" w:rsidP="008033CB">
      <w:pPr>
        <w:rPr>
          <w:rFonts w:ascii="Times New Roman" w:hAnsi="Times New Roman" w:cs="Calibri"/>
          <w:b/>
          <w:szCs w:val="22"/>
        </w:rPr>
      </w:pPr>
    </w:p>
    <w:p w:rsidR="008033CB" w:rsidRPr="00823C75" w:rsidRDefault="008033CB" w:rsidP="008033CB">
      <w:pPr>
        <w:rPr>
          <w:rFonts w:ascii="Times New Roman" w:hAnsi="Times New Roman" w:cs="Calibri"/>
          <w:szCs w:val="22"/>
        </w:rPr>
      </w:pPr>
      <w:r w:rsidRPr="00823C75">
        <w:rPr>
          <w:rFonts w:ascii="Times New Roman" w:hAnsi="Times New Roman" w:cs="Calibri"/>
          <w:szCs w:val="22"/>
        </w:rPr>
        <w:t xml:space="preserve">3.3b: Tap off excess wash buffer and place the slide into </w:t>
      </w:r>
      <w:r w:rsidRPr="00823C75">
        <w:rPr>
          <w:rFonts w:ascii="Times New Roman" w:hAnsi="Times New Roman" w:cs="Calibri"/>
          <w:b/>
          <w:szCs w:val="22"/>
        </w:rPr>
        <w:t xml:space="preserve">a </w:t>
      </w:r>
      <w:proofErr w:type="spellStart"/>
      <w:r w:rsidRPr="00823C75">
        <w:rPr>
          <w:rFonts w:ascii="Times New Roman" w:hAnsi="Times New Roman" w:cs="Calibri"/>
          <w:b/>
          <w:szCs w:val="22"/>
        </w:rPr>
        <w:t>Coplin</w:t>
      </w:r>
      <w:proofErr w:type="spellEnd"/>
      <w:r w:rsidRPr="00823C75">
        <w:rPr>
          <w:rFonts w:ascii="Times New Roman" w:hAnsi="Times New Roman" w:cs="Calibri"/>
          <w:b/>
          <w:szCs w:val="22"/>
        </w:rPr>
        <w:t xml:space="preserve"> (pronounced COPE-LIN)</w:t>
      </w:r>
      <w:r w:rsidRPr="00823C75">
        <w:rPr>
          <w:rFonts w:ascii="Times New Roman" w:hAnsi="Times New Roman" w:cs="Calibri"/>
          <w:szCs w:val="22"/>
        </w:rPr>
        <w:t xml:space="preserve"> jar containing wash buffer. (4:04)</w:t>
      </w:r>
    </w:p>
    <w:p w:rsidR="008033CB" w:rsidRPr="00823C75" w:rsidRDefault="008033CB" w:rsidP="008033CB">
      <w:pPr>
        <w:rPr>
          <w:rFonts w:ascii="Times New Roman" w:hAnsi="Times New Roman" w:cs="Calibri"/>
          <w:szCs w:val="22"/>
        </w:rPr>
      </w:pPr>
    </w:p>
    <w:p w:rsidR="008033CB" w:rsidRPr="00823C75" w:rsidRDefault="008033CB" w:rsidP="008033CB">
      <w:pPr>
        <w:rPr>
          <w:rFonts w:ascii="Times New Roman" w:hAnsi="Times New Roman" w:cs="Calibri"/>
          <w:szCs w:val="22"/>
        </w:rPr>
      </w:pPr>
      <w:r w:rsidRPr="00823C75">
        <w:rPr>
          <w:rFonts w:ascii="Times New Roman" w:hAnsi="Times New Roman" w:cs="Calibri"/>
          <w:szCs w:val="22"/>
        </w:rPr>
        <w:t xml:space="preserve">4.1 </w:t>
      </w:r>
      <w:r w:rsidRPr="00823C75">
        <w:rPr>
          <w:rFonts w:ascii="Times New Roman" w:hAnsi="Times New Roman" w:cs="Calibri"/>
          <w:b/>
          <w:szCs w:val="22"/>
        </w:rPr>
        <w:t xml:space="preserve">Remove the slides from the wash buffer and gently tap to remove the excess wash buffer. Apply 1 drop of fluorescent conjugate onto each well. For ANA testing, the use of an </w:t>
      </w:r>
      <w:proofErr w:type="spellStart"/>
      <w:r w:rsidRPr="00823C75">
        <w:rPr>
          <w:rFonts w:ascii="Times New Roman" w:hAnsi="Times New Roman" w:cs="Calibri"/>
          <w:b/>
          <w:szCs w:val="22"/>
        </w:rPr>
        <w:t>IgG</w:t>
      </w:r>
      <w:proofErr w:type="spellEnd"/>
      <w:r w:rsidRPr="00823C75">
        <w:rPr>
          <w:rFonts w:ascii="Times New Roman" w:hAnsi="Times New Roman" w:cs="Calibri"/>
          <w:b/>
          <w:szCs w:val="22"/>
        </w:rPr>
        <w:t xml:space="preserve"> Fc specific conjugate is recommended. Incubate the slides for 30 minutes in the humidified container, and be sure to replace the staining cover. The conjugate is light sensitive, and the cover will protect the slides from light exposure.  </w:t>
      </w:r>
      <w:r w:rsidRPr="00823C75">
        <w:rPr>
          <w:rFonts w:ascii="Times New Roman" w:hAnsi="Times New Roman" w:cs="Calibri"/>
          <w:szCs w:val="22"/>
        </w:rPr>
        <w:t>(4:57, new sentence)</w:t>
      </w:r>
    </w:p>
    <w:p w:rsidR="008033CB" w:rsidRPr="00823C75" w:rsidRDefault="008033CB" w:rsidP="008033CB">
      <w:pPr>
        <w:rPr>
          <w:rFonts w:ascii="Times New Roman" w:hAnsi="Times New Roman" w:cs="Calibri"/>
          <w:b/>
          <w:szCs w:val="22"/>
        </w:rPr>
      </w:pPr>
    </w:p>
    <w:p w:rsidR="008033CB" w:rsidRPr="00823C75" w:rsidRDefault="008033CB" w:rsidP="008033CB">
      <w:pPr>
        <w:rPr>
          <w:rFonts w:ascii="Times New Roman" w:hAnsi="Times New Roman" w:cs="Calibri"/>
          <w:szCs w:val="22"/>
        </w:rPr>
      </w:pPr>
      <w:r w:rsidRPr="00823C75">
        <w:rPr>
          <w:rFonts w:ascii="Times New Roman" w:hAnsi="Times New Roman" w:cs="Calibri"/>
          <w:szCs w:val="22"/>
        </w:rPr>
        <w:t xml:space="preserve">5.4 </w:t>
      </w:r>
      <w:r w:rsidRPr="00823C75">
        <w:rPr>
          <w:rFonts w:ascii="Times New Roman" w:hAnsi="Times New Roman" w:cs="Calibri"/>
          <w:b/>
          <w:szCs w:val="22"/>
        </w:rPr>
        <w:t>In addition to manual interpretation, slides can be</w:t>
      </w:r>
      <w:r>
        <w:rPr>
          <w:rFonts w:ascii="Times New Roman" w:hAnsi="Times New Roman" w:cs="Calibri"/>
          <w:b/>
          <w:szCs w:val="22"/>
        </w:rPr>
        <w:t xml:space="preserve"> loaded and scanned by the automated fluorescence m</w:t>
      </w:r>
      <w:r w:rsidRPr="00823C75">
        <w:rPr>
          <w:rFonts w:ascii="Times New Roman" w:hAnsi="Times New Roman" w:cs="Calibri"/>
          <w:b/>
          <w:szCs w:val="22"/>
        </w:rPr>
        <w:t>icroscope. No darkroom is necessary.</w:t>
      </w:r>
      <w:r w:rsidRPr="00823C75">
        <w:rPr>
          <w:rFonts w:ascii="Times New Roman" w:hAnsi="Times New Roman" w:cs="Calibri"/>
          <w:szCs w:val="22"/>
        </w:rPr>
        <w:t xml:space="preserve"> (6:44, new sentence)</w:t>
      </w:r>
    </w:p>
    <w:p w:rsidR="008033CB" w:rsidRPr="00823C75" w:rsidRDefault="008033CB" w:rsidP="008033CB">
      <w:pPr>
        <w:rPr>
          <w:rFonts w:ascii="Times New Roman" w:hAnsi="Times New Roman" w:cs="Calibri"/>
          <w:szCs w:val="22"/>
        </w:rPr>
      </w:pPr>
    </w:p>
    <w:p w:rsidR="008033CB" w:rsidRPr="00823C75" w:rsidRDefault="008033CB" w:rsidP="008033CB">
      <w:pPr>
        <w:rPr>
          <w:rFonts w:ascii="Times New Roman" w:hAnsi="Times New Roman"/>
        </w:rPr>
      </w:pPr>
      <w:r w:rsidRPr="00823C75">
        <w:rPr>
          <w:rFonts w:ascii="Times New Roman" w:hAnsi="Times New Roman" w:cs="Calibri"/>
          <w:szCs w:val="22"/>
        </w:rPr>
        <w:t xml:space="preserve">6.1 </w:t>
      </w:r>
      <w:r w:rsidRPr="00823C75">
        <w:rPr>
          <w:rFonts w:ascii="Times New Roman" w:hAnsi="Times New Roman" w:cs="Calibri"/>
          <w:b/>
          <w:szCs w:val="22"/>
        </w:rPr>
        <w:t>Autoantibody binding on the constituent protein structures within the nucleus results in five major nuclear patterns including homogenous (pronounced as homo-gene-</w:t>
      </w:r>
      <w:proofErr w:type="spellStart"/>
      <w:r w:rsidRPr="00823C75">
        <w:rPr>
          <w:rFonts w:ascii="Times New Roman" w:hAnsi="Times New Roman" w:cs="Calibri"/>
          <w:b/>
          <w:szCs w:val="22"/>
        </w:rPr>
        <w:t>ous</w:t>
      </w:r>
      <w:proofErr w:type="spellEnd"/>
      <w:r w:rsidRPr="00823C75">
        <w:rPr>
          <w:rFonts w:ascii="Times New Roman" w:hAnsi="Times New Roman" w:cs="Calibri"/>
          <w:b/>
          <w:szCs w:val="22"/>
        </w:rPr>
        <w:t xml:space="preserve">), speckled, centromere, </w:t>
      </w:r>
      <w:proofErr w:type="spellStart"/>
      <w:r w:rsidRPr="00823C75">
        <w:rPr>
          <w:rFonts w:ascii="Times New Roman" w:hAnsi="Times New Roman" w:cs="Calibri"/>
          <w:b/>
          <w:szCs w:val="22"/>
        </w:rPr>
        <w:t>nucleolar</w:t>
      </w:r>
      <w:proofErr w:type="spellEnd"/>
      <w:r w:rsidRPr="00823C75">
        <w:rPr>
          <w:rFonts w:ascii="Times New Roman" w:hAnsi="Times New Roman" w:cs="Calibri"/>
          <w:b/>
          <w:szCs w:val="22"/>
        </w:rPr>
        <w:t>, and nuclear dot.</w:t>
      </w:r>
      <w:r w:rsidRPr="00823C75">
        <w:rPr>
          <w:rFonts w:ascii="Times New Roman" w:hAnsi="Times New Roman" w:cs="Calibri"/>
          <w:szCs w:val="22"/>
        </w:rPr>
        <w:t xml:space="preserve"> (7:43, new sentence)</w:t>
      </w:r>
    </w:p>
    <w:p w:rsidR="008033CB" w:rsidRPr="00823C75" w:rsidRDefault="008033CB" w:rsidP="008033CB">
      <w:pPr>
        <w:rPr>
          <w:rFonts w:ascii="Times New Roman" w:hAnsi="Times New Roman"/>
          <w:b/>
        </w:rPr>
      </w:pPr>
    </w:p>
    <w:p w:rsidR="008033CB" w:rsidRPr="00823C75" w:rsidRDefault="008033CB" w:rsidP="008033CB">
      <w:pPr>
        <w:rPr>
          <w:rFonts w:ascii="Times New Roman" w:hAnsi="Times New Roman" w:cs="Calibri"/>
          <w:szCs w:val="22"/>
        </w:rPr>
      </w:pPr>
      <w:r w:rsidRPr="00823C75">
        <w:rPr>
          <w:rFonts w:ascii="Times New Roman" w:hAnsi="Times New Roman"/>
        </w:rPr>
        <w:lastRenderedPageBreak/>
        <w:t xml:space="preserve">6.3 </w:t>
      </w:r>
      <w:r w:rsidRPr="00823C75">
        <w:rPr>
          <w:rFonts w:ascii="Times New Roman" w:hAnsi="Times New Roman" w:cs="Calibri"/>
          <w:b/>
          <w:szCs w:val="22"/>
        </w:rPr>
        <w:t xml:space="preserve">The speckled pattern is associated with negative mitotic cells and a speckling pattern of the dividing cells. The speckling can be defined as coarse or fine. Coarse speckling is the result of several types of autoantibodies such as “S” “M” and “R” “N” “P”. </w:t>
      </w:r>
      <w:r w:rsidRPr="00823C75">
        <w:rPr>
          <w:rFonts w:ascii="Times New Roman" w:hAnsi="Times New Roman" w:cs="Calibri"/>
          <w:szCs w:val="22"/>
        </w:rPr>
        <w:t>(8:22, new sentence)</w:t>
      </w:r>
    </w:p>
    <w:p w:rsidR="008033CB" w:rsidRPr="00823C75" w:rsidRDefault="008033CB" w:rsidP="008033CB">
      <w:pPr>
        <w:rPr>
          <w:rFonts w:ascii="Times New Roman" w:hAnsi="Times New Roman" w:cs="Calibri"/>
          <w:szCs w:val="22"/>
        </w:rPr>
      </w:pPr>
    </w:p>
    <w:p w:rsidR="008033CB" w:rsidRPr="00823C75" w:rsidRDefault="008033CB" w:rsidP="008033CB">
      <w:pPr>
        <w:rPr>
          <w:rFonts w:ascii="Times New Roman" w:hAnsi="Times New Roman" w:cs="Calibri"/>
          <w:szCs w:val="22"/>
        </w:rPr>
      </w:pPr>
      <w:r w:rsidRPr="00823C75">
        <w:rPr>
          <w:rFonts w:ascii="Times New Roman" w:hAnsi="Times New Roman" w:cs="Calibri"/>
          <w:szCs w:val="22"/>
        </w:rPr>
        <w:t xml:space="preserve">6.4 </w:t>
      </w:r>
      <w:r w:rsidRPr="00823C75">
        <w:rPr>
          <w:rFonts w:ascii="Times New Roman" w:hAnsi="Times New Roman" w:cs="Calibri"/>
          <w:b/>
          <w:szCs w:val="22"/>
        </w:rPr>
        <w:t>Fine speckling can be due to a number of antigens, including  “S” “S” ”A”, “S” “S” ”B” as well as RNA polymerase.</w:t>
      </w:r>
      <w:r w:rsidRPr="00823C75">
        <w:rPr>
          <w:rFonts w:ascii="Times New Roman" w:hAnsi="Times New Roman" w:cs="Calibri"/>
          <w:szCs w:val="22"/>
        </w:rPr>
        <w:t xml:space="preserve"> (8:50, new sentence)</w:t>
      </w:r>
    </w:p>
    <w:p w:rsidR="008033CB" w:rsidRPr="00823C75" w:rsidRDefault="008033CB" w:rsidP="008033CB">
      <w:pPr>
        <w:rPr>
          <w:rFonts w:ascii="Times New Roman" w:hAnsi="Times New Roman" w:cs="Calibri"/>
          <w:szCs w:val="22"/>
        </w:rPr>
      </w:pPr>
    </w:p>
    <w:p w:rsidR="008033CB" w:rsidRPr="00823C75" w:rsidRDefault="008033CB" w:rsidP="008033CB">
      <w:pPr>
        <w:rPr>
          <w:rFonts w:ascii="Times New Roman" w:hAnsi="Times New Roman" w:cs="Calibri"/>
          <w:szCs w:val="22"/>
        </w:rPr>
      </w:pPr>
      <w:r w:rsidRPr="00823C75">
        <w:rPr>
          <w:rFonts w:ascii="Times New Roman" w:hAnsi="Times New Roman" w:cs="Calibri"/>
          <w:szCs w:val="22"/>
        </w:rPr>
        <w:t xml:space="preserve">6.5 </w:t>
      </w:r>
      <w:r w:rsidRPr="00823C75">
        <w:rPr>
          <w:rFonts w:ascii="Times New Roman" w:hAnsi="Times New Roman" w:cs="Calibri"/>
          <w:b/>
          <w:szCs w:val="22"/>
        </w:rPr>
        <w:t>This pattern is referred to as dense fine speckled and is indicative of anti-DFS70 (pronounce this as “D” “F” “S</w:t>
      </w:r>
      <w:proofErr w:type="gramStart"/>
      <w:r w:rsidRPr="00823C75">
        <w:rPr>
          <w:rFonts w:ascii="Times New Roman" w:hAnsi="Times New Roman" w:cs="Calibri"/>
          <w:b/>
          <w:szCs w:val="22"/>
        </w:rPr>
        <w:t>” )</w:t>
      </w:r>
      <w:proofErr w:type="gramEnd"/>
      <w:r w:rsidRPr="00823C75">
        <w:rPr>
          <w:rFonts w:ascii="Times New Roman" w:hAnsi="Times New Roman" w:cs="Calibri"/>
          <w:b/>
          <w:szCs w:val="22"/>
        </w:rPr>
        <w:t xml:space="preserve"> autoantibodies. Mitotic cells show speckled staining of the metaphase chromatin, while resting cells display uniformly distributed fine speckles throughout the interphase nucleus. In these cases confirmatory tests should be </w:t>
      </w:r>
      <w:proofErr w:type="gramStart"/>
      <w:r w:rsidRPr="00823C75">
        <w:rPr>
          <w:rFonts w:ascii="Times New Roman" w:hAnsi="Times New Roman" w:cs="Calibri"/>
          <w:b/>
          <w:szCs w:val="22"/>
        </w:rPr>
        <w:t>performed</w:t>
      </w:r>
      <w:proofErr w:type="gramEnd"/>
      <w:r w:rsidRPr="00823C75">
        <w:rPr>
          <w:rFonts w:ascii="Times New Roman" w:hAnsi="Times New Roman" w:cs="Calibri"/>
          <w:b/>
          <w:szCs w:val="22"/>
        </w:rPr>
        <w:t xml:space="preserve"> as DFS70 autoantibodies are prevalent in healthy individuals vs. patients with connective tissue disease.</w:t>
      </w:r>
      <w:r w:rsidRPr="00823C75">
        <w:rPr>
          <w:rFonts w:ascii="Times New Roman" w:hAnsi="Times New Roman" w:cs="Calibri"/>
          <w:szCs w:val="22"/>
        </w:rPr>
        <w:t xml:space="preserve"> (9:20, new sentence)</w:t>
      </w:r>
    </w:p>
    <w:p w:rsidR="008033CB" w:rsidRPr="00823C75" w:rsidRDefault="008033CB" w:rsidP="008033CB">
      <w:pPr>
        <w:rPr>
          <w:rFonts w:ascii="Times New Roman" w:hAnsi="Times New Roman" w:cs="Calibri"/>
          <w:szCs w:val="22"/>
        </w:rPr>
      </w:pPr>
    </w:p>
    <w:p w:rsidR="008033CB" w:rsidRPr="00823C75" w:rsidRDefault="008033CB" w:rsidP="008033CB">
      <w:pPr>
        <w:rPr>
          <w:rFonts w:ascii="Times New Roman" w:hAnsi="Times New Roman" w:cs="Calibri"/>
          <w:szCs w:val="22"/>
        </w:rPr>
      </w:pPr>
      <w:r w:rsidRPr="00823C75">
        <w:rPr>
          <w:rFonts w:ascii="Times New Roman" w:hAnsi="Times New Roman" w:cs="Calibri"/>
          <w:szCs w:val="22"/>
        </w:rPr>
        <w:t xml:space="preserve">6.6 </w:t>
      </w:r>
      <w:r w:rsidRPr="00823C75">
        <w:rPr>
          <w:rFonts w:ascii="Times New Roman" w:hAnsi="Times New Roman" w:cs="Calibri"/>
          <w:b/>
          <w:szCs w:val="22"/>
        </w:rPr>
        <w:t xml:space="preserve">To identify the </w:t>
      </w:r>
      <w:proofErr w:type="spellStart"/>
      <w:r w:rsidRPr="00823C75">
        <w:rPr>
          <w:rFonts w:ascii="Times New Roman" w:hAnsi="Times New Roman" w:cs="Calibri"/>
          <w:b/>
          <w:szCs w:val="22"/>
        </w:rPr>
        <w:t>centrome</w:t>
      </w:r>
      <w:proofErr w:type="spellEnd"/>
      <w:r w:rsidRPr="00823C75">
        <w:rPr>
          <w:rFonts w:ascii="Times New Roman" w:hAnsi="Times New Roman" w:cs="Calibri"/>
          <w:b/>
          <w:szCs w:val="22"/>
        </w:rPr>
        <w:t xml:space="preserve"> pattern, scan the wells and identify mitotic or dividing cells. The dividing </w:t>
      </w:r>
      <w:proofErr w:type="gramStart"/>
      <w:r w:rsidRPr="00823C75">
        <w:rPr>
          <w:rFonts w:ascii="Times New Roman" w:hAnsi="Times New Roman" w:cs="Calibri"/>
          <w:b/>
          <w:szCs w:val="22"/>
        </w:rPr>
        <w:t>have</w:t>
      </w:r>
      <w:proofErr w:type="gramEnd"/>
      <w:r w:rsidRPr="00823C75">
        <w:rPr>
          <w:rFonts w:ascii="Times New Roman" w:hAnsi="Times New Roman" w:cs="Calibri"/>
          <w:b/>
          <w:szCs w:val="22"/>
        </w:rPr>
        <w:t xml:space="preserve"> numerous discreet speckled in close association with another, often called the metaphase bar. The resting cells will show approximately 40-60 discreet speckled distributed throughout the nuclei.</w:t>
      </w:r>
      <w:r w:rsidRPr="00823C75">
        <w:rPr>
          <w:rFonts w:ascii="Times New Roman" w:hAnsi="Times New Roman" w:cs="Calibri"/>
          <w:szCs w:val="22"/>
        </w:rPr>
        <w:t xml:space="preserve"> (9:40, new sentence)</w:t>
      </w:r>
    </w:p>
    <w:p w:rsidR="008033CB" w:rsidRPr="00823C75" w:rsidRDefault="008033CB" w:rsidP="008033CB">
      <w:pPr>
        <w:rPr>
          <w:rFonts w:ascii="Times New Roman" w:hAnsi="Times New Roman" w:cs="Calibri"/>
          <w:szCs w:val="22"/>
        </w:rPr>
      </w:pPr>
    </w:p>
    <w:p w:rsidR="008033CB" w:rsidRPr="00823C75" w:rsidRDefault="008033CB" w:rsidP="008033CB">
      <w:pPr>
        <w:rPr>
          <w:rFonts w:ascii="Times New Roman" w:hAnsi="Times New Roman" w:cs="Calibri"/>
          <w:szCs w:val="22"/>
        </w:rPr>
      </w:pPr>
      <w:r w:rsidRPr="00823C75">
        <w:rPr>
          <w:rFonts w:ascii="Times New Roman" w:hAnsi="Times New Roman" w:cs="Calibri"/>
          <w:szCs w:val="22"/>
        </w:rPr>
        <w:t xml:space="preserve">6.7 </w:t>
      </w:r>
      <w:r w:rsidRPr="00823C75">
        <w:rPr>
          <w:rFonts w:ascii="Times New Roman" w:hAnsi="Times New Roman" w:cs="Calibri"/>
          <w:b/>
          <w:szCs w:val="22"/>
        </w:rPr>
        <w:t xml:space="preserve">The </w:t>
      </w:r>
      <w:proofErr w:type="spellStart"/>
      <w:r w:rsidRPr="00823C75">
        <w:rPr>
          <w:rFonts w:ascii="Times New Roman" w:hAnsi="Times New Roman" w:cs="Calibri"/>
          <w:b/>
          <w:szCs w:val="22"/>
        </w:rPr>
        <w:t>nucleolar</w:t>
      </w:r>
      <w:proofErr w:type="spellEnd"/>
      <w:r w:rsidRPr="00823C75">
        <w:rPr>
          <w:rFonts w:ascii="Times New Roman" w:hAnsi="Times New Roman" w:cs="Calibri"/>
          <w:b/>
          <w:szCs w:val="22"/>
        </w:rPr>
        <w:t xml:space="preserve"> pattern is associated with homogenous or speckled staining of the nucleoli along with weak speckled or homogenous staining of the nucleoplasm. For this pattern, staining of the chromosomal region in mitotic cells is variable. These patterns are associated with anti-RNA polymerase III, anti-</w:t>
      </w:r>
      <w:proofErr w:type="spellStart"/>
      <w:r w:rsidRPr="00823C75">
        <w:rPr>
          <w:rFonts w:ascii="Times New Roman" w:hAnsi="Times New Roman" w:cs="Calibri"/>
          <w:b/>
          <w:szCs w:val="22"/>
        </w:rPr>
        <w:t>fibrillarin</w:t>
      </w:r>
      <w:proofErr w:type="spellEnd"/>
      <w:r w:rsidRPr="00823C75">
        <w:rPr>
          <w:rFonts w:ascii="Times New Roman" w:hAnsi="Times New Roman" w:cs="Calibri"/>
          <w:b/>
          <w:szCs w:val="22"/>
        </w:rPr>
        <w:t xml:space="preserve"> (pay attention to pronunciation; the current VO is not correct), and anti- “P””M / “S” “C” “L” antibodies.</w:t>
      </w:r>
      <w:r w:rsidRPr="00823C75">
        <w:rPr>
          <w:rFonts w:ascii="Times New Roman" w:hAnsi="Times New Roman" w:cs="Calibri"/>
          <w:szCs w:val="22"/>
        </w:rPr>
        <w:t xml:space="preserve"> (10:10, new sentence)</w:t>
      </w:r>
    </w:p>
    <w:p w:rsidR="008033CB" w:rsidRPr="00823C75" w:rsidRDefault="008033CB" w:rsidP="008033CB">
      <w:pPr>
        <w:rPr>
          <w:rFonts w:ascii="Times New Roman" w:hAnsi="Times New Roman" w:cs="Calibri"/>
          <w:szCs w:val="22"/>
        </w:rPr>
      </w:pPr>
    </w:p>
    <w:p w:rsidR="008033CB" w:rsidRDefault="008033CB" w:rsidP="008033CB">
      <w:r w:rsidRPr="00823C75">
        <w:rPr>
          <w:rFonts w:ascii="Times New Roman" w:hAnsi="Times New Roman" w:cs="Calibri"/>
          <w:szCs w:val="22"/>
        </w:rPr>
        <w:t xml:space="preserve">6.8 </w:t>
      </w:r>
      <w:r w:rsidRPr="00823C75">
        <w:rPr>
          <w:rFonts w:ascii="Times New Roman" w:hAnsi="Times New Roman" w:cs="Calibri"/>
          <w:b/>
          <w:szCs w:val="22"/>
        </w:rPr>
        <w:t xml:space="preserve">The nuclear dot pattern is associated with a few discrete speckles in the nucleus with negative metaphase mitotic cells.  This characteristic pattern is often the result of Sp-100, PML, or p80 </w:t>
      </w:r>
      <w:proofErr w:type="spellStart"/>
      <w:proofErr w:type="gramStart"/>
      <w:r w:rsidRPr="00823C75">
        <w:rPr>
          <w:rFonts w:ascii="Times New Roman" w:hAnsi="Times New Roman" w:cs="Calibri"/>
          <w:b/>
          <w:szCs w:val="22"/>
        </w:rPr>
        <w:t>colin</w:t>
      </w:r>
      <w:proofErr w:type="spellEnd"/>
      <w:proofErr w:type="gramEnd"/>
      <w:r w:rsidRPr="00823C75">
        <w:rPr>
          <w:rFonts w:ascii="Times New Roman" w:hAnsi="Times New Roman" w:cs="Calibri"/>
          <w:b/>
          <w:szCs w:val="22"/>
        </w:rPr>
        <w:t xml:space="preserve"> autoantibodies. These antibodies are associated with primary biliary cirrhosis and autoimmune hepatitis.</w:t>
      </w:r>
      <w:r w:rsidRPr="00823C75">
        <w:rPr>
          <w:rFonts w:ascii="Times New Roman" w:hAnsi="Times New Roman" w:cs="Calibri"/>
          <w:szCs w:val="22"/>
        </w:rPr>
        <w:t xml:space="preserve">  (11:10, new sentence)</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CB"/>
    <w:rsid w:val="001E1FAD"/>
    <w:rsid w:val="001E64BF"/>
    <w:rsid w:val="00490A02"/>
    <w:rsid w:val="00803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CB"/>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CB"/>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4199</Characters>
  <Application>Microsoft Macintosh Word</Application>
  <DocSecurity>0</DocSecurity>
  <Lines>34</Lines>
  <Paragraphs>9</Paragraphs>
  <ScaleCrop>false</ScaleCrop>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2014-04-17T13:14:00Z</dcterms:created>
  <dcterms:modified xsi:type="dcterms:W3CDTF">2014-04-17T13:15:00Z</dcterms:modified>
</cp:coreProperties>
</file>