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F6" w:rsidRPr="0009732B" w:rsidRDefault="003F5EB2" w:rsidP="003F5EB2">
      <w:pPr>
        <w:spacing w:after="0"/>
        <w:rPr>
          <w:rFonts w:ascii="Arial" w:hAnsi="Arial" w:cs="Arial"/>
          <w:color w:val="FF0000"/>
          <w:sz w:val="24"/>
          <w:szCs w:val="24"/>
        </w:rPr>
      </w:pPr>
      <w:r w:rsidRPr="0009732B">
        <w:rPr>
          <w:rFonts w:ascii="Arial" w:hAnsi="Arial" w:cs="Arial"/>
          <w:color w:val="FF0000"/>
          <w:sz w:val="24"/>
          <w:szCs w:val="24"/>
        </w:rPr>
        <w:t xml:space="preserve">We thank both reviewers for their thoughtful and constructive criticism.  We believe that, after making the </w:t>
      </w:r>
      <w:r w:rsidR="00146E03">
        <w:rPr>
          <w:rFonts w:ascii="Arial" w:hAnsi="Arial" w:cs="Arial"/>
          <w:color w:val="FF0000"/>
          <w:sz w:val="24"/>
          <w:szCs w:val="24"/>
        </w:rPr>
        <w:t xml:space="preserve">reviewers’ </w:t>
      </w:r>
      <w:r w:rsidRPr="0009732B">
        <w:rPr>
          <w:rFonts w:ascii="Arial" w:hAnsi="Arial" w:cs="Arial"/>
          <w:color w:val="FF0000"/>
          <w:sz w:val="24"/>
          <w:szCs w:val="24"/>
        </w:rPr>
        <w:t>suggested changes, we are re-submitting an improved manuscript.</w:t>
      </w:r>
    </w:p>
    <w:p w:rsidR="003F5EB2" w:rsidRDefault="003F5EB2" w:rsidP="003F5EB2">
      <w:pPr>
        <w:spacing w:after="0"/>
        <w:rPr>
          <w:rFonts w:ascii="Arial" w:hAnsi="Arial" w:cs="Arial"/>
          <w:color w:val="FF0000"/>
          <w:sz w:val="24"/>
          <w:szCs w:val="24"/>
        </w:rPr>
      </w:pPr>
    </w:p>
    <w:p w:rsidR="00C54057" w:rsidRPr="00C54057" w:rsidRDefault="00C54057" w:rsidP="003F5EB2">
      <w:pPr>
        <w:spacing w:after="0"/>
        <w:rPr>
          <w:rFonts w:ascii="Arial" w:hAnsi="Arial" w:cs="Arial"/>
          <w:color w:val="222222"/>
          <w:sz w:val="24"/>
          <w:szCs w:val="24"/>
          <w:shd w:val="clear" w:color="auto" w:fill="FFFFFF"/>
        </w:rPr>
      </w:pPr>
      <w:r w:rsidRPr="00C54057">
        <w:rPr>
          <w:rFonts w:ascii="Arial" w:hAnsi="Arial" w:cs="Arial"/>
          <w:b/>
          <w:bCs/>
          <w:color w:val="222222"/>
          <w:sz w:val="24"/>
          <w:szCs w:val="24"/>
          <w:shd w:val="clear" w:color="auto" w:fill="FFFFFF"/>
        </w:rPr>
        <w:t>Editorial comments:</w:t>
      </w:r>
      <w:r>
        <w:rPr>
          <w:rFonts w:ascii="Arial" w:hAnsi="Arial" w:cs="Arial"/>
          <w:color w:val="222222"/>
          <w:sz w:val="20"/>
          <w:szCs w:val="20"/>
        </w:rPr>
        <w:br/>
      </w:r>
      <w:r>
        <w:rPr>
          <w:rFonts w:ascii="Arial" w:hAnsi="Arial" w:cs="Arial"/>
          <w:color w:val="222222"/>
          <w:sz w:val="20"/>
          <w:szCs w:val="20"/>
        </w:rPr>
        <w:br/>
      </w:r>
      <w:r w:rsidRPr="00C54057">
        <w:rPr>
          <w:rFonts w:ascii="Arial" w:hAnsi="Arial" w:cs="Arial"/>
          <w:color w:val="222222"/>
          <w:sz w:val="24"/>
          <w:szCs w:val="24"/>
          <w:shd w:val="clear" w:color="auto" w:fill="FFFFFF"/>
        </w:rPr>
        <w:t>* Protocol text:</w:t>
      </w:r>
      <w:r w:rsidRPr="00C54057">
        <w:rPr>
          <w:rFonts w:ascii="Arial" w:hAnsi="Arial" w:cs="Arial"/>
          <w:color w:val="222222"/>
          <w:sz w:val="24"/>
          <w:szCs w:val="24"/>
        </w:rPr>
        <w:br/>
      </w:r>
      <w:r w:rsidRPr="00C54057">
        <w:rPr>
          <w:rFonts w:ascii="Arial" w:hAnsi="Arial" w:cs="Arial"/>
          <w:color w:val="222222"/>
          <w:sz w:val="24"/>
          <w:szCs w:val="24"/>
          <w:shd w:val="clear" w:color="auto" w:fill="FFFFFF"/>
        </w:rPr>
        <w:t>Please see the highlighted portion of your protocol. We would like to clarify the parts of the protocol you would like to include in the video. The highlighted parts should include complete steps and important transitions between actions.</w:t>
      </w:r>
      <w:r w:rsidRPr="00C54057">
        <w:rPr>
          <w:rStyle w:val="apple-converted-space"/>
          <w:rFonts w:ascii="Arial" w:hAnsi="Arial" w:cs="Arial"/>
          <w:color w:val="222222"/>
          <w:sz w:val="24"/>
          <w:szCs w:val="24"/>
          <w:shd w:val="clear" w:color="auto" w:fill="FFFFFF"/>
        </w:rPr>
        <w:t> </w:t>
      </w:r>
      <w:r w:rsidRPr="00C54057">
        <w:rPr>
          <w:rFonts w:ascii="Arial" w:hAnsi="Arial" w:cs="Arial"/>
          <w:color w:val="222222"/>
          <w:sz w:val="24"/>
          <w:szCs w:val="24"/>
        </w:rPr>
        <w:br/>
      </w:r>
      <w:r w:rsidRPr="00C54057">
        <w:rPr>
          <w:rFonts w:ascii="Arial" w:hAnsi="Arial" w:cs="Arial"/>
          <w:color w:val="222222"/>
          <w:sz w:val="24"/>
          <w:szCs w:val="24"/>
          <w:shd w:val="clear" w:color="auto" w:fill="FFFFFF"/>
        </w:rPr>
        <w:t>*For example, the very first highlighted text reads: "remove spent media from flask with sterile pipette." What media is being removed? What else is in that flask?</w:t>
      </w:r>
      <w:r w:rsidRPr="00C54057">
        <w:rPr>
          <w:rStyle w:val="apple-converted-space"/>
          <w:rFonts w:ascii="Arial" w:hAnsi="Arial" w:cs="Arial"/>
          <w:color w:val="222222"/>
          <w:sz w:val="24"/>
          <w:szCs w:val="24"/>
          <w:shd w:val="clear" w:color="auto" w:fill="FFFFFF"/>
        </w:rPr>
        <w:t> </w:t>
      </w:r>
      <w:r w:rsidRPr="00C54057">
        <w:rPr>
          <w:rFonts w:ascii="Arial" w:hAnsi="Arial" w:cs="Arial"/>
          <w:color w:val="222222"/>
          <w:sz w:val="24"/>
          <w:szCs w:val="24"/>
        </w:rPr>
        <w:br/>
      </w:r>
      <w:r w:rsidRPr="00C54057">
        <w:rPr>
          <w:rFonts w:ascii="Arial" w:hAnsi="Arial" w:cs="Arial"/>
          <w:color w:val="222222"/>
          <w:sz w:val="24"/>
          <w:szCs w:val="24"/>
          <w:shd w:val="clear" w:color="auto" w:fill="FFFFFF"/>
        </w:rPr>
        <w:t>Also, the highlighted portion can only be 3 pages or less. Remember that the non-highlighted protocol steps will remain in the manuscript and therefore will still be available to the reader.</w:t>
      </w:r>
    </w:p>
    <w:p w:rsidR="00C54057" w:rsidRPr="00C54057" w:rsidRDefault="00C54057" w:rsidP="003F5EB2">
      <w:pPr>
        <w:spacing w:after="0"/>
        <w:rPr>
          <w:rFonts w:ascii="Arial" w:hAnsi="Arial" w:cs="Arial"/>
          <w:color w:val="222222"/>
          <w:sz w:val="24"/>
          <w:szCs w:val="24"/>
          <w:shd w:val="clear" w:color="auto" w:fill="FFFFFF"/>
        </w:rPr>
      </w:pPr>
    </w:p>
    <w:p w:rsidR="00BF307B" w:rsidRDefault="00C54057" w:rsidP="003F5EB2">
      <w:pPr>
        <w:spacing w:after="0"/>
        <w:rPr>
          <w:rFonts w:ascii="Arial" w:hAnsi="Arial" w:cs="Arial"/>
          <w:color w:val="FF0000"/>
          <w:sz w:val="24"/>
          <w:szCs w:val="24"/>
        </w:rPr>
      </w:pPr>
      <w:r>
        <w:rPr>
          <w:rFonts w:ascii="Arial" w:hAnsi="Arial" w:cs="Arial"/>
          <w:color w:val="FF0000"/>
          <w:sz w:val="24"/>
          <w:szCs w:val="24"/>
        </w:rPr>
        <w:t xml:space="preserve">In an effort to clarify the parts of the protocol </w:t>
      </w:r>
      <w:r w:rsidR="00BF307B">
        <w:rPr>
          <w:rFonts w:ascii="Arial" w:hAnsi="Arial" w:cs="Arial"/>
          <w:color w:val="FF0000"/>
          <w:sz w:val="24"/>
          <w:szCs w:val="24"/>
        </w:rPr>
        <w:t xml:space="preserve">that </w:t>
      </w:r>
      <w:r>
        <w:rPr>
          <w:rFonts w:ascii="Arial" w:hAnsi="Arial" w:cs="Arial"/>
          <w:color w:val="FF0000"/>
          <w:sz w:val="24"/>
          <w:szCs w:val="24"/>
        </w:rPr>
        <w:t>we would like to include in the video</w:t>
      </w:r>
      <w:r w:rsidR="00BF307B">
        <w:rPr>
          <w:rFonts w:ascii="Arial" w:hAnsi="Arial" w:cs="Arial"/>
          <w:color w:val="FF0000"/>
          <w:sz w:val="24"/>
          <w:szCs w:val="24"/>
        </w:rPr>
        <w:t>,</w:t>
      </w:r>
      <w:r>
        <w:rPr>
          <w:rFonts w:ascii="Arial" w:hAnsi="Arial" w:cs="Arial"/>
          <w:color w:val="FF0000"/>
          <w:sz w:val="24"/>
          <w:szCs w:val="24"/>
        </w:rPr>
        <w:t xml:space="preserve"> the highlight</w:t>
      </w:r>
      <w:r w:rsidR="00DE372D">
        <w:rPr>
          <w:rFonts w:ascii="Arial" w:hAnsi="Arial" w:cs="Arial"/>
          <w:color w:val="FF0000"/>
          <w:sz w:val="24"/>
          <w:szCs w:val="24"/>
        </w:rPr>
        <w:t xml:space="preserve">ed sections have been revised. </w:t>
      </w:r>
      <w:bookmarkStart w:id="0" w:name="_GoBack"/>
      <w:bookmarkEnd w:id="0"/>
    </w:p>
    <w:p w:rsidR="00BF307B" w:rsidRDefault="00BF307B" w:rsidP="003F5EB2">
      <w:pPr>
        <w:spacing w:after="0"/>
        <w:rPr>
          <w:rFonts w:ascii="Arial" w:hAnsi="Arial" w:cs="Arial"/>
          <w:color w:val="FF0000"/>
          <w:sz w:val="24"/>
          <w:szCs w:val="24"/>
        </w:rPr>
      </w:pPr>
    </w:p>
    <w:p w:rsidR="00BF307B" w:rsidRDefault="005D1C20" w:rsidP="003F5EB2">
      <w:pPr>
        <w:spacing w:after="0"/>
        <w:rPr>
          <w:rFonts w:ascii="Arial" w:hAnsi="Arial" w:cs="Arial"/>
          <w:color w:val="FF0000"/>
          <w:sz w:val="24"/>
          <w:szCs w:val="24"/>
        </w:rPr>
      </w:pPr>
      <w:r>
        <w:rPr>
          <w:rFonts w:ascii="Arial" w:hAnsi="Arial" w:cs="Arial"/>
          <w:color w:val="FF0000"/>
          <w:sz w:val="24"/>
          <w:szCs w:val="24"/>
        </w:rPr>
        <w:t xml:space="preserve">Although it </w:t>
      </w:r>
      <w:r w:rsidR="00BF307B">
        <w:rPr>
          <w:rFonts w:ascii="Arial" w:hAnsi="Arial" w:cs="Arial"/>
          <w:color w:val="FF0000"/>
          <w:sz w:val="24"/>
          <w:szCs w:val="24"/>
        </w:rPr>
        <w:t>has technically not been yellow-</w:t>
      </w:r>
      <w:r>
        <w:rPr>
          <w:rFonts w:ascii="Arial" w:hAnsi="Arial" w:cs="Arial"/>
          <w:color w:val="FF0000"/>
          <w:sz w:val="24"/>
          <w:szCs w:val="24"/>
        </w:rPr>
        <w:t xml:space="preserve">highlighted to indicate that we would like it to be part of the video section, </w:t>
      </w:r>
      <w:r w:rsidR="00977CE2">
        <w:rPr>
          <w:rFonts w:ascii="Arial" w:hAnsi="Arial" w:cs="Arial"/>
          <w:color w:val="FF0000"/>
          <w:sz w:val="24"/>
          <w:szCs w:val="24"/>
        </w:rPr>
        <w:t>we suggest that the video show the colore</w:t>
      </w:r>
      <w:r>
        <w:rPr>
          <w:rFonts w:ascii="Arial" w:hAnsi="Arial" w:cs="Arial"/>
          <w:color w:val="FF0000"/>
          <w:sz w:val="24"/>
          <w:szCs w:val="24"/>
        </w:rPr>
        <w:t>d 96-well plate setup scheme</w:t>
      </w:r>
      <w:r w:rsidR="00977CE2">
        <w:rPr>
          <w:rFonts w:ascii="Arial" w:hAnsi="Arial" w:cs="Arial"/>
          <w:color w:val="FF0000"/>
          <w:sz w:val="24"/>
          <w:szCs w:val="24"/>
        </w:rPr>
        <w:t xml:space="preserve">. </w:t>
      </w:r>
    </w:p>
    <w:p w:rsidR="00BF307B" w:rsidRDefault="00BF307B" w:rsidP="003F5EB2">
      <w:pPr>
        <w:spacing w:after="0"/>
        <w:rPr>
          <w:rFonts w:ascii="Arial" w:hAnsi="Arial" w:cs="Arial"/>
          <w:color w:val="FF0000"/>
          <w:sz w:val="24"/>
          <w:szCs w:val="24"/>
        </w:rPr>
      </w:pPr>
    </w:p>
    <w:p w:rsidR="00C54057" w:rsidRPr="00C54057" w:rsidRDefault="005D1C20" w:rsidP="003F5EB2">
      <w:pPr>
        <w:spacing w:after="0"/>
        <w:rPr>
          <w:rFonts w:ascii="Arial" w:hAnsi="Arial" w:cs="Arial"/>
          <w:color w:val="FF0000"/>
          <w:sz w:val="24"/>
          <w:szCs w:val="24"/>
        </w:rPr>
      </w:pPr>
      <w:r>
        <w:rPr>
          <w:rFonts w:ascii="Arial" w:hAnsi="Arial" w:cs="Arial"/>
          <w:color w:val="FF0000"/>
          <w:sz w:val="24"/>
          <w:szCs w:val="24"/>
        </w:rPr>
        <w:t>Additionally, to avoid possible confusion regarding the word “spent,”</w:t>
      </w:r>
      <w:r w:rsidR="00977CE2">
        <w:rPr>
          <w:rFonts w:ascii="Arial" w:hAnsi="Arial" w:cs="Arial"/>
          <w:color w:val="FF0000"/>
          <w:sz w:val="24"/>
          <w:szCs w:val="24"/>
        </w:rPr>
        <w:t xml:space="preserve"> where </w:t>
      </w:r>
      <w:r w:rsidR="00C54057">
        <w:rPr>
          <w:rFonts w:ascii="Arial" w:hAnsi="Arial" w:cs="Arial"/>
          <w:color w:val="FF0000"/>
          <w:sz w:val="24"/>
          <w:szCs w:val="24"/>
        </w:rPr>
        <w:t xml:space="preserve">the phrase “spent media” </w:t>
      </w:r>
      <w:r w:rsidR="00977CE2">
        <w:rPr>
          <w:rFonts w:ascii="Arial" w:hAnsi="Arial" w:cs="Arial"/>
          <w:color w:val="FF0000"/>
          <w:sz w:val="24"/>
          <w:szCs w:val="24"/>
        </w:rPr>
        <w:t>once appeared in the manuscript, it has</w:t>
      </w:r>
      <w:r w:rsidR="00C54057">
        <w:rPr>
          <w:rFonts w:ascii="Arial" w:hAnsi="Arial" w:cs="Arial"/>
          <w:color w:val="FF0000"/>
          <w:sz w:val="24"/>
          <w:szCs w:val="24"/>
        </w:rPr>
        <w:t xml:space="preserve"> been </w:t>
      </w:r>
      <w:r w:rsidR="00977CE2">
        <w:rPr>
          <w:rFonts w:ascii="Arial" w:hAnsi="Arial" w:cs="Arial"/>
          <w:color w:val="FF0000"/>
          <w:sz w:val="24"/>
          <w:szCs w:val="24"/>
        </w:rPr>
        <w:t>replaced</w:t>
      </w:r>
      <w:r w:rsidR="00C54057">
        <w:rPr>
          <w:rFonts w:ascii="Arial" w:hAnsi="Arial" w:cs="Arial"/>
          <w:color w:val="FF0000"/>
          <w:sz w:val="24"/>
          <w:szCs w:val="24"/>
        </w:rPr>
        <w:t xml:space="preserve"> to “all media</w:t>
      </w:r>
      <w:r w:rsidR="00977CE2">
        <w:rPr>
          <w:rFonts w:ascii="Arial" w:hAnsi="Arial" w:cs="Arial"/>
          <w:color w:val="FF0000"/>
          <w:sz w:val="24"/>
          <w:szCs w:val="24"/>
        </w:rPr>
        <w:t>,</w:t>
      </w:r>
      <w:r w:rsidR="00C54057">
        <w:rPr>
          <w:rFonts w:ascii="Arial" w:hAnsi="Arial" w:cs="Arial"/>
          <w:color w:val="FF0000"/>
          <w:sz w:val="24"/>
          <w:szCs w:val="24"/>
        </w:rPr>
        <w:t>” or “</w:t>
      </w:r>
      <w:r w:rsidR="00977CE2">
        <w:rPr>
          <w:rFonts w:ascii="Arial" w:hAnsi="Arial" w:cs="Arial"/>
          <w:color w:val="FF0000"/>
          <w:sz w:val="24"/>
          <w:szCs w:val="24"/>
        </w:rPr>
        <w:t>media” (the term “</w:t>
      </w:r>
      <w:r w:rsidR="00C54057">
        <w:rPr>
          <w:rFonts w:ascii="Arial" w:hAnsi="Arial" w:cs="Arial"/>
          <w:color w:val="FF0000"/>
          <w:sz w:val="24"/>
          <w:szCs w:val="24"/>
        </w:rPr>
        <w:t>spent” has been deleted</w:t>
      </w:r>
      <w:r w:rsidR="00977CE2">
        <w:rPr>
          <w:rFonts w:ascii="Arial" w:hAnsi="Arial" w:cs="Arial"/>
          <w:color w:val="FF0000"/>
          <w:sz w:val="24"/>
          <w:szCs w:val="24"/>
        </w:rPr>
        <w:t xml:space="preserve"> altogether)</w:t>
      </w:r>
      <w:r w:rsidR="00C54057">
        <w:rPr>
          <w:rFonts w:ascii="Arial" w:hAnsi="Arial" w:cs="Arial"/>
          <w:color w:val="FF0000"/>
          <w:sz w:val="24"/>
          <w:szCs w:val="24"/>
        </w:rPr>
        <w:t xml:space="preserve">.  </w:t>
      </w:r>
    </w:p>
    <w:p w:rsidR="00C54057" w:rsidRPr="00C54057" w:rsidRDefault="00C54057" w:rsidP="003F5EB2">
      <w:pPr>
        <w:spacing w:after="0"/>
        <w:rPr>
          <w:rFonts w:ascii="Arial" w:hAnsi="Arial" w:cs="Arial"/>
          <w:color w:val="FF0000"/>
          <w:sz w:val="24"/>
          <w:szCs w:val="24"/>
        </w:rPr>
      </w:pPr>
    </w:p>
    <w:p w:rsidR="0009732B" w:rsidRDefault="003F5EB2" w:rsidP="003F5EB2">
      <w:pPr>
        <w:spacing w:after="0"/>
        <w:rPr>
          <w:rStyle w:val="apple-converted-space"/>
          <w:rFonts w:ascii="Arial" w:hAnsi="Arial" w:cs="Arial"/>
          <w:color w:val="222222"/>
          <w:sz w:val="24"/>
          <w:szCs w:val="24"/>
          <w:shd w:val="clear" w:color="auto" w:fill="FFFFFF"/>
        </w:rPr>
      </w:pPr>
      <w:r w:rsidRPr="00C54057">
        <w:rPr>
          <w:rFonts w:ascii="Arial" w:hAnsi="Arial" w:cs="Arial"/>
          <w:b/>
          <w:bCs/>
          <w:color w:val="222222"/>
          <w:sz w:val="24"/>
          <w:szCs w:val="24"/>
          <w:shd w:val="clear" w:color="auto" w:fill="FFFFFF"/>
        </w:rPr>
        <w:t>Reviewer #1:</w:t>
      </w:r>
      <w:r w:rsidRPr="0009732B">
        <w:rPr>
          <w:rStyle w:val="apple-converted-space"/>
          <w:rFonts w:ascii="Arial" w:hAnsi="Arial" w:cs="Arial"/>
          <w:b/>
          <w:bCs/>
          <w:color w:val="222222"/>
          <w:sz w:val="24"/>
          <w:szCs w:val="24"/>
          <w:shd w:val="clear" w:color="auto" w:fill="FFFFFF"/>
        </w:rPr>
        <w:t> </w:t>
      </w:r>
      <w:r w:rsidRPr="0009732B">
        <w:rPr>
          <w:rFonts w:ascii="Arial" w:hAnsi="Arial" w:cs="Arial"/>
          <w:color w:val="222222"/>
          <w:sz w:val="24"/>
          <w:szCs w:val="24"/>
        </w:rPr>
        <w:br/>
      </w:r>
      <w:r w:rsidRPr="0009732B">
        <w:rPr>
          <w:rFonts w:ascii="Arial" w:hAnsi="Arial" w:cs="Arial"/>
          <w:i/>
          <w:iCs/>
          <w:color w:val="222222"/>
          <w:sz w:val="24"/>
          <w:szCs w:val="24"/>
          <w:shd w:val="clear" w:color="auto" w:fill="FFFFFF"/>
        </w:rPr>
        <w:t>Manuscript Summary:</w:t>
      </w:r>
      <w:r w:rsidRPr="0009732B">
        <w:rPr>
          <w:rStyle w:val="apple-converted-space"/>
          <w:rFonts w:ascii="Arial" w:hAnsi="Arial" w:cs="Arial"/>
          <w:color w:val="222222"/>
          <w:sz w:val="24"/>
          <w:szCs w:val="24"/>
          <w:shd w:val="clear" w:color="auto" w:fill="FFFFFF"/>
        </w:rPr>
        <w:t> </w:t>
      </w:r>
      <w:r w:rsidRPr="0009732B">
        <w:rPr>
          <w:rFonts w:ascii="Arial" w:hAnsi="Arial" w:cs="Arial"/>
          <w:color w:val="222222"/>
          <w:sz w:val="24"/>
          <w:szCs w:val="24"/>
        </w:rPr>
        <w:br/>
      </w:r>
      <w:r w:rsidRPr="0009732B">
        <w:rPr>
          <w:rFonts w:ascii="Arial" w:hAnsi="Arial" w:cs="Arial"/>
          <w:color w:val="222222"/>
          <w:sz w:val="24"/>
          <w:szCs w:val="24"/>
          <w:shd w:val="clear" w:color="auto" w:fill="FFFFFF"/>
        </w:rPr>
        <w:t>The authors of this method paper provide a detailed and thorough protocol for a high throughput assay for the measurement of RBL-2H3 mast cell degranulation in the context of assessing chemical inhibition by Triclosan. Their representative results demonstrate that Triclosan dissolved in aqueous buffer is capable of inhibiting antigen-mediated degranulation in a dose dependent manner.</w:t>
      </w:r>
      <w:r w:rsidRPr="0009732B">
        <w:rPr>
          <w:rStyle w:val="apple-converted-space"/>
          <w:rFonts w:ascii="Arial" w:hAnsi="Arial" w:cs="Arial"/>
          <w:color w:val="222222"/>
          <w:sz w:val="24"/>
          <w:szCs w:val="24"/>
          <w:shd w:val="clear" w:color="auto" w:fill="FFFFFF"/>
        </w:rPr>
        <w:t> </w:t>
      </w:r>
    </w:p>
    <w:p w:rsidR="00083760" w:rsidRPr="0009732B" w:rsidRDefault="003F5EB2" w:rsidP="003F5EB2">
      <w:pPr>
        <w:spacing w:after="0"/>
        <w:rPr>
          <w:rFonts w:ascii="Arial" w:hAnsi="Arial" w:cs="Arial"/>
          <w:color w:val="222222"/>
          <w:sz w:val="24"/>
          <w:szCs w:val="24"/>
          <w:shd w:val="clear" w:color="auto" w:fill="FFFFFF"/>
        </w:rPr>
      </w:pPr>
      <w:r w:rsidRPr="0009732B">
        <w:rPr>
          <w:rFonts w:ascii="Arial" w:hAnsi="Arial" w:cs="Arial"/>
          <w:color w:val="222222"/>
          <w:sz w:val="24"/>
          <w:szCs w:val="24"/>
        </w:rPr>
        <w:br/>
      </w:r>
      <w:r w:rsidRPr="0009732B">
        <w:rPr>
          <w:rFonts w:ascii="Arial" w:hAnsi="Arial" w:cs="Arial"/>
          <w:color w:val="222222"/>
          <w:sz w:val="24"/>
          <w:szCs w:val="24"/>
          <w:shd w:val="clear" w:color="auto" w:fill="FFFFFF"/>
        </w:rPr>
        <w:t>Overall the writing quality was good and there is certainly enough detail to carry out the experiment. The introductory material provides sufficient detail to properly understand the system and scientifically relevant considerations for the experimental design.</w:t>
      </w:r>
    </w:p>
    <w:p w:rsidR="00083760" w:rsidRPr="0009732B" w:rsidRDefault="00083760" w:rsidP="003F5EB2">
      <w:pPr>
        <w:spacing w:after="0"/>
        <w:rPr>
          <w:rFonts w:ascii="Arial" w:hAnsi="Arial" w:cs="Arial"/>
          <w:color w:val="222222"/>
          <w:sz w:val="24"/>
          <w:szCs w:val="24"/>
          <w:shd w:val="clear" w:color="auto" w:fill="FFFFFF"/>
        </w:rPr>
      </w:pPr>
    </w:p>
    <w:p w:rsidR="00884691" w:rsidRDefault="00083760" w:rsidP="003F5EB2">
      <w:pPr>
        <w:spacing w:after="0"/>
        <w:rPr>
          <w:rFonts w:ascii="Arial" w:hAnsi="Arial" w:cs="Arial"/>
          <w:color w:val="222222"/>
          <w:sz w:val="24"/>
          <w:szCs w:val="24"/>
          <w:shd w:val="clear" w:color="auto" w:fill="FFFFFF"/>
        </w:rPr>
      </w:pPr>
      <w:r w:rsidRPr="0009732B">
        <w:rPr>
          <w:rFonts w:ascii="Arial" w:hAnsi="Arial" w:cs="Arial"/>
          <w:color w:val="FF0000"/>
          <w:sz w:val="24"/>
          <w:szCs w:val="24"/>
          <w:shd w:val="clear" w:color="auto" w:fill="FFFFFF"/>
        </w:rPr>
        <w:t>Thank you.</w:t>
      </w:r>
      <w:r w:rsidR="0009732B">
        <w:rPr>
          <w:rFonts w:ascii="Arial" w:hAnsi="Arial" w:cs="Arial"/>
          <w:color w:val="FF0000"/>
          <w:sz w:val="24"/>
          <w:szCs w:val="24"/>
          <w:shd w:val="clear" w:color="auto" w:fill="FFFFFF"/>
        </w:rPr>
        <w:t xml:space="preserve"> </w:t>
      </w:r>
      <w:r w:rsidR="003F5EB2" w:rsidRPr="0009732B">
        <w:rPr>
          <w:rFonts w:ascii="Arial" w:hAnsi="Arial" w:cs="Arial"/>
          <w:color w:val="222222"/>
          <w:sz w:val="24"/>
          <w:szCs w:val="24"/>
        </w:rPr>
        <w:br/>
      </w:r>
      <w:r w:rsidR="003F5EB2" w:rsidRPr="0009732B">
        <w:rPr>
          <w:rFonts w:ascii="Arial" w:hAnsi="Arial" w:cs="Arial"/>
          <w:color w:val="222222"/>
          <w:sz w:val="24"/>
          <w:szCs w:val="24"/>
        </w:rPr>
        <w:br/>
      </w:r>
      <w:r w:rsidR="003F5EB2" w:rsidRPr="0009732B">
        <w:rPr>
          <w:rFonts w:ascii="Arial" w:hAnsi="Arial" w:cs="Arial"/>
          <w:i/>
          <w:iCs/>
          <w:color w:val="222222"/>
          <w:sz w:val="24"/>
          <w:szCs w:val="24"/>
          <w:shd w:val="clear" w:color="auto" w:fill="FFFFFF"/>
        </w:rPr>
        <w:lastRenderedPageBreak/>
        <w:t>Major Concerns:</w:t>
      </w:r>
      <w:r w:rsidR="003F5EB2" w:rsidRPr="0009732B">
        <w:rPr>
          <w:rFonts w:ascii="Arial" w:hAnsi="Arial" w:cs="Arial"/>
          <w:color w:val="222222"/>
          <w:sz w:val="24"/>
          <w:szCs w:val="24"/>
        </w:rPr>
        <w:br/>
      </w:r>
      <w:r w:rsidR="003F5EB2" w:rsidRPr="0009732B">
        <w:rPr>
          <w:rFonts w:ascii="Arial" w:hAnsi="Arial" w:cs="Arial"/>
          <w:color w:val="222222"/>
          <w:sz w:val="24"/>
          <w:szCs w:val="24"/>
          <w:shd w:val="clear" w:color="auto" w:fill="FFFFFF"/>
        </w:rPr>
        <w:t>I have no major concerns over the material covered in this methods paper. The authors provide sufficient information for successful execution of the protocol.</w:t>
      </w:r>
      <w:r w:rsidR="003F5EB2" w:rsidRPr="0009732B">
        <w:rPr>
          <w:rFonts w:ascii="Arial" w:hAnsi="Arial" w:cs="Arial"/>
          <w:color w:val="222222"/>
          <w:sz w:val="24"/>
          <w:szCs w:val="24"/>
        </w:rPr>
        <w:br/>
      </w:r>
      <w:r w:rsidR="003F5EB2" w:rsidRPr="0009732B">
        <w:rPr>
          <w:rFonts w:ascii="Arial" w:hAnsi="Arial" w:cs="Arial"/>
          <w:color w:val="222222"/>
          <w:sz w:val="24"/>
          <w:szCs w:val="24"/>
        </w:rPr>
        <w:br/>
      </w:r>
      <w:r w:rsidR="003F5EB2" w:rsidRPr="0009732B">
        <w:rPr>
          <w:rFonts w:ascii="Arial" w:hAnsi="Arial" w:cs="Arial"/>
          <w:i/>
          <w:iCs/>
          <w:color w:val="222222"/>
          <w:sz w:val="24"/>
          <w:szCs w:val="24"/>
          <w:shd w:val="clear" w:color="auto" w:fill="FFFFFF"/>
        </w:rPr>
        <w:t>Minor Concerns:</w:t>
      </w:r>
      <w:r w:rsidR="003F5EB2" w:rsidRPr="0009732B">
        <w:rPr>
          <w:rFonts w:ascii="Arial" w:hAnsi="Arial" w:cs="Arial"/>
          <w:color w:val="222222"/>
          <w:sz w:val="24"/>
          <w:szCs w:val="24"/>
        </w:rPr>
        <w:br/>
      </w:r>
      <w:r w:rsidR="003F5EB2" w:rsidRPr="0009732B">
        <w:rPr>
          <w:rFonts w:ascii="Arial" w:hAnsi="Arial" w:cs="Arial"/>
          <w:color w:val="222222"/>
          <w:sz w:val="24"/>
          <w:szCs w:val="24"/>
          <w:shd w:val="clear" w:color="auto" w:fill="FFFFFF"/>
        </w:rPr>
        <w:t xml:space="preserve">(1) The authors show data indicating that calcium </w:t>
      </w:r>
      <w:proofErr w:type="spellStart"/>
      <w:r w:rsidR="003F5EB2" w:rsidRPr="0009732B">
        <w:rPr>
          <w:rFonts w:ascii="Arial" w:hAnsi="Arial" w:cs="Arial"/>
          <w:color w:val="222222"/>
          <w:sz w:val="24"/>
          <w:szCs w:val="24"/>
          <w:shd w:val="clear" w:color="auto" w:fill="FFFFFF"/>
        </w:rPr>
        <w:t>ionophore</w:t>
      </w:r>
      <w:proofErr w:type="spellEnd"/>
      <w:r w:rsidR="003F5EB2" w:rsidRPr="0009732B">
        <w:rPr>
          <w:rFonts w:ascii="Arial" w:hAnsi="Arial" w:cs="Arial"/>
          <w:color w:val="222222"/>
          <w:sz w:val="24"/>
          <w:szCs w:val="24"/>
          <w:shd w:val="clear" w:color="auto" w:fill="FFFFFF"/>
        </w:rPr>
        <w:t xml:space="preserve">-triggered </w:t>
      </w:r>
      <w:proofErr w:type="spellStart"/>
      <w:r w:rsidR="003F5EB2" w:rsidRPr="0009732B">
        <w:rPr>
          <w:rFonts w:ascii="Arial" w:hAnsi="Arial" w:cs="Arial"/>
          <w:color w:val="222222"/>
          <w:sz w:val="24"/>
          <w:szCs w:val="24"/>
          <w:shd w:val="clear" w:color="auto" w:fill="FFFFFF"/>
        </w:rPr>
        <w:t>degranulation</w:t>
      </w:r>
      <w:proofErr w:type="spellEnd"/>
      <w:r w:rsidR="003F5EB2" w:rsidRPr="0009732B">
        <w:rPr>
          <w:rFonts w:ascii="Arial" w:hAnsi="Arial" w:cs="Arial"/>
          <w:color w:val="222222"/>
          <w:sz w:val="24"/>
          <w:szCs w:val="24"/>
          <w:shd w:val="clear" w:color="auto" w:fill="FFFFFF"/>
        </w:rPr>
        <w:t xml:space="preserve"> is also inhibited. However, the degranulation values displayed in figure 3 are somewhat concerning. The spontaneous degranulation is quite high (50% of the degranulation in those cells stimulated with </w:t>
      </w:r>
      <w:proofErr w:type="spellStart"/>
      <w:r w:rsidR="003F5EB2" w:rsidRPr="0009732B">
        <w:rPr>
          <w:rFonts w:ascii="Arial" w:hAnsi="Arial" w:cs="Arial"/>
          <w:color w:val="222222"/>
          <w:sz w:val="24"/>
          <w:szCs w:val="24"/>
          <w:shd w:val="clear" w:color="auto" w:fill="FFFFFF"/>
        </w:rPr>
        <w:t>ionophore</w:t>
      </w:r>
      <w:proofErr w:type="spellEnd"/>
      <w:r w:rsidR="003F5EB2" w:rsidRPr="0009732B">
        <w:rPr>
          <w:rFonts w:ascii="Arial" w:hAnsi="Arial" w:cs="Arial"/>
          <w:color w:val="222222"/>
          <w:sz w:val="24"/>
          <w:szCs w:val="24"/>
          <w:shd w:val="clear" w:color="auto" w:fill="FFFFFF"/>
        </w:rPr>
        <w:t xml:space="preserve"> but without </w:t>
      </w:r>
      <w:proofErr w:type="spellStart"/>
      <w:r w:rsidR="003F5EB2" w:rsidRPr="0009732B">
        <w:rPr>
          <w:rFonts w:ascii="Arial" w:hAnsi="Arial" w:cs="Arial"/>
          <w:color w:val="222222"/>
          <w:sz w:val="24"/>
          <w:szCs w:val="24"/>
          <w:shd w:val="clear" w:color="auto" w:fill="FFFFFF"/>
        </w:rPr>
        <w:t>Triclosan</w:t>
      </w:r>
      <w:proofErr w:type="spellEnd"/>
      <w:r w:rsidR="003F5EB2" w:rsidRPr="0009732B">
        <w:rPr>
          <w:rFonts w:ascii="Arial" w:hAnsi="Arial" w:cs="Arial"/>
          <w:color w:val="222222"/>
          <w:sz w:val="24"/>
          <w:szCs w:val="24"/>
          <w:shd w:val="clear" w:color="auto" w:fill="FFFFFF"/>
        </w:rPr>
        <w:t xml:space="preserve">). This is likely, in part, a result of the fact that the absolute value of degranulation of cells treated with </w:t>
      </w:r>
      <w:proofErr w:type="spellStart"/>
      <w:r w:rsidR="003F5EB2" w:rsidRPr="0009732B">
        <w:rPr>
          <w:rFonts w:ascii="Arial" w:hAnsi="Arial" w:cs="Arial"/>
          <w:color w:val="222222"/>
          <w:sz w:val="24"/>
          <w:szCs w:val="24"/>
          <w:shd w:val="clear" w:color="auto" w:fill="FFFFFF"/>
        </w:rPr>
        <w:t>ionophore</w:t>
      </w:r>
      <w:proofErr w:type="spellEnd"/>
      <w:r w:rsidR="003F5EB2" w:rsidRPr="0009732B">
        <w:rPr>
          <w:rFonts w:ascii="Arial" w:hAnsi="Arial" w:cs="Arial"/>
          <w:color w:val="222222"/>
          <w:sz w:val="24"/>
          <w:szCs w:val="24"/>
          <w:shd w:val="clear" w:color="auto" w:fill="FFFFFF"/>
        </w:rPr>
        <w:t xml:space="preserve"> alone is only 6.9%. So while they see a significant reduction of </w:t>
      </w:r>
      <w:proofErr w:type="spellStart"/>
      <w:r w:rsidR="003F5EB2" w:rsidRPr="0009732B">
        <w:rPr>
          <w:rFonts w:ascii="Arial" w:hAnsi="Arial" w:cs="Arial"/>
          <w:color w:val="222222"/>
          <w:sz w:val="24"/>
          <w:szCs w:val="24"/>
          <w:shd w:val="clear" w:color="auto" w:fill="FFFFFF"/>
        </w:rPr>
        <w:t>ionophore</w:t>
      </w:r>
      <w:proofErr w:type="spellEnd"/>
      <w:r w:rsidR="003F5EB2" w:rsidRPr="0009732B">
        <w:rPr>
          <w:rFonts w:ascii="Arial" w:hAnsi="Arial" w:cs="Arial"/>
          <w:color w:val="222222"/>
          <w:sz w:val="24"/>
          <w:szCs w:val="24"/>
          <w:shd w:val="clear" w:color="auto" w:fill="FFFFFF"/>
        </w:rPr>
        <w:t xml:space="preserve">-triggered </w:t>
      </w:r>
      <w:proofErr w:type="spellStart"/>
      <w:r w:rsidR="003F5EB2" w:rsidRPr="0009732B">
        <w:rPr>
          <w:rFonts w:ascii="Arial" w:hAnsi="Arial" w:cs="Arial"/>
          <w:color w:val="222222"/>
          <w:sz w:val="24"/>
          <w:szCs w:val="24"/>
          <w:shd w:val="clear" w:color="auto" w:fill="FFFFFF"/>
        </w:rPr>
        <w:t>degranulation</w:t>
      </w:r>
      <w:proofErr w:type="spellEnd"/>
      <w:r w:rsidR="003F5EB2" w:rsidRPr="0009732B">
        <w:rPr>
          <w:rFonts w:ascii="Arial" w:hAnsi="Arial" w:cs="Arial"/>
          <w:color w:val="222222"/>
          <w:sz w:val="24"/>
          <w:szCs w:val="24"/>
          <w:shd w:val="clear" w:color="auto" w:fill="FFFFFF"/>
        </w:rPr>
        <w:t xml:space="preserve"> in the presence of Triclosan, the actual reduction is perhaps not very biologically relevant, because the dynamic range of their data is only 3-4%. The doses used for both antigen and </w:t>
      </w:r>
      <w:proofErr w:type="spellStart"/>
      <w:r w:rsidR="003F5EB2" w:rsidRPr="0009732B">
        <w:rPr>
          <w:rFonts w:ascii="Arial" w:hAnsi="Arial" w:cs="Arial"/>
          <w:color w:val="222222"/>
          <w:sz w:val="24"/>
          <w:szCs w:val="24"/>
          <w:shd w:val="clear" w:color="auto" w:fill="FFFFFF"/>
        </w:rPr>
        <w:t>ionophore</w:t>
      </w:r>
      <w:proofErr w:type="spellEnd"/>
      <w:r w:rsidR="003F5EB2" w:rsidRPr="0009732B">
        <w:rPr>
          <w:rFonts w:ascii="Arial" w:hAnsi="Arial" w:cs="Arial"/>
          <w:color w:val="222222"/>
          <w:sz w:val="24"/>
          <w:szCs w:val="24"/>
          <w:shd w:val="clear" w:color="auto" w:fill="FFFFFF"/>
        </w:rPr>
        <w:t xml:space="preserve"> are quite low, which translate to degranulation percentages are also quite low, so their results are not unreasonable, it is just more difficult to make conclusions based on such small relative differences. That being said, the authors correctly point out in their discussion that balancing antigen and toxicant dose is an important factor.</w:t>
      </w:r>
    </w:p>
    <w:p w:rsidR="00884691" w:rsidRDefault="00884691" w:rsidP="003F5EB2">
      <w:pPr>
        <w:spacing w:after="0"/>
        <w:rPr>
          <w:rFonts w:ascii="Arial" w:hAnsi="Arial" w:cs="Arial"/>
          <w:color w:val="222222"/>
          <w:sz w:val="24"/>
          <w:szCs w:val="24"/>
          <w:shd w:val="clear" w:color="auto" w:fill="FFFFFF"/>
        </w:rPr>
      </w:pPr>
    </w:p>
    <w:p w:rsidR="007B4F77" w:rsidRPr="004B0D3F" w:rsidRDefault="004B0D3F" w:rsidP="007B4F77">
      <w:pPr>
        <w:spacing w:after="0"/>
        <w:rPr>
          <w:rFonts w:ascii="Arial" w:hAnsi="Arial" w:cs="Arial"/>
          <w:color w:val="FF0000"/>
          <w:sz w:val="24"/>
          <w:szCs w:val="24"/>
          <w:shd w:val="clear" w:color="auto" w:fill="FFFFFF"/>
        </w:rPr>
      </w:pPr>
      <w:r w:rsidRPr="00884691">
        <w:rPr>
          <w:rFonts w:ascii="Arial" w:hAnsi="Arial" w:cs="Arial"/>
          <w:color w:val="FF0000"/>
          <w:sz w:val="24"/>
          <w:szCs w:val="24"/>
          <w:shd w:val="clear" w:color="auto" w:fill="FFFFFF"/>
        </w:rPr>
        <w:t xml:space="preserve">We thank the reviewer for a close reading of the text and its figures, and for </w:t>
      </w:r>
      <w:r>
        <w:rPr>
          <w:rFonts w:ascii="Arial" w:hAnsi="Arial" w:cs="Arial"/>
          <w:color w:val="FF0000"/>
          <w:sz w:val="24"/>
          <w:szCs w:val="24"/>
          <w:shd w:val="clear" w:color="auto" w:fill="FFFFFF"/>
        </w:rPr>
        <w:t>emphasizing</w:t>
      </w:r>
      <w:r w:rsidRPr="00884691">
        <w:rPr>
          <w:rFonts w:ascii="Arial" w:hAnsi="Arial" w:cs="Arial"/>
          <w:color w:val="FF0000"/>
          <w:sz w:val="24"/>
          <w:szCs w:val="24"/>
          <w:shd w:val="clear" w:color="auto" w:fill="FFFFFF"/>
        </w:rPr>
        <w:t xml:space="preserve"> that a greater dynamic range of the data would be desirable.</w:t>
      </w:r>
      <w:r>
        <w:rPr>
          <w:rFonts w:ascii="Arial" w:hAnsi="Arial" w:cs="Arial"/>
          <w:color w:val="FF0000"/>
          <w:sz w:val="24"/>
          <w:szCs w:val="24"/>
          <w:shd w:val="clear" w:color="auto" w:fill="FFFFFF"/>
        </w:rPr>
        <w:t xml:space="preserve"> </w:t>
      </w:r>
      <w:r w:rsidR="007B4F77">
        <w:rPr>
          <w:rFonts w:ascii="Arial" w:hAnsi="Arial" w:cs="Arial"/>
          <w:color w:val="FF0000"/>
          <w:sz w:val="24"/>
          <w:szCs w:val="24"/>
          <w:shd w:val="clear" w:color="auto" w:fill="FFFFFF"/>
        </w:rPr>
        <w:t>In the manuscript we s</w:t>
      </w:r>
      <w:r w:rsidR="00671F7F">
        <w:rPr>
          <w:rFonts w:ascii="Arial" w:hAnsi="Arial" w:cs="Arial"/>
          <w:color w:val="FF0000"/>
          <w:sz w:val="24"/>
          <w:szCs w:val="24"/>
          <w:shd w:val="clear" w:color="auto" w:fill="FFFFFF"/>
        </w:rPr>
        <w:t>ubmitted, a concentration of 160</w:t>
      </w:r>
      <w:r w:rsidR="007B4F77">
        <w:rPr>
          <w:rFonts w:ascii="Arial" w:hAnsi="Arial" w:cs="Arial"/>
          <w:color w:val="FF0000"/>
          <w:sz w:val="24"/>
          <w:szCs w:val="24"/>
          <w:shd w:val="clear" w:color="auto" w:fill="FFFFFF"/>
        </w:rPr>
        <w:t xml:space="preserve"> </w:t>
      </w:r>
      <w:proofErr w:type="spellStart"/>
      <w:r w:rsidR="007B4F77">
        <w:rPr>
          <w:rFonts w:ascii="Arial" w:hAnsi="Arial" w:cs="Arial"/>
          <w:color w:val="FF0000"/>
          <w:sz w:val="24"/>
          <w:szCs w:val="24"/>
          <w:shd w:val="clear" w:color="auto" w:fill="FFFFFF"/>
        </w:rPr>
        <w:t>nM</w:t>
      </w:r>
      <w:proofErr w:type="spellEnd"/>
      <w:r w:rsidR="007B4F77">
        <w:rPr>
          <w:rFonts w:ascii="Arial" w:hAnsi="Arial" w:cs="Arial"/>
          <w:color w:val="FF0000"/>
          <w:sz w:val="24"/>
          <w:szCs w:val="24"/>
          <w:shd w:val="clear" w:color="auto" w:fill="FFFFFF"/>
        </w:rPr>
        <w:t xml:space="preserve"> A23187 calcium </w:t>
      </w:r>
      <w:proofErr w:type="spellStart"/>
      <w:r w:rsidR="007B4F77">
        <w:rPr>
          <w:rFonts w:ascii="Arial" w:hAnsi="Arial" w:cs="Arial"/>
          <w:color w:val="FF0000"/>
          <w:sz w:val="24"/>
          <w:szCs w:val="24"/>
          <w:shd w:val="clear" w:color="auto" w:fill="FFFFFF"/>
        </w:rPr>
        <w:t>Ionophore</w:t>
      </w:r>
      <w:proofErr w:type="spellEnd"/>
      <w:r w:rsidR="007B4F77">
        <w:rPr>
          <w:rFonts w:ascii="Arial" w:hAnsi="Arial" w:cs="Arial"/>
          <w:color w:val="FF0000"/>
          <w:sz w:val="24"/>
          <w:szCs w:val="24"/>
          <w:shd w:val="clear" w:color="auto" w:fill="FFFFFF"/>
        </w:rPr>
        <w:t xml:space="preserve"> was used to </w:t>
      </w:r>
      <w:r w:rsidR="00671F7F">
        <w:rPr>
          <w:rFonts w:ascii="Arial" w:hAnsi="Arial" w:cs="Arial"/>
          <w:color w:val="FF0000"/>
          <w:sz w:val="24"/>
          <w:szCs w:val="24"/>
          <w:shd w:val="clear" w:color="auto" w:fill="FFFFFF"/>
        </w:rPr>
        <w:t>elicit</w:t>
      </w:r>
      <w:r w:rsidR="007B4F77">
        <w:rPr>
          <w:rFonts w:ascii="Arial" w:hAnsi="Arial" w:cs="Arial"/>
          <w:color w:val="FF0000"/>
          <w:sz w:val="24"/>
          <w:szCs w:val="24"/>
          <w:shd w:val="clear" w:color="auto" w:fill="FFFFFF"/>
        </w:rPr>
        <w:t xml:space="preserve"> a degranulation response from RBL-2H3 cells. </w:t>
      </w:r>
      <w:r w:rsidR="00BF307B">
        <w:rPr>
          <w:rFonts w:ascii="Arial" w:hAnsi="Arial" w:cs="Arial"/>
          <w:color w:val="FF0000"/>
          <w:sz w:val="24"/>
          <w:szCs w:val="24"/>
          <w:shd w:val="clear" w:color="auto" w:fill="FFFFFF"/>
        </w:rPr>
        <w:t>Thus</w:t>
      </w:r>
      <w:r w:rsidR="00884691" w:rsidRPr="00884691">
        <w:rPr>
          <w:rFonts w:ascii="Arial" w:hAnsi="Arial" w:cs="Arial"/>
          <w:color w:val="FF0000"/>
          <w:sz w:val="24"/>
          <w:szCs w:val="24"/>
          <w:shd w:val="clear" w:color="auto" w:fill="FFFFFF"/>
        </w:rPr>
        <w:t xml:space="preserve">, we </w:t>
      </w:r>
      <w:r w:rsidR="00BF307B">
        <w:rPr>
          <w:rFonts w:ascii="Arial" w:hAnsi="Arial" w:cs="Arial"/>
          <w:color w:val="FF0000"/>
          <w:sz w:val="24"/>
          <w:szCs w:val="24"/>
          <w:shd w:val="clear" w:color="auto" w:fill="FFFFFF"/>
        </w:rPr>
        <w:t xml:space="preserve">have </w:t>
      </w:r>
      <w:r w:rsidR="00884691" w:rsidRPr="00884691">
        <w:rPr>
          <w:rFonts w:ascii="Arial" w:hAnsi="Arial" w:cs="Arial"/>
          <w:color w:val="FF0000"/>
          <w:sz w:val="24"/>
          <w:szCs w:val="24"/>
          <w:shd w:val="clear" w:color="auto" w:fill="FFFFFF"/>
        </w:rPr>
        <w:t xml:space="preserve">addressed the reviewer’s </w:t>
      </w:r>
      <w:r w:rsidR="007B4F77">
        <w:rPr>
          <w:rFonts w:ascii="Arial" w:hAnsi="Arial" w:cs="Arial"/>
          <w:color w:val="FF0000"/>
          <w:sz w:val="24"/>
          <w:szCs w:val="24"/>
          <w:shd w:val="clear" w:color="auto" w:fill="FFFFFF"/>
        </w:rPr>
        <w:t>comments</w:t>
      </w:r>
      <w:r w:rsidR="00884691" w:rsidRPr="00884691">
        <w:rPr>
          <w:rFonts w:ascii="Arial" w:hAnsi="Arial" w:cs="Arial"/>
          <w:color w:val="FF0000"/>
          <w:sz w:val="24"/>
          <w:szCs w:val="24"/>
          <w:shd w:val="clear" w:color="auto" w:fill="FFFFFF"/>
        </w:rPr>
        <w:t xml:space="preserve"> by repeating </w:t>
      </w:r>
      <w:r w:rsidR="007B4F77">
        <w:rPr>
          <w:rFonts w:ascii="Arial" w:hAnsi="Arial" w:cs="Arial"/>
          <w:color w:val="FF0000"/>
          <w:sz w:val="24"/>
          <w:szCs w:val="24"/>
          <w:shd w:val="clear" w:color="auto" w:fill="FFFFFF"/>
        </w:rPr>
        <w:t>t</w:t>
      </w:r>
      <w:r w:rsidR="00671F7F">
        <w:rPr>
          <w:rFonts w:ascii="Arial" w:hAnsi="Arial" w:cs="Arial"/>
          <w:color w:val="FF0000"/>
          <w:sz w:val="24"/>
          <w:szCs w:val="24"/>
          <w:shd w:val="clear" w:color="auto" w:fill="FFFFFF"/>
        </w:rPr>
        <w:t xml:space="preserve">he </w:t>
      </w:r>
      <w:proofErr w:type="spellStart"/>
      <w:r w:rsidR="00671F7F">
        <w:rPr>
          <w:rFonts w:ascii="Arial" w:hAnsi="Arial" w:cs="Arial"/>
          <w:color w:val="FF0000"/>
          <w:sz w:val="24"/>
          <w:szCs w:val="24"/>
          <w:shd w:val="clear" w:color="auto" w:fill="FFFFFF"/>
        </w:rPr>
        <w:t>ionophore</w:t>
      </w:r>
      <w:proofErr w:type="spellEnd"/>
      <w:r w:rsidR="00671F7F">
        <w:rPr>
          <w:rFonts w:ascii="Arial" w:hAnsi="Arial" w:cs="Arial"/>
          <w:color w:val="FF0000"/>
          <w:sz w:val="24"/>
          <w:szCs w:val="24"/>
          <w:shd w:val="clear" w:color="auto" w:fill="FFFFFF"/>
        </w:rPr>
        <w:t xml:space="preserve"> experiment with a</w:t>
      </w:r>
      <w:r w:rsidR="007B4F77">
        <w:rPr>
          <w:rFonts w:ascii="Arial" w:hAnsi="Arial" w:cs="Arial"/>
          <w:color w:val="FF0000"/>
          <w:sz w:val="24"/>
          <w:szCs w:val="24"/>
          <w:shd w:val="clear" w:color="auto" w:fill="FFFFFF"/>
        </w:rPr>
        <w:t xml:space="preserve"> higher </w:t>
      </w:r>
      <w:r w:rsidR="00884691" w:rsidRPr="00884691">
        <w:rPr>
          <w:rFonts w:ascii="Arial" w:hAnsi="Arial" w:cs="Arial"/>
          <w:color w:val="FF0000"/>
          <w:sz w:val="24"/>
          <w:szCs w:val="24"/>
          <w:shd w:val="clear" w:color="auto" w:fill="FFFFFF"/>
        </w:rPr>
        <w:t>concentration</w:t>
      </w:r>
      <w:r w:rsidR="00671F7F">
        <w:rPr>
          <w:rFonts w:ascii="Arial" w:hAnsi="Arial" w:cs="Arial"/>
          <w:color w:val="FF0000"/>
          <w:sz w:val="24"/>
          <w:szCs w:val="24"/>
          <w:shd w:val="clear" w:color="auto" w:fill="FFFFFF"/>
        </w:rPr>
        <w:t xml:space="preserve"> of </w:t>
      </w:r>
      <w:proofErr w:type="spellStart"/>
      <w:r w:rsidR="00671F7F">
        <w:rPr>
          <w:rFonts w:ascii="Arial" w:hAnsi="Arial" w:cs="Arial"/>
          <w:color w:val="FF0000"/>
          <w:sz w:val="24"/>
          <w:szCs w:val="24"/>
          <w:shd w:val="clear" w:color="auto" w:fill="FFFFFF"/>
        </w:rPr>
        <w:t>i</w:t>
      </w:r>
      <w:r w:rsidR="007B4F77">
        <w:rPr>
          <w:rFonts w:ascii="Arial" w:hAnsi="Arial" w:cs="Arial"/>
          <w:color w:val="FF0000"/>
          <w:sz w:val="24"/>
          <w:szCs w:val="24"/>
          <w:shd w:val="clear" w:color="auto" w:fill="FFFFFF"/>
        </w:rPr>
        <w:t>onophore</w:t>
      </w:r>
      <w:proofErr w:type="spellEnd"/>
      <w:r w:rsidR="005D1C20">
        <w:rPr>
          <w:rFonts w:ascii="Arial" w:hAnsi="Arial" w:cs="Arial"/>
          <w:color w:val="FF0000"/>
          <w:sz w:val="24"/>
          <w:szCs w:val="24"/>
          <w:shd w:val="clear" w:color="auto" w:fill="FFFFFF"/>
        </w:rPr>
        <w:t xml:space="preserve">, </w:t>
      </w:r>
      <w:r w:rsidR="00671F7F">
        <w:rPr>
          <w:rFonts w:ascii="Arial" w:hAnsi="Arial" w:cs="Arial"/>
          <w:color w:val="FF0000"/>
          <w:sz w:val="24"/>
          <w:szCs w:val="24"/>
          <w:shd w:val="clear" w:color="auto" w:fill="FFFFFF"/>
        </w:rPr>
        <w:t xml:space="preserve">180 </w:t>
      </w:r>
      <w:proofErr w:type="spellStart"/>
      <w:r w:rsidR="00671F7F">
        <w:rPr>
          <w:rFonts w:ascii="Arial" w:hAnsi="Arial" w:cs="Arial"/>
          <w:color w:val="FF0000"/>
          <w:sz w:val="24"/>
          <w:szCs w:val="24"/>
          <w:shd w:val="clear" w:color="auto" w:fill="FFFFFF"/>
        </w:rPr>
        <w:t>nM</w:t>
      </w:r>
      <w:proofErr w:type="spellEnd"/>
      <w:r w:rsidR="007B4F77">
        <w:rPr>
          <w:rFonts w:ascii="Arial" w:hAnsi="Arial" w:cs="Arial"/>
          <w:color w:val="FF0000"/>
          <w:sz w:val="24"/>
          <w:szCs w:val="24"/>
          <w:shd w:val="clear" w:color="auto" w:fill="FFFFFF"/>
        </w:rPr>
        <w:t xml:space="preserve">. This level of </w:t>
      </w:r>
      <w:proofErr w:type="spellStart"/>
      <w:r w:rsidR="007B4F77">
        <w:rPr>
          <w:rFonts w:ascii="Arial" w:hAnsi="Arial" w:cs="Arial"/>
          <w:color w:val="FF0000"/>
          <w:sz w:val="24"/>
          <w:szCs w:val="24"/>
          <w:shd w:val="clear" w:color="auto" w:fill="FFFFFF"/>
        </w:rPr>
        <w:t>ionophore</w:t>
      </w:r>
      <w:proofErr w:type="spellEnd"/>
      <w:r w:rsidR="007B4F77">
        <w:rPr>
          <w:rFonts w:ascii="Arial" w:hAnsi="Arial" w:cs="Arial"/>
          <w:color w:val="FF0000"/>
          <w:sz w:val="24"/>
          <w:szCs w:val="24"/>
          <w:shd w:val="clear" w:color="auto" w:fill="FFFFFF"/>
        </w:rPr>
        <w:t xml:space="preserve"> </w:t>
      </w:r>
      <w:r w:rsidR="00884691" w:rsidRPr="00884691">
        <w:rPr>
          <w:rFonts w:ascii="Arial" w:hAnsi="Arial" w:cs="Arial"/>
          <w:color w:val="FF0000"/>
          <w:sz w:val="24"/>
          <w:szCs w:val="24"/>
          <w:shd w:val="clear" w:color="auto" w:fill="FFFFFF"/>
        </w:rPr>
        <w:t xml:space="preserve">elicited an absolute value of </w:t>
      </w:r>
      <w:proofErr w:type="spellStart"/>
      <w:r w:rsidR="00884691" w:rsidRPr="00884691">
        <w:rPr>
          <w:rFonts w:ascii="Arial" w:hAnsi="Arial" w:cs="Arial"/>
          <w:color w:val="FF0000"/>
          <w:sz w:val="24"/>
          <w:szCs w:val="24"/>
          <w:shd w:val="clear" w:color="auto" w:fill="FFFFFF"/>
        </w:rPr>
        <w:t>degranulation</w:t>
      </w:r>
      <w:proofErr w:type="spellEnd"/>
      <w:r w:rsidR="00884691" w:rsidRPr="00884691">
        <w:rPr>
          <w:rFonts w:ascii="Arial" w:hAnsi="Arial" w:cs="Arial"/>
          <w:color w:val="FF0000"/>
          <w:sz w:val="24"/>
          <w:szCs w:val="24"/>
          <w:shd w:val="clear" w:color="auto" w:fill="FFFFFF"/>
        </w:rPr>
        <w:t xml:space="preserve"> of ~25%</w:t>
      </w:r>
      <w:r w:rsidR="00BF307B">
        <w:rPr>
          <w:rFonts w:ascii="Arial" w:hAnsi="Arial" w:cs="Arial"/>
          <w:color w:val="FF0000"/>
          <w:sz w:val="24"/>
          <w:szCs w:val="24"/>
          <w:shd w:val="clear" w:color="auto" w:fill="FFFFFF"/>
        </w:rPr>
        <w:t xml:space="preserve"> (much higher than the 6.9% in the first manuscript draft)</w:t>
      </w:r>
      <w:proofErr w:type="gramStart"/>
      <w:r w:rsidR="005D1C20">
        <w:rPr>
          <w:rFonts w:ascii="Arial" w:hAnsi="Arial" w:cs="Arial"/>
          <w:color w:val="FF0000"/>
          <w:sz w:val="24"/>
          <w:szCs w:val="24"/>
          <w:shd w:val="clear" w:color="auto" w:fill="FFFFFF"/>
        </w:rPr>
        <w:t>,</w:t>
      </w:r>
      <w:proofErr w:type="gramEnd"/>
      <w:r w:rsidR="005D1C20">
        <w:rPr>
          <w:rFonts w:ascii="Arial" w:hAnsi="Arial" w:cs="Arial"/>
          <w:color w:val="FF0000"/>
          <w:sz w:val="24"/>
          <w:szCs w:val="24"/>
          <w:shd w:val="clear" w:color="auto" w:fill="FFFFFF"/>
        </w:rPr>
        <w:t xml:space="preserve"> where</w:t>
      </w:r>
      <w:r w:rsidR="00671F7F">
        <w:rPr>
          <w:rFonts w:ascii="Arial" w:hAnsi="Arial" w:cs="Arial"/>
          <w:color w:val="FF0000"/>
          <w:sz w:val="24"/>
          <w:szCs w:val="24"/>
          <w:shd w:val="clear" w:color="auto" w:fill="FFFFFF"/>
        </w:rPr>
        <w:t>as</w:t>
      </w:r>
      <w:r w:rsidR="005D1C20">
        <w:rPr>
          <w:rFonts w:ascii="Arial" w:hAnsi="Arial" w:cs="Arial"/>
          <w:color w:val="FF0000"/>
          <w:sz w:val="24"/>
          <w:szCs w:val="24"/>
          <w:shd w:val="clear" w:color="auto" w:fill="FFFFFF"/>
        </w:rPr>
        <w:t xml:space="preserve"> </w:t>
      </w:r>
      <w:r w:rsidR="00671F7F">
        <w:rPr>
          <w:rFonts w:ascii="Arial" w:hAnsi="Arial" w:cs="Arial"/>
          <w:color w:val="FF0000"/>
          <w:sz w:val="24"/>
          <w:szCs w:val="24"/>
          <w:shd w:val="clear" w:color="auto" w:fill="FFFFFF"/>
        </w:rPr>
        <w:t>the absolute level of the “spontaneous” degranulation in this sam</w:t>
      </w:r>
      <w:r w:rsidR="005D1C20">
        <w:rPr>
          <w:rFonts w:ascii="Arial" w:hAnsi="Arial" w:cs="Arial"/>
          <w:color w:val="FF0000"/>
          <w:sz w:val="24"/>
          <w:szCs w:val="24"/>
          <w:shd w:val="clear" w:color="auto" w:fill="FFFFFF"/>
        </w:rPr>
        <w:t xml:space="preserve">e experiment was approximately </w:t>
      </w:r>
      <w:r w:rsidR="00671F7F">
        <w:rPr>
          <w:rFonts w:ascii="Arial" w:hAnsi="Arial" w:cs="Arial"/>
          <w:color w:val="FF0000"/>
          <w:sz w:val="24"/>
          <w:szCs w:val="24"/>
          <w:shd w:val="clear" w:color="auto" w:fill="FFFFFF"/>
        </w:rPr>
        <w:t xml:space="preserve">4%.  Please note that the overall data trends and the </w:t>
      </w:r>
      <w:r w:rsidR="005D1C20">
        <w:rPr>
          <w:rFonts w:ascii="Arial" w:hAnsi="Arial" w:cs="Arial"/>
          <w:color w:val="FF0000"/>
          <w:sz w:val="24"/>
          <w:szCs w:val="24"/>
          <w:shd w:val="clear" w:color="auto" w:fill="FFFFFF"/>
        </w:rPr>
        <w:t>statistical</w:t>
      </w:r>
      <w:r w:rsidR="00671F7F">
        <w:rPr>
          <w:rFonts w:ascii="Arial" w:hAnsi="Arial" w:cs="Arial"/>
          <w:color w:val="FF0000"/>
          <w:sz w:val="24"/>
          <w:szCs w:val="24"/>
          <w:shd w:val="clear" w:color="auto" w:fill="FFFFFF"/>
        </w:rPr>
        <w:t xml:space="preserve"> significance are very similar to those reported in the first draft of the manuscript.</w:t>
      </w:r>
    </w:p>
    <w:p w:rsidR="007B4F77" w:rsidRDefault="007B4F77" w:rsidP="003F5EB2">
      <w:pPr>
        <w:spacing w:after="0"/>
        <w:rPr>
          <w:rFonts w:ascii="Arial" w:hAnsi="Arial" w:cs="Arial"/>
          <w:color w:val="FF0000"/>
          <w:sz w:val="24"/>
          <w:szCs w:val="24"/>
          <w:shd w:val="clear" w:color="auto" w:fill="FFFFFF"/>
        </w:rPr>
      </w:pPr>
    </w:p>
    <w:p w:rsidR="002F4E85" w:rsidRDefault="00884691" w:rsidP="003F5EB2">
      <w:pPr>
        <w:spacing w:after="0"/>
        <w:rPr>
          <w:rFonts w:ascii="Arial" w:hAnsi="Arial" w:cs="Arial"/>
          <w:color w:val="FF0000"/>
          <w:sz w:val="24"/>
          <w:szCs w:val="24"/>
        </w:rPr>
      </w:pPr>
      <w:r>
        <w:rPr>
          <w:rFonts w:ascii="Arial" w:hAnsi="Arial" w:cs="Arial"/>
          <w:color w:val="FF0000"/>
          <w:sz w:val="24"/>
          <w:szCs w:val="24"/>
          <w:shd w:val="clear" w:color="auto" w:fill="FFFFFF"/>
        </w:rPr>
        <w:t xml:space="preserve">We are </w:t>
      </w:r>
      <w:r w:rsidR="007B4F77">
        <w:rPr>
          <w:rFonts w:ascii="Arial" w:hAnsi="Arial" w:cs="Arial"/>
          <w:color w:val="FF0000"/>
          <w:sz w:val="24"/>
          <w:szCs w:val="24"/>
          <w:shd w:val="clear" w:color="auto" w:fill="FFFFFF"/>
        </w:rPr>
        <w:t xml:space="preserve">therefore submitting a revised Figure 3 that </w:t>
      </w:r>
      <w:r>
        <w:rPr>
          <w:rFonts w:ascii="Arial" w:hAnsi="Arial" w:cs="Arial"/>
          <w:color w:val="FF0000"/>
          <w:sz w:val="24"/>
          <w:szCs w:val="24"/>
          <w:shd w:val="clear" w:color="auto" w:fill="FFFFFF"/>
        </w:rPr>
        <w:t>reflect</w:t>
      </w:r>
      <w:r w:rsidR="007B4F77">
        <w:rPr>
          <w:rFonts w:ascii="Arial" w:hAnsi="Arial" w:cs="Arial"/>
          <w:color w:val="FF0000"/>
          <w:sz w:val="24"/>
          <w:szCs w:val="24"/>
          <w:shd w:val="clear" w:color="auto" w:fill="FFFFFF"/>
        </w:rPr>
        <w:t>s</w:t>
      </w:r>
      <w:r>
        <w:rPr>
          <w:rFonts w:ascii="Arial" w:hAnsi="Arial" w:cs="Arial"/>
          <w:color w:val="FF0000"/>
          <w:sz w:val="24"/>
          <w:szCs w:val="24"/>
          <w:shd w:val="clear" w:color="auto" w:fill="FFFFFF"/>
        </w:rPr>
        <w:t xml:space="preserve"> </w:t>
      </w:r>
      <w:r w:rsidR="00671F7F">
        <w:rPr>
          <w:rFonts w:ascii="Arial" w:hAnsi="Arial" w:cs="Arial"/>
          <w:color w:val="FF0000"/>
          <w:sz w:val="24"/>
          <w:szCs w:val="24"/>
          <w:shd w:val="clear" w:color="auto" w:fill="FFFFFF"/>
        </w:rPr>
        <w:t>these</w:t>
      </w:r>
      <w:r>
        <w:rPr>
          <w:rFonts w:ascii="Arial" w:hAnsi="Arial" w:cs="Arial"/>
          <w:color w:val="FF0000"/>
          <w:sz w:val="24"/>
          <w:szCs w:val="24"/>
          <w:shd w:val="clear" w:color="auto" w:fill="FFFFFF"/>
        </w:rPr>
        <w:t xml:space="preserve"> changes. </w:t>
      </w:r>
      <w:r w:rsidR="00733BC3" w:rsidRPr="0009732B">
        <w:rPr>
          <w:rFonts w:ascii="Arial" w:hAnsi="Arial" w:cs="Arial"/>
          <w:color w:val="FF0000"/>
          <w:sz w:val="24"/>
          <w:szCs w:val="24"/>
        </w:rPr>
        <w:t xml:space="preserve">The representative results and </w:t>
      </w:r>
      <w:r w:rsidR="002866A0" w:rsidRPr="0009732B">
        <w:rPr>
          <w:rFonts w:ascii="Arial" w:hAnsi="Arial" w:cs="Arial"/>
          <w:color w:val="FF0000"/>
          <w:sz w:val="24"/>
          <w:szCs w:val="24"/>
        </w:rPr>
        <w:t>legend</w:t>
      </w:r>
      <w:r w:rsidR="00733BC3" w:rsidRPr="0009732B">
        <w:rPr>
          <w:rFonts w:ascii="Arial" w:hAnsi="Arial" w:cs="Arial"/>
          <w:color w:val="FF0000"/>
          <w:sz w:val="24"/>
          <w:szCs w:val="24"/>
        </w:rPr>
        <w:t xml:space="preserve"> </w:t>
      </w:r>
      <w:r w:rsidR="007B4F77">
        <w:rPr>
          <w:rFonts w:ascii="Arial" w:hAnsi="Arial" w:cs="Arial"/>
          <w:color w:val="FF0000"/>
          <w:sz w:val="24"/>
          <w:szCs w:val="24"/>
        </w:rPr>
        <w:t xml:space="preserve">for Figure 3 </w:t>
      </w:r>
      <w:r w:rsidR="00733BC3" w:rsidRPr="0009732B">
        <w:rPr>
          <w:rFonts w:ascii="Arial" w:hAnsi="Arial" w:cs="Arial"/>
          <w:color w:val="FF0000"/>
          <w:sz w:val="24"/>
          <w:szCs w:val="24"/>
        </w:rPr>
        <w:t>have been ch</w:t>
      </w:r>
      <w:r w:rsidR="007B4F77">
        <w:rPr>
          <w:rFonts w:ascii="Arial" w:hAnsi="Arial" w:cs="Arial"/>
          <w:color w:val="FF0000"/>
          <w:sz w:val="24"/>
          <w:szCs w:val="24"/>
        </w:rPr>
        <w:t>anged to represent the</w:t>
      </w:r>
      <w:r w:rsidR="00671F7F">
        <w:rPr>
          <w:rFonts w:ascii="Arial" w:hAnsi="Arial" w:cs="Arial"/>
          <w:color w:val="FF0000"/>
          <w:sz w:val="24"/>
          <w:szCs w:val="24"/>
        </w:rPr>
        <w:t>se</w:t>
      </w:r>
      <w:r w:rsidR="007B4F77">
        <w:rPr>
          <w:rFonts w:ascii="Arial" w:hAnsi="Arial" w:cs="Arial"/>
          <w:color w:val="FF0000"/>
          <w:sz w:val="24"/>
          <w:szCs w:val="24"/>
        </w:rPr>
        <w:t xml:space="preserve"> </w:t>
      </w:r>
      <w:r w:rsidR="004B0D3F">
        <w:rPr>
          <w:rFonts w:ascii="Arial" w:hAnsi="Arial" w:cs="Arial"/>
          <w:color w:val="FF0000"/>
          <w:sz w:val="24"/>
          <w:szCs w:val="24"/>
        </w:rPr>
        <w:t>revisions (changes are highlighted</w:t>
      </w:r>
      <w:r w:rsidR="00671F7F">
        <w:rPr>
          <w:rFonts w:ascii="Arial" w:hAnsi="Arial" w:cs="Arial"/>
          <w:color w:val="FF0000"/>
          <w:sz w:val="24"/>
          <w:szCs w:val="24"/>
        </w:rPr>
        <w:t xml:space="preserve"> in green</w:t>
      </w:r>
      <w:r w:rsidR="004B0D3F">
        <w:rPr>
          <w:rFonts w:ascii="Arial" w:hAnsi="Arial" w:cs="Arial"/>
          <w:color w:val="FF0000"/>
          <w:sz w:val="24"/>
          <w:szCs w:val="24"/>
        </w:rPr>
        <w:t>):</w:t>
      </w:r>
    </w:p>
    <w:p w:rsidR="007B4F77" w:rsidRDefault="007B4F77" w:rsidP="003F5EB2">
      <w:pPr>
        <w:spacing w:after="0"/>
        <w:rPr>
          <w:rFonts w:ascii="Arial" w:hAnsi="Arial" w:cs="Arial"/>
          <w:color w:val="FF0000"/>
          <w:sz w:val="24"/>
          <w:szCs w:val="24"/>
          <w:shd w:val="clear" w:color="auto" w:fill="FFFFFF"/>
        </w:rPr>
      </w:pPr>
    </w:p>
    <w:p w:rsidR="00BF307B" w:rsidRPr="007B4F77" w:rsidRDefault="00BF307B" w:rsidP="003F5EB2">
      <w:pPr>
        <w:spacing w:after="0"/>
        <w:rPr>
          <w:rFonts w:ascii="Arial" w:hAnsi="Arial" w:cs="Arial"/>
          <w:color w:val="FF0000"/>
          <w:sz w:val="24"/>
          <w:szCs w:val="24"/>
          <w:shd w:val="clear" w:color="auto" w:fill="FFFFFF"/>
        </w:rPr>
      </w:pPr>
      <w:proofErr w:type="gramStart"/>
      <w:r w:rsidRPr="00BF307B">
        <w:rPr>
          <w:rFonts w:ascii="Arial" w:hAnsi="Arial" w:cs="Arial"/>
          <w:color w:val="FF0000"/>
          <w:sz w:val="24"/>
          <w:szCs w:val="24"/>
          <w:u w:val="single"/>
          <w:shd w:val="clear" w:color="auto" w:fill="FFFFFF"/>
        </w:rPr>
        <w:t>change</w:t>
      </w:r>
      <w:proofErr w:type="gramEnd"/>
      <w:r w:rsidRPr="00BF307B">
        <w:rPr>
          <w:rFonts w:ascii="Arial" w:hAnsi="Arial" w:cs="Arial"/>
          <w:color w:val="FF0000"/>
          <w:sz w:val="24"/>
          <w:szCs w:val="24"/>
          <w:u w:val="single"/>
          <w:shd w:val="clear" w:color="auto" w:fill="FFFFFF"/>
        </w:rPr>
        <w:t xml:space="preserve"> in the “Results” section</w:t>
      </w:r>
      <w:r>
        <w:rPr>
          <w:rFonts w:ascii="Arial" w:hAnsi="Arial" w:cs="Arial"/>
          <w:color w:val="FF0000"/>
          <w:sz w:val="24"/>
          <w:szCs w:val="24"/>
          <w:shd w:val="clear" w:color="auto" w:fill="FFFFFF"/>
        </w:rPr>
        <w:t>:</w:t>
      </w:r>
    </w:p>
    <w:p w:rsidR="00733BC3" w:rsidRPr="0009732B" w:rsidRDefault="00733BC3" w:rsidP="003F5EB2">
      <w:pPr>
        <w:spacing w:after="0"/>
        <w:rPr>
          <w:rFonts w:ascii="Arial" w:hAnsi="Arial" w:cs="Arial"/>
          <w:color w:val="FF0000"/>
          <w:sz w:val="24"/>
          <w:szCs w:val="24"/>
        </w:rPr>
      </w:pPr>
      <w:r w:rsidRPr="0009732B">
        <w:rPr>
          <w:rFonts w:ascii="Arial" w:hAnsi="Arial" w:cs="Arial"/>
          <w:color w:val="FF0000"/>
          <w:sz w:val="24"/>
          <w:szCs w:val="24"/>
        </w:rPr>
        <w:t>“</w:t>
      </w:r>
      <w:r w:rsidR="0073051C" w:rsidRPr="0009732B">
        <w:rPr>
          <w:rFonts w:ascii="Arial" w:hAnsi="Arial" w:cs="Arial"/>
          <w:color w:val="FF0000"/>
          <w:sz w:val="24"/>
          <w:szCs w:val="24"/>
        </w:rPr>
        <w:t xml:space="preserve">RBL mast cells were incubated for 1 hour in “TCS-buffer” or “control buffer,” containing a calcium </w:t>
      </w:r>
      <w:proofErr w:type="spellStart"/>
      <w:r w:rsidR="0073051C" w:rsidRPr="0009732B">
        <w:rPr>
          <w:rFonts w:ascii="Arial" w:hAnsi="Arial" w:cs="Arial"/>
          <w:color w:val="FF0000"/>
          <w:sz w:val="24"/>
          <w:szCs w:val="24"/>
        </w:rPr>
        <w:t>ionophore</w:t>
      </w:r>
      <w:proofErr w:type="spellEnd"/>
      <w:r w:rsidR="0073051C" w:rsidRPr="0009732B">
        <w:rPr>
          <w:rFonts w:ascii="Arial" w:hAnsi="Arial" w:cs="Arial"/>
          <w:color w:val="FF0000"/>
          <w:sz w:val="24"/>
          <w:szCs w:val="24"/>
        </w:rPr>
        <w:t xml:space="preserve"> dose of </w:t>
      </w:r>
      <w:r w:rsidR="0073051C" w:rsidRPr="0009732B">
        <w:rPr>
          <w:rFonts w:ascii="Arial" w:hAnsi="Arial" w:cs="Arial"/>
          <w:color w:val="FF0000"/>
          <w:sz w:val="24"/>
          <w:szCs w:val="24"/>
          <w:highlight w:val="green"/>
        </w:rPr>
        <w:t xml:space="preserve">180 </w:t>
      </w:r>
      <w:proofErr w:type="spellStart"/>
      <w:r w:rsidR="0073051C" w:rsidRPr="0009732B">
        <w:rPr>
          <w:rFonts w:ascii="Arial" w:hAnsi="Arial" w:cs="Arial"/>
          <w:color w:val="FF0000"/>
          <w:sz w:val="24"/>
          <w:szCs w:val="24"/>
          <w:highlight w:val="green"/>
        </w:rPr>
        <w:t>nM</w:t>
      </w:r>
      <w:proofErr w:type="spellEnd"/>
      <w:r w:rsidR="0073051C" w:rsidRPr="0009732B">
        <w:rPr>
          <w:rFonts w:ascii="Arial" w:hAnsi="Arial" w:cs="Arial"/>
          <w:color w:val="FF0000"/>
          <w:sz w:val="24"/>
          <w:szCs w:val="24"/>
        </w:rPr>
        <w:t xml:space="preserve">. In the absence of TCS, this concentration of A23187 elicited an average absolute degranulation response of </w:t>
      </w:r>
      <w:r w:rsidR="0073051C" w:rsidRPr="0009732B">
        <w:rPr>
          <w:rFonts w:ascii="Arial" w:hAnsi="Arial" w:cs="Arial"/>
          <w:color w:val="FF0000"/>
          <w:sz w:val="24"/>
          <w:szCs w:val="24"/>
          <w:highlight w:val="green"/>
        </w:rPr>
        <w:t>25.1% ± 4.7%</w:t>
      </w:r>
      <w:r w:rsidR="0073051C" w:rsidRPr="0009732B">
        <w:rPr>
          <w:rFonts w:ascii="Arial" w:hAnsi="Arial" w:cs="Arial"/>
          <w:color w:val="FF0000"/>
          <w:sz w:val="24"/>
          <w:szCs w:val="24"/>
        </w:rPr>
        <w:t xml:space="preserve"> (mean ± standard deviation). Inhibition of degranulation was found with as little as 1 µM TCS (</w:t>
      </w:r>
      <w:r w:rsidR="0073051C" w:rsidRPr="0009732B">
        <w:rPr>
          <w:rFonts w:ascii="Arial" w:hAnsi="Arial" w:cs="Arial"/>
          <w:color w:val="FF0000"/>
          <w:sz w:val="24"/>
          <w:szCs w:val="24"/>
          <w:highlight w:val="green"/>
        </w:rPr>
        <w:t>0.63 ± 0.11</w:t>
      </w:r>
      <w:r w:rsidR="0073051C" w:rsidRPr="0009732B">
        <w:rPr>
          <w:rFonts w:ascii="Arial" w:hAnsi="Arial" w:cs="Arial"/>
          <w:color w:val="FF0000"/>
          <w:sz w:val="24"/>
          <w:szCs w:val="24"/>
        </w:rPr>
        <w:t xml:space="preserve"> [mean ± SD]). As TCS concentration increases, so does the severity of the </w:t>
      </w:r>
      <w:r w:rsidR="0073051C" w:rsidRPr="0009732B">
        <w:rPr>
          <w:rFonts w:ascii="Arial" w:hAnsi="Arial" w:cs="Arial"/>
          <w:color w:val="FF0000"/>
          <w:sz w:val="24"/>
          <w:szCs w:val="24"/>
        </w:rPr>
        <w:lastRenderedPageBreak/>
        <w:t xml:space="preserve">inhibition: at 5 µM, </w:t>
      </w:r>
      <w:r w:rsidR="0073051C" w:rsidRPr="0009732B">
        <w:rPr>
          <w:rFonts w:ascii="Arial" w:hAnsi="Arial" w:cs="Arial"/>
          <w:color w:val="FF0000"/>
          <w:sz w:val="24"/>
          <w:szCs w:val="24"/>
          <w:highlight w:val="green"/>
        </w:rPr>
        <w:t>0.21-fold ± 0.04</w:t>
      </w:r>
      <w:r w:rsidR="0073051C" w:rsidRPr="0009732B">
        <w:rPr>
          <w:rFonts w:ascii="Arial" w:hAnsi="Arial" w:cs="Arial"/>
          <w:color w:val="FF0000"/>
          <w:sz w:val="24"/>
          <w:szCs w:val="24"/>
        </w:rPr>
        <w:t xml:space="preserve">-fold of the 0 µM TCS control levels; at 10 µM, </w:t>
      </w:r>
      <w:r w:rsidR="0073051C" w:rsidRPr="0009732B">
        <w:rPr>
          <w:rFonts w:ascii="Arial" w:hAnsi="Arial" w:cs="Arial"/>
          <w:color w:val="FF0000"/>
          <w:sz w:val="24"/>
          <w:szCs w:val="24"/>
          <w:highlight w:val="green"/>
        </w:rPr>
        <w:t>0.09 ± 0.05</w:t>
      </w:r>
      <w:r w:rsidR="0073051C" w:rsidRPr="0009732B">
        <w:rPr>
          <w:rFonts w:ascii="Arial" w:hAnsi="Arial" w:cs="Arial"/>
          <w:color w:val="FF0000"/>
          <w:sz w:val="24"/>
          <w:szCs w:val="24"/>
        </w:rPr>
        <w:t xml:space="preserve">; at 15 µM, </w:t>
      </w:r>
      <w:r w:rsidR="0073051C" w:rsidRPr="0009732B">
        <w:rPr>
          <w:rFonts w:ascii="Arial" w:hAnsi="Arial" w:cs="Arial"/>
          <w:color w:val="FF0000"/>
          <w:sz w:val="24"/>
          <w:szCs w:val="24"/>
          <w:highlight w:val="green"/>
        </w:rPr>
        <w:t>0.077 ± 0.006</w:t>
      </w:r>
      <w:r w:rsidR="0073051C" w:rsidRPr="0009732B">
        <w:rPr>
          <w:rFonts w:ascii="Arial" w:hAnsi="Arial" w:cs="Arial"/>
          <w:color w:val="FF0000"/>
          <w:sz w:val="24"/>
          <w:szCs w:val="24"/>
        </w:rPr>
        <w:t xml:space="preserve">; and at 20 µM, </w:t>
      </w:r>
      <w:r w:rsidR="0073051C" w:rsidRPr="0009732B">
        <w:rPr>
          <w:rFonts w:ascii="Arial" w:hAnsi="Arial" w:cs="Arial"/>
          <w:color w:val="FF0000"/>
          <w:sz w:val="24"/>
          <w:szCs w:val="24"/>
          <w:highlight w:val="green"/>
        </w:rPr>
        <w:t>0.09 ± 0.02</w:t>
      </w:r>
      <w:r w:rsidR="0073051C" w:rsidRPr="0009732B">
        <w:rPr>
          <w:rFonts w:ascii="Arial" w:hAnsi="Arial" w:cs="Arial"/>
          <w:color w:val="FF0000"/>
          <w:sz w:val="24"/>
          <w:szCs w:val="24"/>
        </w:rPr>
        <w:t xml:space="preserve"> (means ± SD). In fact, from 5 µM and higher concentrations of TCS, levels of A23187-induced degranulation were </w:t>
      </w:r>
      <w:r w:rsidR="00671F7F">
        <w:rPr>
          <w:rFonts w:ascii="Arial" w:hAnsi="Arial" w:cs="Arial"/>
          <w:color w:val="FF0000"/>
          <w:sz w:val="24"/>
          <w:szCs w:val="24"/>
          <w:highlight w:val="green"/>
        </w:rPr>
        <w:t>found to be near</w:t>
      </w:r>
      <w:r w:rsidR="0073051C" w:rsidRPr="0009732B">
        <w:rPr>
          <w:rFonts w:ascii="Arial" w:hAnsi="Arial" w:cs="Arial"/>
          <w:color w:val="FF0000"/>
          <w:sz w:val="24"/>
          <w:szCs w:val="24"/>
          <w:highlight w:val="green"/>
        </w:rPr>
        <w:t xml:space="preserve"> the level of</w:t>
      </w:r>
      <w:r w:rsidR="0073051C" w:rsidRPr="0009732B">
        <w:rPr>
          <w:rFonts w:ascii="Arial" w:hAnsi="Arial" w:cs="Arial"/>
          <w:color w:val="FF0000"/>
          <w:sz w:val="24"/>
          <w:szCs w:val="24"/>
        </w:rPr>
        <w:t xml:space="preserve"> spontaneous control (where no A23187 is present at all).”</w:t>
      </w:r>
      <w:r w:rsidRPr="0009732B">
        <w:rPr>
          <w:rFonts w:ascii="Arial" w:hAnsi="Arial" w:cs="Arial"/>
          <w:color w:val="FF0000"/>
          <w:sz w:val="24"/>
          <w:szCs w:val="24"/>
        </w:rPr>
        <w:t xml:space="preserve"> </w:t>
      </w:r>
    </w:p>
    <w:p w:rsidR="00BF307B" w:rsidRDefault="00BF307B" w:rsidP="003F5EB2">
      <w:pPr>
        <w:spacing w:after="0"/>
        <w:rPr>
          <w:rFonts w:ascii="Arial" w:hAnsi="Arial" w:cs="Arial"/>
          <w:color w:val="FF0000"/>
          <w:sz w:val="24"/>
          <w:szCs w:val="24"/>
        </w:rPr>
      </w:pPr>
    </w:p>
    <w:p w:rsidR="00BF307B" w:rsidRPr="00BF307B" w:rsidRDefault="00BF307B" w:rsidP="003F5EB2">
      <w:pPr>
        <w:spacing w:after="0"/>
        <w:rPr>
          <w:rFonts w:ascii="Arial" w:hAnsi="Arial" w:cs="Arial"/>
          <w:color w:val="FF0000"/>
          <w:sz w:val="24"/>
          <w:szCs w:val="24"/>
          <w:shd w:val="clear" w:color="auto" w:fill="FFFFFF"/>
        </w:rPr>
      </w:pPr>
      <w:proofErr w:type="gramStart"/>
      <w:r w:rsidRPr="00BF307B">
        <w:rPr>
          <w:rFonts w:ascii="Arial" w:hAnsi="Arial" w:cs="Arial"/>
          <w:color w:val="FF0000"/>
          <w:sz w:val="24"/>
          <w:szCs w:val="24"/>
          <w:u w:val="single"/>
          <w:shd w:val="clear" w:color="auto" w:fill="FFFFFF"/>
        </w:rPr>
        <w:t>change</w:t>
      </w:r>
      <w:proofErr w:type="gramEnd"/>
      <w:r w:rsidRPr="00BF307B">
        <w:rPr>
          <w:rFonts w:ascii="Arial" w:hAnsi="Arial" w:cs="Arial"/>
          <w:color w:val="FF0000"/>
          <w:sz w:val="24"/>
          <w:szCs w:val="24"/>
          <w:u w:val="single"/>
          <w:shd w:val="clear" w:color="auto" w:fill="FFFFFF"/>
        </w:rPr>
        <w:t xml:space="preserve"> in the </w:t>
      </w:r>
      <w:r>
        <w:rPr>
          <w:rFonts w:ascii="Arial" w:hAnsi="Arial" w:cs="Arial"/>
          <w:color w:val="FF0000"/>
          <w:sz w:val="24"/>
          <w:szCs w:val="24"/>
          <w:u w:val="single"/>
          <w:shd w:val="clear" w:color="auto" w:fill="FFFFFF"/>
        </w:rPr>
        <w:t>figure legend</w:t>
      </w:r>
      <w:r>
        <w:rPr>
          <w:rFonts w:ascii="Arial" w:hAnsi="Arial" w:cs="Arial"/>
          <w:color w:val="FF0000"/>
          <w:sz w:val="24"/>
          <w:szCs w:val="24"/>
          <w:shd w:val="clear" w:color="auto" w:fill="FFFFFF"/>
        </w:rPr>
        <w:t>:</w:t>
      </w:r>
    </w:p>
    <w:p w:rsidR="00733BC3" w:rsidRPr="0009732B" w:rsidRDefault="00733BC3" w:rsidP="003F5EB2">
      <w:pPr>
        <w:spacing w:after="0"/>
        <w:rPr>
          <w:rFonts w:ascii="Arial" w:hAnsi="Arial" w:cs="Arial"/>
          <w:color w:val="FF0000"/>
          <w:sz w:val="24"/>
          <w:szCs w:val="24"/>
        </w:rPr>
      </w:pPr>
      <w:r w:rsidRPr="0009732B">
        <w:rPr>
          <w:rFonts w:ascii="Arial" w:hAnsi="Arial" w:cs="Arial"/>
          <w:color w:val="FF0000"/>
          <w:sz w:val="24"/>
          <w:szCs w:val="24"/>
        </w:rPr>
        <w:t>“</w:t>
      </w:r>
      <w:r w:rsidRPr="0009732B">
        <w:rPr>
          <w:rFonts w:ascii="Arial" w:hAnsi="Arial" w:cs="Arial"/>
          <w:b/>
          <w:color w:val="FF0000"/>
          <w:sz w:val="24"/>
          <w:szCs w:val="24"/>
        </w:rPr>
        <w:t>Figure 3</w:t>
      </w:r>
      <w:r w:rsidRPr="0009732B">
        <w:rPr>
          <w:rFonts w:ascii="Arial" w:hAnsi="Arial" w:cs="Arial"/>
          <w:color w:val="FF0000"/>
          <w:sz w:val="24"/>
          <w:szCs w:val="24"/>
        </w:rPr>
        <w:t xml:space="preserve">:  A representative degranulation response of RBL mast cells stimulated with </w:t>
      </w:r>
      <w:r w:rsidRPr="0009732B">
        <w:rPr>
          <w:rFonts w:ascii="Arial" w:hAnsi="Arial" w:cs="Arial"/>
          <w:color w:val="FF0000"/>
          <w:sz w:val="24"/>
          <w:szCs w:val="24"/>
          <w:highlight w:val="green"/>
        </w:rPr>
        <w:t xml:space="preserve">180 </w:t>
      </w:r>
      <w:proofErr w:type="spellStart"/>
      <w:r w:rsidRPr="0009732B">
        <w:rPr>
          <w:rFonts w:ascii="Arial" w:hAnsi="Arial" w:cs="Arial"/>
          <w:color w:val="FF0000"/>
          <w:sz w:val="24"/>
          <w:szCs w:val="24"/>
          <w:highlight w:val="green"/>
        </w:rPr>
        <w:t>nM</w:t>
      </w:r>
      <w:proofErr w:type="spellEnd"/>
      <w:r w:rsidRPr="0009732B">
        <w:rPr>
          <w:rFonts w:ascii="Arial" w:hAnsi="Arial" w:cs="Arial"/>
          <w:color w:val="FF0000"/>
          <w:sz w:val="24"/>
          <w:szCs w:val="24"/>
        </w:rPr>
        <w:t xml:space="preserve"> A23187 calcium </w:t>
      </w:r>
      <w:proofErr w:type="spellStart"/>
      <w:r w:rsidRPr="0009732B">
        <w:rPr>
          <w:rFonts w:ascii="Arial" w:hAnsi="Arial" w:cs="Arial"/>
          <w:color w:val="FF0000"/>
          <w:sz w:val="24"/>
          <w:szCs w:val="24"/>
        </w:rPr>
        <w:t>Ionophore</w:t>
      </w:r>
      <w:proofErr w:type="spellEnd"/>
      <w:r w:rsidRPr="0009732B">
        <w:rPr>
          <w:rFonts w:ascii="Arial" w:hAnsi="Arial" w:cs="Arial"/>
          <w:color w:val="FF0000"/>
          <w:sz w:val="24"/>
          <w:szCs w:val="24"/>
        </w:rPr>
        <w:t xml:space="preserve"> in the presence of TCS (0-20 </w:t>
      </w:r>
      <w:proofErr w:type="spellStart"/>
      <w:r w:rsidRPr="0009732B">
        <w:rPr>
          <w:rFonts w:ascii="Arial" w:hAnsi="Arial" w:cs="Arial"/>
          <w:color w:val="FF0000"/>
          <w:sz w:val="24"/>
          <w:szCs w:val="24"/>
        </w:rPr>
        <w:t>μM</w:t>
      </w:r>
      <w:proofErr w:type="spellEnd"/>
      <w:r w:rsidRPr="0009732B">
        <w:rPr>
          <w:rFonts w:ascii="Arial" w:hAnsi="Arial" w:cs="Arial"/>
          <w:color w:val="FF0000"/>
          <w:sz w:val="24"/>
          <w:szCs w:val="24"/>
        </w:rPr>
        <w:t>).</w:t>
      </w:r>
      <w:r w:rsidR="00BF307B">
        <w:rPr>
          <w:rFonts w:ascii="Arial" w:hAnsi="Arial" w:cs="Arial"/>
          <w:color w:val="FF0000"/>
          <w:sz w:val="24"/>
          <w:szCs w:val="24"/>
        </w:rPr>
        <w:t>”</w:t>
      </w:r>
    </w:p>
    <w:p w:rsidR="003F5EB2" w:rsidRPr="0009732B" w:rsidRDefault="003F5EB2" w:rsidP="003F5EB2">
      <w:pPr>
        <w:spacing w:after="0"/>
        <w:rPr>
          <w:rFonts w:ascii="Arial" w:hAnsi="Arial" w:cs="Arial"/>
          <w:color w:val="222222"/>
          <w:sz w:val="24"/>
          <w:szCs w:val="24"/>
        </w:rPr>
      </w:pPr>
      <w:r w:rsidRPr="0009732B">
        <w:rPr>
          <w:rFonts w:ascii="Arial" w:hAnsi="Arial" w:cs="Arial"/>
          <w:color w:val="222222"/>
          <w:sz w:val="24"/>
          <w:szCs w:val="24"/>
        </w:rPr>
        <w:br/>
      </w:r>
      <w:r w:rsidRPr="0009732B">
        <w:rPr>
          <w:rFonts w:ascii="Arial" w:hAnsi="Arial" w:cs="Arial"/>
          <w:color w:val="222222"/>
          <w:sz w:val="24"/>
          <w:szCs w:val="24"/>
          <w:shd w:val="clear" w:color="auto" w:fill="FFFFFF"/>
        </w:rPr>
        <w:t xml:space="preserve">(2) I found some sections of the protocol a little hard to follow. For example, while I understood the concept behind the 96 well plate scheme, it was a difficult easily </w:t>
      </w:r>
      <w:proofErr w:type="gramStart"/>
      <w:r w:rsidRPr="0009732B">
        <w:rPr>
          <w:rFonts w:ascii="Arial" w:hAnsi="Arial" w:cs="Arial"/>
          <w:color w:val="222222"/>
          <w:sz w:val="24"/>
          <w:szCs w:val="24"/>
          <w:shd w:val="clear" w:color="auto" w:fill="FFFFFF"/>
        </w:rPr>
        <w:t>determine</w:t>
      </w:r>
      <w:proofErr w:type="gramEnd"/>
      <w:r w:rsidRPr="0009732B">
        <w:rPr>
          <w:rFonts w:ascii="Arial" w:hAnsi="Arial" w:cs="Arial"/>
          <w:color w:val="222222"/>
          <w:sz w:val="24"/>
          <w:szCs w:val="24"/>
          <w:shd w:val="clear" w:color="auto" w:fill="FFFFFF"/>
        </w:rPr>
        <w:t xml:space="preserve"> what was what on the layout provided. A table of what samples to include might be clearer than the list of given in step 1.1.</w:t>
      </w:r>
      <w:r w:rsidRPr="0009732B">
        <w:rPr>
          <w:rStyle w:val="apple-converted-space"/>
          <w:rFonts w:ascii="Arial" w:hAnsi="Arial" w:cs="Arial"/>
          <w:color w:val="222222"/>
          <w:sz w:val="24"/>
          <w:szCs w:val="24"/>
          <w:shd w:val="clear" w:color="auto" w:fill="FFFFFF"/>
        </w:rPr>
        <w:t> </w:t>
      </w:r>
      <w:r w:rsidRPr="0009732B">
        <w:rPr>
          <w:rFonts w:ascii="Arial" w:hAnsi="Arial" w:cs="Arial"/>
          <w:color w:val="222222"/>
          <w:sz w:val="24"/>
          <w:szCs w:val="24"/>
        </w:rPr>
        <w:br/>
      </w:r>
    </w:p>
    <w:p w:rsidR="00F46EC4" w:rsidRPr="0009732B" w:rsidRDefault="004B0D3F" w:rsidP="003F5EB2">
      <w:pPr>
        <w:spacing w:after="0"/>
        <w:rPr>
          <w:rFonts w:ascii="Arial" w:hAnsi="Arial" w:cs="Arial"/>
          <w:color w:val="FF0000"/>
          <w:sz w:val="24"/>
          <w:szCs w:val="24"/>
        </w:rPr>
      </w:pPr>
      <w:r>
        <w:rPr>
          <w:rFonts w:ascii="Arial" w:hAnsi="Arial" w:cs="Arial"/>
          <w:color w:val="FF0000"/>
          <w:sz w:val="24"/>
          <w:szCs w:val="24"/>
        </w:rPr>
        <w:t xml:space="preserve">For the </w:t>
      </w:r>
      <w:r w:rsidR="00F54BC8">
        <w:rPr>
          <w:rFonts w:ascii="Arial" w:hAnsi="Arial" w:cs="Arial"/>
          <w:color w:val="FF0000"/>
          <w:sz w:val="24"/>
          <w:szCs w:val="24"/>
        </w:rPr>
        <w:t>sake of clarity, we have added</w:t>
      </w:r>
      <w:r>
        <w:rPr>
          <w:rFonts w:ascii="Arial" w:hAnsi="Arial" w:cs="Arial"/>
          <w:color w:val="FF0000"/>
          <w:sz w:val="24"/>
          <w:szCs w:val="24"/>
        </w:rPr>
        <w:t xml:space="preserve"> tables in addition to </w:t>
      </w:r>
      <w:r w:rsidR="00F46EC4" w:rsidRPr="0009732B">
        <w:rPr>
          <w:rFonts w:ascii="Arial" w:hAnsi="Arial" w:cs="Arial"/>
          <w:color w:val="FF0000"/>
          <w:sz w:val="24"/>
          <w:szCs w:val="24"/>
        </w:rPr>
        <w:t>the 96-well plate layout</w:t>
      </w:r>
      <w:r w:rsidR="00F54BC8">
        <w:rPr>
          <w:rFonts w:ascii="Arial" w:hAnsi="Arial" w:cs="Arial"/>
          <w:color w:val="FF0000"/>
          <w:sz w:val="24"/>
          <w:szCs w:val="24"/>
        </w:rPr>
        <w:t>s</w:t>
      </w:r>
      <w:r>
        <w:rPr>
          <w:rFonts w:ascii="Arial" w:hAnsi="Arial" w:cs="Arial"/>
          <w:color w:val="FF0000"/>
          <w:sz w:val="24"/>
          <w:szCs w:val="24"/>
        </w:rPr>
        <w:t>. T</w:t>
      </w:r>
      <w:r w:rsidR="00F46EC4" w:rsidRPr="0009732B">
        <w:rPr>
          <w:rFonts w:ascii="Arial" w:hAnsi="Arial" w:cs="Arial"/>
          <w:color w:val="FF0000"/>
          <w:sz w:val="24"/>
          <w:szCs w:val="24"/>
        </w:rPr>
        <w:t>he following tables were added to section 1.1 an</w:t>
      </w:r>
      <w:r w:rsidR="0017310B" w:rsidRPr="0009732B">
        <w:rPr>
          <w:rFonts w:ascii="Arial" w:hAnsi="Arial" w:cs="Arial"/>
          <w:color w:val="FF0000"/>
          <w:sz w:val="24"/>
          <w:szCs w:val="24"/>
        </w:rPr>
        <w:t>d section 5.1, respectively</w:t>
      </w:r>
      <w:r>
        <w:rPr>
          <w:rFonts w:ascii="Arial" w:hAnsi="Arial" w:cs="Arial"/>
          <w:color w:val="FF0000"/>
          <w:sz w:val="24"/>
          <w:szCs w:val="24"/>
        </w:rPr>
        <w:t>, of the manuscript</w:t>
      </w:r>
      <w:r w:rsidR="0017310B" w:rsidRPr="0009732B">
        <w:rPr>
          <w:rFonts w:ascii="Arial" w:hAnsi="Arial" w:cs="Arial"/>
          <w:color w:val="FF0000"/>
          <w:sz w:val="24"/>
          <w:szCs w:val="24"/>
        </w:rPr>
        <w:t>.</w:t>
      </w:r>
    </w:p>
    <w:p w:rsidR="00FB6E7B" w:rsidRPr="0009732B" w:rsidRDefault="00FB6E7B" w:rsidP="003F5EB2">
      <w:pPr>
        <w:spacing w:after="0"/>
        <w:rPr>
          <w:rFonts w:ascii="Arial" w:hAnsi="Arial" w:cs="Arial"/>
          <w:color w:val="FF0000"/>
          <w:sz w:val="24"/>
          <w:szCs w:val="24"/>
        </w:rPr>
      </w:pPr>
    </w:p>
    <w:p w:rsidR="0017310B" w:rsidRPr="0009732B" w:rsidRDefault="0017310B" w:rsidP="003F5EB2">
      <w:pPr>
        <w:spacing w:after="0"/>
        <w:rPr>
          <w:rFonts w:ascii="Arial" w:hAnsi="Arial" w:cs="Arial"/>
          <w:color w:val="FF0000"/>
          <w:sz w:val="24"/>
          <w:szCs w:val="24"/>
        </w:rPr>
      </w:pPr>
      <w:r w:rsidRPr="0009732B">
        <w:rPr>
          <w:rFonts w:ascii="Arial" w:hAnsi="Arial" w:cs="Arial"/>
          <w:color w:val="FF0000"/>
          <w:sz w:val="24"/>
          <w:szCs w:val="24"/>
        </w:rPr>
        <w:t xml:space="preserve">Antigen Table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4590"/>
      </w:tblGrid>
      <w:tr w:rsidR="00F54BC8" w:rsidRPr="00522391" w:rsidTr="00AD7100">
        <w:tc>
          <w:tcPr>
            <w:tcW w:w="3870" w:type="dxa"/>
          </w:tcPr>
          <w:p w:rsidR="00F54BC8" w:rsidRPr="00A86B0F" w:rsidRDefault="00F54BC8" w:rsidP="00AD7100">
            <w:pPr>
              <w:spacing w:after="0"/>
              <w:jc w:val="center"/>
              <w:rPr>
                <w:rFonts w:cs="Arial"/>
                <w:b/>
                <w:sz w:val="24"/>
                <w:szCs w:val="24"/>
                <w:highlight w:val="green"/>
              </w:rPr>
            </w:pPr>
            <w:r>
              <w:rPr>
                <w:rFonts w:cs="Arial"/>
                <w:b/>
                <w:sz w:val="24"/>
                <w:szCs w:val="24"/>
                <w:highlight w:val="green"/>
              </w:rPr>
              <w:t>Treatment</w:t>
            </w:r>
          </w:p>
        </w:tc>
        <w:tc>
          <w:tcPr>
            <w:tcW w:w="4590" w:type="dxa"/>
          </w:tcPr>
          <w:p w:rsidR="00F54BC8" w:rsidRPr="00522391" w:rsidRDefault="00F54BC8" w:rsidP="00AD7100">
            <w:pPr>
              <w:spacing w:after="0"/>
              <w:jc w:val="center"/>
              <w:rPr>
                <w:rFonts w:cs="Arial"/>
                <w:b/>
                <w:sz w:val="24"/>
                <w:szCs w:val="24"/>
                <w:highlight w:val="green"/>
              </w:rPr>
            </w:pPr>
            <w:r w:rsidRPr="00522391">
              <w:rPr>
                <w:rFonts w:cs="Arial"/>
                <w:b/>
                <w:sz w:val="24"/>
                <w:szCs w:val="24"/>
                <w:highlight w:val="green"/>
              </w:rPr>
              <w:t>Triplicate</w:t>
            </w:r>
            <w:r>
              <w:rPr>
                <w:rFonts w:cs="Arial"/>
                <w:b/>
                <w:sz w:val="24"/>
                <w:szCs w:val="24"/>
                <w:highlight w:val="green"/>
              </w:rPr>
              <w:t>s</w:t>
            </w:r>
          </w:p>
        </w:tc>
      </w:tr>
      <w:tr w:rsidR="00F54BC8" w:rsidRPr="00522391" w:rsidTr="00AD7100">
        <w:tc>
          <w:tcPr>
            <w:tcW w:w="3870" w:type="dxa"/>
          </w:tcPr>
          <w:p w:rsidR="00F54BC8" w:rsidRPr="00522391" w:rsidRDefault="00F54BC8" w:rsidP="008524B4">
            <w:pPr>
              <w:spacing w:after="0"/>
              <w:jc w:val="center"/>
              <w:rPr>
                <w:rFonts w:cs="Arial"/>
                <w:sz w:val="24"/>
                <w:szCs w:val="24"/>
                <w:highlight w:val="green"/>
              </w:rPr>
            </w:pPr>
            <w:r w:rsidRPr="00522391">
              <w:rPr>
                <w:rFonts w:cs="Arial"/>
                <w:sz w:val="24"/>
                <w:szCs w:val="24"/>
                <w:highlight w:val="green"/>
              </w:rPr>
              <w:t xml:space="preserve">Stimulated, 0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A7, B7, C7, F4, G4, H4</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0.001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F6, G6, H6</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0.1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A4, B4, C4</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A6, B6, C6</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5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F5, G5, H5</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10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A3, B3, C3</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15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A5, B5, C5</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20 µM </w:t>
            </w:r>
            <w:r w:rsidR="008524B4">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F7, G7, H7</w:t>
            </w:r>
          </w:p>
        </w:tc>
      </w:tr>
      <w:tr w:rsidR="00F54BC8" w:rsidRPr="00522391" w:rsidTr="00AD7100">
        <w:tc>
          <w:tcPr>
            <w:tcW w:w="3870" w:type="dxa"/>
          </w:tcPr>
          <w:p w:rsidR="00F54BC8" w:rsidRPr="00522391" w:rsidRDefault="00F54BC8" w:rsidP="00AD7100">
            <w:pPr>
              <w:spacing w:after="0"/>
              <w:jc w:val="center"/>
              <w:rPr>
                <w:rFonts w:cs="Arial"/>
                <w:sz w:val="24"/>
                <w:szCs w:val="24"/>
                <w:highlight w:val="green"/>
              </w:rPr>
            </w:pPr>
            <w:r>
              <w:rPr>
                <w:rFonts w:cs="Arial"/>
                <w:sz w:val="24"/>
                <w:szCs w:val="24"/>
                <w:highlight w:val="green"/>
              </w:rPr>
              <w:t>Stimulated</w:t>
            </w:r>
            <w:r w:rsidRPr="00522391">
              <w:rPr>
                <w:rFonts w:cs="Arial"/>
                <w:sz w:val="24"/>
                <w:szCs w:val="24"/>
                <w:highlight w:val="green"/>
              </w:rPr>
              <w:t xml:space="preserve">, </w:t>
            </w:r>
            <w:r w:rsidR="00AD7100">
              <w:rPr>
                <w:rFonts w:cs="Arial"/>
                <w:sz w:val="24"/>
                <w:szCs w:val="24"/>
                <w:highlight w:val="green"/>
              </w:rPr>
              <w:t>plus h</w:t>
            </w:r>
            <w:r w:rsidRPr="00522391">
              <w:rPr>
                <w:rFonts w:cs="Arial"/>
                <w:sz w:val="24"/>
                <w:szCs w:val="24"/>
                <w:highlight w:val="green"/>
              </w:rPr>
              <w:t xml:space="preserve">ighest </w:t>
            </w:r>
            <w:r>
              <w:rPr>
                <w:rFonts w:cs="Arial"/>
                <w:sz w:val="24"/>
                <w:szCs w:val="24"/>
                <w:highlight w:val="green"/>
              </w:rPr>
              <w:t>[</w:t>
            </w:r>
            <w:r w:rsidRPr="00522391">
              <w:rPr>
                <w:rFonts w:cs="Arial"/>
                <w:sz w:val="24"/>
                <w:szCs w:val="24"/>
                <w:highlight w:val="green"/>
              </w:rPr>
              <w:t>TCS</w:t>
            </w:r>
            <w:r>
              <w:rPr>
                <w:rFonts w:cs="Arial"/>
                <w:sz w:val="24"/>
                <w:szCs w:val="24"/>
                <w:highlight w:val="green"/>
              </w:rPr>
              <w:t>]</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F3, G3, H3</w:t>
            </w:r>
          </w:p>
        </w:tc>
      </w:tr>
      <w:tr w:rsidR="00F54BC8" w:rsidRPr="00522391" w:rsidTr="00AD7100">
        <w:tc>
          <w:tcPr>
            <w:tcW w:w="3870" w:type="dxa"/>
          </w:tcPr>
          <w:p w:rsidR="00F54BC8" w:rsidRDefault="005D1C20" w:rsidP="00AD7100">
            <w:pPr>
              <w:spacing w:after="0"/>
              <w:jc w:val="center"/>
              <w:rPr>
                <w:rFonts w:cs="Arial"/>
                <w:sz w:val="24"/>
                <w:szCs w:val="24"/>
                <w:highlight w:val="green"/>
              </w:rPr>
            </w:pPr>
            <w:r>
              <w:rPr>
                <w:rFonts w:cs="Arial"/>
                <w:sz w:val="24"/>
                <w:szCs w:val="24"/>
                <w:highlight w:val="green"/>
              </w:rPr>
              <w:t>Spontaneous, n</w:t>
            </w:r>
            <w:r w:rsidR="00F54BC8" w:rsidRPr="00522391">
              <w:rPr>
                <w:rFonts w:cs="Arial"/>
                <w:sz w:val="24"/>
                <w:szCs w:val="24"/>
                <w:highlight w:val="green"/>
              </w:rPr>
              <w:t>o TCS</w:t>
            </w:r>
            <w:r w:rsidR="00F54BC8">
              <w:rPr>
                <w:rFonts w:cs="Arial"/>
                <w:sz w:val="24"/>
                <w:szCs w:val="24"/>
                <w:highlight w:val="green"/>
              </w:rPr>
              <w:t xml:space="preserve"> </w:t>
            </w:r>
          </w:p>
          <w:p w:rsidR="00F54BC8" w:rsidRPr="00522391" w:rsidRDefault="008524B4" w:rsidP="00AD7100">
            <w:pPr>
              <w:spacing w:after="0"/>
              <w:jc w:val="center"/>
              <w:rPr>
                <w:rFonts w:cs="Arial"/>
                <w:sz w:val="24"/>
                <w:szCs w:val="24"/>
                <w:highlight w:val="green"/>
              </w:rPr>
            </w:pPr>
            <w:r>
              <w:rPr>
                <w:rFonts w:cs="Arial"/>
                <w:sz w:val="24"/>
                <w:szCs w:val="24"/>
                <w:highlight w:val="green"/>
              </w:rPr>
              <w:t>(includes m</w:t>
            </w:r>
            <w:r w:rsidR="00F54BC8">
              <w:rPr>
                <w:rFonts w:cs="Arial"/>
                <w:sz w:val="24"/>
                <w:szCs w:val="24"/>
                <w:highlight w:val="green"/>
              </w:rPr>
              <w:t>ocks</w:t>
            </w:r>
            <w:r>
              <w:rPr>
                <w:rFonts w:cs="Arial"/>
                <w:sz w:val="24"/>
                <w:szCs w:val="24"/>
                <w:highlight w:val="green"/>
              </w:rPr>
              <w:t>)</w:t>
            </w:r>
          </w:p>
        </w:tc>
        <w:tc>
          <w:tcPr>
            <w:tcW w:w="4590" w:type="dxa"/>
          </w:tcPr>
          <w:p w:rsidR="00F54BC8" w:rsidRDefault="00F54BC8" w:rsidP="00AD7100">
            <w:pPr>
              <w:spacing w:after="0"/>
              <w:jc w:val="center"/>
              <w:rPr>
                <w:rFonts w:cs="Arial"/>
                <w:sz w:val="24"/>
                <w:szCs w:val="24"/>
                <w:highlight w:val="green"/>
              </w:rPr>
            </w:pPr>
            <w:r w:rsidRPr="00522391">
              <w:rPr>
                <w:rFonts w:cs="Arial"/>
                <w:sz w:val="24"/>
                <w:szCs w:val="24"/>
                <w:highlight w:val="green"/>
              </w:rPr>
              <w:t>A10, A11, A12, B10, B11, B12</w:t>
            </w:r>
          </w:p>
          <w:p w:rsidR="00F54BC8" w:rsidRPr="00522391" w:rsidRDefault="00F54BC8" w:rsidP="00AD7100">
            <w:pPr>
              <w:spacing w:after="0"/>
              <w:jc w:val="center"/>
              <w:rPr>
                <w:rFonts w:cs="Arial"/>
                <w:sz w:val="24"/>
                <w:szCs w:val="24"/>
                <w:highlight w:val="green"/>
              </w:rPr>
            </w:pPr>
            <w:r>
              <w:rPr>
                <w:rFonts w:cs="Arial"/>
                <w:sz w:val="24"/>
                <w:szCs w:val="24"/>
                <w:highlight w:val="green"/>
              </w:rPr>
              <w:t>A1,</w:t>
            </w:r>
            <w:r w:rsidR="00AD7100">
              <w:rPr>
                <w:rFonts w:cs="Arial"/>
                <w:sz w:val="24"/>
                <w:szCs w:val="24"/>
                <w:highlight w:val="green"/>
              </w:rPr>
              <w:t xml:space="preserve"> A</w:t>
            </w:r>
            <w:r>
              <w:rPr>
                <w:rFonts w:cs="Arial"/>
                <w:sz w:val="24"/>
                <w:szCs w:val="24"/>
                <w:highlight w:val="green"/>
              </w:rPr>
              <w:t>2,</w:t>
            </w:r>
            <w:r w:rsidR="00AD7100">
              <w:rPr>
                <w:rFonts w:cs="Arial"/>
                <w:sz w:val="24"/>
                <w:szCs w:val="24"/>
                <w:highlight w:val="green"/>
              </w:rPr>
              <w:t xml:space="preserve"> A</w:t>
            </w:r>
            <w:r>
              <w:rPr>
                <w:rFonts w:cs="Arial"/>
                <w:sz w:val="24"/>
                <w:szCs w:val="24"/>
                <w:highlight w:val="green"/>
              </w:rPr>
              <w:t>8, B1,</w:t>
            </w:r>
            <w:r w:rsidR="00AD7100">
              <w:rPr>
                <w:rFonts w:cs="Arial"/>
                <w:sz w:val="24"/>
                <w:szCs w:val="24"/>
                <w:highlight w:val="green"/>
              </w:rPr>
              <w:t xml:space="preserve"> B</w:t>
            </w:r>
            <w:r>
              <w:rPr>
                <w:rFonts w:cs="Arial"/>
                <w:sz w:val="24"/>
                <w:szCs w:val="24"/>
                <w:highlight w:val="green"/>
              </w:rPr>
              <w:t>2,</w:t>
            </w:r>
            <w:r w:rsidR="00AD7100">
              <w:rPr>
                <w:rFonts w:cs="Arial"/>
                <w:sz w:val="24"/>
                <w:szCs w:val="24"/>
                <w:highlight w:val="green"/>
              </w:rPr>
              <w:t xml:space="preserve"> B</w:t>
            </w:r>
            <w:r>
              <w:rPr>
                <w:rFonts w:cs="Arial"/>
                <w:sz w:val="24"/>
                <w:szCs w:val="24"/>
                <w:highlight w:val="green"/>
              </w:rPr>
              <w:t>8, C1,</w:t>
            </w:r>
            <w:r w:rsidR="00AD7100">
              <w:rPr>
                <w:rFonts w:cs="Arial"/>
                <w:sz w:val="24"/>
                <w:szCs w:val="24"/>
                <w:highlight w:val="green"/>
              </w:rPr>
              <w:t xml:space="preserve"> C</w:t>
            </w:r>
            <w:r>
              <w:rPr>
                <w:rFonts w:cs="Arial"/>
                <w:sz w:val="24"/>
                <w:szCs w:val="24"/>
                <w:highlight w:val="green"/>
              </w:rPr>
              <w:t>2,</w:t>
            </w:r>
            <w:r w:rsidR="00AD7100">
              <w:rPr>
                <w:rFonts w:cs="Arial"/>
                <w:sz w:val="24"/>
                <w:szCs w:val="24"/>
                <w:highlight w:val="green"/>
              </w:rPr>
              <w:t xml:space="preserve"> C</w:t>
            </w:r>
            <w:r>
              <w:rPr>
                <w:rFonts w:cs="Arial"/>
                <w:sz w:val="24"/>
                <w:szCs w:val="24"/>
                <w:highlight w:val="green"/>
              </w:rPr>
              <w:t>8, F1,</w:t>
            </w:r>
            <w:r w:rsidR="00AD7100">
              <w:rPr>
                <w:rFonts w:cs="Arial"/>
                <w:sz w:val="24"/>
                <w:szCs w:val="24"/>
                <w:highlight w:val="green"/>
              </w:rPr>
              <w:t xml:space="preserve"> F</w:t>
            </w:r>
            <w:r>
              <w:rPr>
                <w:rFonts w:cs="Arial"/>
                <w:sz w:val="24"/>
                <w:szCs w:val="24"/>
                <w:highlight w:val="green"/>
              </w:rPr>
              <w:t>2,</w:t>
            </w:r>
            <w:r w:rsidR="00AD7100">
              <w:rPr>
                <w:rFonts w:cs="Arial"/>
                <w:sz w:val="24"/>
                <w:szCs w:val="24"/>
                <w:highlight w:val="green"/>
              </w:rPr>
              <w:t xml:space="preserve"> F</w:t>
            </w:r>
            <w:r>
              <w:rPr>
                <w:rFonts w:cs="Arial"/>
                <w:sz w:val="24"/>
                <w:szCs w:val="24"/>
                <w:highlight w:val="green"/>
              </w:rPr>
              <w:t>8, G1,</w:t>
            </w:r>
            <w:r w:rsidR="00AD7100">
              <w:rPr>
                <w:rFonts w:cs="Arial"/>
                <w:sz w:val="24"/>
                <w:szCs w:val="24"/>
                <w:highlight w:val="green"/>
              </w:rPr>
              <w:t xml:space="preserve"> G</w:t>
            </w:r>
            <w:r>
              <w:rPr>
                <w:rFonts w:cs="Arial"/>
                <w:sz w:val="24"/>
                <w:szCs w:val="24"/>
                <w:highlight w:val="green"/>
              </w:rPr>
              <w:t>2,</w:t>
            </w:r>
            <w:r w:rsidR="00AD7100">
              <w:rPr>
                <w:rFonts w:cs="Arial"/>
                <w:sz w:val="24"/>
                <w:szCs w:val="24"/>
                <w:highlight w:val="green"/>
              </w:rPr>
              <w:t xml:space="preserve"> G</w:t>
            </w:r>
            <w:r>
              <w:rPr>
                <w:rFonts w:cs="Arial"/>
                <w:sz w:val="24"/>
                <w:szCs w:val="24"/>
                <w:highlight w:val="green"/>
              </w:rPr>
              <w:t>8, H1,</w:t>
            </w:r>
            <w:r w:rsidR="00AD7100">
              <w:rPr>
                <w:rFonts w:cs="Arial"/>
                <w:sz w:val="24"/>
                <w:szCs w:val="24"/>
                <w:highlight w:val="green"/>
              </w:rPr>
              <w:t xml:space="preserve"> H</w:t>
            </w:r>
            <w:r>
              <w:rPr>
                <w:rFonts w:cs="Arial"/>
                <w:sz w:val="24"/>
                <w:szCs w:val="24"/>
                <w:highlight w:val="green"/>
              </w:rPr>
              <w:t>2,</w:t>
            </w:r>
            <w:r w:rsidR="00AD7100">
              <w:rPr>
                <w:rFonts w:cs="Arial"/>
                <w:sz w:val="24"/>
                <w:szCs w:val="24"/>
                <w:highlight w:val="green"/>
              </w:rPr>
              <w:t xml:space="preserve"> H</w:t>
            </w:r>
            <w:r>
              <w:rPr>
                <w:rFonts w:cs="Arial"/>
                <w:sz w:val="24"/>
                <w:szCs w:val="24"/>
                <w:highlight w:val="green"/>
              </w:rPr>
              <w:t>8</w:t>
            </w:r>
          </w:p>
        </w:tc>
      </w:tr>
      <w:tr w:rsidR="00F54BC8" w:rsidRPr="00522391" w:rsidTr="00AD7100">
        <w:tc>
          <w:tcPr>
            <w:tcW w:w="3870" w:type="dxa"/>
          </w:tcPr>
          <w:p w:rsidR="00F54BC8" w:rsidRPr="00522391" w:rsidRDefault="005D1C20" w:rsidP="00AD7100">
            <w:pPr>
              <w:spacing w:after="0"/>
              <w:jc w:val="center"/>
              <w:rPr>
                <w:rFonts w:cs="Arial"/>
                <w:sz w:val="24"/>
                <w:szCs w:val="24"/>
                <w:highlight w:val="green"/>
              </w:rPr>
            </w:pPr>
            <w:r>
              <w:rPr>
                <w:rFonts w:cs="Arial"/>
                <w:sz w:val="24"/>
                <w:szCs w:val="24"/>
                <w:highlight w:val="green"/>
              </w:rPr>
              <w:t>TX-100, n</w:t>
            </w:r>
            <w:r w:rsidR="00F54BC8" w:rsidRPr="00522391">
              <w:rPr>
                <w:rFonts w:cs="Arial"/>
                <w:sz w:val="24"/>
                <w:szCs w:val="24"/>
                <w:highlight w:val="green"/>
              </w:rPr>
              <w:t>o 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D10, D11, D12, E10, E11, E12</w:t>
            </w:r>
          </w:p>
        </w:tc>
      </w:tr>
      <w:tr w:rsidR="00F54BC8" w:rsidRPr="00522391" w:rsidTr="00AD7100">
        <w:tc>
          <w:tcPr>
            <w:tcW w:w="3870" w:type="dxa"/>
          </w:tcPr>
          <w:p w:rsidR="00F54BC8" w:rsidRPr="00522391" w:rsidRDefault="00AD7100" w:rsidP="00AD7100">
            <w:pPr>
              <w:spacing w:after="0"/>
              <w:jc w:val="center"/>
              <w:rPr>
                <w:rFonts w:cs="Arial"/>
                <w:sz w:val="24"/>
                <w:szCs w:val="24"/>
                <w:highlight w:val="green"/>
              </w:rPr>
            </w:pPr>
            <w:r>
              <w:rPr>
                <w:rFonts w:cs="Arial"/>
                <w:sz w:val="24"/>
                <w:szCs w:val="24"/>
                <w:highlight w:val="green"/>
              </w:rPr>
              <w:t>No cells</w:t>
            </w:r>
            <w:r w:rsidR="00F54BC8">
              <w:rPr>
                <w:rFonts w:cs="Arial"/>
                <w:sz w:val="24"/>
                <w:szCs w:val="24"/>
                <w:highlight w:val="green"/>
              </w:rPr>
              <w:t xml:space="preserve"> </w:t>
            </w:r>
            <w:r>
              <w:rPr>
                <w:rFonts w:cs="Arial"/>
                <w:sz w:val="24"/>
                <w:szCs w:val="24"/>
                <w:highlight w:val="green"/>
              </w:rPr>
              <w:t>b</w:t>
            </w:r>
            <w:r w:rsidR="00F54BC8" w:rsidRPr="00522391">
              <w:rPr>
                <w:rFonts w:cs="Arial"/>
                <w:sz w:val="24"/>
                <w:szCs w:val="24"/>
                <w:highlight w:val="green"/>
              </w:rPr>
              <w:t xml:space="preserve">ackground, </w:t>
            </w:r>
            <w:r>
              <w:rPr>
                <w:rFonts w:cs="Arial"/>
                <w:sz w:val="24"/>
                <w:szCs w:val="24"/>
                <w:highlight w:val="green"/>
              </w:rPr>
              <w:t>plus h</w:t>
            </w:r>
            <w:r w:rsidR="00F54BC8">
              <w:rPr>
                <w:rFonts w:cs="Arial"/>
                <w:sz w:val="24"/>
                <w:szCs w:val="24"/>
                <w:highlight w:val="green"/>
              </w:rPr>
              <w:t>ighest</w:t>
            </w:r>
            <w:r w:rsidR="00F54BC8" w:rsidRPr="00522391">
              <w:rPr>
                <w:rFonts w:cs="Arial"/>
                <w:sz w:val="24"/>
                <w:szCs w:val="24"/>
                <w:highlight w:val="green"/>
              </w:rPr>
              <w:t xml:space="preserve"> </w:t>
            </w:r>
            <w:r w:rsidR="00F54BC8">
              <w:rPr>
                <w:rFonts w:cs="Arial"/>
                <w:sz w:val="24"/>
                <w:szCs w:val="24"/>
                <w:highlight w:val="green"/>
              </w:rPr>
              <w:t>[</w:t>
            </w:r>
            <w:r w:rsidR="00F54BC8" w:rsidRPr="00522391">
              <w:rPr>
                <w:rFonts w:cs="Arial"/>
                <w:sz w:val="24"/>
                <w:szCs w:val="24"/>
                <w:highlight w:val="green"/>
              </w:rPr>
              <w:t>TCS</w:t>
            </w:r>
            <w:r w:rsidR="00F54BC8">
              <w:rPr>
                <w:rFonts w:cs="Arial"/>
                <w:sz w:val="24"/>
                <w:szCs w:val="24"/>
                <w:highlight w:val="green"/>
              </w:rPr>
              <w:t>]</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G10, G11, G12, H10, H11, H12</w:t>
            </w:r>
          </w:p>
        </w:tc>
      </w:tr>
    </w:tbl>
    <w:p w:rsidR="0017310B" w:rsidRPr="0009732B" w:rsidRDefault="0017310B" w:rsidP="003F5EB2">
      <w:pPr>
        <w:spacing w:after="0"/>
        <w:rPr>
          <w:rFonts w:ascii="Arial" w:hAnsi="Arial" w:cs="Arial"/>
          <w:color w:val="FF0000"/>
          <w:sz w:val="24"/>
          <w:szCs w:val="24"/>
        </w:rPr>
      </w:pPr>
    </w:p>
    <w:p w:rsidR="0017310B" w:rsidRPr="0009732B" w:rsidRDefault="0017310B" w:rsidP="003F5EB2">
      <w:pPr>
        <w:spacing w:after="0"/>
        <w:rPr>
          <w:rFonts w:ascii="Arial" w:hAnsi="Arial" w:cs="Arial"/>
          <w:color w:val="FF0000"/>
          <w:sz w:val="24"/>
          <w:szCs w:val="24"/>
        </w:rPr>
      </w:pPr>
      <w:r w:rsidRPr="0009732B">
        <w:rPr>
          <w:rFonts w:ascii="Arial" w:hAnsi="Arial" w:cs="Arial"/>
          <w:color w:val="FF0000"/>
          <w:sz w:val="24"/>
          <w:szCs w:val="24"/>
        </w:rPr>
        <w:t>Ionophore Table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4590"/>
      </w:tblGrid>
      <w:tr w:rsidR="00F54BC8" w:rsidRPr="00522391" w:rsidTr="00AD7100">
        <w:tc>
          <w:tcPr>
            <w:tcW w:w="3960" w:type="dxa"/>
          </w:tcPr>
          <w:p w:rsidR="00F54BC8" w:rsidRPr="00A86B0F" w:rsidRDefault="00F54BC8" w:rsidP="00AD7100">
            <w:pPr>
              <w:spacing w:after="0"/>
              <w:jc w:val="center"/>
              <w:rPr>
                <w:rFonts w:cs="Arial"/>
                <w:b/>
                <w:sz w:val="24"/>
                <w:szCs w:val="24"/>
                <w:highlight w:val="green"/>
              </w:rPr>
            </w:pPr>
            <w:r>
              <w:rPr>
                <w:rFonts w:cs="Arial"/>
                <w:b/>
                <w:sz w:val="24"/>
                <w:szCs w:val="24"/>
                <w:highlight w:val="green"/>
              </w:rPr>
              <w:t>Treatment</w:t>
            </w:r>
          </w:p>
        </w:tc>
        <w:tc>
          <w:tcPr>
            <w:tcW w:w="4590" w:type="dxa"/>
          </w:tcPr>
          <w:p w:rsidR="00F54BC8" w:rsidRPr="00522391" w:rsidRDefault="00F54BC8" w:rsidP="00AD7100">
            <w:pPr>
              <w:spacing w:after="0"/>
              <w:jc w:val="center"/>
              <w:rPr>
                <w:rFonts w:cs="Arial"/>
                <w:b/>
                <w:sz w:val="24"/>
                <w:szCs w:val="24"/>
                <w:highlight w:val="green"/>
              </w:rPr>
            </w:pPr>
            <w:r w:rsidRPr="00522391">
              <w:rPr>
                <w:rFonts w:cs="Arial"/>
                <w:b/>
                <w:sz w:val="24"/>
                <w:szCs w:val="24"/>
                <w:highlight w:val="green"/>
              </w:rPr>
              <w:t>Triplicate</w:t>
            </w:r>
            <w:r>
              <w:rPr>
                <w:rFonts w:cs="Arial"/>
                <w:b/>
                <w:sz w:val="24"/>
                <w:szCs w:val="24"/>
                <w:highlight w:val="green"/>
              </w:rPr>
              <w:t>s</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0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A7, B7, C7, F4, G4, H4</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lastRenderedPageBreak/>
              <w:t xml:space="preserve">Stimulated, 0.001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F6, G6, H6</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0.01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F3, G3, H3</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0.1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A4, B4, C4</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A6, B6, C6</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5 µM </w:t>
            </w:r>
            <w:r>
              <w:rPr>
                <w:rFonts w:cs="Arial"/>
                <w:sz w:val="24"/>
                <w:szCs w:val="24"/>
                <w:highlight w:val="green"/>
              </w:rPr>
              <w:t>[</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F5, G5, H5</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10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A3, B3, C3</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15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A5, B5, C5</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Stimulated, 20 µM </w:t>
            </w:r>
            <w:r w:rsidR="008524B4" w:rsidRPr="00522391">
              <w:rPr>
                <w:rFonts w:cs="Arial"/>
                <w:sz w:val="24"/>
                <w:szCs w:val="24"/>
                <w:highlight w:val="green"/>
              </w:rPr>
              <w:t>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F7, G7, H7</w:t>
            </w:r>
          </w:p>
        </w:tc>
      </w:tr>
      <w:tr w:rsidR="00F54BC8" w:rsidRPr="00522391" w:rsidTr="00AD7100">
        <w:tc>
          <w:tcPr>
            <w:tcW w:w="3960" w:type="dxa"/>
          </w:tcPr>
          <w:p w:rsidR="00F54BC8" w:rsidRDefault="00F54BC8" w:rsidP="00AD7100">
            <w:pPr>
              <w:spacing w:after="0"/>
              <w:jc w:val="center"/>
              <w:rPr>
                <w:rFonts w:cs="Arial"/>
                <w:sz w:val="24"/>
                <w:szCs w:val="24"/>
                <w:highlight w:val="green"/>
              </w:rPr>
            </w:pPr>
            <w:r w:rsidRPr="00522391">
              <w:rPr>
                <w:rFonts w:cs="Arial"/>
                <w:sz w:val="24"/>
                <w:szCs w:val="24"/>
                <w:highlight w:val="green"/>
              </w:rPr>
              <w:t xml:space="preserve">Spontaneous, </w:t>
            </w:r>
            <w:r>
              <w:rPr>
                <w:rFonts w:cs="Arial"/>
                <w:sz w:val="24"/>
                <w:szCs w:val="24"/>
                <w:highlight w:val="green"/>
              </w:rPr>
              <w:t xml:space="preserve">with DMSO, </w:t>
            </w:r>
            <w:r w:rsidR="005D1C20">
              <w:rPr>
                <w:rFonts w:cs="Arial"/>
                <w:sz w:val="24"/>
                <w:szCs w:val="24"/>
                <w:highlight w:val="green"/>
              </w:rPr>
              <w:t>n</w:t>
            </w:r>
            <w:r w:rsidRPr="00522391">
              <w:rPr>
                <w:rFonts w:cs="Arial"/>
                <w:sz w:val="24"/>
                <w:szCs w:val="24"/>
                <w:highlight w:val="green"/>
              </w:rPr>
              <w:t>o TCS</w:t>
            </w:r>
          </w:p>
          <w:p w:rsidR="00F54BC8" w:rsidRPr="00522391" w:rsidRDefault="008524B4" w:rsidP="00AD7100">
            <w:pPr>
              <w:spacing w:after="0"/>
              <w:jc w:val="center"/>
              <w:rPr>
                <w:rFonts w:cs="Arial"/>
                <w:sz w:val="24"/>
                <w:szCs w:val="24"/>
                <w:highlight w:val="green"/>
              </w:rPr>
            </w:pPr>
            <w:r>
              <w:rPr>
                <w:rFonts w:cs="Arial"/>
                <w:sz w:val="24"/>
                <w:szCs w:val="24"/>
                <w:highlight w:val="green"/>
              </w:rPr>
              <w:t>(</w:t>
            </w:r>
            <w:r w:rsidR="00AD7100">
              <w:rPr>
                <w:rFonts w:cs="Arial"/>
                <w:sz w:val="24"/>
                <w:szCs w:val="24"/>
                <w:highlight w:val="green"/>
              </w:rPr>
              <w:t>includes m</w:t>
            </w:r>
            <w:r w:rsidR="00F54BC8">
              <w:rPr>
                <w:rFonts w:cs="Arial"/>
                <w:sz w:val="24"/>
                <w:szCs w:val="24"/>
                <w:highlight w:val="green"/>
              </w:rPr>
              <w:t>ocks</w:t>
            </w:r>
            <w:r>
              <w:rPr>
                <w:rFonts w:cs="Arial"/>
                <w:sz w:val="24"/>
                <w:szCs w:val="24"/>
                <w:highlight w:val="green"/>
              </w:rPr>
              <w:t>)</w:t>
            </w:r>
          </w:p>
        </w:tc>
        <w:tc>
          <w:tcPr>
            <w:tcW w:w="4590" w:type="dxa"/>
          </w:tcPr>
          <w:p w:rsidR="00F54BC8" w:rsidRDefault="00F54BC8" w:rsidP="00AD7100">
            <w:pPr>
              <w:spacing w:after="0"/>
              <w:jc w:val="center"/>
              <w:rPr>
                <w:rFonts w:cs="Arial"/>
                <w:sz w:val="24"/>
                <w:szCs w:val="24"/>
                <w:highlight w:val="green"/>
              </w:rPr>
            </w:pPr>
            <w:r w:rsidRPr="00522391">
              <w:rPr>
                <w:rFonts w:cs="Arial"/>
                <w:sz w:val="24"/>
                <w:szCs w:val="24"/>
                <w:highlight w:val="green"/>
              </w:rPr>
              <w:t>A10, A11, A12, B10, B11, B12</w:t>
            </w:r>
          </w:p>
          <w:p w:rsidR="00F54BC8" w:rsidRPr="00522391" w:rsidRDefault="00AD7100" w:rsidP="00AD7100">
            <w:pPr>
              <w:spacing w:after="0"/>
              <w:jc w:val="center"/>
              <w:rPr>
                <w:rFonts w:cs="Arial"/>
                <w:sz w:val="24"/>
                <w:szCs w:val="24"/>
                <w:highlight w:val="green"/>
              </w:rPr>
            </w:pPr>
            <w:r>
              <w:rPr>
                <w:rFonts w:cs="Arial"/>
                <w:sz w:val="24"/>
                <w:szCs w:val="24"/>
                <w:highlight w:val="green"/>
              </w:rPr>
              <w:t>A1, A2, A8,</w:t>
            </w:r>
            <w:r w:rsidR="00F54BC8">
              <w:rPr>
                <w:rFonts w:cs="Arial"/>
                <w:sz w:val="24"/>
                <w:szCs w:val="24"/>
                <w:highlight w:val="green"/>
              </w:rPr>
              <w:t xml:space="preserve"> B1,</w:t>
            </w:r>
            <w:r>
              <w:rPr>
                <w:rFonts w:cs="Arial"/>
                <w:sz w:val="24"/>
                <w:szCs w:val="24"/>
                <w:highlight w:val="green"/>
              </w:rPr>
              <w:t xml:space="preserve"> B</w:t>
            </w:r>
            <w:r w:rsidR="00F54BC8">
              <w:rPr>
                <w:rFonts w:cs="Arial"/>
                <w:sz w:val="24"/>
                <w:szCs w:val="24"/>
                <w:highlight w:val="green"/>
              </w:rPr>
              <w:t>2,</w:t>
            </w:r>
            <w:r>
              <w:rPr>
                <w:rFonts w:cs="Arial"/>
                <w:sz w:val="24"/>
                <w:szCs w:val="24"/>
                <w:highlight w:val="green"/>
              </w:rPr>
              <w:t xml:space="preserve"> B</w:t>
            </w:r>
            <w:r w:rsidR="00F54BC8">
              <w:rPr>
                <w:rFonts w:cs="Arial"/>
                <w:sz w:val="24"/>
                <w:szCs w:val="24"/>
                <w:highlight w:val="green"/>
              </w:rPr>
              <w:t>8, C1,</w:t>
            </w:r>
            <w:r>
              <w:rPr>
                <w:rFonts w:cs="Arial"/>
                <w:sz w:val="24"/>
                <w:szCs w:val="24"/>
                <w:highlight w:val="green"/>
              </w:rPr>
              <w:t xml:space="preserve"> C</w:t>
            </w:r>
            <w:r w:rsidR="00F54BC8">
              <w:rPr>
                <w:rFonts w:cs="Arial"/>
                <w:sz w:val="24"/>
                <w:szCs w:val="24"/>
                <w:highlight w:val="green"/>
              </w:rPr>
              <w:t>2,</w:t>
            </w:r>
            <w:r>
              <w:rPr>
                <w:rFonts w:cs="Arial"/>
                <w:sz w:val="24"/>
                <w:szCs w:val="24"/>
                <w:highlight w:val="green"/>
              </w:rPr>
              <w:t xml:space="preserve"> C</w:t>
            </w:r>
            <w:r w:rsidR="00F54BC8">
              <w:rPr>
                <w:rFonts w:cs="Arial"/>
                <w:sz w:val="24"/>
                <w:szCs w:val="24"/>
                <w:highlight w:val="green"/>
              </w:rPr>
              <w:t>8, F1,</w:t>
            </w:r>
            <w:r>
              <w:rPr>
                <w:rFonts w:cs="Arial"/>
                <w:sz w:val="24"/>
                <w:szCs w:val="24"/>
                <w:highlight w:val="green"/>
              </w:rPr>
              <w:t xml:space="preserve"> F</w:t>
            </w:r>
            <w:r w:rsidR="00F54BC8">
              <w:rPr>
                <w:rFonts w:cs="Arial"/>
                <w:sz w:val="24"/>
                <w:szCs w:val="24"/>
                <w:highlight w:val="green"/>
              </w:rPr>
              <w:t>2,</w:t>
            </w:r>
            <w:r>
              <w:rPr>
                <w:rFonts w:cs="Arial"/>
                <w:sz w:val="24"/>
                <w:szCs w:val="24"/>
                <w:highlight w:val="green"/>
              </w:rPr>
              <w:t xml:space="preserve"> F</w:t>
            </w:r>
            <w:r w:rsidR="00F54BC8">
              <w:rPr>
                <w:rFonts w:cs="Arial"/>
                <w:sz w:val="24"/>
                <w:szCs w:val="24"/>
                <w:highlight w:val="green"/>
              </w:rPr>
              <w:t>8, G1,</w:t>
            </w:r>
            <w:r>
              <w:rPr>
                <w:rFonts w:cs="Arial"/>
                <w:sz w:val="24"/>
                <w:szCs w:val="24"/>
                <w:highlight w:val="green"/>
              </w:rPr>
              <w:t xml:space="preserve"> G</w:t>
            </w:r>
            <w:r w:rsidR="00F54BC8">
              <w:rPr>
                <w:rFonts w:cs="Arial"/>
                <w:sz w:val="24"/>
                <w:szCs w:val="24"/>
                <w:highlight w:val="green"/>
              </w:rPr>
              <w:t>2,</w:t>
            </w:r>
            <w:r>
              <w:rPr>
                <w:rFonts w:cs="Arial"/>
                <w:sz w:val="24"/>
                <w:szCs w:val="24"/>
                <w:highlight w:val="green"/>
              </w:rPr>
              <w:t xml:space="preserve"> G</w:t>
            </w:r>
            <w:r w:rsidR="00F54BC8">
              <w:rPr>
                <w:rFonts w:cs="Arial"/>
                <w:sz w:val="24"/>
                <w:szCs w:val="24"/>
                <w:highlight w:val="green"/>
              </w:rPr>
              <w:t>8, H1,</w:t>
            </w:r>
            <w:r>
              <w:rPr>
                <w:rFonts w:cs="Arial"/>
                <w:sz w:val="24"/>
                <w:szCs w:val="24"/>
                <w:highlight w:val="green"/>
              </w:rPr>
              <w:t xml:space="preserve"> H</w:t>
            </w:r>
            <w:r w:rsidR="00F54BC8">
              <w:rPr>
                <w:rFonts w:cs="Arial"/>
                <w:sz w:val="24"/>
                <w:szCs w:val="24"/>
                <w:highlight w:val="green"/>
              </w:rPr>
              <w:t>2,</w:t>
            </w:r>
            <w:r>
              <w:rPr>
                <w:rFonts w:cs="Arial"/>
                <w:sz w:val="24"/>
                <w:szCs w:val="24"/>
                <w:highlight w:val="green"/>
              </w:rPr>
              <w:t xml:space="preserve"> H</w:t>
            </w:r>
            <w:r w:rsidR="00F54BC8">
              <w:rPr>
                <w:rFonts w:cs="Arial"/>
                <w:sz w:val="24"/>
                <w:szCs w:val="24"/>
                <w:highlight w:val="green"/>
              </w:rPr>
              <w:t>8</w:t>
            </w:r>
          </w:p>
        </w:tc>
      </w:tr>
      <w:tr w:rsidR="00F54BC8" w:rsidRPr="00522391" w:rsidTr="00AD7100">
        <w:tc>
          <w:tcPr>
            <w:tcW w:w="396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 xml:space="preserve">TX-100, </w:t>
            </w:r>
            <w:r>
              <w:rPr>
                <w:rFonts w:cs="Arial"/>
                <w:sz w:val="24"/>
                <w:szCs w:val="24"/>
                <w:highlight w:val="green"/>
              </w:rPr>
              <w:t xml:space="preserve">with DMSO, </w:t>
            </w:r>
            <w:r w:rsidR="005D1C20">
              <w:rPr>
                <w:rFonts w:cs="Arial"/>
                <w:sz w:val="24"/>
                <w:szCs w:val="24"/>
                <w:highlight w:val="green"/>
              </w:rPr>
              <w:t>n</w:t>
            </w:r>
            <w:r w:rsidRPr="00522391">
              <w:rPr>
                <w:rFonts w:cs="Arial"/>
                <w:sz w:val="24"/>
                <w:szCs w:val="24"/>
                <w:highlight w:val="green"/>
              </w:rPr>
              <w:t>o TCS</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D10, D11, D12, E10, E11, E12</w:t>
            </w:r>
          </w:p>
        </w:tc>
      </w:tr>
      <w:tr w:rsidR="00F54BC8" w:rsidRPr="00522391" w:rsidTr="00AD7100">
        <w:tc>
          <w:tcPr>
            <w:tcW w:w="3960" w:type="dxa"/>
          </w:tcPr>
          <w:p w:rsidR="00F54BC8" w:rsidRDefault="00AD7100" w:rsidP="00AD7100">
            <w:pPr>
              <w:spacing w:after="0"/>
              <w:jc w:val="center"/>
              <w:rPr>
                <w:rFonts w:cs="Arial"/>
                <w:sz w:val="24"/>
                <w:szCs w:val="24"/>
                <w:highlight w:val="green"/>
              </w:rPr>
            </w:pPr>
            <w:r>
              <w:rPr>
                <w:rFonts w:cs="Arial"/>
                <w:sz w:val="24"/>
                <w:szCs w:val="24"/>
                <w:highlight w:val="green"/>
              </w:rPr>
              <w:t>No cells</w:t>
            </w:r>
            <w:r w:rsidR="00F54BC8">
              <w:rPr>
                <w:rFonts w:cs="Arial"/>
                <w:sz w:val="24"/>
                <w:szCs w:val="24"/>
                <w:highlight w:val="green"/>
              </w:rPr>
              <w:t xml:space="preserve"> </w:t>
            </w:r>
            <w:r>
              <w:rPr>
                <w:rFonts w:cs="Arial"/>
                <w:sz w:val="24"/>
                <w:szCs w:val="24"/>
                <w:highlight w:val="green"/>
              </w:rPr>
              <w:t>b</w:t>
            </w:r>
            <w:r w:rsidR="00F54BC8" w:rsidRPr="00522391">
              <w:rPr>
                <w:rFonts w:cs="Arial"/>
                <w:sz w:val="24"/>
                <w:szCs w:val="24"/>
                <w:highlight w:val="green"/>
              </w:rPr>
              <w:t xml:space="preserve">ackground, </w:t>
            </w:r>
            <w:r w:rsidR="00F54BC8">
              <w:rPr>
                <w:rFonts w:cs="Arial"/>
                <w:sz w:val="24"/>
                <w:szCs w:val="24"/>
                <w:highlight w:val="green"/>
              </w:rPr>
              <w:t xml:space="preserve">with DMSO, </w:t>
            </w:r>
          </w:p>
          <w:p w:rsidR="00F54BC8" w:rsidRPr="00522391" w:rsidRDefault="00AD7100" w:rsidP="00AD7100">
            <w:pPr>
              <w:spacing w:after="0"/>
              <w:jc w:val="center"/>
              <w:rPr>
                <w:rFonts w:cs="Arial"/>
                <w:sz w:val="24"/>
                <w:szCs w:val="24"/>
                <w:highlight w:val="green"/>
              </w:rPr>
            </w:pPr>
            <w:r>
              <w:rPr>
                <w:rFonts w:cs="Arial"/>
                <w:sz w:val="24"/>
                <w:szCs w:val="24"/>
                <w:highlight w:val="green"/>
              </w:rPr>
              <w:t>plus h</w:t>
            </w:r>
            <w:r w:rsidR="00F54BC8">
              <w:rPr>
                <w:rFonts w:cs="Arial"/>
                <w:sz w:val="24"/>
                <w:szCs w:val="24"/>
                <w:highlight w:val="green"/>
              </w:rPr>
              <w:t>ighest</w:t>
            </w:r>
            <w:r w:rsidR="00F54BC8" w:rsidRPr="00522391">
              <w:rPr>
                <w:rFonts w:cs="Arial"/>
                <w:sz w:val="24"/>
                <w:szCs w:val="24"/>
                <w:highlight w:val="green"/>
              </w:rPr>
              <w:t xml:space="preserve"> </w:t>
            </w:r>
            <w:r w:rsidR="00F54BC8">
              <w:rPr>
                <w:rFonts w:cs="Arial"/>
                <w:sz w:val="24"/>
                <w:szCs w:val="24"/>
                <w:highlight w:val="green"/>
              </w:rPr>
              <w:t>[</w:t>
            </w:r>
            <w:r w:rsidR="00F54BC8" w:rsidRPr="00522391">
              <w:rPr>
                <w:rFonts w:cs="Arial"/>
                <w:sz w:val="24"/>
                <w:szCs w:val="24"/>
                <w:highlight w:val="green"/>
              </w:rPr>
              <w:t>TCS</w:t>
            </w:r>
            <w:r w:rsidR="00F54BC8">
              <w:rPr>
                <w:rFonts w:cs="Arial"/>
                <w:sz w:val="24"/>
                <w:szCs w:val="24"/>
                <w:highlight w:val="green"/>
              </w:rPr>
              <w:t>]</w:t>
            </w:r>
          </w:p>
        </w:tc>
        <w:tc>
          <w:tcPr>
            <w:tcW w:w="4590" w:type="dxa"/>
          </w:tcPr>
          <w:p w:rsidR="00F54BC8" w:rsidRPr="00522391" w:rsidRDefault="00F54BC8" w:rsidP="00AD7100">
            <w:pPr>
              <w:spacing w:after="0"/>
              <w:jc w:val="center"/>
              <w:rPr>
                <w:rFonts w:cs="Arial"/>
                <w:sz w:val="24"/>
                <w:szCs w:val="24"/>
                <w:highlight w:val="green"/>
              </w:rPr>
            </w:pPr>
            <w:r w:rsidRPr="00522391">
              <w:rPr>
                <w:rFonts w:cs="Arial"/>
                <w:sz w:val="24"/>
                <w:szCs w:val="24"/>
                <w:highlight w:val="green"/>
              </w:rPr>
              <w:t>G10, G11, G12, H10, H11, H12</w:t>
            </w:r>
          </w:p>
        </w:tc>
      </w:tr>
    </w:tbl>
    <w:p w:rsidR="00FB6E7B" w:rsidRPr="0009732B" w:rsidRDefault="00FB6E7B" w:rsidP="003F5EB2">
      <w:pPr>
        <w:spacing w:after="0"/>
        <w:rPr>
          <w:rFonts w:ascii="Arial" w:hAnsi="Arial" w:cs="Arial"/>
          <w:color w:val="FF0000"/>
          <w:sz w:val="24"/>
          <w:szCs w:val="24"/>
        </w:rPr>
      </w:pPr>
    </w:p>
    <w:p w:rsidR="003F5EB2" w:rsidRPr="0009732B" w:rsidRDefault="003F5EB2" w:rsidP="003F5EB2">
      <w:pPr>
        <w:spacing w:after="0"/>
        <w:rPr>
          <w:rFonts w:ascii="Arial" w:hAnsi="Arial" w:cs="Arial"/>
          <w:color w:val="222222"/>
          <w:sz w:val="24"/>
          <w:szCs w:val="24"/>
        </w:rPr>
      </w:pPr>
      <w:r w:rsidRPr="0009732B">
        <w:rPr>
          <w:rFonts w:ascii="Arial" w:hAnsi="Arial" w:cs="Arial"/>
          <w:color w:val="222222"/>
          <w:sz w:val="24"/>
          <w:szCs w:val="24"/>
        </w:rPr>
        <w:br/>
      </w:r>
      <w:r w:rsidRPr="0009732B">
        <w:rPr>
          <w:rFonts w:ascii="Arial" w:hAnsi="Arial" w:cs="Arial"/>
          <w:color w:val="222222"/>
          <w:sz w:val="24"/>
          <w:szCs w:val="24"/>
          <w:shd w:val="clear" w:color="auto" w:fill="FFFFFF"/>
        </w:rPr>
        <w:t>(4) The addition of a trouble shooting section (either in the discussion or in an accompanying table), should readers have experimental difficulties, would be a useful.</w:t>
      </w:r>
      <w:r w:rsidRPr="0009732B">
        <w:rPr>
          <w:rFonts w:ascii="Arial" w:hAnsi="Arial" w:cs="Arial"/>
          <w:color w:val="222222"/>
          <w:sz w:val="24"/>
          <w:szCs w:val="24"/>
        </w:rPr>
        <w:br/>
      </w:r>
    </w:p>
    <w:p w:rsidR="003F5EB2" w:rsidRDefault="005B08A9" w:rsidP="003F5EB2">
      <w:pPr>
        <w:spacing w:after="0"/>
        <w:rPr>
          <w:rFonts w:ascii="Arial" w:hAnsi="Arial" w:cs="Arial"/>
          <w:color w:val="FF0000"/>
          <w:sz w:val="24"/>
          <w:szCs w:val="24"/>
        </w:rPr>
      </w:pPr>
      <w:r>
        <w:rPr>
          <w:rFonts w:ascii="Arial" w:hAnsi="Arial" w:cs="Arial"/>
          <w:color w:val="FF0000"/>
          <w:sz w:val="24"/>
          <w:szCs w:val="24"/>
        </w:rPr>
        <w:t>Although it was not sp</w:t>
      </w:r>
      <w:r w:rsidR="00F54BC8">
        <w:rPr>
          <w:rFonts w:ascii="Arial" w:hAnsi="Arial" w:cs="Arial"/>
          <w:color w:val="FF0000"/>
          <w:sz w:val="24"/>
          <w:szCs w:val="24"/>
        </w:rPr>
        <w:t>ecifically labeled as a trouble</w:t>
      </w:r>
      <w:r>
        <w:rPr>
          <w:rFonts w:ascii="Arial" w:hAnsi="Arial" w:cs="Arial"/>
          <w:color w:val="FF0000"/>
          <w:sz w:val="24"/>
          <w:szCs w:val="24"/>
        </w:rPr>
        <w:t>shoo</w:t>
      </w:r>
      <w:r w:rsidR="00F54BC8">
        <w:rPr>
          <w:rFonts w:ascii="Arial" w:hAnsi="Arial" w:cs="Arial"/>
          <w:color w:val="FF0000"/>
          <w:sz w:val="24"/>
          <w:szCs w:val="24"/>
        </w:rPr>
        <w:t>ting section in the text, we had</w:t>
      </w:r>
      <w:r>
        <w:rPr>
          <w:rFonts w:ascii="Arial" w:hAnsi="Arial" w:cs="Arial"/>
          <w:color w:val="FF0000"/>
          <w:sz w:val="24"/>
          <w:szCs w:val="24"/>
        </w:rPr>
        <w:t xml:space="preserve"> detail</w:t>
      </w:r>
      <w:r w:rsidR="00F54BC8">
        <w:rPr>
          <w:rFonts w:ascii="Arial" w:hAnsi="Arial" w:cs="Arial"/>
          <w:color w:val="FF0000"/>
          <w:sz w:val="24"/>
          <w:szCs w:val="24"/>
        </w:rPr>
        <w:t>ed</w:t>
      </w:r>
      <w:r w:rsidR="007B354B">
        <w:rPr>
          <w:rFonts w:ascii="Arial" w:hAnsi="Arial" w:cs="Arial"/>
          <w:color w:val="FF0000"/>
          <w:sz w:val="24"/>
          <w:szCs w:val="24"/>
        </w:rPr>
        <w:t xml:space="preserve"> </w:t>
      </w:r>
      <w:r w:rsidR="00ED572D" w:rsidRPr="0009732B">
        <w:rPr>
          <w:rFonts w:ascii="Arial" w:hAnsi="Arial" w:cs="Arial"/>
          <w:color w:val="FF0000"/>
          <w:sz w:val="24"/>
          <w:szCs w:val="24"/>
        </w:rPr>
        <w:t xml:space="preserve">possible confounding effects in </w:t>
      </w:r>
      <w:r w:rsidR="007B354B" w:rsidRPr="0009732B">
        <w:rPr>
          <w:rFonts w:ascii="Arial" w:hAnsi="Arial" w:cs="Arial"/>
          <w:color w:val="FF0000"/>
          <w:sz w:val="24"/>
          <w:szCs w:val="24"/>
        </w:rPr>
        <w:t>paragraph</w:t>
      </w:r>
      <w:r w:rsidR="007B354B">
        <w:rPr>
          <w:rFonts w:ascii="Arial" w:hAnsi="Arial" w:cs="Arial"/>
          <w:color w:val="FF0000"/>
          <w:sz w:val="24"/>
          <w:szCs w:val="24"/>
        </w:rPr>
        <w:t>s</w:t>
      </w:r>
      <w:r w:rsidR="007B354B" w:rsidRPr="0009732B">
        <w:rPr>
          <w:rFonts w:ascii="Arial" w:hAnsi="Arial" w:cs="Arial"/>
          <w:color w:val="FF0000"/>
          <w:sz w:val="24"/>
          <w:szCs w:val="24"/>
        </w:rPr>
        <w:t xml:space="preserve"> 5 and 6</w:t>
      </w:r>
      <w:r w:rsidR="007B354B">
        <w:rPr>
          <w:rFonts w:ascii="Arial" w:hAnsi="Arial" w:cs="Arial"/>
          <w:color w:val="FF0000"/>
          <w:sz w:val="24"/>
          <w:szCs w:val="24"/>
        </w:rPr>
        <w:t xml:space="preserve"> of the D</w:t>
      </w:r>
      <w:r w:rsidR="00ED572D" w:rsidRPr="0009732B">
        <w:rPr>
          <w:rFonts w:ascii="Arial" w:hAnsi="Arial" w:cs="Arial"/>
          <w:color w:val="FF0000"/>
          <w:sz w:val="24"/>
          <w:szCs w:val="24"/>
        </w:rPr>
        <w:t>iscussion</w:t>
      </w:r>
      <w:r w:rsidR="007B354B">
        <w:rPr>
          <w:rFonts w:ascii="Arial" w:hAnsi="Arial" w:cs="Arial"/>
          <w:color w:val="FF0000"/>
          <w:sz w:val="24"/>
          <w:szCs w:val="24"/>
        </w:rPr>
        <w:t xml:space="preserve"> section</w:t>
      </w:r>
      <w:r>
        <w:rPr>
          <w:rFonts w:ascii="Arial" w:hAnsi="Arial" w:cs="Arial"/>
          <w:color w:val="FF0000"/>
          <w:sz w:val="24"/>
          <w:szCs w:val="24"/>
        </w:rPr>
        <w:t xml:space="preserve">. </w:t>
      </w:r>
      <w:r w:rsidR="007B354B">
        <w:rPr>
          <w:rFonts w:ascii="Arial" w:hAnsi="Arial" w:cs="Arial"/>
          <w:color w:val="FF0000"/>
          <w:sz w:val="24"/>
          <w:szCs w:val="24"/>
        </w:rPr>
        <w:t>To make it</w:t>
      </w:r>
      <w:r w:rsidR="00ED572D" w:rsidRPr="0009732B">
        <w:rPr>
          <w:rFonts w:ascii="Arial" w:hAnsi="Arial" w:cs="Arial"/>
          <w:color w:val="FF0000"/>
          <w:sz w:val="24"/>
          <w:szCs w:val="24"/>
        </w:rPr>
        <w:t xml:space="preserve"> </w:t>
      </w:r>
      <w:r w:rsidR="00D40E60" w:rsidRPr="0009732B">
        <w:rPr>
          <w:rFonts w:ascii="Arial" w:hAnsi="Arial" w:cs="Arial"/>
          <w:color w:val="FF0000"/>
          <w:sz w:val="24"/>
          <w:szCs w:val="24"/>
        </w:rPr>
        <w:t>clearer</w:t>
      </w:r>
      <w:r w:rsidR="00F54BC8">
        <w:rPr>
          <w:rFonts w:ascii="Arial" w:hAnsi="Arial" w:cs="Arial"/>
          <w:color w:val="FF0000"/>
          <w:sz w:val="24"/>
          <w:szCs w:val="24"/>
        </w:rPr>
        <w:t xml:space="preserve"> that we are addressing trouble</w:t>
      </w:r>
      <w:r w:rsidR="00ED572D" w:rsidRPr="0009732B">
        <w:rPr>
          <w:rFonts w:ascii="Arial" w:hAnsi="Arial" w:cs="Arial"/>
          <w:color w:val="FF0000"/>
          <w:sz w:val="24"/>
          <w:szCs w:val="24"/>
        </w:rPr>
        <w:t>shooting</w:t>
      </w:r>
      <w:r w:rsidR="007B354B">
        <w:rPr>
          <w:rFonts w:ascii="Arial" w:hAnsi="Arial" w:cs="Arial"/>
          <w:color w:val="FF0000"/>
          <w:sz w:val="24"/>
          <w:szCs w:val="24"/>
        </w:rPr>
        <w:t xml:space="preserve"> in these paragraphs, we have added t</w:t>
      </w:r>
      <w:r w:rsidR="008B2A00" w:rsidRPr="0009732B">
        <w:rPr>
          <w:rFonts w:ascii="Arial" w:hAnsi="Arial" w:cs="Arial"/>
          <w:color w:val="FF0000"/>
          <w:sz w:val="24"/>
          <w:szCs w:val="24"/>
        </w:rPr>
        <w:t xml:space="preserve">he following </w:t>
      </w:r>
      <w:r w:rsidR="00320310">
        <w:rPr>
          <w:rFonts w:ascii="Arial" w:hAnsi="Arial" w:cs="Arial"/>
          <w:color w:val="FF0000"/>
          <w:sz w:val="24"/>
          <w:szCs w:val="24"/>
        </w:rPr>
        <w:t>paragraph</w:t>
      </w:r>
      <w:r w:rsidR="002B359A">
        <w:rPr>
          <w:rFonts w:ascii="Arial" w:hAnsi="Arial" w:cs="Arial"/>
          <w:color w:val="FF0000"/>
          <w:sz w:val="24"/>
          <w:szCs w:val="24"/>
        </w:rPr>
        <w:t xml:space="preserve"> to the </w:t>
      </w:r>
      <w:r w:rsidR="000F7889">
        <w:rPr>
          <w:rFonts w:ascii="Arial" w:hAnsi="Arial" w:cs="Arial"/>
          <w:color w:val="FF0000"/>
          <w:sz w:val="24"/>
          <w:szCs w:val="24"/>
        </w:rPr>
        <w:t>“</w:t>
      </w:r>
      <w:r w:rsidR="005D1C20">
        <w:rPr>
          <w:rFonts w:ascii="Arial" w:hAnsi="Arial" w:cs="Arial"/>
          <w:color w:val="FF0000"/>
          <w:sz w:val="24"/>
          <w:szCs w:val="24"/>
        </w:rPr>
        <w:t>D</w:t>
      </w:r>
      <w:r w:rsidR="00320310">
        <w:rPr>
          <w:rFonts w:ascii="Arial" w:hAnsi="Arial" w:cs="Arial"/>
          <w:color w:val="FF0000"/>
          <w:sz w:val="24"/>
          <w:szCs w:val="24"/>
        </w:rPr>
        <w:t>iscussion</w:t>
      </w:r>
      <w:r w:rsidR="000F7889">
        <w:rPr>
          <w:rFonts w:ascii="Arial" w:hAnsi="Arial" w:cs="Arial"/>
          <w:color w:val="FF0000"/>
          <w:sz w:val="24"/>
          <w:szCs w:val="24"/>
        </w:rPr>
        <w:t>”</w:t>
      </w:r>
      <w:r w:rsidR="00320310">
        <w:rPr>
          <w:rFonts w:ascii="Arial" w:hAnsi="Arial" w:cs="Arial"/>
          <w:color w:val="FF0000"/>
          <w:sz w:val="24"/>
          <w:szCs w:val="24"/>
        </w:rPr>
        <w:t xml:space="preserve"> section</w:t>
      </w:r>
      <w:r w:rsidR="002B359A">
        <w:rPr>
          <w:rFonts w:ascii="Arial" w:hAnsi="Arial" w:cs="Arial"/>
          <w:color w:val="FF0000"/>
          <w:sz w:val="24"/>
          <w:szCs w:val="24"/>
        </w:rPr>
        <w:t>, as well as a table:</w:t>
      </w:r>
    </w:p>
    <w:p w:rsidR="00320310" w:rsidRDefault="00320310" w:rsidP="003F5EB2">
      <w:pPr>
        <w:spacing w:after="0"/>
        <w:rPr>
          <w:rFonts w:ascii="Arial" w:hAnsi="Arial" w:cs="Arial"/>
          <w:color w:val="FF0000"/>
          <w:sz w:val="24"/>
          <w:szCs w:val="24"/>
        </w:rPr>
      </w:pPr>
    </w:p>
    <w:p w:rsidR="005D1C20" w:rsidRDefault="005D1C20" w:rsidP="005D1C20">
      <w:pPr>
        <w:spacing w:after="0" w:line="240" w:lineRule="auto"/>
        <w:ind w:firstLine="720"/>
        <w:rPr>
          <w:sz w:val="24"/>
          <w:szCs w:val="24"/>
          <w:highlight w:val="green"/>
        </w:rPr>
      </w:pPr>
      <w:r>
        <w:rPr>
          <w:sz w:val="24"/>
          <w:szCs w:val="24"/>
          <w:highlight w:val="green"/>
        </w:rPr>
        <w:t>In the event that troubleshooting is required, several potential aspects of this protocol</w:t>
      </w:r>
      <w:r w:rsidRPr="00FF3C83">
        <w:rPr>
          <w:sz w:val="24"/>
          <w:szCs w:val="24"/>
          <w:highlight w:val="green"/>
        </w:rPr>
        <w:t xml:space="preserve"> </w:t>
      </w:r>
      <w:r>
        <w:rPr>
          <w:sz w:val="24"/>
          <w:szCs w:val="24"/>
          <w:highlight w:val="green"/>
        </w:rPr>
        <w:t xml:space="preserve">should be reviewed. For example, it may be that </w:t>
      </w:r>
      <w:r w:rsidRPr="00FF3C83">
        <w:rPr>
          <w:sz w:val="24"/>
          <w:szCs w:val="24"/>
          <w:highlight w:val="green"/>
        </w:rPr>
        <w:t xml:space="preserve">(1) spontaneous </w:t>
      </w:r>
      <w:r>
        <w:rPr>
          <w:sz w:val="24"/>
          <w:szCs w:val="24"/>
          <w:highlight w:val="green"/>
        </w:rPr>
        <w:t xml:space="preserve">release </w:t>
      </w:r>
      <w:r w:rsidRPr="00FF3C83">
        <w:rPr>
          <w:sz w:val="24"/>
          <w:szCs w:val="24"/>
          <w:highlight w:val="green"/>
        </w:rPr>
        <w:t>level</w:t>
      </w:r>
      <w:r>
        <w:rPr>
          <w:sz w:val="24"/>
          <w:szCs w:val="24"/>
          <w:highlight w:val="green"/>
        </w:rPr>
        <w:t>s</w:t>
      </w:r>
      <w:r w:rsidRPr="00FF3C83">
        <w:rPr>
          <w:sz w:val="24"/>
          <w:szCs w:val="24"/>
          <w:highlight w:val="green"/>
        </w:rPr>
        <w:t xml:space="preserve"> </w:t>
      </w:r>
      <w:r>
        <w:rPr>
          <w:sz w:val="24"/>
          <w:szCs w:val="24"/>
          <w:highlight w:val="green"/>
        </w:rPr>
        <w:t>are</w:t>
      </w:r>
      <w:r w:rsidRPr="00FF3C83">
        <w:rPr>
          <w:sz w:val="24"/>
          <w:szCs w:val="24"/>
          <w:highlight w:val="green"/>
        </w:rPr>
        <w:t xml:space="preserve"> too high</w:t>
      </w:r>
      <w:r>
        <w:rPr>
          <w:sz w:val="24"/>
          <w:szCs w:val="24"/>
          <w:highlight w:val="green"/>
        </w:rPr>
        <w:t xml:space="preserve"> (greater than ~7% of </w:t>
      </w:r>
      <w:proofErr w:type="spellStart"/>
      <w:r>
        <w:rPr>
          <w:sz w:val="24"/>
          <w:szCs w:val="24"/>
          <w:highlight w:val="green"/>
        </w:rPr>
        <w:t>lysis</w:t>
      </w:r>
      <w:proofErr w:type="spellEnd"/>
      <w:r>
        <w:rPr>
          <w:sz w:val="24"/>
          <w:szCs w:val="24"/>
          <w:highlight w:val="green"/>
        </w:rPr>
        <w:t xml:space="preserve"> values)</w:t>
      </w:r>
      <w:r w:rsidRPr="00FF3C83">
        <w:rPr>
          <w:sz w:val="24"/>
          <w:szCs w:val="24"/>
          <w:highlight w:val="green"/>
        </w:rPr>
        <w:t xml:space="preserve">; (2) </w:t>
      </w:r>
      <w:r>
        <w:rPr>
          <w:sz w:val="24"/>
          <w:szCs w:val="24"/>
          <w:highlight w:val="green"/>
        </w:rPr>
        <w:t>a dose-</w:t>
      </w:r>
      <w:r w:rsidRPr="00FF3C83">
        <w:rPr>
          <w:sz w:val="24"/>
          <w:szCs w:val="24"/>
          <w:highlight w:val="green"/>
        </w:rPr>
        <w:t>response with either s</w:t>
      </w:r>
      <w:r>
        <w:rPr>
          <w:sz w:val="24"/>
          <w:szCs w:val="24"/>
          <w:highlight w:val="green"/>
        </w:rPr>
        <w:t xml:space="preserve">timulant and/or test </w:t>
      </w:r>
      <w:r w:rsidRPr="00FF3C83">
        <w:rPr>
          <w:sz w:val="24"/>
          <w:szCs w:val="24"/>
          <w:highlight w:val="green"/>
        </w:rPr>
        <w:t>chemical</w:t>
      </w:r>
      <w:r>
        <w:rPr>
          <w:sz w:val="24"/>
          <w:szCs w:val="24"/>
          <w:highlight w:val="green"/>
        </w:rPr>
        <w:t xml:space="preserve"> is not observed</w:t>
      </w:r>
      <w:r w:rsidRPr="00FF3C83">
        <w:rPr>
          <w:sz w:val="24"/>
          <w:szCs w:val="24"/>
          <w:highlight w:val="green"/>
        </w:rPr>
        <w:t>;</w:t>
      </w:r>
      <w:r>
        <w:rPr>
          <w:sz w:val="24"/>
          <w:szCs w:val="24"/>
          <w:highlight w:val="green"/>
        </w:rPr>
        <w:t xml:space="preserve"> or</w:t>
      </w:r>
      <w:r w:rsidRPr="00FF3C83">
        <w:rPr>
          <w:sz w:val="24"/>
          <w:szCs w:val="24"/>
          <w:highlight w:val="green"/>
        </w:rPr>
        <w:t xml:space="preserve"> (3) </w:t>
      </w:r>
      <w:r>
        <w:rPr>
          <w:sz w:val="24"/>
          <w:szCs w:val="24"/>
          <w:highlight w:val="green"/>
        </w:rPr>
        <w:t xml:space="preserve">the </w:t>
      </w:r>
      <w:r w:rsidRPr="00FF3C83">
        <w:rPr>
          <w:sz w:val="24"/>
          <w:szCs w:val="24"/>
          <w:highlight w:val="green"/>
        </w:rPr>
        <w:t xml:space="preserve">TCS </w:t>
      </w:r>
      <w:r>
        <w:rPr>
          <w:sz w:val="24"/>
          <w:szCs w:val="24"/>
          <w:highlight w:val="green"/>
        </w:rPr>
        <w:t xml:space="preserve">concentration in solution is too low (lower than 20 </w:t>
      </w:r>
      <w:proofErr w:type="spellStart"/>
      <w:r>
        <w:rPr>
          <w:sz w:val="24"/>
          <w:szCs w:val="24"/>
          <w:highlight w:val="green"/>
        </w:rPr>
        <w:t>μM</w:t>
      </w:r>
      <w:proofErr w:type="spellEnd"/>
      <w:r>
        <w:rPr>
          <w:sz w:val="24"/>
          <w:szCs w:val="24"/>
          <w:highlight w:val="green"/>
        </w:rPr>
        <w:t>)</w:t>
      </w:r>
      <w:r w:rsidRPr="00FF3C83">
        <w:rPr>
          <w:sz w:val="24"/>
          <w:szCs w:val="24"/>
          <w:highlight w:val="green"/>
        </w:rPr>
        <w:t xml:space="preserve">.  </w:t>
      </w:r>
      <w:r>
        <w:rPr>
          <w:sz w:val="24"/>
          <w:szCs w:val="24"/>
          <w:highlight w:val="green"/>
        </w:rPr>
        <w:t>In the first case, a</w:t>
      </w:r>
      <w:r w:rsidRPr="00FF3C83">
        <w:rPr>
          <w:sz w:val="24"/>
          <w:szCs w:val="24"/>
          <w:highlight w:val="green"/>
        </w:rPr>
        <w:t xml:space="preserve"> high spontaneous level could be an indication of </w:t>
      </w:r>
      <w:r>
        <w:rPr>
          <w:sz w:val="24"/>
          <w:szCs w:val="24"/>
          <w:highlight w:val="green"/>
        </w:rPr>
        <w:t>the cells</w:t>
      </w:r>
      <w:r w:rsidR="000F7889">
        <w:rPr>
          <w:sz w:val="24"/>
          <w:szCs w:val="24"/>
          <w:highlight w:val="green"/>
        </w:rPr>
        <w:t>’</w:t>
      </w:r>
      <w:r>
        <w:rPr>
          <w:sz w:val="24"/>
          <w:szCs w:val="24"/>
          <w:highlight w:val="green"/>
        </w:rPr>
        <w:t xml:space="preserve"> being in culture too long or being contaminated with mycoplasma; therefore, try these experiments with RBL-2H3 cells that have been in culture between 2-20 weeks, and regularly test for mycoplasma. If a stimulant </w:t>
      </w:r>
      <w:r w:rsidRPr="00FF3C83">
        <w:rPr>
          <w:sz w:val="24"/>
          <w:szCs w:val="24"/>
          <w:highlight w:val="green"/>
        </w:rPr>
        <w:t>d</w:t>
      </w:r>
      <w:r>
        <w:rPr>
          <w:sz w:val="24"/>
          <w:szCs w:val="24"/>
          <w:highlight w:val="green"/>
        </w:rPr>
        <w:t xml:space="preserve">ose response is not observed, the dissolved stimulant concentration may be too low, and stocks should be re-made. As an example, calcium </w:t>
      </w:r>
      <w:proofErr w:type="spellStart"/>
      <w:r>
        <w:rPr>
          <w:sz w:val="24"/>
          <w:szCs w:val="24"/>
          <w:highlight w:val="green"/>
        </w:rPr>
        <w:t>ionophore</w:t>
      </w:r>
      <w:proofErr w:type="spellEnd"/>
      <w:r>
        <w:rPr>
          <w:sz w:val="24"/>
          <w:szCs w:val="24"/>
          <w:highlight w:val="green"/>
        </w:rPr>
        <w:t xml:space="preserve"> typically is provided as a thin film, to be reconstituted with DMSO, requiring careful attention and much </w:t>
      </w:r>
      <w:proofErr w:type="spellStart"/>
      <w:r>
        <w:rPr>
          <w:sz w:val="24"/>
          <w:szCs w:val="24"/>
          <w:highlight w:val="green"/>
        </w:rPr>
        <w:t>vortexing</w:t>
      </w:r>
      <w:proofErr w:type="spellEnd"/>
      <w:r>
        <w:rPr>
          <w:sz w:val="24"/>
          <w:szCs w:val="24"/>
          <w:highlight w:val="green"/>
        </w:rPr>
        <w:t xml:space="preserve">. </w:t>
      </w:r>
      <w:r w:rsidRPr="00FF3C83">
        <w:rPr>
          <w:sz w:val="24"/>
          <w:szCs w:val="24"/>
          <w:highlight w:val="green"/>
        </w:rPr>
        <w:t>A</w:t>
      </w:r>
      <w:r>
        <w:rPr>
          <w:sz w:val="24"/>
          <w:szCs w:val="24"/>
          <w:highlight w:val="green"/>
        </w:rPr>
        <w:t>dditionally, a</w:t>
      </w:r>
      <w:r w:rsidRPr="00FF3C83">
        <w:rPr>
          <w:sz w:val="24"/>
          <w:szCs w:val="24"/>
          <w:highlight w:val="green"/>
        </w:rPr>
        <w:t xml:space="preserve"> new </w:t>
      </w:r>
      <w:proofErr w:type="spellStart"/>
      <w:r>
        <w:rPr>
          <w:sz w:val="24"/>
          <w:szCs w:val="24"/>
          <w:highlight w:val="green"/>
        </w:rPr>
        <w:t>ionophore</w:t>
      </w:r>
      <w:proofErr w:type="spellEnd"/>
      <w:r>
        <w:rPr>
          <w:sz w:val="24"/>
          <w:szCs w:val="24"/>
          <w:highlight w:val="green"/>
        </w:rPr>
        <w:t xml:space="preserve"> </w:t>
      </w:r>
      <w:r w:rsidRPr="00FF3C83">
        <w:rPr>
          <w:sz w:val="24"/>
          <w:szCs w:val="24"/>
          <w:highlight w:val="green"/>
        </w:rPr>
        <w:t xml:space="preserve">stock </w:t>
      </w:r>
      <w:r>
        <w:rPr>
          <w:sz w:val="24"/>
          <w:szCs w:val="24"/>
          <w:highlight w:val="green"/>
        </w:rPr>
        <w:t xml:space="preserve">with a different lot number </w:t>
      </w:r>
      <w:r w:rsidRPr="00FF3C83">
        <w:rPr>
          <w:sz w:val="24"/>
          <w:szCs w:val="24"/>
          <w:highlight w:val="green"/>
        </w:rPr>
        <w:t>could have a different potency</w:t>
      </w:r>
      <w:r>
        <w:rPr>
          <w:sz w:val="24"/>
          <w:szCs w:val="24"/>
          <w:highlight w:val="green"/>
        </w:rPr>
        <w:t xml:space="preserve"> simply</w:t>
      </w:r>
      <w:r w:rsidRPr="00FF3C83">
        <w:rPr>
          <w:sz w:val="24"/>
          <w:szCs w:val="24"/>
          <w:highlight w:val="green"/>
        </w:rPr>
        <w:t xml:space="preserve"> due to lot</w:t>
      </w:r>
      <w:r>
        <w:rPr>
          <w:sz w:val="24"/>
          <w:szCs w:val="24"/>
          <w:highlight w:val="green"/>
        </w:rPr>
        <w:t>-to-lot</w:t>
      </w:r>
      <w:r w:rsidRPr="00FF3C83">
        <w:rPr>
          <w:sz w:val="24"/>
          <w:szCs w:val="24"/>
          <w:highlight w:val="green"/>
        </w:rPr>
        <w:t xml:space="preserve"> variation</w:t>
      </w:r>
      <w:r>
        <w:rPr>
          <w:sz w:val="24"/>
          <w:szCs w:val="24"/>
          <w:highlight w:val="green"/>
        </w:rPr>
        <w:t xml:space="preserve">; therefore, </w:t>
      </w:r>
      <w:r w:rsidRPr="00FF3C83">
        <w:rPr>
          <w:sz w:val="24"/>
          <w:szCs w:val="24"/>
          <w:highlight w:val="green"/>
        </w:rPr>
        <w:t xml:space="preserve">a </w:t>
      </w:r>
      <w:r>
        <w:rPr>
          <w:sz w:val="24"/>
          <w:szCs w:val="24"/>
          <w:highlight w:val="green"/>
        </w:rPr>
        <w:t xml:space="preserve">degranulation </w:t>
      </w:r>
      <w:r w:rsidRPr="00FF3C83">
        <w:rPr>
          <w:sz w:val="24"/>
          <w:szCs w:val="24"/>
          <w:highlight w:val="green"/>
        </w:rPr>
        <w:t xml:space="preserve">dose response </w:t>
      </w:r>
      <w:r>
        <w:rPr>
          <w:sz w:val="24"/>
          <w:szCs w:val="24"/>
          <w:highlight w:val="green"/>
        </w:rPr>
        <w:t xml:space="preserve">is recommended with each newly purchased </w:t>
      </w:r>
      <w:proofErr w:type="spellStart"/>
      <w:r>
        <w:rPr>
          <w:sz w:val="24"/>
          <w:szCs w:val="24"/>
          <w:highlight w:val="green"/>
        </w:rPr>
        <w:t>ionophore</w:t>
      </w:r>
      <w:proofErr w:type="spellEnd"/>
      <w:r>
        <w:rPr>
          <w:sz w:val="24"/>
          <w:szCs w:val="24"/>
          <w:highlight w:val="green"/>
        </w:rPr>
        <w:t xml:space="preserve"> stock.</w:t>
      </w:r>
      <w:r w:rsidRPr="00FF3C83">
        <w:rPr>
          <w:sz w:val="24"/>
          <w:szCs w:val="24"/>
          <w:highlight w:val="green"/>
        </w:rPr>
        <w:t xml:space="preserve">  </w:t>
      </w:r>
      <w:r>
        <w:rPr>
          <w:sz w:val="24"/>
          <w:szCs w:val="24"/>
          <w:highlight w:val="green"/>
        </w:rPr>
        <w:t>I</w:t>
      </w:r>
      <w:r w:rsidR="000F7889">
        <w:rPr>
          <w:sz w:val="24"/>
          <w:szCs w:val="24"/>
          <w:highlight w:val="green"/>
        </w:rPr>
        <w:t xml:space="preserve">t is also worth noting that an apparent lack of effect </w:t>
      </w:r>
      <w:r>
        <w:rPr>
          <w:sz w:val="24"/>
          <w:szCs w:val="24"/>
          <w:highlight w:val="green"/>
        </w:rPr>
        <w:t xml:space="preserve">with a given test chemical could </w:t>
      </w:r>
      <w:r w:rsidRPr="00FF3C83">
        <w:rPr>
          <w:sz w:val="24"/>
          <w:szCs w:val="24"/>
          <w:highlight w:val="green"/>
        </w:rPr>
        <w:t>be a</w:t>
      </w:r>
      <w:r>
        <w:rPr>
          <w:sz w:val="24"/>
          <w:szCs w:val="24"/>
          <w:highlight w:val="green"/>
        </w:rPr>
        <w:t>n indication</w:t>
      </w:r>
      <w:r w:rsidRPr="00FF3C83">
        <w:rPr>
          <w:sz w:val="24"/>
          <w:szCs w:val="24"/>
          <w:highlight w:val="green"/>
        </w:rPr>
        <w:t xml:space="preserve"> that this chemical ma</w:t>
      </w:r>
      <w:r>
        <w:rPr>
          <w:sz w:val="24"/>
          <w:szCs w:val="24"/>
          <w:highlight w:val="green"/>
        </w:rPr>
        <w:t>y require a longer incubation period in order to cause an effect. If you are n</w:t>
      </w:r>
      <w:r w:rsidRPr="00FF3C83">
        <w:rPr>
          <w:sz w:val="24"/>
          <w:szCs w:val="24"/>
          <w:highlight w:val="green"/>
        </w:rPr>
        <w:t xml:space="preserve">ot </w:t>
      </w:r>
      <w:r>
        <w:rPr>
          <w:sz w:val="24"/>
          <w:szCs w:val="24"/>
          <w:highlight w:val="green"/>
        </w:rPr>
        <w:t>achieving</w:t>
      </w:r>
      <w:r w:rsidRPr="00FF3C83">
        <w:rPr>
          <w:sz w:val="24"/>
          <w:szCs w:val="24"/>
          <w:highlight w:val="green"/>
        </w:rPr>
        <w:t xml:space="preserve"> a high TCS yield </w:t>
      </w:r>
      <w:r>
        <w:rPr>
          <w:sz w:val="24"/>
          <w:szCs w:val="24"/>
          <w:highlight w:val="green"/>
        </w:rPr>
        <w:t>in solution, check that the temperature has remained constant (</w:t>
      </w:r>
      <w:r w:rsidRPr="00FF3C83">
        <w:rPr>
          <w:sz w:val="24"/>
          <w:szCs w:val="24"/>
          <w:highlight w:val="green"/>
        </w:rPr>
        <w:t xml:space="preserve">50°C </w:t>
      </w:r>
      <w:r>
        <w:rPr>
          <w:sz w:val="24"/>
          <w:szCs w:val="24"/>
          <w:highlight w:val="green"/>
        </w:rPr>
        <w:lastRenderedPageBreak/>
        <w:t>± 5°C) while the granules are dissolving into buffer. The</w:t>
      </w:r>
      <w:r w:rsidRPr="00FF3C83">
        <w:rPr>
          <w:sz w:val="24"/>
          <w:szCs w:val="24"/>
          <w:highlight w:val="green"/>
        </w:rPr>
        <w:t xml:space="preserve"> thermometer </w:t>
      </w:r>
      <w:r>
        <w:rPr>
          <w:sz w:val="24"/>
          <w:szCs w:val="24"/>
          <w:highlight w:val="green"/>
        </w:rPr>
        <w:t>should never touch</w:t>
      </w:r>
      <w:r w:rsidRPr="00FF3C83">
        <w:rPr>
          <w:sz w:val="24"/>
          <w:szCs w:val="24"/>
          <w:highlight w:val="green"/>
        </w:rPr>
        <w:t xml:space="preserve"> the bottom of the flask, </w:t>
      </w:r>
      <w:r>
        <w:rPr>
          <w:sz w:val="24"/>
          <w:szCs w:val="24"/>
          <w:highlight w:val="green"/>
        </w:rPr>
        <w:t xml:space="preserve">a position that would result in an overestimate of the temperature of the solution. </w:t>
      </w:r>
      <w:r w:rsidRPr="00FF3C83">
        <w:rPr>
          <w:sz w:val="24"/>
          <w:szCs w:val="24"/>
          <w:highlight w:val="green"/>
        </w:rPr>
        <w:t xml:space="preserve">Also, make sure there is constant </w:t>
      </w:r>
      <w:r>
        <w:rPr>
          <w:sz w:val="24"/>
          <w:szCs w:val="24"/>
          <w:highlight w:val="green"/>
        </w:rPr>
        <w:t xml:space="preserve">vigorous </w:t>
      </w:r>
      <w:r w:rsidRPr="00FF3C83">
        <w:rPr>
          <w:sz w:val="24"/>
          <w:szCs w:val="24"/>
          <w:highlight w:val="green"/>
        </w:rPr>
        <w:t xml:space="preserve">stirring and that the </w:t>
      </w:r>
      <w:r>
        <w:rPr>
          <w:sz w:val="24"/>
          <w:szCs w:val="24"/>
          <w:highlight w:val="green"/>
        </w:rPr>
        <w:t xml:space="preserve">90 minute countdown </w:t>
      </w:r>
      <w:r w:rsidRPr="00FF3C83">
        <w:rPr>
          <w:sz w:val="24"/>
          <w:szCs w:val="24"/>
          <w:highlight w:val="green"/>
        </w:rPr>
        <w:t xml:space="preserve">is not started until the temperature </w:t>
      </w:r>
      <w:r>
        <w:rPr>
          <w:sz w:val="24"/>
          <w:szCs w:val="24"/>
          <w:highlight w:val="green"/>
        </w:rPr>
        <w:t>has first reached 50°C</w:t>
      </w:r>
      <w:r w:rsidRPr="00FF3C83">
        <w:rPr>
          <w:sz w:val="24"/>
          <w:szCs w:val="24"/>
          <w:highlight w:val="green"/>
        </w:rPr>
        <w:t>.</w:t>
      </w:r>
      <w:r w:rsidRPr="00DC11A2">
        <w:rPr>
          <w:sz w:val="24"/>
          <w:szCs w:val="24"/>
          <w:highlight w:val="green"/>
        </w:rPr>
        <w:t xml:space="preserve"> </w:t>
      </w:r>
    </w:p>
    <w:p w:rsidR="000F7889" w:rsidRDefault="000F7889" w:rsidP="005D1C20">
      <w:pPr>
        <w:spacing w:after="0" w:line="240" w:lineRule="auto"/>
        <w:ind w:firstLine="720"/>
        <w:rPr>
          <w:sz w:val="24"/>
          <w:szCs w:val="24"/>
          <w:highlight w:val="green"/>
        </w:rPr>
      </w:pPr>
    </w:p>
    <w:p w:rsidR="005D1C20" w:rsidRPr="00784498" w:rsidRDefault="005D1C20" w:rsidP="005D1C20">
      <w:pPr>
        <w:spacing w:after="0" w:line="240" w:lineRule="auto"/>
        <w:ind w:firstLine="720"/>
        <w:rPr>
          <w:sz w:val="24"/>
          <w:szCs w:val="24"/>
          <w:highlight w:val="green"/>
        </w:rPr>
      </w:pPr>
      <w:proofErr w:type="gramStart"/>
      <w:r>
        <w:rPr>
          <w:b/>
          <w:sz w:val="24"/>
          <w:szCs w:val="24"/>
          <w:highlight w:val="green"/>
        </w:rPr>
        <w:t>Table for Troubleshooting.</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5D1C20" w:rsidTr="005D1C20">
        <w:tc>
          <w:tcPr>
            <w:tcW w:w="3192" w:type="dxa"/>
          </w:tcPr>
          <w:p w:rsidR="005D1C20" w:rsidRPr="00F01CCA" w:rsidRDefault="005D1C20" w:rsidP="005D1C20">
            <w:pPr>
              <w:spacing w:after="0"/>
              <w:rPr>
                <w:b/>
                <w:sz w:val="24"/>
                <w:szCs w:val="24"/>
                <w:highlight w:val="green"/>
              </w:rPr>
            </w:pPr>
            <w:r w:rsidRPr="00F01CCA">
              <w:rPr>
                <w:b/>
                <w:sz w:val="24"/>
                <w:szCs w:val="24"/>
                <w:highlight w:val="green"/>
              </w:rPr>
              <w:t>Problem</w:t>
            </w:r>
          </w:p>
        </w:tc>
        <w:tc>
          <w:tcPr>
            <w:tcW w:w="3192" w:type="dxa"/>
          </w:tcPr>
          <w:p w:rsidR="005D1C20" w:rsidRPr="00F01CCA" w:rsidRDefault="005D1C20" w:rsidP="005D1C20">
            <w:pPr>
              <w:spacing w:after="0"/>
              <w:rPr>
                <w:b/>
                <w:sz w:val="24"/>
                <w:szCs w:val="24"/>
                <w:highlight w:val="green"/>
              </w:rPr>
            </w:pPr>
            <w:r w:rsidRPr="00F01CCA">
              <w:rPr>
                <w:b/>
                <w:sz w:val="24"/>
                <w:szCs w:val="24"/>
                <w:highlight w:val="green"/>
              </w:rPr>
              <w:t>Potential Reason</w:t>
            </w:r>
          </w:p>
        </w:tc>
        <w:tc>
          <w:tcPr>
            <w:tcW w:w="3192" w:type="dxa"/>
          </w:tcPr>
          <w:p w:rsidR="005D1C20" w:rsidRPr="00F01CCA" w:rsidRDefault="005D1C20" w:rsidP="005D1C20">
            <w:pPr>
              <w:spacing w:after="0"/>
              <w:rPr>
                <w:b/>
                <w:sz w:val="24"/>
                <w:szCs w:val="24"/>
                <w:highlight w:val="green"/>
              </w:rPr>
            </w:pPr>
            <w:r w:rsidRPr="00F01CCA">
              <w:rPr>
                <w:b/>
                <w:sz w:val="24"/>
                <w:szCs w:val="24"/>
                <w:highlight w:val="green"/>
              </w:rPr>
              <w:t>Solution</w:t>
            </w:r>
          </w:p>
        </w:tc>
      </w:tr>
      <w:tr w:rsidR="005D1C20" w:rsidTr="005D1C20">
        <w:tc>
          <w:tcPr>
            <w:tcW w:w="3192" w:type="dxa"/>
          </w:tcPr>
          <w:p w:rsidR="005D1C20" w:rsidRPr="00F01CCA" w:rsidRDefault="005D1C20" w:rsidP="005D1C20">
            <w:pPr>
              <w:spacing w:after="0"/>
              <w:rPr>
                <w:sz w:val="24"/>
                <w:szCs w:val="24"/>
                <w:highlight w:val="green"/>
              </w:rPr>
            </w:pPr>
            <w:r w:rsidRPr="00F01CCA">
              <w:rPr>
                <w:rFonts w:ascii="Lucida Grande" w:hAnsi="Lucida Grande" w:cs="Lucida Grande"/>
                <w:color w:val="000000"/>
                <w:sz w:val="24"/>
                <w:szCs w:val="24"/>
                <w:highlight w:val="green"/>
              </w:rPr>
              <w:t xml:space="preserve">TCS stock is determined to be &lt; 20 </w:t>
            </w:r>
            <w:proofErr w:type="spellStart"/>
            <w:r w:rsidRPr="00F01CCA">
              <w:rPr>
                <w:rFonts w:ascii="Lucida Grande" w:hAnsi="Lucida Grande" w:cs="Lucida Grande"/>
                <w:color w:val="000000"/>
                <w:sz w:val="24"/>
                <w:szCs w:val="24"/>
                <w:highlight w:val="green"/>
              </w:rPr>
              <w:t>μM</w:t>
            </w:r>
            <w:proofErr w:type="spellEnd"/>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Non-uniform heating of the solution</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Ensure that the thermometer is positioned so that it is suspended in the solution and is not touching the bottom of the flask.</w:t>
            </w:r>
          </w:p>
        </w:tc>
      </w:tr>
      <w:tr w:rsidR="005D1C20" w:rsidTr="005D1C20">
        <w:tc>
          <w:tcPr>
            <w:tcW w:w="3192" w:type="dxa"/>
          </w:tcPr>
          <w:p w:rsidR="005D1C20" w:rsidRPr="00F01CCA" w:rsidRDefault="005D1C20" w:rsidP="005D1C20">
            <w:pPr>
              <w:spacing w:after="0"/>
              <w:rPr>
                <w:sz w:val="24"/>
                <w:szCs w:val="24"/>
                <w:highlight w:val="green"/>
              </w:rPr>
            </w:pP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Stirring is not vigorous enough</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Increase magnetic stirring on stir-plate to achieve a level of stirring that is vigorous without causing the solution to jump out of the flask. Ensure that an appropriately sized magnetic stir-bar is used.</w:t>
            </w:r>
          </w:p>
        </w:tc>
      </w:tr>
      <w:tr w:rsidR="005D1C20" w:rsidTr="005D1C20">
        <w:tc>
          <w:tcPr>
            <w:tcW w:w="3192" w:type="dxa"/>
          </w:tcPr>
          <w:p w:rsidR="005D1C20" w:rsidRPr="00F01CCA" w:rsidRDefault="005D1C20" w:rsidP="005D1C20">
            <w:pPr>
              <w:spacing w:after="0"/>
              <w:rPr>
                <w:sz w:val="24"/>
                <w:szCs w:val="24"/>
                <w:highlight w:val="green"/>
              </w:rPr>
            </w:pPr>
          </w:p>
        </w:tc>
        <w:tc>
          <w:tcPr>
            <w:tcW w:w="3192" w:type="dxa"/>
          </w:tcPr>
          <w:p w:rsidR="005D1C20" w:rsidRPr="00F01CCA" w:rsidRDefault="005D1C20" w:rsidP="005D1C20">
            <w:pPr>
              <w:spacing w:after="0"/>
              <w:rPr>
                <w:rFonts w:eastAsia="Times New Roman" w:cs="Times New Roman"/>
                <w:color w:val="000000"/>
                <w:sz w:val="24"/>
                <w:szCs w:val="24"/>
                <w:highlight w:val="green"/>
              </w:rPr>
            </w:pPr>
            <w:r w:rsidRPr="00F01CCA">
              <w:rPr>
                <w:rFonts w:eastAsia="Times New Roman" w:cs="Times New Roman"/>
                <w:color w:val="000000"/>
                <w:sz w:val="24"/>
                <w:szCs w:val="24"/>
                <w:highlight w:val="green"/>
              </w:rPr>
              <w:t>Problems with spectrophotometer</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Allow for proper warm up of UV lamp (typically 10 minutes), or replace bulb if necessary.</w:t>
            </w:r>
          </w:p>
        </w:tc>
      </w:tr>
      <w:tr w:rsidR="005D1C20" w:rsidTr="005D1C20">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Spontaneous degranulation levels are too high (&gt;~7%)</w:t>
            </w:r>
          </w:p>
        </w:tc>
        <w:tc>
          <w:tcPr>
            <w:tcW w:w="3192" w:type="dxa"/>
          </w:tcPr>
          <w:p w:rsidR="005D1C20" w:rsidRPr="00F01CCA" w:rsidRDefault="005D1C20" w:rsidP="005D1C20">
            <w:pPr>
              <w:spacing w:after="0"/>
              <w:rPr>
                <w:rFonts w:eastAsia="Times New Roman" w:cs="Times New Roman"/>
                <w:color w:val="000000"/>
                <w:sz w:val="24"/>
                <w:szCs w:val="24"/>
                <w:highlight w:val="green"/>
              </w:rPr>
            </w:pPr>
            <w:r w:rsidRPr="00F01CCA">
              <w:rPr>
                <w:rFonts w:eastAsia="Times New Roman" w:cs="Times New Roman"/>
                <w:color w:val="000000"/>
                <w:sz w:val="24"/>
                <w:szCs w:val="24"/>
                <w:highlight w:val="green"/>
              </w:rPr>
              <w:t>Cells have acquired abnormal genetic mutations due to too much time in culture</w:t>
            </w:r>
          </w:p>
        </w:tc>
        <w:tc>
          <w:tcPr>
            <w:tcW w:w="3192" w:type="dxa"/>
          </w:tcPr>
          <w:p w:rsidR="005D1C20" w:rsidRPr="00F01CCA" w:rsidRDefault="005D1C20" w:rsidP="000F7889">
            <w:pPr>
              <w:spacing w:after="0"/>
              <w:rPr>
                <w:sz w:val="24"/>
                <w:szCs w:val="24"/>
                <w:highlight w:val="green"/>
              </w:rPr>
            </w:pPr>
            <w:r w:rsidRPr="00F01CCA">
              <w:rPr>
                <w:color w:val="000000"/>
                <w:sz w:val="24"/>
                <w:szCs w:val="24"/>
                <w:highlight w:val="green"/>
              </w:rPr>
              <w:t>Perform experiments with a new cell thaw.</w:t>
            </w:r>
          </w:p>
        </w:tc>
      </w:tr>
      <w:tr w:rsidR="005D1C20" w:rsidTr="005D1C20">
        <w:tc>
          <w:tcPr>
            <w:tcW w:w="3192" w:type="dxa"/>
          </w:tcPr>
          <w:p w:rsidR="005D1C20" w:rsidRPr="00F01CCA" w:rsidRDefault="005D1C20" w:rsidP="005D1C20">
            <w:pPr>
              <w:spacing w:after="0"/>
              <w:rPr>
                <w:sz w:val="24"/>
                <w:szCs w:val="24"/>
                <w:highlight w:val="green"/>
              </w:rPr>
            </w:pP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Cells are dying because of mechanical shearing</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When adding buffer or treatment to plates that have adherent cells, be careful not to force cells to detach</w:t>
            </w:r>
            <w:r>
              <w:rPr>
                <w:color w:val="000000"/>
                <w:sz w:val="24"/>
                <w:szCs w:val="24"/>
                <w:highlight w:val="green"/>
              </w:rPr>
              <w:t>,</w:t>
            </w:r>
            <w:r w:rsidRPr="00F01CCA">
              <w:rPr>
                <w:color w:val="000000"/>
                <w:sz w:val="24"/>
                <w:szCs w:val="24"/>
                <w:highlight w:val="green"/>
              </w:rPr>
              <w:t xml:space="preserve"> by adding these volumes carefully to the side</w:t>
            </w:r>
            <w:r>
              <w:rPr>
                <w:color w:val="000000"/>
                <w:sz w:val="24"/>
                <w:szCs w:val="24"/>
                <w:highlight w:val="green"/>
              </w:rPr>
              <w:t>s</w:t>
            </w:r>
            <w:r w:rsidRPr="00F01CCA">
              <w:rPr>
                <w:color w:val="000000"/>
                <w:sz w:val="24"/>
                <w:szCs w:val="24"/>
                <w:highlight w:val="green"/>
              </w:rPr>
              <w:t xml:space="preserve"> of the </w:t>
            </w:r>
            <w:proofErr w:type="spellStart"/>
            <w:r w:rsidRPr="00F01CCA">
              <w:rPr>
                <w:color w:val="000000"/>
                <w:sz w:val="24"/>
                <w:szCs w:val="24"/>
                <w:highlight w:val="green"/>
              </w:rPr>
              <w:t>microwells</w:t>
            </w:r>
            <w:proofErr w:type="spellEnd"/>
            <w:r w:rsidRPr="00F01CCA">
              <w:rPr>
                <w:color w:val="000000"/>
                <w:sz w:val="24"/>
                <w:szCs w:val="24"/>
                <w:highlight w:val="green"/>
              </w:rPr>
              <w:t xml:space="preserve">. Practice using the </w:t>
            </w:r>
            <w:proofErr w:type="spellStart"/>
            <w:r w:rsidRPr="00F01CCA">
              <w:rPr>
                <w:color w:val="000000"/>
                <w:sz w:val="24"/>
                <w:szCs w:val="24"/>
                <w:highlight w:val="green"/>
              </w:rPr>
              <w:t>combitip</w:t>
            </w:r>
            <w:proofErr w:type="spellEnd"/>
            <w:r w:rsidRPr="00F01CCA">
              <w:rPr>
                <w:color w:val="000000"/>
                <w:sz w:val="24"/>
                <w:szCs w:val="24"/>
                <w:highlight w:val="green"/>
              </w:rPr>
              <w:t>.</w:t>
            </w:r>
          </w:p>
        </w:tc>
      </w:tr>
      <w:tr w:rsidR="005D1C20" w:rsidTr="005D1C20">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IgE/DNP-BSA does not cause release of beta-</w:t>
            </w:r>
            <w:proofErr w:type="spellStart"/>
            <w:r w:rsidRPr="00F01CCA">
              <w:rPr>
                <w:color w:val="000000"/>
                <w:sz w:val="24"/>
                <w:szCs w:val="24"/>
                <w:highlight w:val="green"/>
              </w:rPr>
              <w:t>hexosaminidase</w:t>
            </w:r>
            <w:proofErr w:type="spellEnd"/>
            <w:r w:rsidRPr="00F01CCA">
              <w:rPr>
                <w:color w:val="000000"/>
                <w:sz w:val="24"/>
                <w:szCs w:val="24"/>
                <w:highlight w:val="green"/>
              </w:rPr>
              <w:t xml:space="preserve"> over spontaneous release levels</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IgE is older than 30 days or has been subjected to freeze</w:t>
            </w:r>
            <w:r w:rsidR="000F7889">
              <w:rPr>
                <w:color w:val="000000"/>
                <w:sz w:val="24"/>
                <w:szCs w:val="24"/>
                <w:highlight w:val="green"/>
              </w:rPr>
              <w:t>/</w:t>
            </w:r>
            <w:r w:rsidRPr="00F01CCA">
              <w:rPr>
                <w:color w:val="000000"/>
                <w:sz w:val="24"/>
                <w:szCs w:val="24"/>
                <w:highlight w:val="green"/>
              </w:rPr>
              <w:t xml:space="preserve"> thaw</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Use a new, properly stored aliquot of IgE.</w:t>
            </w:r>
          </w:p>
        </w:tc>
      </w:tr>
      <w:tr w:rsidR="005D1C20" w:rsidTr="005D1C20">
        <w:tc>
          <w:tcPr>
            <w:tcW w:w="3192" w:type="dxa"/>
          </w:tcPr>
          <w:p w:rsidR="005D1C20" w:rsidRPr="00F01CCA" w:rsidRDefault="005D1C20" w:rsidP="005D1C20">
            <w:pPr>
              <w:spacing w:after="0"/>
              <w:rPr>
                <w:sz w:val="24"/>
                <w:szCs w:val="24"/>
                <w:highlight w:val="green"/>
              </w:rPr>
            </w:pP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DNP-BSA has not been properly mixed </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Be sure to carefully add the small volume of DNP-BSA to the conical tube and to vortex thoroughly.</w:t>
            </w:r>
          </w:p>
        </w:tc>
      </w:tr>
      <w:tr w:rsidR="005D1C20" w:rsidTr="005D1C20">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A23187 </w:t>
            </w:r>
            <w:proofErr w:type="spellStart"/>
            <w:r w:rsidRPr="00F01CCA">
              <w:rPr>
                <w:color w:val="000000"/>
                <w:sz w:val="24"/>
                <w:szCs w:val="24"/>
                <w:highlight w:val="green"/>
              </w:rPr>
              <w:t>ionophore</w:t>
            </w:r>
            <w:proofErr w:type="spellEnd"/>
            <w:r w:rsidRPr="00F01CCA">
              <w:rPr>
                <w:color w:val="000000"/>
                <w:sz w:val="24"/>
                <w:szCs w:val="24"/>
                <w:highlight w:val="green"/>
              </w:rPr>
              <w:t xml:space="preserve"> does not cause release of beta-</w:t>
            </w:r>
            <w:proofErr w:type="spellStart"/>
            <w:r w:rsidRPr="00F01CCA">
              <w:rPr>
                <w:color w:val="000000"/>
                <w:sz w:val="24"/>
                <w:szCs w:val="24"/>
                <w:highlight w:val="green"/>
              </w:rPr>
              <w:t>hexosaminidase</w:t>
            </w:r>
            <w:proofErr w:type="spellEnd"/>
            <w:r w:rsidRPr="00F01CCA">
              <w:rPr>
                <w:color w:val="000000"/>
                <w:sz w:val="24"/>
                <w:szCs w:val="24"/>
                <w:highlight w:val="green"/>
              </w:rPr>
              <w:t xml:space="preserve"> over spontaneous release levels</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A23187 stock has not been properly reconstituted</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Product arrives as a "thin film," and must be reconstituted with care and much </w:t>
            </w:r>
            <w:proofErr w:type="spellStart"/>
            <w:r w:rsidRPr="00F01CCA">
              <w:rPr>
                <w:color w:val="000000"/>
                <w:sz w:val="24"/>
                <w:szCs w:val="24"/>
                <w:highlight w:val="green"/>
              </w:rPr>
              <w:t>vortexing</w:t>
            </w:r>
            <w:proofErr w:type="spellEnd"/>
            <w:r w:rsidRPr="00F01CCA">
              <w:rPr>
                <w:color w:val="000000"/>
                <w:sz w:val="24"/>
                <w:szCs w:val="24"/>
                <w:highlight w:val="green"/>
              </w:rPr>
              <w:t>. Transfer reconstituted stock to a new 1.5-mL tube</w:t>
            </w:r>
            <w:r w:rsidR="000F7889">
              <w:rPr>
                <w:color w:val="000000"/>
                <w:sz w:val="24"/>
                <w:szCs w:val="24"/>
                <w:highlight w:val="green"/>
              </w:rPr>
              <w:t xml:space="preserve"> for storage.</w:t>
            </w:r>
            <w:r w:rsidRPr="00F01CCA">
              <w:rPr>
                <w:color w:val="000000"/>
                <w:sz w:val="24"/>
                <w:szCs w:val="24"/>
                <w:highlight w:val="green"/>
              </w:rPr>
              <w:t xml:space="preserve"> </w:t>
            </w:r>
          </w:p>
        </w:tc>
      </w:tr>
      <w:tr w:rsidR="005D1C20" w:rsidTr="005D1C20">
        <w:tc>
          <w:tcPr>
            <w:tcW w:w="3192" w:type="dxa"/>
          </w:tcPr>
          <w:p w:rsidR="005D1C20" w:rsidRPr="00F01CCA" w:rsidRDefault="005D1C20" w:rsidP="005D1C20">
            <w:pPr>
              <w:spacing w:after="0"/>
              <w:rPr>
                <w:sz w:val="24"/>
                <w:szCs w:val="24"/>
                <w:highlight w:val="green"/>
              </w:rPr>
            </w:pP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A23187 stock has not been properly stored</w:t>
            </w:r>
          </w:p>
        </w:tc>
        <w:tc>
          <w:tcPr>
            <w:tcW w:w="3192" w:type="dxa"/>
          </w:tcPr>
          <w:p w:rsidR="005D1C20" w:rsidRPr="002B3F79" w:rsidRDefault="005D1C20" w:rsidP="005D1C20">
            <w:pPr>
              <w:spacing w:after="0"/>
              <w:rPr>
                <w:color w:val="000000"/>
                <w:sz w:val="24"/>
                <w:szCs w:val="24"/>
                <w:highlight w:val="green"/>
              </w:rPr>
            </w:pPr>
            <w:r w:rsidRPr="00F01CCA">
              <w:rPr>
                <w:sz w:val="24"/>
                <w:szCs w:val="24"/>
                <w:highlight w:val="green"/>
              </w:rPr>
              <w:t>S</w:t>
            </w:r>
            <w:r w:rsidRPr="00F01CCA">
              <w:rPr>
                <w:color w:val="000000"/>
                <w:sz w:val="24"/>
                <w:szCs w:val="24"/>
                <w:highlight w:val="green"/>
              </w:rPr>
              <w:t xml:space="preserve">tocks are light sensitive. Once reconstituted, </w:t>
            </w:r>
            <w:proofErr w:type="spellStart"/>
            <w:r w:rsidRPr="00F01CCA">
              <w:rPr>
                <w:color w:val="000000"/>
                <w:sz w:val="24"/>
                <w:szCs w:val="24"/>
                <w:highlight w:val="green"/>
              </w:rPr>
              <w:t>parafilm</w:t>
            </w:r>
            <w:proofErr w:type="spellEnd"/>
            <w:r w:rsidRPr="00F01CCA">
              <w:rPr>
                <w:color w:val="000000"/>
                <w:sz w:val="24"/>
                <w:szCs w:val="24"/>
                <w:highlight w:val="green"/>
              </w:rPr>
              <w:t xml:space="preserve"> the top</w:t>
            </w:r>
            <w:r>
              <w:rPr>
                <w:color w:val="000000"/>
                <w:sz w:val="24"/>
                <w:szCs w:val="24"/>
                <w:highlight w:val="green"/>
              </w:rPr>
              <w:t xml:space="preserve">, and store wrapped in foil at </w:t>
            </w:r>
            <w:r w:rsidRPr="00F01CCA">
              <w:rPr>
                <w:color w:val="000000"/>
                <w:sz w:val="24"/>
                <w:szCs w:val="24"/>
                <w:highlight w:val="green"/>
              </w:rPr>
              <w:t>-20°C. If there is a question about the storage of a stock, discard and begin tests with a new stock.</w:t>
            </w:r>
          </w:p>
        </w:tc>
      </w:tr>
      <w:tr w:rsidR="005D1C20" w:rsidTr="005D1C20">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180 </w:t>
            </w:r>
            <w:proofErr w:type="spellStart"/>
            <w:r w:rsidRPr="00F01CCA">
              <w:rPr>
                <w:color w:val="000000"/>
                <w:sz w:val="24"/>
                <w:szCs w:val="24"/>
                <w:highlight w:val="green"/>
              </w:rPr>
              <w:t>nM</w:t>
            </w:r>
            <w:proofErr w:type="spellEnd"/>
            <w:r w:rsidRPr="00F01CCA">
              <w:rPr>
                <w:color w:val="000000"/>
                <w:sz w:val="24"/>
                <w:szCs w:val="24"/>
                <w:highlight w:val="green"/>
              </w:rPr>
              <w:t xml:space="preserve"> of A23187 </w:t>
            </w:r>
            <w:proofErr w:type="spellStart"/>
            <w:r w:rsidRPr="00F01CCA">
              <w:rPr>
                <w:color w:val="000000"/>
                <w:sz w:val="24"/>
                <w:szCs w:val="24"/>
                <w:highlight w:val="green"/>
              </w:rPr>
              <w:t>ionophore</w:t>
            </w:r>
            <w:proofErr w:type="spellEnd"/>
            <w:r w:rsidRPr="00F01CCA">
              <w:rPr>
                <w:color w:val="000000"/>
                <w:sz w:val="24"/>
                <w:szCs w:val="24"/>
                <w:highlight w:val="green"/>
              </w:rPr>
              <w:t xml:space="preserve"> does not elicit the same level of relative degranulation response</w:t>
            </w:r>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Lot-to-lot variation of A23187 </w:t>
            </w:r>
            <w:proofErr w:type="spellStart"/>
            <w:r w:rsidRPr="00F01CCA">
              <w:rPr>
                <w:color w:val="000000"/>
                <w:sz w:val="24"/>
                <w:szCs w:val="24"/>
                <w:highlight w:val="green"/>
              </w:rPr>
              <w:t>ionophore</w:t>
            </w:r>
            <w:proofErr w:type="spellEnd"/>
          </w:p>
        </w:tc>
        <w:tc>
          <w:tcPr>
            <w:tcW w:w="3192" w:type="dxa"/>
          </w:tcPr>
          <w:p w:rsidR="005D1C20" w:rsidRPr="00F01CCA" w:rsidRDefault="005D1C20" w:rsidP="005D1C20">
            <w:pPr>
              <w:spacing w:after="0"/>
              <w:rPr>
                <w:sz w:val="24"/>
                <w:szCs w:val="24"/>
                <w:highlight w:val="green"/>
              </w:rPr>
            </w:pPr>
            <w:r w:rsidRPr="00F01CCA">
              <w:rPr>
                <w:color w:val="000000"/>
                <w:sz w:val="24"/>
                <w:szCs w:val="24"/>
                <w:highlight w:val="green"/>
              </w:rPr>
              <w:t xml:space="preserve">Perform a dose response experiment for each new lot of </w:t>
            </w:r>
            <w:proofErr w:type="spellStart"/>
            <w:r w:rsidRPr="00F01CCA">
              <w:rPr>
                <w:color w:val="000000"/>
                <w:sz w:val="24"/>
                <w:szCs w:val="24"/>
                <w:highlight w:val="green"/>
              </w:rPr>
              <w:t>ionophore</w:t>
            </w:r>
            <w:proofErr w:type="spellEnd"/>
            <w:r w:rsidRPr="00F01CCA">
              <w:rPr>
                <w:color w:val="000000"/>
                <w:sz w:val="24"/>
                <w:szCs w:val="24"/>
                <w:highlight w:val="green"/>
              </w:rPr>
              <w:t>. It is also recommended that stocks from the same lot be tested, due to potential variability in the reconstitution process.</w:t>
            </w:r>
          </w:p>
        </w:tc>
      </w:tr>
    </w:tbl>
    <w:p w:rsidR="003A2896" w:rsidRPr="0009732B" w:rsidRDefault="003F5EB2" w:rsidP="003F5EB2">
      <w:pPr>
        <w:spacing w:after="0"/>
        <w:rPr>
          <w:rFonts w:ascii="Arial" w:hAnsi="Arial" w:cs="Arial"/>
          <w:color w:val="222222"/>
          <w:sz w:val="24"/>
          <w:szCs w:val="24"/>
        </w:rPr>
      </w:pPr>
      <w:r w:rsidRPr="0009732B">
        <w:rPr>
          <w:rFonts w:ascii="Arial" w:hAnsi="Arial" w:cs="Arial"/>
          <w:color w:val="222222"/>
          <w:sz w:val="24"/>
          <w:szCs w:val="24"/>
        </w:rPr>
        <w:br/>
      </w:r>
      <w:r w:rsidRPr="0009732B">
        <w:rPr>
          <w:rFonts w:ascii="Arial" w:hAnsi="Arial" w:cs="Arial"/>
          <w:color w:val="222222"/>
          <w:sz w:val="24"/>
          <w:szCs w:val="24"/>
          <w:shd w:val="clear" w:color="auto" w:fill="FFFFFF"/>
        </w:rPr>
        <w:t>(5) The third paragraph on pg. 4 the following phrase is used: "also very much recent attention being paid", this phrasing is awkward, and I would suggest rewording.</w:t>
      </w:r>
      <w:r w:rsidRPr="0009732B">
        <w:rPr>
          <w:rStyle w:val="apple-converted-space"/>
          <w:rFonts w:ascii="Arial" w:hAnsi="Arial" w:cs="Arial"/>
          <w:color w:val="222222"/>
          <w:sz w:val="24"/>
          <w:szCs w:val="24"/>
          <w:shd w:val="clear" w:color="auto" w:fill="FFFFFF"/>
        </w:rPr>
        <w:t> </w:t>
      </w:r>
    </w:p>
    <w:p w:rsidR="003A2896" w:rsidRDefault="003A2896" w:rsidP="003F5EB2">
      <w:pPr>
        <w:spacing w:after="0"/>
        <w:rPr>
          <w:rFonts w:ascii="Arial" w:hAnsi="Arial" w:cs="Arial"/>
          <w:color w:val="222222"/>
          <w:sz w:val="24"/>
          <w:szCs w:val="24"/>
        </w:rPr>
      </w:pPr>
    </w:p>
    <w:p w:rsidR="00F54BC8" w:rsidRPr="00F54BC8" w:rsidRDefault="00F54BC8" w:rsidP="003F5EB2">
      <w:pPr>
        <w:spacing w:after="0"/>
        <w:rPr>
          <w:rFonts w:ascii="Arial" w:hAnsi="Arial" w:cs="Arial"/>
          <w:color w:val="FF0000"/>
          <w:sz w:val="24"/>
          <w:szCs w:val="24"/>
        </w:rPr>
      </w:pPr>
      <w:r w:rsidRPr="00F54BC8">
        <w:rPr>
          <w:rFonts w:ascii="Arial" w:hAnsi="Arial" w:cs="Arial"/>
          <w:color w:val="FF0000"/>
          <w:sz w:val="24"/>
          <w:szCs w:val="24"/>
        </w:rPr>
        <w:t>The sentence was reworded:  “</w:t>
      </w:r>
      <w:r w:rsidRPr="00F54BC8">
        <w:rPr>
          <w:rFonts w:ascii="Arial" w:hAnsi="Arial" w:cs="Arial"/>
          <w:color w:val="FF0000"/>
          <w:sz w:val="24"/>
          <w:szCs w:val="24"/>
          <w:highlight w:val="green"/>
        </w:rPr>
        <w:t xml:space="preserve">Beyond its potential as a therapeutic aid in allergic skin disease (or, conversely, as an </w:t>
      </w:r>
      <w:proofErr w:type="spellStart"/>
      <w:r w:rsidRPr="00F54BC8">
        <w:rPr>
          <w:rFonts w:ascii="Arial" w:hAnsi="Arial" w:cs="Arial"/>
          <w:color w:val="FF0000"/>
          <w:sz w:val="24"/>
          <w:szCs w:val="24"/>
          <w:highlight w:val="green"/>
        </w:rPr>
        <w:t>immunotoxicant</w:t>
      </w:r>
      <w:proofErr w:type="spellEnd"/>
      <w:r w:rsidRPr="00F54BC8">
        <w:rPr>
          <w:rFonts w:ascii="Arial" w:hAnsi="Arial" w:cs="Arial"/>
          <w:color w:val="FF0000"/>
          <w:sz w:val="24"/>
          <w:szCs w:val="24"/>
          <w:highlight w:val="green"/>
        </w:rPr>
        <w:t>), TCS may also be an endocrine disruptor.</w:t>
      </w:r>
      <w:r w:rsidRPr="00F54BC8">
        <w:rPr>
          <w:rFonts w:ascii="Arial" w:hAnsi="Arial" w:cs="Arial"/>
          <w:color w:val="FF0000"/>
          <w:sz w:val="24"/>
          <w:szCs w:val="24"/>
        </w:rPr>
        <w:t>”</w:t>
      </w:r>
    </w:p>
    <w:p w:rsidR="003F5EB2" w:rsidRDefault="003F5EB2" w:rsidP="003F5EB2">
      <w:pPr>
        <w:spacing w:after="0"/>
        <w:rPr>
          <w:rStyle w:val="apple-converted-space"/>
          <w:rFonts w:ascii="Arial" w:hAnsi="Arial" w:cs="Arial"/>
          <w:color w:val="222222"/>
          <w:sz w:val="24"/>
          <w:szCs w:val="24"/>
          <w:shd w:val="clear" w:color="auto" w:fill="FFFFFF"/>
        </w:rPr>
      </w:pPr>
      <w:r w:rsidRPr="0009732B">
        <w:rPr>
          <w:rFonts w:ascii="Arial" w:hAnsi="Arial" w:cs="Arial"/>
          <w:color w:val="222222"/>
          <w:sz w:val="24"/>
          <w:szCs w:val="24"/>
        </w:rPr>
        <w:br/>
      </w:r>
      <w:r w:rsidRPr="0009732B">
        <w:rPr>
          <w:rFonts w:ascii="Arial" w:hAnsi="Arial" w:cs="Arial"/>
          <w:i/>
          <w:iCs/>
          <w:color w:val="222222"/>
          <w:sz w:val="24"/>
          <w:szCs w:val="24"/>
          <w:shd w:val="clear" w:color="auto" w:fill="FFFFFF"/>
        </w:rPr>
        <w:t>Additional Comments to Authors:</w:t>
      </w:r>
      <w:r w:rsidRPr="0009732B">
        <w:rPr>
          <w:rFonts w:ascii="Arial" w:hAnsi="Arial" w:cs="Arial"/>
          <w:color w:val="222222"/>
          <w:sz w:val="24"/>
          <w:szCs w:val="24"/>
        </w:rPr>
        <w:br/>
      </w:r>
      <w:r w:rsidRPr="0009732B">
        <w:rPr>
          <w:rFonts w:ascii="Arial" w:hAnsi="Arial" w:cs="Arial"/>
          <w:color w:val="222222"/>
          <w:sz w:val="24"/>
          <w:szCs w:val="24"/>
          <w:shd w:val="clear" w:color="auto" w:fill="FFFFFF"/>
        </w:rPr>
        <w:t>Overall I found this manuscript well thought out and executed.</w:t>
      </w:r>
      <w:r w:rsidRPr="0009732B">
        <w:rPr>
          <w:rStyle w:val="apple-converted-space"/>
          <w:rFonts w:ascii="Arial" w:hAnsi="Arial" w:cs="Arial"/>
          <w:color w:val="222222"/>
          <w:sz w:val="24"/>
          <w:szCs w:val="24"/>
          <w:shd w:val="clear" w:color="auto" w:fill="FFFFFF"/>
        </w:rPr>
        <w:t> </w:t>
      </w:r>
    </w:p>
    <w:p w:rsidR="00407FE7" w:rsidRDefault="00407FE7" w:rsidP="003F5EB2">
      <w:pPr>
        <w:spacing w:after="0"/>
        <w:rPr>
          <w:rStyle w:val="apple-converted-space"/>
          <w:rFonts w:ascii="Arial" w:hAnsi="Arial" w:cs="Arial"/>
          <w:color w:val="222222"/>
          <w:sz w:val="24"/>
          <w:szCs w:val="24"/>
          <w:shd w:val="clear" w:color="auto" w:fill="FFFFFF"/>
        </w:rPr>
      </w:pPr>
    </w:p>
    <w:p w:rsidR="00407FE7" w:rsidRPr="00407FE7" w:rsidRDefault="00407FE7" w:rsidP="003F5EB2">
      <w:pPr>
        <w:spacing w:after="0"/>
        <w:rPr>
          <w:rStyle w:val="apple-converted-space"/>
          <w:rFonts w:ascii="Arial" w:hAnsi="Arial" w:cs="Arial"/>
          <w:color w:val="FF0000"/>
          <w:sz w:val="24"/>
          <w:szCs w:val="24"/>
          <w:shd w:val="clear" w:color="auto" w:fill="FFFFFF"/>
        </w:rPr>
      </w:pPr>
      <w:r w:rsidRPr="00407FE7">
        <w:rPr>
          <w:rStyle w:val="apple-converted-space"/>
          <w:rFonts w:ascii="Arial" w:hAnsi="Arial" w:cs="Arial"/>
          <w:color w:val="FF0000"/>
          <w:sz w:val="24"/>
          <w:szCs w:val="24"/>
          <w:shd w:val="clear" w:color="auto" w:fill="FFFFFF"/>
        </w:rPr>
        <w:t>Thank you.</w:t>
      </w:r>
    </w:p>
    <w:p w:rsidR="003F5EB2" w:rsidRPr="0009732B" w:rsidRDefault="003F5EB2" w:rsidP="003F5EB2">
      <w:pPr>
        <w:spacing w:after="0"/>
        <w:rPr>
          <w:rStyle w:val="apple-converted-space"/>
          <w:rFonts w:ascii="Arial" w:hAnsi="Arial" w:cs="Arial"/>
          <w:color w:val="222222"/>
          <w:sz w:val="24"/>
          <w:szCs w:val="24"/>
          <w:shd w:val="clear" w:color="auto" w:fill="FFFFFF"/>
        </w:rPr>
      </w:pPr>
    </w:p>
    <w:p w:rsidR="003F5EB2" w:rsidRDefault="003F5EB2" w:rsidP="003F5EB2">
      <w:pPr>
        <w:spacing w:after="0"/>
        <w:rPr>
          <w:rStyle w:val="apple-converted-space"/>
          <w:rFonts w:ascii="Arial" w:hAnsi="Arial" w:cs="Arial"/>
          <w:color w:val="222222"/>
          <w:sz w:val="24"/>
          <w:szCs w:val="24"/>
          <w:shd w:val="clear" w:color="auto" w:fill="FFFFFF"/>
        </w:rPr>
      </w:pPr>
      <w:r w:rsidRPr="0009732B">
        <w:rPr>
          <w:rFonts w:ascii="Arial" w:hAnsi="Arial" w:cs="Arial"/>
          <w:b/>
          <w:bCs/>
          <w:color w:val="222222"/>
          <w:sz w:val="24"/>
          <w:szCs w:val="24"/>
          <w:shd w:val="clear" w:color="auto" w:fill="FFFFFF"/>
        </w:rPr>
        <w:t>Reviewer #2:</w:t>
      </w:r>
      <w:r w:rsidRPr="0009732B">
        <w:rPr>
          <w:rStyle w:val="apple-converted-space"/>
          <w:rFonts w:ascii="Arial" w:hAnsi="Arial" w:cs="Arial"/>
          <w:b/>
          <w:bCs/>
          <w:color w:val="222222"/>
          <w:sz w:val="24"/>
          <w:szCs w:val="24"/>
          <w:shd w:val="clear" w:color="auto" w:fill="FFFFFF"/>
        </w:rPr>
        <w:t> </w:t>
      </w:r>
      <w:r w:rsidRPr="0009732B">
        <w:rPr>
          <w:rFonts w:ascii="Arial" w:hAnsi="Arial" w:cs="Arial"/>
          <w:color w:val="222222"/>
          <w:sz w:val="24"/>
          <w:szCs w:val="24"/>
        </w:rPr>
        <w:br/>
      </w:r>
      <w:r w:rsidRPr="0009732B">
        <w:rPr>
          <w:rFonts w:ascii="Arial" w:hAnsi="Arial" w:cs="Arial"/>
          <w:i/>
          <w:iCs/>
          <w:color w:val="222222"/>
          <w:sz w:val="24"/>
          <w:szCs w:val="24"/>
          <w:shd w:val="clear" w:color="auto" w:fill="FFFFFF"/>
        </w:rPr>
        <w:t>Manuscript Summary:</w:t>
      </w:r>
      <w:r w:rsidRPr="0009732B">
        <w:rPr>
          <w:rStyle w:val="apple-converted-space"/>
          <w:rFonts w:ascii="Arial" w:hAnsi="Arial" w:cs="Arial"/>
          <w:color w:val="222222"/>
          <w:sz w:val="24"/>
          <w:szCs w:val="24"/>
          <w:shd w:val="clear" w:color="auto" w:fill="FFFFFF"/>
        </w:rPr>
        <w:t> </w:t>
      </w:r>
      <w:r w:rsidRPr="0009732B">
        <w:rPr>
          <w:rFonts w:ascii="Arial" w:hAnsi="Arial" w:cs="Arial"/>
          <w:color w:val="222222"/>
          <w:sz w:val="24"/>
          <w:szCs w:val="24"/>
        </w:rPr>
        <w:br/>
      </w:r>
      <w:r w:rsidRPr="0009732B">
        <w:rPr>
          <w:rFonts w:ascii="Arial" w:hAnsi="Arial" w:cs="Arial"/>
          <w:color w:val="222222"/>
          <w:sz w:val="24"/>
          <w:szCs w:val="24"/>
          <w:shd w:val="clear" w:color="auto" w:fill="FFFFFF"/>
        </w:rPr>
        <w:lastRenderedPageBreak/>
        <w:t xml:space="preserve">Weatherly et al. reported to use a </w:t>
      </w:r>
      <w:proofErr w:type="spellStart"/>
      <w:r w:rsidRPr="0009732B">
        <w:rPr>
          <w:rFonts w:ascii="Arial" w:hAnsi="Arial" w:cs="Arial"/>
          <w:color w:val="222222"/>
          <w:sz w:val="24"/>
          <w:szCs w:val="24"/>
          <w:shd w:val="clear" w:color="auto" w:fill="FFFFFF"/>
        </w:rPr>
        <w:t>microplate</w:t>
      </w:r>
      <w:proofErr w:type="spellEnd"/>
      <w:r w:rsidRPr="0009732B">
        <w:rPr>
          <w:rFonts w:ascii="Arial" w:hAnsi="Arial" w:cs="Arial"/>
          <w:color w:val="222222"/>
          <w:sz w:val="24"/>
          <w:szCs w:val="24"/>
          <w:shd w:val="clear" w:color="auto" w:fill="FFFFFF"/>
        </w:rPr>
        <w:t xml:space="preserve"> assay as a high-throughput to assess the effect of Triclosan on RBL-2H3 mast cell degranulation. In addition, the authors reported a method to resolve </w:t>
      </w:r>
      <w:proofErr w:type="spellStart"/>
      <w:r w:rsidRPr="0009732B">
        <w:rPr>
          <w:rFonts w:ascii="Arial" w:hAnsi="Arial" w:cs="Arial"/>
          <w:color w:val="222222"/>
          <w:sz w:val="24"/>
          <w:szCs w:val="24"/>
          <w:shd w:val="clear" w:color="auto" w:fill="FFFFFF"/>
        </w:rPr>
        <w:t>triclosan</w:t>
      </w:r>
      <w:proofErr w:type="spellEnd"/>
      <w:r w:rsidRPr="0009732B">
        <w:rPr>
          <w:rFonts w:ascii="Arial" w:hAnsi="Arial" w:cs="Arial"/>
          <w:color w:val="222222"/>
          <w:sz w:val="24"/>
          <w:szCs w:val="24"/>
          <w:shd w:val="clear" w:color="auto" w:fill="FFFFFF"/>
        </w:rPr>
        <w:t xml:space="preserve"> into aqueous, which is different than using the traditional organic solvent. This article provided a detailed description of a method for detecting mast cell degranulation. The rationale and background for the method is adequately explained.</w:t>
      </w:r>
      <w:r w:rsidRPr="0009732B">
        <w:rPr>
          <w:rStyle w:val="apple-converted-space"/>
          <w:rFonts w:ascii="Arial" w:hAnsi="Arial" w:cs="Arial"/>
          <w:color w:val="222222"/>
          <w:sz w:val="24"/>
          <w:szCs w:val="24"/>
          <w:shd w:val="clear" w:color="auto" w:fill="FFFFFF"/>
        </w:rPr>
        <w:t> </w:t>
      </w:r>
    </w:p>
    <w:p w:rsidR="001270D3" w:rsidRPr="0009732B" w:rsidRDefault="003F5EB2" w:rsidP="003F5EB2">
      <w:pPr>
        <w:spacing w:after="0"/>
        <w:rPr>
          <w:rFonts w:ascii="Arial" w:hAnsi="Arial" w:cs="Arial"/>
          <w:color w:val="222222"/>
          <w:sz w:val="24"/>
          <w:szCs w:val="24"/>
        </w:rPr>
      </w:pPr>
      <w:r w:rsidRPr="0009732B">
        <w:rPr>
          <w:rFonts w:ascii="Arial" w:hAnsi="Arial" w:cs="Arial"/>
          <w:color w:val="222222"/>
          <w:sz w:val="24"/>
          <w:szCs w:val="24"/>
        </w:rPr>
        <w:br/>
      </w:r>
      <w:r w:rsidRPr="0009732B">
        <w:rPr>
          <w:rFonts w:ascii="Arial" w:hAnsi="Arial" w:cs="Arial"/>
          <w:i/>
          <w:iCs/>
          <w:color w:val="222222"/>
          <w:sz w:val="24"/>
          <w:szCs w:val="24"/>
          <w:shd w:val="clear" w:color="auto" w:fill="FFFFFF"/>
        </w:rPr>
        <w:t>Major Concerns:</w:t>
      </w:r>
      <w:r w:rsidRPr="0009732B">
        <w:rPr>
          <w:rFonts w:ascii="Arial" w:hAnsi="Arial" w:cs="Arial"/>
          <w:color w:val="222222"/>
          <w:sz w:val="24"/>
          <w:szCs w:val="24"/>
        </w:rPr>
        <w:br/>
      </w:r>
      <w:r w:rsidRPr="0009732B">
        <w:rPr>
          <w:rFonts w:ascii="Arial" w:hAnsi="Arial" w:cs="Arial"/>
          <w:color w:val="222222"/>
          <w:sz w:val="24"/>
          <w:szCs w:val="24"/>
          <w:shd w:val="clear" w:color="auto" w:fill="FFFFFF"/>
        </w:rPr>
        <w:t>Traditional method (beta-</w:t>
      </w:r>
      <w:proofErr w:type="spellStart"/>
      <w:r w:rsidRPr="0009732B">
        <w:rPr>
          <w:rFonts w:ascii="Arial" w:hAnsi="Arial" w:cs="Arial"/>
          <w:color w:val="222222"/>
          <w:sz w:val="24"/>
          <w:szCs w:val="24"/>
          <w:shd w:val="clear" w:color="auto" w:fill="FFFFFF"/>
        </w:rPr>
        <w:t>hexosaminidase</w:t>
      </w:r>
      <w:proofErr w:type="spellEnd"/>
      <w:r w:rsidRPr="0009732B">
        <w:rPr>
          <w:rFonts w:ascii="Arial" w:hAnsi="Arial" w:cs="Arial"/>
          <w:color w:val="222222"/>
          <w:sz w:val="24"/>
          <w:szCs w:val="24"/>
          <w:shd w:val="clear" w:color="auto" w:fill="FFFFFF"/>
        </w:rPr>
        <w:t xml:space="preserve">) for examining mast cell degranulation should be used as positive control for evaluating the </w:t>
      </w:r>
      <w:proofErr w:type="spellStart"/>
      <w:r w:rsidRPr="0009732B">
        <w:rPr>
          <w:rFonts w:ascii="Arial" w:hAnsi="Arial" w:cs="Arial"/>
          <w:color w:val="222222"/>
          <w:sz w:val="24"/>
          <w:szCs w:val="24"/>
          <w:shd w:val="clear" w:color="auto" w:fill="FFFFFF"/>
        </w:rPr>
        <w:t>microplate</w:t>
      </w:r>
      <w:proofErr w:type="spellEnd"/>
      <w:r w:rsidRPr="0009732B">
        <w:rPr>
          <w:rFonts w:ascii="Arial" w:hAnsi="Arial" w:cs="Arial"/>
          <w:color w:val="222222"/>
          <w:sz w:val="24"/>
          <w:szCs w:val="24"/>
          <w:shd w:val="clear" w:color="auto" w:fill="FFFFFF"/>
        </w:rPr>
        <w:t xml:space="preserve"> assay.</w:t>
      </w:r>
      <w:r w:rsidRPr="0009732B">
        <w:rPr>
          <w:rStyle w:val="apple-converted-space"/>
          <w:rFonts w:ascii="Arial" w:hAnsi="Arial" w:cs="Arial"/>
          <w:color w:val="222222"/>
          <w:sz w:val="24"/>
          <w:szCs w:val="24"/>
          <w:shd w:val="clear" w:color="auto" w:fill="FFFFFF"/>
        </w:rPr>
        <w:t> </w:t>
      </w:r>
      <w:r w:rsidRPr="0009732B">
        <w:rPr>
          <w:rFonts w:ascii="Arial" w:hAnsi="Arial" w:cs="Arial"/>
          <w:color w:val="222222"/>
          <w:sz w:val="24"/>
          <w:szCs w:val="24"/>
        </w:rPr>
        <w:br/>
      </w:r>
    </w:p>
    <w:p w:rsidR="009A21E1" w:rsidRDefault="002A153A" w:rsidP="003F5EB2">
      <w:pPr>
        <w:spacing w:after="0"/>
        <w:rPr>
          <w:rFonts w:ascii="Arial" w:hAnsi="Arial" w:cs="Arial"/>
          <w:color w:val="FF0000"/>
          <w:sz w:val="24"/>
          <w:szCs w:val="24"/>
        </w:rPr>
      </w:pPr>
      <w:r>
        <w:rPr>
          <w:rFonts w:ascii="Arial" w:hAnsi="Arial" w:cs="Arial"/>
          <w:color w:val="FF0000"/>
          <w:sz w:val="24"/>
          <w:szCs w:val="24"/>
        </w:rPr>
        <w:t xml:space="preserve">In this manuscript we describe using </w:t>
      </w:r>
      <w:r w:rsidRPr="0009732B">
        <w:rPr>
          <w:rFonts w:ascii="Arial" w:hAnsi="Arial" w:cs="Arial"/>
          <w:color w:val="FF0000"/>
          <w:sz w:val="24"/>
          <w:szCs w:val="24"/>
        </w:rPr>
        <w:t>β</w:t>
      </w:r>
      <w:r>
        <w:rPr>
          <w:rFonts w:ascii="Arial" w:hAnsi="Arial" w:cs="Arial"/>
          <w:color w:val="FF0000"/>
          <w:sz w:val="24"/>
          <w:szCs w:val="24"/>
        </w:rPr>
        <w:t>-</w:t>
      </w:r>
      <w:proofErr w:type="spellStart"/>
      <w:r>
        <w:rPr>
          <w:rFonts w:ascii="Arial" w:hAnsi="Arial" w:cs="Arial"/>
          <w:color w:val="FF0000"/>
          <w:sz w:val="24"/>
          <w:szCs w:val="24"/>
        </w:rPr>
        <w:t>hexosaminidase</w:t>
      </w:r>
      <w:proofErr w:type="spellEnd"/>
      <w:r>
        <w:rPr>
          <w:rFonts w:ascii="Arial" w:hAnsi="Arial" w:cs="Arial"/>
          <w:color w:val="FF0000"/>
          <w:sz w:val="24"/>
          <w:szCs w:val="24"/>
        </w:rPr>
        <w:t xml:space="preserve"> as a measure for mast cell degranulation. </w:t>
      </w:r>
      <w:r w:rsidR="00407FE7">
        <w:rPr>
          <w:rFonts w:ascii="Arial" w:hAnsi="Arial" w:cs="Arial"/>
          <w:color w:val="FF0000"/>
          <w:sz w:val="24"/>
          <w:szCs w:val="24"/>
        </w:rPr>
        <w:t xml:space="preserve">We believe the reviewer is referring to </w:t>
      </w:r>
      <w:r w:rsidR="001270D3" w:rsidRPr="0009732B">
        <w:rPr>
          <w:rFonts w:ascii="Arial" w:hAnsi="Arial" w:cs="Arial"/>
          <w:color w:val="FF0000"/>
          <w:sz w:val="24"/>
          <w:szCs w:val="24"/>
        </w:rPr>
        <w:t>β-</w:t>
      </w:r>
      <w:proofErr w:type="spellStart"/>
      <w:r w:rsidR="001270D3" w:rsidRPr="0009732B">
        <w:rPr>
          <w:rFonts w:ascii="Arial" w:hAnsi="Arial" w:cs="Arial"/>
          <w:color w:val="FF0000"/>
          <w:sz w:val="24"/>
          <w:szCs w:val="24"/>
        </w:rPr>
        <w:t>hexosaminidase</w:t>
      </w:r>
      <w:proofErr w:type="spellEnd"/>
      <w:r w:rsidR="001270D3" w:rsidRPr="0009732B">
        <w:rPr>
          <w:rFonts w:ascii="Arial" w:hAnsi="Arial" w:cs="Arial"/>
          <w:color w:val="FF0000"/>
          <w:sz w:val="24"/>
          <w:szCs w:val="24"/>
        </w:rPr>
        <w:t xml:space="preserve"> assays </w:t>
      </w:r>
      <w:r w:rsidR="00407FE7">
        <w:rPr>
          <w:rFonts w:ascii="Arial" w:hAnsi="Arial" w:cs="Arial"/>
          <w:color w:val="FF0000"/>
          <w:sz w:val="24"/>
          <w:szCs w:val="24"/>
        </w:rPr>
        <w:t>that</w:t>
      </w:r>
      <w:r w:rsidR="00E026C4">
        <w:rPr>
          <w:rFonts w:ascii="Arial" w:hAnsi="Arial" w:cs="Arial"/>
          <w:color w:val="FF0000"/>
          <w:sz w:val="24"/>
          <w:szCs w:val="24"/>
        </w:rPr>
        <w:t>, historically,</w:t>
      </w:r>
      <w:r w:rsidR="00407FE7">
        <w:rPr>
          <w:rFonts w:ascii="Arial" w:hAnsi="Arial" w:cs="Arial"/>
          <w:color w:val="FF0000"/>
          <w:sz w:val="24"/>
          <w:szCs w:val="24"/>
        </w:rPr>
        <w:t xml:space="preserve"> </w:t>
      </w:r>
      <w:r w:rsidR="001270D3" w:rsidRPr="0009732B">
        <w:rPr>
          <w:rFonts w:ascii="Arial" w:hAnsi="Arial" w:cs="Arial"/>
          <w:color w:val="FF0000"/>
          <w:sz w:val="24"/>
          <w:szCs w:val="24"/>
        </w:rPr>
        <w:t>were perfor</w:t>
      </w:r>
      <w:r w:rsidR="00407FE7">
        <w:rPr>
          <w:rFonts w:ascii="Arial" w:hAnsi="Arial" w:cs="Arial"/>
          <w:color w:val="FF0000"/>
          <w:sz w:val="24"/>
          <w:szCs w:val="24"/>
        </w:rPr>
        <w:t>med with samples measured one-at-a-time</w:t>
      </w:r>
      <w:r w:rsidR="001270D3" w:rsidRPr="0009732B">
        <w:rPr>
          <w:rFonts w:ascii="Arial" w:hAnsi="Arial" w:cs="Arial"/>
          <w:color w:val="FF0000"/>
          <w:sz w:val="24"/>
          <w:szCs w:val="24"/>
        </w:rPr>
        <w:t xml:space="preserve"> in a </w:t>
      </w:r>
      <w:proofErr w:type="spellStart"/>
      <w:r w:rsidR="001270D3" w:rsidRPr="0009732B">
        <w:rPr>
          <w:rFonts w:ascii="Arial" w:hAnsi="Arial" w:cs="Arial"/>
          <w:color w:val="FF0000"/>
          <w:sz w:val="24"/>
          <w:szCs w:val="24"/>
        </w:rPr>
        <w:t>fluorimeter</w:t>
      </w:r>
      <w:proofErr w:type="spellEnd"/>
      <w:r w:rsidR="00407FE7">
        <w:rPr>
          <w:rFonts w:ascii="Arial" w:hAnsi="Arial" w:cs="Arial"/>
          <w:color w:val="FF0000"/>
          <w:sz w:val="24"/>
          <w:szCs w:val="24"/>
        </w:rPr>
        <w:t>, rather than, as we describe here, using a 96-well plate</w:t>
      </w:r>
      <w:r w:rsidR="000D671D">
        <w:rPr>
          <w:rFonts w:ascii="Arial" w:hAnsi="Arial" w:cs="Arial"/>
          <w:color w:val="FF0000"/>
          <w:sz w:val="24"/>
          <w:szCs w:val="24"/>
        </w:rPr>
        <w:t>, a</w:t>
      </w:r>
      <w:r w:rsidR="00407FE7">
        <w:rPr>
          <w:rFonts w:ascii="Arial" w:hAnsi="Arial" w:cs="Arial"/>
          <w:color w:val="FF0000"/>
          <w:sz w:val="24"/>
          <w:szCs w:val="24"/>
        </w:rPr>
        <w:t xml:space="preserve"> </w:t>
      </w:r>
      <w:proofErr w:type="spellStart"/>
      <w:r w:rsidR="00407FE7">
        <w:rPr>
          <w:rFonts w:ascii="Arial" w:hAnsi="Arial" w:cs="Arial"/>
          <w:color w:val="FF0000"/>
          <w:sz w:val="24"/>
          <w:szCs w:val="24"/>
        </w:rPr>
        <w:t>microplate</w:t>
      </w:r>
      <w:proofErr w:type="spellEnd"/>
      <w:r w:rsidR="00407FE7">
        <w:rPr>
          <w:rFonts w:ascii="Arial" w:hAnsi="Arial" w:cs="Arial"/>
          <w:color w:val="FF0000"/>
          <w:sz w:val="24"/>
          <w:szCs w:val="24"/>
        </w:rPr>
        <w:t xml:space="preserve"> reader</w:t>
      </w:r>
      <w:r w:rsidR="000D671D">
        <w:rPr>
          <w:rFonts w:ascii="Arial" w:hAnsi="Arial" w:cs="Arial"/>
          <w:color w:val="FF0000"/>
          <w:sz w:val="24"/>
          <w:szCs w:val="24"/>
        </w:rPr>
        <w:t>, and batteries of toxicant tests</w:t>
      </w:r>
      <w:r w:rsidR="00407FE7">
        <w:rPr>
          <w:rFonts w:ascii="Arial" w:hAnsi="Arial" w:cs="Arial"/>
          <w:color w:val="FF0000"/>
          <w:sz w:val="24"/>
          <w:szCs w:val="24"/>
        </w:rPr>
        <w:t xml:space="preserve">. As stated in the manuscript, our methods are an extension of </w:t>
      </w:r>
      <w:proofErr w:type="spellStart"/>
      <w:r w:rsidR="00407FE7">
        <w:rPr>
          <w:rFonts w:ascii="Arial" w:hAnsi="Arial" w:cs="Arial"/>
          <w:color w:val="FF0000"/>
          <w:sz w:val="24"/>
          <w:szCs w:val="24"/>
        </w:rPr>
        <w:t>Naal</w:t>
      </w:r>
      <w:proofErr w:type="spellEnd"/>
      <w:r w:rsidR="00407FE7">
        <w:rPr>
          <w:rFonts w:ascii="Arial" w:hAnsi="Arial" w:cs="Arial"/>
          <w:color w:val="FF0000"/>
          <w:sz w:val="24"/>
          <w:szCs w:val="24"/>
        </w:rPr>
        <w:t xml:space="preserve"> et al. (2004), who previously </w:t>
      </w:r>
      <w:r w:rsidR="000D671D">
        <w:rPr>
          <w:rFonts w:ascii="Arial" w:hAnsi="Arial" w:cs="Arial"/>
          <w:color w:val="FF0000"/>
          <w:sz w:val="24"/>
          <w:szCs w:val="24"/>
        </w:rPr>
        <w:t xml:space="preserve">rigorously </w:t>
      </w:r>
      <w:r w:rsidR="00407FE7">
        <w:rPr>
          <w:rFonts w:ascii="Arial" w:hAnsi="Arial" w:cs="Arial"/>
          <w:color w:val="FF0000"/>
          <w:sz w:val="24"/>
          <w:szCs w:val="24"/>
        </w:rPr>
        <w:t xml:space="preserve">demonstrated </w:t>
      </w:r>
      <w:r w:rsidR="001270D3" w:rsidRPr="0009732B">
        <w:rPr>
          <w:rFonts w:ascii="Arial" w:hAnsi="Arial" w:cs="Arial"/>
          <w:color w:val="FF0000"/>
          <w:sz w:val="24"/>
          <w:szCs w:val="24"/>
        </w:rPr>
        <w:t xml:space="preserve">concordance between the “old” </w:t>
      </w:r>
      <w:r w:rsidR="000D671D">
        <w:rPr>
          <w:rFonts w:ascii="Calibri" w:hAnsi="Calibri" w:cs="Arial"/>
          <w:color w:val="FF0000"/>
          <w:sz w:val="24"/>
          <w:szCs w:val="24"/>
        </w:rPr>
        <w:t>β</w:t>
      </w:r>
      <w:r w:rsidR="000D671D">
        <w:rPr>
          <w:rFonts w:ascii="Arial" w:hAnsi="Arial" w:cs="Arial"/>
          <w:color w:val="FF0000"/>
          <w:sz w:val="24"/>
          <w:szCs w:val="24"/>
        </w:rPr>
        <w:t>-</w:t>
      </w:r>
      <w:proofErr w:type="spellStart"/>
      <w:r w:rsidR="000D671D">
        <w:rPr>
          <w:rFonts w:ascii="Arial" w:hAnsi="Arial" w:cs="Arial"/>
          <w:color w:val="FF0000"/>
          <w:sz w:val="24"/>
          <w:szCs w:val="24"/>
        </w:rPr>
        <w:t>hexosaminidase</w:t>
      </w:r>
      <w:proofErr w:type="spellEnd"/>
      <w:r w:rsidR="000D671D">
        <w:rPr>
          <w:rFonts w:ascii="Arial" w:hAnsi="Arial" w:cs="Arial"/>
          <w:color w:val="FF0000"/>
          <w:sz w:val="24"/>
          <w:szCs w:val="24"/>
        </w:rPr>
        <w:t xml:space="preserve"> </w:t>
      </w:r>
      <w:r w:rsidR="001270D3" w:rsidRPr="0009732B">
        <w:rPr>
          <w:rFonts w:ascii="Arial" w:hAnsi="Arial" w:cs="Arial"/>
          <w:color w:val="FF0000"/>
          <w:sz w:val="24"/>
          <w:szCs w:val="24"/>
        </w:rPr>
        <w:t>assay and th</w:t>
      </w:r>
      <w:r w:rsidR="00407FE7">
        <w:rPr>
          <w:rFonts w:ascii="Arial" w:hAnsi="Arial" w:cs="Arial"/>
          <w:color w:val="FF0000"/>
          <w:sz w:val="24"/>
          <w:szCs w:val="24"/>
        </w:rPr>
        <w:t xml:space="preserve">is </w:t>
      </w:r>
      <w:r w:rsidR="000D671D">
        <w:rPr>
          <w:rFonts w:ascii="Arial" w:hAnsi="Arial" w:cs="Arial"/>
          <w:color w:val="FF0000"/>
          <w:sz w:val="24"/>
          <w:szCs w:val="24"/>
        </w:rPr>
        <w:t>assay</w:t>
      </w:r>
      <w:hyperlink w:anchor="_ENREF_1" w:tooltip="Naal, 2004 #708" w:history="1">
        <w:r w:rsidR="00076679">
          <w:rPr>
            <w:rFonts w:ascii="Arial" w:hAnsi="Arial" w:cs="Arial"/>
            <w:color w:val="FF0000"/>
            <w:sz w:val="24"/>
            <w:szCs w:val="24"/>
          </w:rPr>
          <w:fldChar w:fldCharType="begin"/>
        </w:r>
        <w:r w:rsidR="00DE372D">
          <w:rPr>
            <w:rFonts w:ascii="Arial" w:hAnsi="Arial" w:cs="Arial"/>
            <w:color w:val="FF0000"/>
            <w:sz w:val="24"/>
            <w:szCs w:val="24"/>
          </w:rPr>
          <w:instrText xml:space="preserve"> ADDIN EN.CITE &lt;EndNote&gt;&lt;Cite&gt;&lt;Author&gt;Naal&lt;/Author&gt;&lt;Year&gt;2004&lt;/Year&gt;&lt;RecNum&gt;708&lt;/RecNum&gt;&lt;DisplayText&gt;&lt;style face="superscript"&gt;1&lt;/style&gt;&lt;/DisplayText&gt;&lt;record&gt;&lt;rec-number&gt;708&lt;/rec-number&gt;&lt;foreign-keys&gt;&lt;key app="EN" db-id="a2dfdt0r2tzv2wewvpbvzdxx9wfv2z2xra2v"&gt;708&lt;/key&gt;&lt;/foreign-keys&gt;&lt;ref-type name="Journal Article"&gt;17&lt;/ref-type&gt;&lt;contributors&gt;&lt;authors&gt;&lt;author&gt;Naal, Rmzg&lt;/author&gt;&lt;author&gt;Tabb, J.&lt;/author&gt;&lt;author&gt;Holowka, D.&lt;/author&gt;&lt;author&gt;Baird, B.&lt;/author&gt;&lt;/authors&gt;&lt;/contributors&gt;&lt;titles&gt;&lt;title&gt;In situ measurement of degranulation as a biosensor based on RBL-2H3 mast cells&lt;/title&gt;&lt;secondary-title&gt;Biosensors &amp;amp; Bioelectronics&lt;/secondary-title&gt;&lt;/titles&gt;&lt;periodical&gt;&lt;full-title&gt;Biosensors &amp;amp; Bioelectronics&lt;/full-title&gt;&lt;/periodical&gt;&lt;pages&gt;791-796&lt;/pages&gt;&lt;volume&gt;20&lt;/volume&gt;&lt;number&gt;4&lt;/number&gt;&lt;dates&gt;&lt;year&gt;2004&lt;/year&gt;&lt;pub-dates&gt;&lt;date&gt;Nov&lt;/date&gt;&lt;/pub-dates&gt;&lt;/dates&gt;&lt;isbn&gt;0956-5663&lt;/isbn&gt;&lt;accession-num&gt;ISI:000225412600014&lt;/accession-num&gt;&lt;urls&gt;&lt;related-urls&gt;&lt;url&gt;&amp;lt;Go to ISI&amp;gt;://000225412600014&lt;/url&gt;&lt;/related-urls&gt;&lt;/urls&gt;&lt;electronic-resource-num&gt;10.1016/j.bios.2004.03.017&lt;/electronic-resource-num&gt;&lt;/record&gt;&lt;/Cite&gt;&lt;/EndNote&gt;</w:instrText>
        </w:r>
        <w:r w:rsidR="00076679">
          <w:rPr>
            <w:rFonts w:ascii="Arial" w:hAnsi="Arial" w:cs="Arial"/>
            <w:color w:val="FF0000"/>
            <w:sz w:val="24"/>
            <w:szCs w:val="24"/>
          </w:rPr>
          <w:fldChar w:fldCharType="separate"/>
        </w:r>
        <w:r w:rsidR="00DE372D" w:rsidRPr="003A5D16">
          <w:rPr>
            <w:rFonts w:ascii="Arial" w:hAnsi="Arial" w:cs="Arial"/>
            <w:noProof/>
            <w:color w:val="FF0000"/>
            <w:sz w:val="24"/>
            <w:szCs w:val="24"/>
            <w:vertAlign w:val="superscript"/>
          </w:rPr>
          <w:t>1</w:t>
        </w:r>
        <w:r w:rsidR="00076679">
          <w:rPr>
            <w:rFonts w:ascii="Arial" w:hAnsi="Arial" w:cs="Arial"/>
            <w:color w:val="FF0000"/>
            <w:sz w:val="24"/>
            <w:szCs w:val="24"/>
          </w:rPr>
          <w:fldChar w:fldCharType="end"/>
        </w:r>
      </w:hyperlink>
      <w:r w:rsidR="00407FE7">
        <w:rPr>
          <w:rFonts w:ascii="Arial" w:hAnsi="Arial" w:cs="Arial"/>
          <w:color w:val="FF0000"/>
          <w:sz w:val="24"/>
          <w:szCs w:val="24"/>
        </w:rPr>
        <w:t>.</w:t>
      </w:r>
      <w:r w:rsidR="009A21E1">
        <w:rPr>
          <w:rFonts w:ascii="Arial" w:hAnsi="Arial" w:cs="Arial"/>
          <w:color w:val="FF0000"/>
          <w:sz w:val="24"/>
          <w:szCs w:val="24"/>
        </w:rPr>
        <w:t xml:space="preserve"> </w:t>
      </w:r>
      <w:r w:rsidR="000D671D">
        <w:rPr>
          <w:rFonts w:ascii="Arial" w:hAnsi="Arial" w:cs="Arial"/>
          <w:color w:val="FF0000"/>
          <w:sz w:val="24"/>
          <w:szCs w:val="24"/>
        </w:rPr>
        <w:t xml:space="preserve">Additionally, prior to new toxicant-test assays, we </w:t>
      </w:r>
      <w:r w:rsidR="005D1C20">
        <w:rPr>
          <w:rFonts w:ascii="Arial" w:hAnsi="Arial" w:cs="Arial"/>
          <w:color w:val="FF0000"/>
          <w:sz w:val="24"/>
          <w:szCs w:val="24"/>
        </w:rPr>
        <w:t xml:space="preserve">always </w:t>
      </w:r>
      <w:r w:rsidR="000D671D">
        <w:rPr>
          <w:rFonts w:ascii="Arial" w:hAnsi="Arial" w:cs="Arial"/>
          <w:color w:val="FF0000"/>
          <w:sz w:val="24"/>
          <w:szCs w:val="24"/>
        </w:rPr>
        <w:t xml:space="preserve">perform antigen and/or </w:t>
      </w:r>
      <w:proofErr w:type="spellStart"/>
      <w:r w:rsidR="000D671D">
        <w:rPr>
          <w:rFonts w:ascii="Arial" w:hAnsi="Arial" w:cs="Arial"/>
          <w:color w:val="FF0000"/>
          <w:sz w:val="24"/>
          <w:szCs w:val="24"/>
        </w:rPr>
        <w:t>ionophore</w:t>
      </w:r>
      <w:proofErr w:type="spellEnd"/>
      <w:r w:rsidR="000D671D">
        <w:rPr>
          <w:rFonts w:ascii="Arial" w:hAnsi="Arial" w:cs="Arial"/>
          <w:color w:val="FF0000"/>
          <w:sz w:val="24"/>
          <w:szCs w:val="24"/>
        </w:rPr>
        <w:t>-dose responses (in the absence of test chemical) to ensure that the cells are responding normally, compared</w:t>
      </w:r>
      <w:r w:rsidR="00BA7421">
        <w:rPr>
          <w:rFonts w:ascii="Arial" w:hAnsi="Arial" w:cs="Arial"/>
          <w:color w:val="FF0000"/>
          <w:sz w:val="24"/>
          <w:szCs w:val="24"/>
        </w:rPr>
        <w:t xml:space="preserve"> with the previous literature. </w:t>
      </w:r>
      <w:r w:rsidR="009A21E1">
        <w:rPr>
          <w:rFonts w:ascii="Arial" w:hAnsi="Arial" w:cs="Arial"/>
          <w:color w:val="FF0000"/>
          <w:sz w:val="24"/>
          <w:szCs w:val="24"/>
        </w:rPr>
        <w:t xml:space="preserve">To make this </w:t>
      </w:r>
      <w:r w:rsidR="00EE6F8F">
        <w:rPr>
          <w:rFonts w:ascii="Arial" w:hAnsi="Arial" w:cs="Arial"/>
          <w:color w:val="FF0000"/>
          <w:sz w:val="24"/>
          <w:szCs w:val="24"/>
        </w:rPr>
        <w:t>clearer</w:t>
      </w:r>
      <w:r w:rsidR="009A21E1">
        <w:rPr>
          <w:rFonts w:ascii="Arial" w:hAnsi="Arial" w:cs="Arial"/>
          <w:color w:val="FF0000"/>
          <w:sz w:val="24"/>
          <w:szCs w:val="24"/>
        </w:rPr>
        <w:t xml:space="preserve"> in the text, we have added lines to the first paragraph of our </w:t>
      </w:r>
      <w:r w:rsidR="00E026C4">
        <w:rPr>
          <w:rFonts w:ascii="Arial" w:hAnsi="Arial" w:cs="Arial"/>
          <w:color w:val="FF0000"/>
          <w:sz w:val="24"/>
          <w:szCs w:val="24"/>
        </w:rPr>
        <w:t>“</w:t>
      </w:r>
      <w:r w:rsidR="009A21E1">
        <w:rPr>
          <w:rFonts w:ascii="Arial" w:hAnsi="Arial" w:cs="Arial"/>
          <w:color w:val="FF0000"/>
          <w:sz w:val="24"/>
          <w:szCs w:val="24"/>
        </w:rPr>
        <w:t>Discussion</w:t>
      </w:r>
      <w:r w:rsidR="00E026C4">
        <w:rPr>
          <w:rFonts w:ascii="Arial" w:hAnsi="Arial" w:cs="Arial"/>
          <w:color w:val="FF0000"/>
          <w:sz w:val="24"/>
          <w:szCs w:val="24"/>
        </w:rPr>
        <w:t>”</w:t>
      </w:r>
      <w:r w:rsidR="009A21E1">
        <w:rPr>
          <w:rFonts w:ascii="Arial" w:hAnsi="Arial" w:cs="Arial"/>
          <w:color w:val="FF0000"/>
          <w:sz w:val="24"/>
          <w:szCs w:val="24"/>
        </w:rPr>
        <w:t xml:space="preserve"> section:</w:t>
      </w:r>
    </w:p>
    <w:p w:rsidR="009A21E1" w:rsidRDefault="009A21E1" w:rsidP="009A21E1">
      <w:pPr>
        <w:spacing w:after="0"/>
        <w:ind w:left="720"/>
        <w:rPr>
          <w:color w:val="FF0000"/>
          <w:sz w:val="24"/>
          <w:szCs w:val="24"/>
        </w:rPr>
      </w:pPr>
    </w:p>
    <w:p w:rsidR="00BA7421" w:rsidRPr="00BA7421" w:rsidRDefault="00BA7421" w:rsidP="00BA7421">
      <w:pPr>
        <w:spacing w:after="0"/>
        <w:ind w:left="720"/>
        <w:rPr>
          <w:color w:val="FF0000"/>
          <w:sz w:val="24"/>
          <w:szCs w:val="24"/>
        </w:rPr>
      </w:pPr>
      <w:r w:rsidRPr="00BA7421">
        <w:rPr>
          <w:color w:val="FF0000"/>
          <w:sz w:val="24"/>
          <w:szCs w:val="24"/>
        </w:rPr>
        <w:t xml:space="preserve">Prior to the </w:t>
      </w:r>
      <w:proofErr w:type="spellStart"/>
      <w:r w:rsidRPr="00BA7421">
        <w:rPr>
          <w:color w:val="FF0000"/>
          <w:sz w:val="24"/>
          <w:szCs w:val="24"/>
        </w:rPr>
        <w:t>Naal</w:t>
      </w:r>
      <w:proofErr w:type="spellEnd"/>
      <w:r w:rsidRPr="00BA7421">
        <w:rPr>
          <w:color w:val="FF0000"/>
          <w:sz w:val="24"/>
          <w:szCs w:val="24"/>
        </w:rPr>
        <w:t xml:space="preserve"> </w:t>
      </w:r>
      <w:r w:rsidRPr="00BA7421">
        <w:rPr>
          <w:i/>
          <w:color w:val="FF0000"/>
          <w:sz w:val="24"/>
          <w:szCs w:val="24"/>
        </w:rPr>
        <w:t>et al.</w:t>
      </w:r>
      <w:hyperlink w:anchor="_ENREF_1" w:tooltip="Naal, 2004 #708" w:history="1">
        <w:r w:rsidR="00076679" w:rsidRPr="00BA7421">
          <w:rPr>
            <w:color w:val="FF0000"/>
            <w:sz w:val="24"/>
            <w:szCs w:val="24"/>
          </w:rPr>
          <w:fldChar w:fldCharType="begin"/>
        </w:r>
        <w:r w:rsidR="00DE372D" w:rsidRPr="00BA7421">
          <w:rPr>
            <w:color w:val="FF0000"/>
            <w:sz w:val="24"/>
            <w:szCs w:val="24"/>
          </w:rPr>
          <w:instrText xml:space="preserve"> ADDIN EN.CITE &lt;EndNote&gt;&lt;Cite&gt;&lt;Author&gt;Naal&lt;/Author&gt;&lt;Year&gt;2004&lt;/Year&gt;&lt;RecNum&gt;708&lt;/RecNum&gt;&lt;DisplayText&gt;&lt;style face="superscript"&gt;1&lt;/style&gt;&lt;/DisplayText&gt;&lt;record&gt;&lt;rec-number&gt;708&lt;/rec-number&gt;&lt;foreign-keys&gt;&lt;key app="EN" db-id="a2dfdt0r2tzv2wewvpbvzdxx9wfv2z2xra2v"&gt;708&lt;/key&gt;&lt;/foreign-keys&gt;&lt;ref-type name="Journal Article"&gt;17&lt;/ref-type&gt;&lt;contributors&gt;&lt;authors&gt;&lt;author&gt;Naal, Rmzg&lt;/author&gt;&lt;author&gt;Tabb, J.&lt;/author&gt;&lt;author&gt;Holowka, D.&lt;/author&gt;&lt;author&gt;Baird, B.&lt;/author&gt;&lt;/authors&gt;&lt;/contributors&gt;&lt;titles&gt;&lt;title&gt;In situ measurement of degranulation as a biosensor based on RBL-2H3 mast cells&lt;/title&gt;&lt;secondary-title&gt;Biosensors &amp;amp; Bioelectronics&lt;/secondary-title&gt;&lt;/titles&gt;&lt;periodical&gt;&lt;full-title&gt;Biosensors &amp;amp; Bioelectronics&lt;/full-title&gt;&lt;/periodical&gt;&lt;pages&gt;791-796&lt;/pages&gt;&lt;volume&gt;20&lt;/volume&gt;&lt;number&gt;4&lt;/number&gt;&lt;dates&gt;&lt;year&gt;2004&lt;/year&gt;&lt;pub-dates&gt;&lt;date&gt;Nov&lt;/date&gt;&lt;/pub-dates&gt;&lt;/dates&gt;&lt;isbn&gt;0956-5663&lt;/isbn&gt;&lt;accession-num&gt;ISI:000225412600014&lt;/accession-num&gt;&lt;urls&gt;&lt;related-urls&gt;&lt;url&gt;&amp;lt;Go to ISI&amp;gt;://000225412600014&lt;/url&gt;&lt;/related-urls&gt;&lt;/urls&gt;&lt;electronic-resource-num&gt;10.1016/j.bios.2004.03.017&lt;/electronic-resource-num&gt;&lt;/record&gt;&lt;/Cite&gt;&lt;/EndNote&gt;</w:instrText>
        </w:r>
        <w:r w:rsidR="00076679" w:rsidRPr="00BA7421">
          <w:rPr>
            <w:color w:val="FF0000"/>
            <w:sz w:val="24"/>
            <w:szCs w:val="24"/>
          </w:rPr>
          <w:fldChar w:fldCharType="separate"/>
        </w:r>
        <w:r w:rsidR="00DE372D" w:rsidRPr="00BA7421">
          <w:rPr>
            <w:noProof/>
            <w:color w:val="FF0000"/>
            <w:sz w:val="24"/>
            <w:szCs w:val="24"/>
            <w:vertAlign w:val="superscript"/>
          </w:rPr>
          <w:t>1</w:t>
        </w:r>
        <w:r w:rsidR="00076679" w:rsidRPr="00BA7421">
          <w:rPr>
            <w:color w:val="FF0000"/>
            <w:sz w:val="24"/>
            <w:szCs w:val="24"/>
          </w:rPr>
          <w:fldChar w:fldCharType="end"/>
        </w:r>
      </w:hyperlink>
      <w:r w:rsidRPr="00BA7421">
        <w:rPr>
          <w:color w:val="FF0000"/>
          <w:sz w:val="24"/>
          <w:szCs w:val="24"/>
        </w:rPr>
        <w:t xml:space="preserve"> assay, mast cell degranulation had been routinely </w:t>
      </w:r>
      <w:proofErr w:type="spellStart"/>
      <w:r w:rsidRPr="00BA7421">
        <w:rPr>
          <w:color w:val="FF0000"/>
          <w:sz w:val="24"/>
          <w:szCs w:val="24"/>
        </w:rPr>
        <w:t>assessed</w:t>
      </w:r>
      <w:proofErr w:type="spellEnd"/>
      <w:r w:rsidRPr="00BA7421">
        <w:rPr>
          <w:color w:val="FF0000"/>
          <w:sz w:val="24"/>
          <w:szCs w:val="24"/>
        </w:rPr>
        <w:t xml:space="preserve"> via β-</w:t>
      </w:r>
      <w:proofErr w:type="spellStart"/>
      <w:r w:rsidRPr="00BA7421">
        <w:rPr>
          <w:color w:val="FF0000"/>
          <w:sz w:val="24"/>
          <w:szCs w:val="24"/>
        </w:rPr>
        <w:t>hexosaminidase</w:t>
      </w:r>
      <w:proofErr w:type="spellEnd"/>
      <w:r w:rsidR="00076679">
        <w:rPr>
          <w:color w:val="FF0000"/>
          <w:sz w:val="24"/>
          <w:szCs w:val="24"/>
        </w:rPr>
        <w:fldChar w:fldCharType="begin"/>
      </w:r>
      <w:r w:rsidR="00DE372D">
        <w:rPr>
          <w:color w:val="FF0000"/>
          <w:sz w:val="24"/>
          <w:szCs w:val="24"/>
        </w:rPr>
        <w:instrText xml:space="preserve"> HYPERLINK \l "_ENREF_2" \o "Soto, 1988 #1670" </w:instrText>
      </w:r>
      <w:r w:rsidR="00076679">
        <w:rPr>
          <w:color w:val="FF0000"/>
          <w:sz w:val="24"/>
          <w:szCs w:val="24"/>
        </w:rPr>
        <w:fldChar w:fldCharType="separate"/>
      </w:r>
      <w:r w:rsidR="00076679" w:rsidRPr="00BA7421">
        <w:rPr>
          <w:color w:val="FF0000"/>
          <w:sz w:val="24"/>
          <w:szCs w:val="24"/>
        </w:rPr>
        <w:fldChar w:fldCharType="begin">
          <w:fldData xml:space="preserve">PEVuZE5vdGU+PENpdGU+PEF1dGhvcj5Tb3RvPC9BdXRob3I+PFllYXI+MTk4ODwvWWVhcj48UmVj
TnVtPjE2NzA8L1JlY051bT48RGlzcGxheVRleHQ+PHN0eWxlIGZhY2U9InN1cGVyc2NyaXB0Ij4y
LTQ8L3N0eWxlPjwvRGlzcGxheVRleHQ+PHJlY29yZD48cmVjLW51bWJlcj4xNjcwPC9yZWMtbnVt
YmVyPjxmb3JlaWduLWtleXM+PGtleSBhcHA9IkVOIiBkYi1pZD0iYTJkZmR0MHIydHp2Mndld3Zw
YnZ6ZHh4OXdmdjJ6MnhyYTJ2Ij4xNjcwPC9rZXk+PC9mb3JlaWduLWtleXM+PHJlZi10eXBlIG5h
bWU9IkpvdXJuYWwgQXJ0aWNsZSI+MTc8L3JlZi10eXBlPjxjb250cmlidXRvcnM+PGF1dGhvcnM+
PGF1dGhvcj5Tb3RvLCBFLiBPLjwvYXV0aG9yPjxhdXRob3I+UGVjaHQsIEkuPC9hdXRob3I+PC9h
dXRob3JzPjwvY29udHJpYnV0b3JzPjx0aXRsZXM+PHRpdGxlPkEgbW9ub2Nsb25hbC1hbnRpYm9k
eSB0aGF0IGluaGliaXRzIHNlY3JldGlvbiBmcm9tIHJhdCBiYXNvcGhpbGljIGxldWtlbWlhLWNl
bGxzIGFuZCBiaW5kcyB0byBhIG5vdmVsIG1lbWJyYW5lIGNvbXBvbmVudDwvdGl0bGU+PHNlY29u
ZGFyeS10aXRsZT5Kb3VybmFsIG9mIEltbXVub2xvZ3k8L3NlY29uZGFyeS10aXRsZT48L3RpdGxl
cz48cGVyaW9kaWNhbD48ZnVsbC10aXRsZT5Kb3VybmFsIG9mIEltbXVub2xvZ3k8L2Z1bGwtdGl0
bGU+PC9wZXJpb2RpY2FsPjxwYWdlcz40MzI0LTQzMzI8L3BhZ2VzPjx2b2x1bWU+MTQxPC92b2x1
bWU+PG51bWJlcj4xMjwvbnVtYmVyPjxkYXRlcz48eWVhcj4xOTg4PC95ZWFyPjxwdWItZGF0ZXM+
PGRhdGU+RGVjPC9kYXRlPjwvcHViLWRhdGVzPjwvZGF0ZXM+PGlzYm4+MDAyMi0xNzY3PC9pc2Ju
PjxhY2Nlc3Npb24tbnVtPldPUzpBMTk4OFIzMDMwMDAwMzc8L2FjY2Vzc2lvbi1udW0+PHVybHM+
PHJlbGF0ZWQtdXJscz48dXJsPiZsdDtHbyB0byBJU0kmZ3Q7Oi8vV09TOkExOTg4UjMwMzAwMDAz
NzwvdXJsPjwvcmVsYXRlZC11cmxzPjwvdXJscz48L3JlY29yZD48L0NpdGU+PENpdGU+PEF1dGhv
cj5QaWVyaW5pPC9BdXRob3I+PFllYXI+MTk5NzwvWWVhcj48UmVjTnVtPjE2NzE8L1JlY051bT48
cmVjb3JkPjxyZWMtbnVtYmVyPjE2NzE8L3JlYy1udW1iZXI+PGZvcmVpZ24ta2V5cz48a2V5IGFw
cD0iRU4iIGRiLWlkPSJhMmRmZHQwcjJ0enYyd2V3dnBidnpkeHg5d2Z2MnoyeHJhMnYiPjE2NzE8
L2tleT48L2ZvcmVpZ24ta2V5cz48cmVmLXR5cGUgbmFtZT0iSm91cm5hbCBBcnRpY2xlIj4xNzwv
cmVmLXR5cGU+PGNvbnRyaWJ1dG9ycz48YXV0aG9ycz48YXV0aG9yPlBpZXJpbmksIEwuPC9hdXRo
b3I+PGF1dGhvcj5IYXJyaXMsIE4uIFQuPC9hdXRob3I+PGF1dGhvcj5Ib2xvd2thLCBELjwvYXV0
aG9yPjxhdXRob3I+QmFpcmQsIEIuPC9hdXRob3I+PC9hdXRob3JzPjwvY29udHJpYnV0b3JzPjx0
aXRsZXM+PHRpdGxlPkV2aWRlbmNlIHN1cHBvcnRpbmcgYSByb2xlIGZvciBtaWNyb2ZpbGFtZW50
cyBpbiByZWd1bGF0aW5nIHRoZSBjb3VwbGluZyBiZXR3ZWVuIHBvb3JseSBkaXNzb2NpYWJsZSBJ
Z0UtRmMgZXBzaWxvbiBSSSBhZ2dyZWdhdGVzIGFuZCBkb3duc3RyZWFtIHNpZ25hbGluZyBwYXRo
d2F5czwvdGl0bGU+PHNlY29uZGFyeS10aXRsZT5CaW9jaGVtaXN0cnk8L3NlY29uZGFyeS10aXRs
ZT48L3RpdGxlcz48cGVyaW9kaWNhbD48ZnVsbC10aXRsZT5CaW9jaGVtaXN0cnk8L2Z1bGwtdGl0
bGU+PC9wZXJpb2RpY2FsPjxwYWdlcz43NDQ3LTc0NTY8L3BhZ2VzPjx2b2x1bWU+MzY8L3ZvbHVt
ZT48bnVtYmVyPjI0PC9udW1iZXI+PGRhdGVzPjx5ZWFyPjE5OTc8L3llYXI+PHB1Yi1kYXRlcz48
ZGF0ZT5KdW48L2RhdGU+PC9wdWItZGF0ZXM+PC9kYXRlcz48aXNibj4wMDA2LTI5NjA8L2lzYm4+
PGFjY2Vzc2lvbi1udW0+V09TOkExOTk3WEU5NjcwMDAxODwvYWNjZXNzaW9uLW51bT48dXJscz48
cmVsYXRlZC11cmxzPjx1cmw+Jmx0O0dvIHRvIElTSSZndDs6Ly9XT1M6QTE5OTdYRTk2NzAwMDE4
PC91cmw+PC9yZWxhdGVkLXVybHM+PC91cmxzPjxlbGVjdHJvbmljLXJlc291cmNlLW51bT4xMC4x
MDIxL2JpOTYyOTY0MjwvZWxlY3Ryb25pYy1yZXNvdXJjZS1udW0+PC9yZWNvcmQ+PC9DaXRlPjxD
aXRlPjxBdXRob3I+QWtldGFuaTwvQXV0aG9yPjxZZWFyPjIwMDE8L1llYXI+PFJlY051bT4xNjcy
PC9SZWNOdW0+PHJlY29yZD48cmVjLW51bWJlcj4xNjcyPC9yZWMtbnVtYmVyPjxmb3JlaWduLWtl
eXM+PGtleSBhcHA9IkVOIiBkYi1pZD0iYTJkZmR0MHIydHp2Mndld3ZwYnZ6ZHh4OXdmdjJ6Mnhy
YTJ2Ij4xNjcyPC9rZXk+PC9mb3JlaWduLWtleXM+PHJlZi10eXBlIG5hbWU9IkpvdXJuYWwgQXJ0
aWNsZSI+MTc8L3JlZi10eXBlPjxjb250cmlidXRvcnM+PGF1dGhvcnM+PGF1dGhvcj5Ba2V0YW5p
LCBTLjwvYXV0aG9yPjxhdXRob3I+VGVzaGltYSwgUi48L2F1dGhvcj48YXV0aG9yPlVtZXphd2Es
IFkuPC9hdXRob3I+PGF1dGhvcj5TYXdhZGEsIEouPC9hdXRob3I+PC9hdXRob3JzPjwvY29udHJp
YnV0b3JzPjx0aXRsZXM+PHRpdGxlPkNvcnJlbGF0aW9uIGJldHdlZW4gY3l0b3NvbGljIGNhbGNp
dW0gY29uY2VudHJhdGlvbiBhbmQgZGVncmFudWxhdGlvbiBpbiBSQkwtMkgzIGNlbGxzIGluIHRo
ZSBwcmVzZW5jZSBvZiB2YXJpb3VzIGNvbmNlbnRyYXRpb25zIG9mIGFudGlnZW4tc3BlY2lmaWMg
SWdFczwvdGl0bGU+PHNlY29uZGFyeS10aXRsZT5JbW11bm9sb2d5IExldHRlcnM8L3NlY29uZGFy
eS10aXRsZT48L3RpdGxlcz48cGVyaW9kaWNhbD48ZnVsbC10aXRsZT5JbW11bm9sb2d5IExldHRl
cnM8L2Z1bGwtdGl0bGU+PC9wZXJpb2RpY2FsPjxwYWdlcz4xODUtMTg5PC9wYWdlcz48dm9sdW1l
Pjc1PC92b2x1bWU+PG51bWJlcj4zPC9udW1iZXI+PGRhdGVzPjx5ZWFyPjIwMDE8L3llYXI+PHB1
Yi1kYXRlcz48ZGF0ZT5KYW48L2RhdGU+PC9wdWItZGF0ZXM+PC9kYXRlcz48aXNibj4wMTY1LTI0
Nzg8L2lzYm4+PGFjY2Vzc2lvbi1udW0+V09TOjAwMDE2Njk0MDkwMDAwMzwvYWNjZXNzaW9uLW51
bT48dXJscz48cmVsYXRlZC11cmxzPjx1cmw+Jmx0O0dvIHRvIElTSSZndDs6Ly9XT1M6MDAwMTY2
OTQwOTAwMDAzPC91cmw+PC9yZWxhdGVkLXVybHM+PC91cmxzPjxlbGVjdHJvbmljLXJlc291cmNl
LW51bT4xMC4xMDE2L3MwMTY1LTI0NzgoMDApMDAzMTEtNDwvZWxlY3Ryb25pYy1yZXNvdXJjZS1u
dW0+PC9yZWNvcmQ+PC9DaXRlPjwvRW5kTm90ZT4A
</w:fldData>
        </w:fldChar>
      </w:r>
      <w:r w:rsidR="00DE372D">
        <w:rPr>
          <w:color w:val="FF0000"/>
          <w:sz w:val="24"/>
          <w:szCs w:val="24"/>
        </w:rPr>
        <w:instrText xml:space="preserve"> ADDIN EN.CITE </w:instrText>
      </w:r>
      <w:r w:rsidR="00076679">
        <w:rPr>
          <w:color w:val="FF0000"/>
          <w:sz w:val="24"/>
          <w:szCs w:val="24"/>
        </w:rPr>
        <w:fldChar w:fldCharType="begin">
          <w:fldData xml:space="preserve">PEVuZE5vdGU+PENpdGU+PEF1dGhvcj5Tb3RvPC9BdXRob3I+PFllYXI+MTk4ODwvWWVhcj48UmVj
TnVtPjE2NzA8L1JlY051bT48RGlzcGxheVRleHQ+PHN0eWxlIGZhY2U9InN1cGVyc2NyaXB0Ij4y
LTQ8L3N0eWxlPjwvRGlzcGxheVRleHQ+PHJlY29yZD48cmVjLW51bWJlcj4xNjcwPC9yZWMtbnVt
YmVyPjxmb3JlaWduLWtleXM+PGtleSBhcHA9IkVOIiBkYi1pZD0iYTJkZmR0MHIydHp2Mndld3Zw
YnZ6ZHh4OXdmdjJ6MnhyYTJ2Ij4xNjcwPC9rZXk+PC9mb3JlaWduLWtleXM+PHJlZi10eXBlIG5h
bWU9IkpvdXJuYWwgQXJ0aWNsZSI+MTc8L3JlZi10eXBlPjxjb250cmlidXRvcnM+PGF1dGhvcnM+
PGF1dGhvcj5Tb3RvLCBFLiBPLjwvYXV0aG9yPjxhdXRob3I+UGVjaHQsIEkuPC9hdXRob3I+PC9h
dXRob3JzPjwvY29udHJpYnV0b3JzPjx0aXRsZXM+PHRpdGxlPkEgbW9ub2Nsb25hbC1hbnRpYm9k
eSB0aGF0IGluaGliaXRzIHNlY3JldGlvbiBmcm9tIHJhdCBiYXNvcGhpbGljIGxldWtlbWlhLWNl
bGxzIGFuZCBiaW5kcyB0byBhIG5vdmVsIG1lbWJyYW5lIGNvbXBvbmVudDwvdGl0bGU+PHNlY29u
ZGFyeS10aXRsZT5Kb3VybmFsIG9mIEltbXVub2xvZ3k8L3NlY29uZGFyeS10aXRsZT48L3RpdGxl
cz48cGVyaW9kaWNhbD48ZnVsbC10aXRsZT5Kb3VybmFsIG9mIEltbXVub2xvZ3k8L2Z1bGwtdGl0
bGU+PC9wZXJpb2RpY2FsPjxwYWdlcz40MzI0LTQzMzI8L3BhZ2VzPjx2b2x1bWU+MTQxPC92b2x1
bWU+PG51bWJlcj4xMjwvbnVtYmVyPjxkYXRlcz48eWVhcj4xOTg4PC95ZWFyPjxwdWItZGF0ZXM+
PGRhdGU+RGVjPC9kYXRlPjwvcHViLWRhdGVzPjwvZGF0ZXM+PGlzYm4+MDAyMi0xNzY3PC9pc2Ju
PjxhY2Nlc3Npb24tbnVtPldPUzpBMTk4OFIzMDMwMDAwMzc8L2FjY2Vzc2lvbi1udW0+PHVybHM+
PHJlbGF0ZWQtdXJscz48dXJsPiZsdDtHbyB0byBJU0kmZ3Q7Oi8vV09TOkExOTg4UjMwMzAwMDAz
NzwvdXJsPjwvcmVsYXRlZC11cmxzPjwvdXJscz48L3JlY29yZD48L0NpdGU+PENpdGU+PEF1dGhv
cj5QaWVyaW5pPC9BdXRob3I+PFllYXI+MTk5NzwvWWVhcj48UmVjTnVtPjE2NzE8L1JlY051bT48
cmVjb3JkPjxyZWMtbnVtYmVyPjE2NzE8L3JlYy1udW1iZXI+PGZvcmVpZ24ta2V5cz48a2V5IGFw
cD0iRU4iIGRiLWlkPSJhMmRmZHQwcjJ0enYyd2V3dnBidnpkeHg5d2Z2MnoyeHJhMnYiPjE2NzE8
L2tleT48L2ZvcmVpZ24ta2V5cz48cmVmLXR5cGUgbmFtZT0iSm91cm5hbCBBcnRpY2xlIj4xNzwv
cmVmLXR5cGU+PGNvbnRyaWJ1dG9ycz48YXV0aG9ycz48YXV0aG9yPlBpZXJpbmksIEwuPC9hdXRo
b3I+PGF1dGhvcj5IYXJyaXMsIE4uIFQuPC9hdXRob3I+PGF1dGhvcj5Ib2xvd2thLCBELjwvYXV0
aG9yPjxhdXRob3I+QmFpcmQsIEIuPC9hdXRob3I+PC9hdXRob3JzPjwvY29udHJpYnV0b3JzPjx0
aXRsZXM+PHRpdGxlPkV2aWRlbmNlIHN1cHBvcnRpbmcgYSByb2xlIGZvciBtaWNyb2ZpbGFtZW50
cyBpbiByZWd1bGF0aW5nIHRoZSBjb3VwbGluZyBiZXR3ZWVuIHBvb3JseSBkaXNzb2NpYWJsZSBJ
Z0UtRmMgZXBzaWxvbiBSSSBhZ2dyZWdhdGVzIGFuZCBkb3duc3RyZWFtIHNpZ25hbGluZyBwYXRo
d2F5czwvdGl0bGU+PHNlY29uZGFyeS10aXRsZT5CaW9jaGVtaXN0cnk8L3NlY29uZGFyeS10aXRs
ZT48L3RpdGxlcz48cGVyaW9kaWNhbD48ZnVsbC10aXRsZT5CaW9jaGVtaXN0cnk8L2Z1bGwtdGl0
bGU+PC9wZXJpb2RpY2FsPjxwYWdlcz43NDQ3LTc0NTY8L3BhZ2VzPjx2b2x1bWU+MzY8L3ZvbHVt
ZT48bnVtYmVyPjI0PC9udW1iZXI+PGRhdGVzPjx5ZWFyPjE5OTc8L3llYXI+PHB1Yi1kYXRlcz48
ZGF0ZT5KdW48L2RhdGU+PC9wdWItZGF0ZXM+PC9kYXRlcz48aXNibj4wMDA2LTI5NjA8L2lzYm4+
PGFjY2Vzc2lvbi1udW0+V09TOkExOTk3WEU5NjcwMDAxODwvYWNjZXNzaW9uLW51bT48dXJscz48
cmVsYXRlZC11cmxzPjx1cmw+Jmx0O0dvIHRvIElTSSZndDs6Ly9XT1M6QTE5OTdYRTk2NzAwMDE4
PC91cmw+PC9yZWxhdGVkLXVybHM+PC91cmxzPjxlbGVjdHJvbmljLXJlc291cmNlLW51bT4xMC4x
MDIxL2JpOTYyOTY0MjwvZWxlY3Ryb25pYy1yZXNvdXJjZS1udW0+PC9yZWNvcmQ+PC9DaXRlPjxD
aXRlPjxBdXRob3I+QWtldGFuaTwvQXV0aG9yPjxZZWFyPjIwMDE8L1llYXI+PFJlY051bT4xNjcy
PC9SZWNOdW0+PHJlY29yZD48cmVjLW51bWJlcj4xNjcyPC9yZWMtbnVtYmVyPjxmb3JlaWduLWtl
eXM+PGtleSBhcHA9IkVOIiBkYi1pZD0iYTJkZmR0MHIydHp2Mndld3ZwYnZ6ZHh4OXdmdjJ6Mnhy
YTJ2Ij4xNjcyPC9rZXk+PC9mb3JlaWduLWtleXM+PHJlZi10eXBlIG5hbWU9IkpvdXJuYWwgQXJ0
aWNsZSI+MTc8L3JlZi10eXBlPjxjb250cmlidXRvcnM+PGF1dGhvcnM+PGF1dGhvcj5Ba2V0YW5p
LCBTLjwvYXV0aG9yPjxhdXRob3I+VGVzaGltYSwgUi48L2F1dGhvcj48YXV0aG9yPlVtZXphd2Es
IFkuPC9hdXRob3I+PGF1dGhvcj5TYXdhZGEsIEouPC9hdXRob3I+PC9hdXRob3JzPjwvY29udHJp
YnV0b3JzPjx0aXRsZXM+PHRpdGxlPkNvcnJlbGF0aW9uIGJldHdlZW4gY3l0b3NvbGljIGNhbGNp
dW0gY29uY2VudHJhdGlvbiBhbmQgZGVncmFudWxhdGlvbiBpbiBSQkwtMkgzIGNlbGxzIGluIHRo
ZSBwcmVzZW5jZSBvZiB2YXJpb3VzIGNvbmNlbnRyYXRpb25zIG9mIGFudGlnZW4tc3BlY2lmaWMg
SWdFczwvdGl0bGU+PHNlY29uZGFyeS10aXRsZT5JbW11bm9sb2d5IExldHRlcnM8L3NlY29uZGFy
eS10aXRsZT48L3RpdGxlcz48cGVyaW9kaWNhbD48ZnVsbC10aXRsZT5JbW11bm9sb2d5IExldHRl
cnM8L2Z1bGwtdGl0bGU+PC9wZXJpb2RpY2FsPjxwYWdlcz4xODUtMTg5PC9wYWdlcz48dm9sdW1l
Pjc1PC92b2x1bWU+PG51bWJlcj4zPC9udW1iZXI+PGRhdGVzPjx5ZWFyPjIwMDE8L3llYXI+PHB1
Yi1kYXRlcz48ZGF0ZT5KYW48L2RhdGU+PC9wdWItZGF0ZXM+PC9kYXRlcz48aXNibj4wMTY1LTI0
Nzg8L2lzYm4+PGFjY2Vzc2lvbi1udW0+V09TOjAwMDE2Njk0MDkwMDAwMzwvYWNjZXNzaW9uLW51
bT48dXJscz48cmVsYXRlZC11cmxzPjx1cmw+Jmx0O0dvIHRvIElTSSZndDs6Ly9XT1M6MDAwMTY2
OTQwOTAwMDAzPC91cmw+PC9yZWxhdGVkLXVybHM+PC91cmxzPjxlbGVjdHJvbmljLXJlc291cmNl
LW51bT4xMC4xMDE2L3MwMTY1LTI0NzgoMDApMDAzMTEtNDwvZWxlY3Ryb25pYy1yZXNvdXJjZS1u
dW0+PC9yZWNvcmQ+PC9DaXRlPjwvRW5kTm90ZT4A
</w:fldData>
        </w:fldChar>
      </w:r>
      <w:r w:rsidR="00DE372D">
        <w:rPr>
          <w:color w:val="FF0000"/>
          <w:sz w:val="24"/>
          <w:szCs w:val="24"/>
        </w:rPr>
        <w:instrText xml:space="preserve"> ADDIN EN.CITE.DATA </w:instrText>
      </w:r>
      <w:r w:rsidR="00076679">
        <w:rPr>
          <w:color w:val="FF0000"/>
          <w:sz w:val="24"/>
          <w:szCs w:val="24"/>
        </w:rPr>
      </w:r>
      <w:r w:rsidR="00076679">
        <w:rPr>
          <w:color w:val="FF0000"/>
          <w:sz w:val="24"/>
          <w:szCs w:val="24"/>
        </w:rPr>
        <w:fldChar w:fldCharType="end"/>
      </w:r>
      <w:r w:rsidR="00076679" w:rsidRPr="00BA7421">
        <w:rPr>
          <w:color w:val="FF0000"/>
          <w:sz w:val="24"/>
          <w:szCs w:val="24"/>
        </w:rPr>
      </w:r>
      <w:r w:rsidR="00076679" w:rsidRPr="00BA7421">
        <w:rPr>
          <w:color w:val="FF0000"/>
          <w:sz w:val="24"/>
          <w:szCs w:val="24"/>
        </w:rPr>
        <w:fldChar w:fldCharType="separate"/>
      </w:r>
      <w:r w:rsidR="00DE372D" w:rsidRPr="00BA7421">
        <w:rPr>
          <w:noProof/>
          <w:color w:val="FF0000"/>
          <w:sz w:val="24"/>
          <w:szCs w:val="24"/>
          <w:vertAlign w:val="superscript"/>
        </w:rPr>
        <w:t>2-4</w:t>
      </w:r>
      <w:r w:rsidR="00076679" w:rsidRPr="00BA7421">
        <w:rPr>
          <w:color w:val="FF0000"/>
          <w:sz w:val="24"/>
          <w:szCs w:val="24"/>
        </w:rPr>
        <w:fldChar w:fldCharType="end"/>
      </w:r>
      <w:r w:rsidR="00076679">
        <w:rPr>
          <w:color w:val="FF0000"/>
          <w:sz w:val="24"/>
          <w:szCs w:val="24"/>
        </w:rPr>
        <w:fldChar w:fldCharType="end"/>
      </w:r>
      <w:r w:rsidRPr="00BA7421">
        <w:rPr>
          <w:color w:val="FF0000"/>
          <w:sz w:val="24"/>
          <w:szCs w:val="24"/>
        </w:rPr>
        <w:t xml:space="preserve">, but these early methods utilized </w:t>
      </w:r>
      <w:proofErr w:type="spellStart"/>
      <w:r w:rsidRPr="00BA7421">
        <w:rPr>
          <w:color w:val="FF0000"/>
          <w:sz w:val="24"/>
          <w:szCs w:val="24"/>
        </w:rPr>
        <w:t>fluorimeters</w:t>
      </w:r>
      <w:proofErr w:type="spellEnd"/>
      <w:r w:rsidRPr="00BA7421">
        <w:rPr>
          <w:color w:val="FF0000"/>
          <w:sz w:val="24"/>
          <w:szCs w:val="24"/>
        </w:rPr>
        <w:t xml:space="preserve"> in which one sample was read at a time. </w:t>
      </w:r>
      <w:r w:rsidRPr="00BA7421">
        <w:rPr>
          <w:color w:val="FF0000"/>
          <w:sz w:val="24"/>
          <w:szCs w:val="24"/>
          <w:highlight w:val="green"/>
        </w:rPr>
        <w:t xml:space="preserve">Importantly, </w:t>
      </w:r>
      <w:proofErr w:type="spellStart"/>
      <w:r w:rsidRPr="00BA7421">
        <w:rPr>
          <w:color w:val="FF0000"/>
          <w:sz w:val="24"/>
          <w:szCs w:val="24"/>
          <w:highlight w:val="green"/>
        </w:rPr>
        <w:t>Naal</w:t>
      </w:r>
      <w:proofErr w:type="spellEnd"/>
      <w:r w:rsidRPr="00BA7421">
        <w:rPr>
          <w:color w:val="FF0000"/>
          <w:sz w:val="24"/>
          <w:szCs w:val="24"/>
          <w:highlight w:val="green"/>
        </w:rPr>
        <w:t xml:space="preserve"> </w:t>
      </w:r>
      <w:r w:rsidRPr="00BA7421">
        <w:rPr>
          <w:i/>
          <w:color w:val="FF0000"/>
          <w:sz w:val="24"/>
          <w:szCs w:val="24"/>
          <w:highlight w:val="green"/>
        </w:rPr>
        <w:t>et al</w:t>
      </w:r>
      <w:r w:rsidRPr="00BA7421">
        <w:rPr>
          <w:color w:val="FF0000"/>
          <w:sz w:val="24"/>
          <w:szCs w:val="24"/>
          <w:highlight w:val="green"/>
        </w:rPr>
        <w:t xml:space="preserve">. established direct concordance between this more high-throughput method utilizing a </w:t>
      </w:r>
      <w:proofErr w:type="spellStart"/>
      <w:r w:rsidRPr="00BA7421">
        <w:rPr>
          <w:color w:val="FF0000"/>
          <w:sz w:val="24"/>
          <w:szCs w:val="24"/>
          <w:highlight w:val="green"/>
        </w:rPr>
        <w:t>microplate</w:t>
      </w:r>
      <w:proofErr w:type="spellEnd"/>
      <w:r w:rsidRPr="00BA7421">
        <w:rPr>
          <w:color w:val="FF0000"/>
          <w:sz w:val="24"/>
          <w:szCs w:val="24"/>
          <w:highlight w:val="green"/>
        </w:rPr>
        <w:t xml:space="preserve"> reader and the earlier method in which samples were read one-at-a-time in a </w:t>
      </w:r>
      <w:proofErr w:type="spellStart"/>
      <w:r w:rsidRPr="00BA7421">
        <w:rPr>
          <w:color w:val="FF0000"/>
          <w:sz w:val="24"/>
          <w:szCs w:val="24"/>
          <w:highlight w:val="green"/>
        </w:rPr>
        <w:t>fluorimeter</w:t>
      </w:r>
      <w:proofErr w:type="spellEnd"/>
      <w:r w:rsidRPr="00BA7421">
        <w:rPr>
          <w:color w:val="FF0000"/>
          <w:sz w:val="24"/>
          <w:szCs w:val="24"/>
          <w:highlight w:val="green"/>
        </w:rPr>
        <w:t>. In sum,</w:t>
      </w:r>
      <w:r w:rsidRPr="00BA7421">
        <w:rPr>
          <w:color w:val="FF0000"/>
          <w:sz w:val="24"/>
          <w:szCs w:val="24"/>
        </w:rPr>
        <w:t xml:space="preserve"> </w:t>
      </w:r>
      <w:proofErr w:type="spellStart"/>
      <w:r w:rsidRPr="00BA7421">
        <w:rPr>
          <w:color w:val="FF0000"/>
          <w:sz w:val="24"/>
          <w:szCs w:val="24"/>
        </w:rPr>
        <w:t>Naal</w:t>
      </w:r>
      <w:proofErr w:type="spellEnd"/>
      <w:r w:rsidRPr="00BA7421">
        <w:rPr>
          <w:color w:val="FF0000"/>
          <w:sz w:val="24"/>
          <w:szCs w:val="24"/>
        </w:rPr>
        <w:t xml:space="preserve"> </w:t>
      </w:r>
      <w:r w:rsidRPr="00BA7421">
        <w:rPr>
          <w:i/>
          <w:color w:val="FF0000"/>
          <w:sz w:val="24"/>
          <w:szCs w:val="24"/>
        </w:rPr>
        <w:t>et al.</w:t>
      </w:r>
      <w:hyperlink w:anchor="_ENREF_1" w:tooltip="Naal, 2004 #708" w:history="1">
        <w:r w:rsidR="00076679" w:rsidRPr="00BA7421">
          <w:rPr>
            <w:color w:val="FF0000"/>
            <w:sz w:val="24"/>
            <w:szCs w:val="24"/>
          </w:rPr>
          <w:fldChar w:fldCharType="begin"/>
        </w:r>
        <w:r w:rsidR="00DE372D" w:rsidRPr="00BA7421">
          <w:rPr>
            <w:color w:val="FF0000"/>
            <w:sz w:val="24"/>
            <w:szCs w:val="24"/>
          </w:rPr>
          <w:instrText xml:space="preserve"> ADDIN EN.CITE &lt;EndNote&gt;&lt;Cite&gt;&lt;Author&gt;Naal&lt;/Author&gt;&lt;Year&gt;2004&lt;/Year&gt;&lt;RecNum&gt;708&lt;/RecNum&gt;&lt;DisplayText&gt;&lt;style face="superscript"&gt;1&lt;/style&gt;&lt;/DisplayText&gt;&lt;record&gt;&lt;rec-number&gt;708&lt;/rec-number&gt;&lt;foreign-keys&gt;&lt;key app="EN" db-id="a2dfdt0r2tzv2wewvpbvzdxx9wfv2z2xra2v"&gt;708&lt;/key&gt;&lt;/foreign-keys&gt;&lt;ref-type name="Journal Article"&gt;17&lt;/ref-type&gt;&lt;contributors&gt;&lt;authors&gt;&lt;author&gt;Naal, Rmzg&lt;/author&gt;&lt;author&gt;Tabb, J.&lt;/author&gt;&lt;author&gt;Holowka, D.&lt;/author&gt;&lt;author&gt;Baird, B.&lt;/author&gt;&lt;/authors&gt;&lt;/contributors&gt;&lt;titles&gt;&lt;title&gt;In situ measurement of degranulation as a biosensor based on RBL-2H3 mast cells&lt;/title&gt;&lt;secondary-title&gt;Biosensors &amp;amp; Bioelectronics&lt;/secondary-title&gt;&lt;/titles&gt;&lt;periodical&gt;&lt;full-title&gt;Biosensors &amp;amp; Bioelectronics&lt;/full-title&gt;&lt;/periodical&gt;&lt;pages&gt;791-796&lt;/pages&gt;&lt;volume&gt;20&lt;/volume&gt;&lt;number&gt;4&lt;/number&gt;&lt;dates&gt;&lt;year&gt;2004&lt;/year&gt;&lt;pub-dates&gt;&lt;date&gt;Nov&lt;/date&gt;&lt;/pub-dates&gt;&lt;/dates&gt;&lt;isbn&gt;0956-5663&lt;/isbn&gt;&lt;accession-num&gt;ISI:000225412600014&lt;/accession-num&gt;&lt;urls&gt;&lt;related-urls&gt;&lt;url&gt;&amp;lt;Go to ISI&amp;gt;://000225412600014&lt;/url&gt;&lt;/related-urls&gt;&lt;/urls&gt;&lt;electronic-resource-num&gt;10.1016/j.bios.2004.03.017&lt;/electronic-resource-num&gt;&lt;/record&gt;&lt;/Cite&gt;&lt;/EndNote&gt;</w:instrText>
        </w:r>
        <w:r w:rsidR="00076679" w:rsidRPr="00BA7421">
          <w:rPr>
            <w:color w:val="FF0000"/>
            <w:sz w:val="24"/>
            <w:szCs w:val="24"/>
          </w:rPr>
          <w:fldChar w:fldCharType="separate"/>
        </w:r>
        <w:r w:rsidR="00DE372D" w:rsidRPr="00BA7421">
          <w:rPr>
            <w:noProof/>
            <w:color w:val="FF0000"/>
            <w:sz w:val="24"/>
            <w:szCs w:val="24"/>
            <w:vertAlign w:val="superscript"/>
          </w:rPr>
          <w:t>1</w:t>
        </w:r>
        <w:r w:rsidR="00076679" w:rsidRPr="00BA7421">
          <w:rPr>
            <w:color w:val="FF0000"/>
            <w:sz w:val="24"/>
            <w:szCs w:val="24"/>
          </w:rPr>
          <w:fldChar w:fldCharType="end"/>
        </w:r>
      </w:hyperlink>
      <w:r w:rsidRPr="00BA7421">
        <w:rPr>
          <w:color w:val="FF0000"/>
          <w:sz w:val="24"/>
          <w:szCs w:val="24"/>
        </w:rPr>
        <w:t xml:space="preserve"> </w:t>
      </w:r>
      <w:proofErr w:type="gramStart"/>
      <w:r w:rsidRPr="00BA7421">
        <w:rPr>
          <w:color w:val="FF0000"/>
          <w:sz w:val="24"/>
          <w:szCs w:val="24"/>
        </w:rPr>
        <w:t>greatly</w:t>
      </w:r>
      <w:proofErr w:type="gramEnd"/>
      <w:r w:rsidRPr="00BA7421">
        <w:rPr>
          <w:color w:val="FF0000"/>
          <w:sz w:val="24"/>
          <w:szCs w:val="24"/>
        </w:rPr>
        <w:t xml:space="preserve"> improved the speed, power, simplicity, and reliability of the assay by adapting it to a high-throughput </w:t>
      </w:r>
      <w:proofErr w:type="spellStart"/>
      <w:r w:rsidRPr="00BA7421">
        <w:rPr>
          <w:color w:val="FF0000"/>
          <w:sz w:val="24"/>
          <w:szCs w:val="24"/>
        </w:rPr>
        <w:t>microplate</w:t>
      </w:r>
      <w:proofErr w:type="spellEnd"/>
      <w:r w:rsidRPr="00BA7421">
        <w:rPr>
          <w:color w:val="FF0000"/>
          <w:sz w:val="24"/>
          <w:szCs w:val="24"/>
        </w:rPr>
        <w:t xml:space="preserve"> platform, as well as by incorporating several changes to the workflow. Here, we have further adapted this assay for a study of </w:t>
      </w:r>
      <w:r w:rsidRPr="00BA7421">
        <w:rPr>
          <w:color w:val="FF0000"/>
          <w:sz w:val="24"/>
          <w:szCs w:val="24"/>
          <w:highlight w:val="green"/>
        </w:rPr>
        <w:t>various test chemicals, in particular, here, the</w:t>
      </w:r>
      <w:r w:rsidRPr="00BA7421">
        <w:rPr>
          <w:color w:val="FF0000"/>
          <w:sz w:val="24"/>
          <w:szCs w:val="24"/>
        </w:rPr>
        <w:t xml:space="preserve"> ubiquitous drug TCS.</w:t>
      </w:r>
    </w:p>
    <w:p w:rsidR="002A153A" w:rsidRDefault="003F5EB2" w:rsidP="003F5EB2">
      <w:pPr>
        <w:spacing w:after="0"/>
        <w:rPr>
          <w:rFonts w:ascii="Arial" w:hAnsi="Arial" w:cs="Arial"/>
          <w:color w:val="222222"/>
          <w:sz w:val="24"/>
          <w:szCs w:val="24"/>
          <w:shd w:val="clear" w:color="auto" w:fill="FFFFFF"/>
        </w:rPr>
      </w:pPr>
      <w:r w:rsidRPr="0009732B">
        <w:rPr>
          <w:rFonts w:ascii="Arial" w:hAnsi="Arial" w:cs="Arial"/>
          <w:color w:val="222222"/>
          <w:sz w:val="24"/>
          <w:szCs w:val="24"/>
        </w:rPr>
        <w:br/>
      </w:r>
      <w:r w:rsidRPr="0009732B">
        <w:rPr>
          <w:rFonts w:ascii="Arial" w:hAnsi="Arial" w:cs="Arial"/>
          <w:i/>
          <w:iCs/>
          <w:color w:val="222222"/>
          <w:sz w:val="24"/>
          <w:szCs w:val="24"/>
          <w:shd w:val="clear" w:color="auto" w:fill="FFFFFF"/>
        </w:rPr>
        <w:t>Minor Concerns:</w:t>
      </w:r>
      <w:r w:rsidRPr="0009732B">
        <w:rPr>
          <w:rFonts w:ascii="Arial" w:hAnsi="Arial" w:cs="Arial"/>
          <w:color w:val="222222"/>
          <w:sz w:val="24"/>
          <w:szCs w:val="24"/>
        </w:rPr>
        <w:br/>
      </w:r>
      <w:r w:rsidRPr="0009732B">
        <w:rPr>
          <w:rFonts w:ascii="Arial" w:hAnsi="Arial" w:cs="Arial"/>
          <w:color w:val="222222"/>
          <w:sz w:val="24"/>
          <w:szCs w:val="24"/>
          <w:shd w:val="clear" w:color="auto" w:fill="FFFFFF"/>
        </w:rPr>
        <w:t>Other factors, such as Stem cell factor should be used as a positive control to evaluate the impact of Triclosan on mast cell degranulation.</w:t>
      </w:r>
    </w:p>
    <w:p w:rsidR="002A153A" w:rsidRDefault="002A153A" w:rsidP="003F5EB2">
      <w:pPr>
        <w:spacing w:after="0"/>
        <w:rPr>
          <w:rFonts w:ascii="Arial" w:hAnsi="Arial" w:cs="Arial"/>
          <w:color w:val="222222"/>
          <w:sz w:val="24"/>
          <w:szCs w:val="24"/>
          <w:shd w:val="clear" w:color="auto" w:fill="FFFFFF"/>
        </w:rPr>
      </w:pPr>
    </w:p>
    <w:p w:rsidR="00B022E0" w:rsidRDefault="008E4A79" w:rsidP="003F5EB2">
      <w:pPr>
        <w:spacing w:after="0"/>
        <w:rPr>
          <w:rFonts w:ascii="Arial" w:hAnsi="Arial" w:cs="Arial"/>
          <w:color w:val="FF0000"/>
          <w:sz w:val="24"/>
          <w:szCs w:val="24"/>
        </w:rPr>
      </w:pPr>
      <w:r>
        <w:rPr>
          <w:rFonts w:ascii="Arial" w:hAnsi="Arial" w:cs="Arial"/>
          <w:color w:val="FF0000"/>
          <w:sz w:val="24"/>
          <w:szCs w:val="24"/>
          <w:shd w:val="clear" w:color="auto" w:fill="FFFFFF"/>
        </w:rPr>
        <w:t>The reviewer h</w:t>
      </w:r>
      <w:r w:rsidR="00BA7421">
        <w:rPr>
          <w:rFonts w:ascii="Arial" w:hAnsi="Arial" w:cs="Arial"/>
          <w:color w:val="FF0000"/>
          <w:sz w:val="24"/>
          <w:szCs w:val="24"/>
          <w:shd w:val="clear" w:color="auto" w:fill="FFFFFF"/>
        </w:rPr>
        <w:t>as made an interesting point–t</w:t>
      </w:r>
      <w:r>
        <w:rPr>
          <w:rFonts w:ascii="Arial" w:hAnsi="Arial" w:cs="Arial"/>
          <w:color w:val="FF0000"/>
          <w:sz w:val="24"/>
          <w:szCs w:val="24"/>
          <w:shd w:val="clear" w:color="auto" w:fill="FFFFFF"/>
        </w:rPr>
        <w:t>hat there are multiple ways to stimulate degran</w:t>
      </w:r>
      <w:r w:rsidR="00BA7421">
        <w:rPr>
          <w:rFonts w:ascii="Arial" w:hAnsi="Arial" w:cs="Arial"/>
          <w:color w:val="FF0000"/>
          <w:sz w:val="24"/>
          <w:szCs w:val="24"/>
          <w:shd w:val="clear" w:color="auto" w:fill="FFFFFF"/>
        </w:rPr>
        <w:t xml:space="preserve">ulation of RBL-2H3 mast cells. </w:t>
      </w:r>
      <w:r>
        <w:rPr>
          <w:rFonts w:ascii="Arial" w:hAnsi="Arial" w:cs="Arial"/>
          <w:color w:val="FF0000"/>
          <w:sz w:val="24"/>
          <w:szCs w:val="24"/>
          <w:shd w:val="clear" w:color="auto" w:fill="FFFFFF"/>
        </w:rPr>
        <w:t xml:space="preserve">There exist several methods of RBL-2H3 stimulation in addition </w:t>
      </w:r>
      <w:r w:rsidR="00C310EB">
        <w:rPr>
          <w:rFonts w:ascii="Arial" w:hAnsi="Arial" w:cs="Arial"/>
          <w:color w:val="FF0000"/>
          <w:sz w:val="24"/>
          <w:szCs w:val="24"/>
          <w:shd w:val="clear" w:color="auto" w:fill="FFFFFF"/>
        </w:rPr>
        <w:t xml:space="preserve">to the </w:t>
      </w:r>
      <w:proofErr w:type="spellStart"/>
      <w:r w:rsidR="00C310EB">
        <w:rPr>
          <w:rFonts w:ascii="Arial" w:hAnsi="Arial" w:cs="Arial"/>
          <w:color w:val="FF0000"/>
          <w:sz w:val="24"/>
          <w:szCs w:val="24"/>
          <w:shd w:val="clear" w:color="auto" w:fill="FFFFFF"/>
        </w:rPr>
        <w:t>corsslinking</w:t>
      </w:r>
      <w:proofErr w:type="spellEnd"/>
      <w:r w:rsidR="00C310EB">
        <w:rPr>
          <w:rFonts w:ascii="Arial" w:hAnsi="Arial" w:cs="Arial"/>
          <w:color w:val="FF0000"/>
          <w:sz w:val="24"/>
          <w:szCs w:val="24"/>
          <w:shd w:val="clear" w:color="auto" w:fill="FFFFFF"/>
        </w:rPr>
        <w:t xml:space="preserve"> of </w:t>
      </w:r>
      <w:proofErr w:type="spellStart"/>
      <w:r w:rsidR="00C310EB">
        <w:rPr>
          <w:rFonts w:ascii="Arial" w:hAnsi="Arial" w:cs="Arial"/>
          <w:color w:val="FF0000"/>
          <w:sz w:val="24"/>
          <w:szCs w:val="24"/>
          <w:shd w:val="clear" w:color="auto" w:fill="FFFFFF"/>
        </w:rPr>
        <w:t>IgE</w:t>
      </w:r>
      <w:proofErr w:type="spellEnd"/>
      <w:r w:rsidR="00BA7421">
        <w:rPr>
          <w:rFonts w:ascii="Arial" w:hAnsi="Arial" w:cs="Arial"/>
          <w:color w:val="FF0000"/>
          <w:sz w:val="24"/>
          <w:szCs w:val="24"/>
          <w:shd w:val="clear" w:color="auto" w:fill="FFFFFF"/>
        </w:rPr>
        <w:t>-</w:t>
      </w:r>
      <w:r>
        <w:rPr>
          <w:rFonts w:ascii="Arial" w:hAnsi="Arial" w:cs="Arial"/>
          <w:color w:val="FF0000"/>
          <w:sz w:val="24"/>
          <w:szCs w:val="24"/>
          <w:shd w:val="clear" w:color="auto" w:fill="FFFFFF"/>
        </w:rPr>
        <w:t xml:space="preserve">bound receptors (multivalent antigen) </w:t>
      </w:r>
      <w:r>
        <w:rPr>
          <w:rFonts w:ascii="Arial" w:hAnsi="Arial" w:cs="Arial"/>
          <w:color w:val="FF0000"/>
          <w:sz w:val="24"/>
          <w:szCs w:val="24"/>
          <w:shd w:val="clear" w:color="auto" w:fill="FFFFFF"/>
        </w:rPr>
        <w:lastRenderedPageBreak/>
        <w:t xml:space="preserve">and </w:t>
      </w:r>
      <w:proofErr w:type="spellStart"/>
      <w:r>
        <w:rPr>
          <w:rFonts w:ascii="Arial" w:hAnsi="Arial" w:cs="Arial"/>
          <w:color w:val="FF0000"/>
          <w:sz w:val="24"/>
          <w:szCs w:val="24"/>
          <w:shd w:val="clear" w:color="auto" w:fill="FFFFFF"/>
        </w:rPr>
        <w:t>ionophore</w:t>
      </w:r>
      <w:proofErr w:type="spellEnd"/>
      <w:r>
        <w:rPr>
          <w:rFonts w:ascii="Arial" w:hAnsi="Arial" w:cs="Arial"/>
          <w:color w:val="FF0000"/>
          <w:sz w:val="24"/>
          <w:szCs w:val="24"/>
          <w:shd w:val="clear" w:color="auto" w:fill="FFFFFF"/>
        </w:rPr>
        <w:t xml:space="preserve"> induced Ca</w:t>
      </w:r>
      <w:r w:rsidRPr="008E4A79">
        <w:rPr>
          <w:rFonts w:ascii="Arial" w:hAnsi="Arial" w:cs="Arial"/>
          <w:color w:val="FF0000"/>
          <w:sz w:val="24"/>
          <w:szCs w:val="24"/>
          <w:shd w:val="clear" w:color="auto" w:fill="FFFFFF"/>
          <w:vertAlign w:val="superscript"/>
        </w:rPr>
        <w:t>2+</w:t>
      </w:r>
      <w:r>
        <w:rPr>
          <w:rFonts w:ascii="Arial" w:hAnsi="Arial" w:cs="Arial"/>
          <w:color w:val="FF0000"/>
          <w:sz w:val="24"/>
          <w:szCs w:val="24"/>
          <w:shd w:val="clear" w:color="auto" w:fill="FFFFFF"/>
          <w:vertAlign w:val="superscript"/>
        </w:rPr>
        <w:t xml:space="preserve"> </w:t>
      </w:r>
      <w:r>
        <w:rPr>
          <w:rFonts w:ascii="Arial" w:hAnsi="Arial" w:cs="Arial"/>
          <w:color w:val="FF0000"/>
          <w:sz w:val="24"/>
          <w:szCs w:val="24"/>
        </w:rPr>
        <w:t xml:space="preserve">influx.  One of these methods is stimulation </w:t>
      </w:r>
      <w:r w:rsidR="00C310EB">
        <w:rPr>
          <w:rFonts w:ascii="Arial" w:hAnsi="Arial" w:cs="Arial"/>
          <w:color w:val="FF0000"/>
          <w:sz w:val="24"/>
          <w:szCs w:val="24"/>
        </w:rPr>
        <w:t>via</w:t>
      </w:r>
      <w:r>
        <w:rPr>
          <w:rFonts w:ascii="Arial" w:hAnsi="Arial" w:cs="Arial"/>
          <w:color w:val="FF0000"/>
          <w:sz w:val="24"/>
          <w:szCs w:val="24"/>
        </w:rPr>
        <w:t xml:space="preserve"> exposure to compound 48/80 along with </w:t>
      </w:r>
      <w:proofErr w:type="spellStart"/>
      <w:r>
        <w:rPr>
          <w:rFonts w:ascii="Arial" w:hAnsi="Arial" w:cs="Arial"/>
          <w:color w:val="FF0000"/>
          <w:sz w:val="24"/>
          <w:szCs w:val="24"/>
        </w:rPr>
        <w:t>quercetin</w:t>
      </w:r>
      <w:proofErr w:type="spellEnd"/>
      <w:r w:rsidR="00076679">
        <w:rPr>
          <w:rFonts w:ascii="Arial" w:hAnsi="Arial" w:cs="Arial"/>
          <w:color w:val="FF0000"/>
          <w:sz w:val="24"/>
          <w:szCs w:val="24"/>
        </w:rPr>
        <w:fldChar w:fldCharType="begin"/>
      </w:r>
      <w:r w:rsidR="00DE372D">
        <w:rPr>
          <w:rFonts w:ascii="Arial" w:hAnsi="Arial" w:cs="Arial"/>
          <w:color w:val="FF0000"/>
          <w:sz w:val="24"/>
          <w:szCs w:val="24"/>
        </w:rPr>
        <w:instrText xml:space="preserve"> HYPERLINK \l "_ENREF_5" \o "Senyshyn, 1998 #1843" </w:instrText>
      </w:r>
      <w:r w:rsidR="00076679">
        <w:rPr>
          <w:rFonts w:ascii="Arial" w:hAnsi="Arial" w:cs="Arial"/>
          <w:color w:val="FF0000"/>
          <w:sz w:val="24"/>
          <w:szCs w:val="24"/>
        </w:rPr>
        <w:fldChar w:fldCharType="separate"/>
      </w:r>
      <w:r w:rsidR="00076679">
        <w:rPr>
          <w:rFonts w:ascii="Arial" w:hAnsi="Arial" w:cs="Arial"/>
          <w:color w:val="FF0000"/>
          <w:sz w:val="24"/>
          <w:szCs w:val="24"/>
        </w:rPr>
        <w:fldChar w:fldCharType="begin"/>
      </w:r>
      <w:r w:rsidR="00DE372D">
        <w:rPr>
          <w:rFonts w:ascii="Arial" w:hAnsi="Arial" w:cs="Arial"/>
          <w:color w:val="FF0000"/>
          <w:sz w:val="24"/>
          <w:szCs w:val="24"/>
        </w:rPr>
        <w:instrText xml:space="preserve"> ADDIN EN.CITE &lt;EndNote&gt;&lt;Cite&gt;&lt;Author&gt;Senyshyn&lt;/Author&gt;&lt;Year&gt;1998&lt;/Year&gt;&lt;RecNum&gt;1843&lt;/RecNum&gt;&lt;DisplayText&gt;&lt;style face="superscript"&gt;5&lt;/style&gt;&lt;/DisplayText&gt;&lt;record&gt;&lt;rec-number&gt;1843&lt;/rec-number&gt;&lt;foreign-keys&gt;&lt;key app="EN" db-id="a2dfdt0r2tzv2wewvpbvzdxx9wfv2z2xra2v"&gt;1843&lt;/key&gt;&lt;/foreign-keys&gt;&lt;ref-type name="Journal Article"&gt;17&lt;/ref-type&gt;&lt;contributors&gt;&lt;authors&gt;&lt;author&gt;Senyshyn, J.&lt;/author&gt;&lt;author&gt;Baumgartner, R. A.&lt;/author&gt;&lt;author&gt;Beaven, M. A.&lt;/author&gt;&lt;/authors&gt;&lt;/contributors&gt;&lt;titles&gt;&lt;title&gt;Quercetin sensitizes RBL-2H3 cells to polybasic mast cell secretagogues through increased expression of Gi GTP-binding proteins linked to a phospholipase C signaling pathway&lt;/title&gt;&lt;secondary-title&gt;Journal of Immunology&lt;/secondary-title&gt;&lt;/titles&gt;&lt;periodical&gt;&lt;full-title&gt;Journal of Immunology&lt;/full-title&gt;&lt;/periodical&gt;&lt;pages&gt;5136-5144&lt;/pages&gt;&lt;volume&gt;160&lt;/volume&gt;&lt;number&gt;10&lt;/number&gt;&lt;dates&gt;&lt;year&gt;1998&lt;/year&gt;&lt;pub-dates&gt;&lt;date&gt;May&lt;/date&gt;&lt;/pub-dates&gt;&lt;/dates&gt;&lt;isbn&gt;0022-1767&lt;/isbn&gt;&lt;accession-num&gt;WOS:000073500000058&lt;/accession-num&gt;&lt;urls&gt;&lt;related-urls&gt;&lt;url&gt;&amp;lt;Go to ISI&amp;gt;://WOS:000073500000058&lt;/url&gt;&lt;/related-urls&gt;&lt;/urls&gt;&lt;/record&gt;&lt;/Cite&gt;&lt;/EndNote&gt;</w:instrText>
      </w:r>
      <w:r w:rsidR="00076679">
        <w:rPr>
          <w:rFonts w:ascii="Arial" w:hAnsi="Arial" w:cs="Arial"/>
          <w:color w:val="FF0000"/>
          <w:sz w:val="24"/>
          <w:szCs w:val="24"/>
        </w:rPr>
        <w:fldChar w:fldCharType="separate"/>
      </w:r>
      <w:r w:rsidR="00DE372D" w:rsidRPr="00BA7421">
        <w:rPr>
          <w:rFonts w:ascii="Arial" w:hAnsi="Arial" w:cs="Arial"/>
          <w:noProof/>
          <w:color w:val="FF0000"/>
          <w:sz w:val="24"/>
          <w:szCs w:val="24"/>
          <w:vertAlign w:val="superscript"/>
        </w:rPr>
        <w:t>5</w:t>
      </w:r>
      <w:r w:rsidR="00076679">
        <w:rPr>
          <w:rFonts w:ascii="Arial" w:hAnsi="Arial" w:cs="Arial"/>
          <w:color w:val="FF0000"/>
          <w:sz w:val="24"/>
          <w:szCs w:val="24"/>
        </w:rPr>
        <w:fldChar w:fldCharType="end"/>
      </w:r>
      <w:r w:rsidR="00076679">
        <w:rPr>
          <w:rFonts w:ascii="Arial" w:hAnsi="Arial" w:cs="Arial"/>
          <w:color w:val="FF0000"/>
          <w:sz w:val="24"/>
          <w:szCs w:val="24"/>
        </w:rPr>
        <w:fldChar w:fldCharType="end"/>
      </w:r>
      <w:r w:rsidR="00DE372D">
        <w:rPr>
          <w:rFonts w:ascii="Arial" w:hAnsi="Arial" w:cs="Arial"/>
          <w:color w:val="FF0000"/>
          <w:sz w:val="24"/>
          <w:szCs w:val="24"/>
        </w:rPr>
        <w:t xml:space="preserve">. Another, </w:t>
      </w:r>
      <w:r>
        <w:rPr>
          <w:rFonts w:ascii="Arial" w:hAnsi="Arial" w:cs="Arial"/>
          <w:color w:val="FF0000"/>
          <w:sz w:val="24"/>
          <w:szCs w:val="24"/>
        </w:rPr>
        <w:t>as suggested by this reviewer,</w:t>
      </w:r>
      <w:r w:rsidR="00DE372D">
        <w:rPr>
          <w:rFonts w:ascii="Arial" w:hAnsi="Arial" w:cs="Arial"/>
          <w:color w:val="FF0000"/>
          <w:sz w:val="24"/>
          <w:szCs w:val="24"/>
        </w:rPr>
        <w:t xml:space="preserve"> is</w:t>
      </w:r>
      <w:r>
        <w:rPr>
          <w:rFonts w:ascii="Arial" w:hAnsi="Arial" w:cs="Arial"/>
          <w:color w:val="FF0000"/>
          <w:sz w:val="24"/>
          <w:szCs w:val="24"/>
        </w:rPr>
        <w:t xml:space="preserve"> stimulation via stem c</w:t>
      </w:r>
      <w:r w:rsidR="00DE372D">
        <w:rPr>
          <w:rFonts w:ascii="Arial" w:hAnsi="Arial" w:cs="Arial"/>
          <w:color w:val="FF0000"/>
          <w:sz w:val="24"/>
          <w:szCs w:val="24"/>
        </w:rPr>
        <w:t xml:space="preserve">ell factor. </w:t>
      </w:r>
      <w:r>
        <w:rPr>
          <w:rFonts w:ascii="Arial" w:hAnsi="Arial" w:cs="Arial"/>
          <w:color w:val="FF0000"/>
          <w:sz w:val="24"/>
          <w:szCs w:val="24"/>
        </w:rPr>
        <w:t xml:space="preserve">Yet another is crosslinking IgE-bound receptors </w:t>
      </w:r>
      <w:r w:rsidR="00DE372D">
        <w:rPr>
          <w:rFonts w:ascii="Arial" w:hAnsi="Arial" w:cs="Arial"/>
          <w:color w:val="FF0000"/>
          <w:sz w:val="24"/>
          <w:szCs w:val="24"/>
        </w:rPr>
        <w:t>with an anti-</w:t>
      </w:r>
      <w:proofErr w:type="spellStart"/>
      <w:r w:rsidR="00DE372D">
        <w:rPr>
          <w:rFonts w:ascii="Arial" w:hAnsi="Arial" w:cs="Arial"/>
          <w:color w:val="FF0000"/>
          <w:sz w:val="24"/>
          <w:szCs w:val="24"/>
        </w:rPr>
        <w:t>IgE</w:t>
      </w:r>
      <w:proofErr w:type="spellEnd"/>
      <w:r w:rsidR="00DE372D">
        <w:rPr>
          <w:rFonts w:ascii="Arial" w:hAnsi="Arial" w:cs="Arial"/>
          <w:color w:val="FF0000"/>
          <w:sz w:val="24"/>
          <w:szCs w:val="24"/>
        </w:rPr>
        <w:t xml:space="preserve"> </w:t>
      </w:r>
      <w:proofErr w:type="spellStart"/>
      <w:r w:rsidR="00DE372D">
        <w:rPr>
          <w:rFonts w:ascii="Arial" w:hAnsi="Arial" w:cs="Arial"/>
          <w:color w:val="FF0000"/>
          <w:sz w:val="24"/>
          <w:szCs w:val="24"/>
        </w:rPr>
        <w:t>IgG</w:t>
      </w:r>
      <w:proofErr w:type="spellEnd"/>
      <w:r w:rsidR="00DE372D">
        <w:rPr>
          <w:rFonts w:ascii="Arial" w:hAnsi="Arial" w:cs="Arial"/>
          <w:color w:val="FF0000"/>
          <w:sz w:val="24"/>
          <w:szCs w:val="24"/>
        </w:rPr>
        <w:t xml:space="preserve"> antibody. </w:t>
      </w:r>
      <w:r>
        <w:rPr>
          <w:rFonts w:ascii="Arial" w:hAnsi="Arial" w:cs="Arial"/>
          <w:color w:val="FF0000"/>
          <w:sz w:val="24"/>
          <w:szCs w:val="24"/>
        </w:rPr>
        <w:t xml:space="preserve">In fact, we </w:t>
      </w:r>
      <w:r w:rsidR="003A5D16">
        <w:rPr>
          <w:rFonts w:ascii="Arial" w:hAnsi="Arial" w:cs="Arial"/>
          <w:color w:val="FF0000"/>
          <w:sz w:val="24"/>
          <w:szCs w:val="24"/>
        </w:rPr>
        <w:t xml:space="preserve">have previously found that </w:t>
      </w:r>
      <w:proofErr w:type="spellStart"/>
      <w:r w:rsidR="003A5D16">
        <w:rPr>
          <w:rFonts w:ascii="Arial" w:hAnsi="Arial" w:cs="Arial"/>
          <w:color w:val="FF0000"/>
          <w:sz w:val="24"/>
          <w:szCs w:val="24"/>
        </w:rPr>
        <w:t>Triclosan</w:t>
      </w:r>
      <w:r w:rsidR="00B022E0">
        <w:rPr>
          <w:rFonts w:ascii="Arial" w:hAnsi="Arial" w:cs="Arial"/>
          <w:color w:val="FF0000"/>
          <w:sz w:val="24"/>
          <w:szCs w:val="24"/>
        </w:rPr>
        <w:t>’s</w:t>
      </w:r>
      <w:proofErr w:type="spellEnd"/>
      <w:r w:rsidR="003A5D16">
        <w:rPr>
          <w:rFonts w:ascii="Arial" w:hAnsi="Arial" w:cs="Arial"/>
          <w:color w:val="FF0000"/>
          <w:sz w:val="24"/>
          <w:szCs w:val="24"/>
        </w:rPr>
        <w:t xml:space="preserve"> (TCS</w:t>
      </w:r>
      <w:r w:rsidR="00B022E0">
        <w:rPr>
          <w:rFonts w:ascii="Arial" w:hAnsi="Arial" w:cs="Arial"/>
          <w:color w:val="FF0000"/>
          <w:sz w:val="24"/>
          <w:szCs w:val="24"/>
        </w:rPr>
        <w:t>’s</w:t>
      </w:r>
      <w:r w:rsidR="003A5D16">
        <w:rPr>
          <w:rFonts w:ascii="Arial" w:hAnsi="Arial" w:cs="Arial"/>
          <w:color w:val="FF0000"/>
          <w:sz w:val="24"/>
          <w:szCs w:val="24"/>
        </w:rPr>
        <w:t xml:space="preserve">) inhibition of </w:t>
      </w:r>
      <w:r w:rsidR="00B022E0">
        <w:rPr>
          <w:rFonts w:ascii="Arial" w:hAnsi="Arial" w:cs="Arial"/>
          <w:color w:val="FF0000"/>
          <w:sz w:val="24"/>
          <w:szCs w:val="24"/>
        </w:rPr>
        <w:t xml:space="preserve">IgE-mediated degranulation is not dependent upon the type of </w:t>
      </w:r>
      <w:proofErr w:type="spellStart"/>
      <w:r w:rsidR="00B022E0">
        <w:rPr>
          <w:rFonts w:ascii="Arial" w:hAnsi="Arial" w:cs="Arial"/>
          <w:color w:val="FF0000"/>
          <w:sz w:val="24"/>
          <w:szCs w:val="24"/>
        </w:rPr>
        <w:t>crosslinker</w:t>
      </w:r>
      <w:proofErr w:type="spellEnd"/>
      <w:r w:rsidR="00B022E0">
        <w:rPr>
          <w:rFonts w:ascii="Arial" w:hAnsi="Arial" w:cs="Arial"/>
          <w:color w:val="FF0000"/>
          <w:sz w:val="24"/>
          <w:szCs w:val="24"/>
        </w:rPr>
        <w:t xml:space="preserve"> used (whether antigen or </w:t>
      </w:r>
      <w:r w:rsidR="00C310EB">
        <w:rPr>
          <w:rFonts w:ascii="Arial" w:hAnsi="Arial" w:cs="Arial"/>
          <w:color w:val="FF0000"/>
          <w:sz w:val="24"/>
          <w:szCs w:val="24"/>
        </w:rPr>
        <w:t>anti-</w:t>
      </w:r>
      <w:proofErr w:type="spellStart"/>
      <w:r w:rsidR="00B022E0">
        <w:rPr>
          <w:rFonts w:ascii="Arial" w:hAnsi="Arial" w:cs="Arial"/>
          <w:color w:val="FF0000"/>
          <w:sz w:val="24"/>
          <w:szCs w:val="24"/>
        </w:rPr>
        <w:t>IgE</w:t>
      </w:r>
      <w:proofErr w:type="spellEnd"/>
      <w:r w:rsidR="00B022E0">
        <w:rPr>
          <w:rFonts w:ascii="Arial" w:hAnsi="Arial" w:cs="Arial"/>
          <w:color w:val="FF0000"/>
          <w:sz w:val="24"/>
          <w:szCs w:val="24"/>
        </w:rPr>
        <w:t xml:space="preserve"> </w:t>
      </w:r>
      <w:proofErr w:type="spellStart"/>
      <w:r w:rsidR="00B022E0">
        <w:rPr>
          <w:rFonts w:ascii="Arial" w:hAnsi="Arial" w:cs="Arial"/>
          <w:color w:val="FF0000"/>
          <w:sz w:val="24"/>
          <w:szCs w:val="24"/>
        </w:rPr>
        <w:t>IgG</w:t>
      </w:r>
      <w:proofErr w:type="spellEnd"/>
      <w:r w:rsidR="00B022E0">
        <w:rPr>
          <w:rFonts w:ascii="Arial" w:hAnsi="Arial" w:cs="Arial"/>
          <w:color w:val="FF0000"/>
          <w:sz w:val="24"/>
          <w:szCs w:val="24"/>
        </w:rPr>
        <w:t xml:space="preserve"> antibody)</w:t>
      </w:r>
      <w:hyperlink w:anchor="_ENREF_6" w:tooltip="Palmer, 2012 #1327" w:history="1">
        <w:r w:rsidR="00076679">
          <w:rPr>
            <w:rFonts w:ascii="Arial" w:hAnsi="Arial" w:cs="Arial"/>
            <w:color w:val="FF0000"/>
            <w:sz w:val="24"/>
            <w:szCs w:val="24"/>
          </w:rPr>
          <w:fldChar w:fldCharType="begin"/>
        </w:r>
        <w:r w:rsidR="00DE372D">
          <w:rPr>
            <w:rFonts w:ascii="Arial" w:hAnsi="Arial" w:cs="Arial"/>
            <w:color w:val="FF0000"/>
            <w:sz w:val="24"/>
            <w:szCs w:val="24"/>
          </w:rPr>
          <w:instrText xml:space="preserve"> ADDIN EN.CITE &lt;EndNote&gt;&lt;Cite&gt;&lt;Author&gt;Palmer&lt;/Author&gt;&lt;Year&gt;2012&lt;/Year&gt;&lt;RecNum&gt;1327&lt;/RecNum&gt;&lt;DisplayText&gt;&lt;style face="superscript"&gt;6&lt;/style&gt;&lt;/DisplayText&gt;&lt;record&gt;&lt;rec-number&gt;1327&lt;/rec-number&gt;&lt;foreign-keys&gt;&lt;key app="EN" db-id="a2dfdt0r2tzv2wewvpbvzdxx9wfv2z2xra2v"&gt;1327&lt;/key&gt;&lt;/foreign-keys&gt;&lt;ref-type name="Journal Article"&gt;17&lt;/ref-type&gt;&lt;contributors&gt;&lt;authors&gt;&lt;author&gt;Palmer, R.K.&lt;/author&gt;&lt;author&gt;Hutchinson, L.M.&lt;/author&gt;&lt;author&gt;Burpee, B.T.&lt;/author&gt;&lt;author&gt;Tupper, E.J.&lt;/author&gt;&lt;author&gt;Pelletier, J.H.&lt;/author&gt;&lt;author&gt;Kormendy, Z.&lt;/author&gt;&lt;author&gt;Hopke, A.R.&lt;/author&gt;&lt;author&gt;Malay, E.T.&lt;/author&gt;&lt;author&gt;Evans, B.L.&lt;/author&gt;&lt;author&gt;Velez, A.&lt;/author&gt;&lt;author&gt;Gosse, J.A.&lt;/author&gt;&lt;/authors&gt;&lt;/contributors&gt;&lt;titles&gt;&lt;title&gt;Antibacterial agent triclosan suppresses RBL-2H3 mast cell function&lt;/title&gt;&lt;secondary-title&gt;Toxicology and Applied Pharmacology&lt;/secondary-title&gt;&lt;/titles&gt;&lt;periodical&gt;&lt;full-title&gt;Toxicology and Applied Pharmacology&lt;/full-title&gt;&lt;/periodical&gt;&lt;pages&gt;99-108&lt;/pages&gt;&lt;volume&gt;258&lt;/volume&gt;&lt;number&gt;0&lt;/number&gt;&lt;keywords&gt;&lt;keyword&gt;Triclosan&lt;/keyword&gt;&lt;keyword&gt;Mast Cells&lt;/keyword&gt;&lt;keyword&gt;Basophils&lt;/keyword&gt;&lt;keyword&gt;Degranulation&lt;/keyword&gt;&lt;keyword&gt;RBL-2H3&lt;/keyword&gt;&lt;keyword&gt;Irgasan&lt;/keyword&gt;&lt;/keywords&gt;&lt;dates&gt;&lt;year&gt;2012&lt;/year&gt;&lt;/dates&gt;&lt;isbn&gt;0041-008X&lt;/isbn&gt;&lt;urls&gt;&lt;related-urls&gt;&lt;url&gt;http://www.sciencedirect.com/science/article/pii/S0041008X11004042&lt;/url&gt;&lt;/related-urls&gt;&lt;/urls&gt;&lt;electronic-resource-num&gt;10.1016/j.taap.2011.10.012&lt;/electronic-resource-num&gt;&lt;/record&gt;&lt;/Cite&gt;&lt;/EndNote&gt;</w:instrText>
        </w:r>
        <w:r w:rsidR="00076679">
          <w:rPr>
            <w:rFonts w:ascii="Arial" w:hAnsi="Arial" w:cs="Arial"/>
            <w:color w:val="FF0000"/>
            <w:sz w:val="24"/>
            <w:szCs w:val="24"/>
          </w:rPr>
          <w:fldChar w:fldCharType="separate"/>
        </w:r>
        <w:r w:rsidR="00DE372D" w:rsidRPr="00BA7421">
          <w:rPr>
            <w:rFonts w:ascii="Arial" w:hAnsi="Arial" w:cs="Arial"/>
            <w:noProof/>
            <w:color w:val="FF0000"/>
            <w:sz w:val="24"/>
            <w:szCs w:val="24"/>
            <w:vertAlign w:val="superscript"/>
          </w:rPr>
          <w:t>6</w:t>
        </w:r>
        <w:r w:rsidR="00076679">
          <w:rPr>
            <w:rFonts w:ascii="Arial" w:hAnsi="Arial" w:cs="Arial"/>
            <w:color w:val="FF0000"/>
            <w:sz w:val="24"/>
            <w:szCs w:val="24"/>
          </w:rPr>
          <w:fldChar w:fldCharType="end"/>
        </w:r>
      </w:hyperlink>
      <w:r w:rsidR="00B022E0">
        <w:rPr>
          <w:rFonts w:ascii="Arial" w:hAnsi="Arial" w:cs="Arial"/>
          <w:color w:val="FF0000"/>
          <w:sz w:val="24"/>
          <w:szCs w:val="24"/>
        </w:rPr>
        <w:t xml:space="preserve">, and this paper is cited in our </w:t>
      </w:r>
      <w:proofErr w:type="spellStart"/>
      <w:r w:rsidRPr="00DE372D">
        <w:rPr>
          <w:rFonts w:ascii="Arial" w:hAnsi="Arial" w:cs="Arial"/>
          <w:i/>
          <w:color w:val="FF0000"/>
          <w:sz w:val="24"/>
          <w:szCs w:val="24"/>
        </w:rPr>
        <w:t>JoVE</w:t>
      </w:r>
      <w:proofErr w:type="spellEnd"/>
      <w:r w:rsidRPr="00DE372D">
        <w:rPr>
          <w:rFonts w:ascii="Arial" w:hAnsi="Arial" w:cs="Arial"/>
          <w:i/>
          <w:color w:val="FF0000"/>
          <w:sz w:val="24"/>
          <w:szCs w:val="24"/>
        </w:rPr>
        <w:t xml:space="preserve"> </w:t>
      </w:r>
      <w:r>
        <w:rPr>
          <w:rFonts w:ascii="Arial" w:hAnsi="Arial" w:cs="Arial"/>
          <w:color w:val="FF0000"/>
          <w:sz w:val="24"/>
          <w:szCs w:val="24"/>
        </w:rPr>
        <w:t xml:space="preserve">manuscript.  In light of this </w:t>
      </w:r>
      <w:r w:rsidR="00DE372D">
        <w:rPr>
          <w:rFonts w:ascii="Arial" w:hAnsi="Arial" w:cs="Arial"/>
          <w:color w:val="FF0000"/>
          <w:sz w:val="24"/>
          <w:szCs w:val="24"/>
        </w:rPr>
        <w:t>reviewer’s</w:t>
      </w:r>
      <w:r>
        <w:rPr>
          <w:rFonts w:ascii="Arial" w:hAnsi="Arial" w:cs="Arial"/>
          <w:color w:val="FF0000"/>
          <w:sz w:val="24"/>
          <w:szCs w:val="24"/>
        </w:rPr>
        <w:t xml:space="preserve"> insightful comment, we have added the following statement to our “Discussion” section:</w:t>
      </w:r>
    </w:p>
    <w:p w:rsidR="008E4A79" w:rsidRDefault="008E4A79" w:rsidP="003F5EB2">
      <w:pPr>
        <w:spacing w:after="0"/>
        <w:rPr>
          <w:rFonts w:ascii="Arial" w:hAnsi="Arial" w:cs="Arial"/>
          <w:color w:val="FF0000"/>
          <w:sz w:val="24"/>
          <w:szCs w:val="24"/>
        </w:rPr>
      </w:pPr>
    </w:p>
    <w:p w:rsidR="00DE372D" w:rsidRPr="00DE372D" w:rsidRDefault="00DE372D" w:rsidP="00DE372D">
      <w:pPr>
        <w:spacing w:after="0" w:line="240" w:lineRule="auto"/>
        <w:ind w:left="720" w:firstLine="720"/>
        <w:rPr>
          <w:color w:val="FF0000"/>
          <w:sz w:val="24"/>
          <w:szCs w:val="24"/>
        </w:rPr>
      </w:pPr>
      <w:r w:rsidRPr="00DE372D">
        <w:rPr>
          <w:color w:val="FF0000"/>
          <w:sz w:val="24"/>
          <w:szCs w:val="24"/>
          <w:highlight w:val="green"/>
        </w:rPr>
        <w:t xml:space="preserve">In addition to the multivalent antigen DNP-BSA and the calcium </w:t>
      </w:r>
      <w:proofErr w:type="spellStart"/>
      <w:r w:rsidRPr="00DE372D">
        <w:rPr>
          <w:color w:val="FF0000"/>
          <w:sz w:val="24"/>
          <w:szCs w:val="24"/>
          <w:highlight w:val="green"/>
        </w:rPr>
        <w:t>ionophore</w:t>
      </w:r>
      <w:proofErr w:type="spellEnd"/>
      <w:r w:rsidRPr="00DE372D">
        <w:rPr>
          <w:color w:val="FF0000"/>
          <w:sz w:val="24"/>
          <w:szCs w:val="24"/>
          <w:highlight w:val="green"/>
        </w:rPr>
        <w:t xml:space="preserve"> A23187, there exist </w:t>
      </w:r>
      <w:r w:rsidR="00C310EB">
        <w:rPr>
          <w:color w:val="FF0000"/>
          <w:sz w:val="24"/>
          <w:szCs w:val="24"/>
          <w:highlight w:val="green"/>
        </w:rPr>
        <w:t>numerous</w:t>
      </w:r>
      <w:r w:rsidRPr="00DE372D">
        <w:rPr>
          <w:color w:val="FF0000"/>
          <w:sz w:val="24"/>
          <w:szCs w:val="24"/>
          <w:highlight w:val="green"/>
        </w:rPr>
        <w:t xml:space="preserve"> other methods of RBL-2H3 stimulation.  One of these methods is stimulation via exposure to compound 48/80 along with quercetin</w:t>
      </w:r>
      <w:r w:rsidR="00C310EB">
        <w:rPr>
          <w:color w:val="FF0000"/>
          <w:sz w:val="24"/>
          <w:szCs w:val="24"/>
          <w:highlight w:val="green"/>
          <w:vertAlign w:val="superscript"/>
        </w:rPr>
        <w:t>5</w:t>
      </w:r>
      <w:r>
        <w:rPr>
          <w:color w:val="FF0000"/>
          <w:sz w:val="24"/>
          <w:szCs w:val="24"/>
          <w:highlight w:val="green"/>
        </w:rPr>
        <w:t xml:space="preserve">. </w:t>
      </w:r>
      <w:r w:rsidRPr="00DE372D">
        <w:rPr>
          <w:color w:val="FF0000"/>
          <w:sz w:val="24"/>
          <w:szCs w:val="24"/>
          <w:highlight w:val="green"/>
        </w:rPr>
        <w:t>Another is crosslinking of IgE-bound receptors with an anti-</w:t>
      </w:r>
      <w:proofErr w:type="spellStart"/>
      <w:r w:rsidRPr="00DE372D">
        <w:rPr>
          <w:color w:val="FF0000"/>
          <w:sz w:val="24"/>
          <w:szCs w:val="24"/>
          <w:highlight w:val="green"/>
        </w:rPr>
        <w:t>IgE</w:t>
      </w:r>
      <w:proofErr w:type="spellEnd"/>
      <w:r w:rsidRPr="00DE372D">
        <w:rPr>
          <w:color w:val="FF0000"/>
          <w:sz w:val="24"/>
          <w:szCs w:val="24"/>
          <w:highlight w:val="green"/>
        </w:rPr>
        <w:t xml:space="preserve"> </w:t>
      </w:r>
      <w:proofErr w:type="spellStart"/>
      <w:r w:rsidRPr="00DE372D">
        <w:rPr>
          <w:color w:val="FF0000"/>
          <w:sz w:val="24"/>
          <w:szCs w:val="24"/>
          <w:highlight w:val="green"/>
        </w:rPr>
        <w:t>IgG</w:t>
      </w:r>
      <w:proofErr w:type="spellEnd"/>
      <w:r w:rsidRPr="00DE372D">
        <w:rPr>
          <w:color w:val="FF0000"/>
          <w:sz w:val="24"/>
          <w:szCs w:val="24"/>
          <w:highlight w:val="green"/>
        </w:rPr>
        <w:t>, as we previously tested along with TCS exposure</w:t>
      </w:r>
      <w:r w:rsidR="00C310EB" w:rsidRPr="00C310EB">
        <w:rPr>
          <w:color w:val="FF0000"/>
          <w:sz w:val="24"/>
          <w:szCs w:val="24"/>
          <w:highlight w:val="green"/>
          <w:vertAlign w:val="superscript"/>
        </w:rPr>
        <w:t>6</w:t>
      </w:r>
      <w:r w:rsidRPr="00DE372D">
        <w:rPr>
          <w:color w:val="FF0000"/>
          <w:sz w:val="24"/>
          <w:szCs w:val="24"/>
          <w:highlight w:val="green"/>
        </w:rPr>
        <w:t>. Many other stimulation methods exist, and each of these methods addresses a different mechanistic aspect of mast cell degranulation. This plate reader assay can be adapted for use with many of these alternative stimulators, further expanding its utility.</w:t>
      </w:r>
    </w:p>
    <w:p w:rsidR="00DE372D" w:rsidRDefault="00DE372D" w:rsidP="00DE372D">
      <w:pPr>
        <w:spacing w:after="0"/>
        <w:rPr>
          <w:rFonts w:ascii="Arial" w:hAnsi="Arial" w:cs="Arial"/>
          <w:color w:val="FF0000"/>
          <w:sz w:val="24"/>
          <w:szCs w:val="24"/>
        </w:rPr>
      </w:pPr>
    </w:p>
    <w:p w:rsidR="001B770F" w:rsidRPr="008E4A79" w:rsidRDefault="001B770F" w:rsidP="00DE372D">
      <w:pPr>
        <w:spacing w:after="0"/>
        <w:rPr>
          <w:rFonts w:ascii="Arial" w:hAnsi="Arial" w:cs="Arial"/>
          <w:color w:val="222222"/>
          <w:sz w:val="24"/>
          <w:szCs w:val="24"/>
        </w:rPr>
      </w:pPr>
      <w:r w:rsidRPr="00B022E0">
        <w:rPr>
          <w:rFonts w:ascii="Arial" w:hAnsi="Arial" w:cs="Arial"/>
          <w:color w:val="FF0000"/>
          <w:sz w:val="24"/>
          <w:szCs w:val="24"/>
          <w:u w:val="single"/>
          <w:shd w:val="clear" w:color="auto" w:fill="FFFFFF"/>
        </w:rPr>
        <w:t>Other edits:</w:t>
      </w:r>
    </w:p>
    <w:p w:rsidR="008E4A79" w:rsidRDefault="00B022E0" w:rsidP="003F5EB2">
      <w:pPr>
        <w:spacing w:after="0"/>
        <w:rPr>
          <w:rFonts w:ascii="Arial" w:hAnsi="Arial" w:cs="Arial"/>
          <w:color w:val="FF0000"/>
          <w:sz w:val="24"/>
          <w:szCs w:val="24"/>
        </w:rPr>
      </w:pPr>
      <w:r>
        <w:rPr>
          <w:rFonts w:ascii="Arial" w:hAnsi="Arial" w:cs="Arial"/>
          <w:color w:val="FF0000"/>
          <w:sz w:val="24"/>
          <w:szCs w:val="24"/>
        </w:rPr>
        <w:t xml:space="preserve">-Due to her assistance with producing a revised Figure 3 and </w:t>
      </w:r>
      <w:r w:rsidR="00B81D97">
        <w:rPr>
          <w:rFonts w:ascii="Arial" w:hAnsi="Arial" w:cs="Arial"/>
          <w:color w:val="FF0000"/>
          <w:sz w:val="24"/>
          <w:szCs w:val="24"/>
        </w:rPr>
        <w:t>her anticipated role in the fil</w:t>
      </w:r>
      <w:r w:rsidR="00C310EB">
        <w:rPr>
          <w:rFonts w:ascii="Arial" w:hAnsi="Arial" w:cs="Arial"/>
          <w:color w:val="FF0000"/>
          <w:sz w:val="24"/>
          <w:szCs w:val="24"/>
        </w:rPr>
        <w:t>ming aspects of this manuscript</w:t>
      </w:r>
      <w:r w:rsidR="00B81D97">
        <w:rPr>
          <w:rFonts w:ascii="Arial" w:hAnsi="Arial" w:cs="Arial"/>
          <w:color w:val="FF0000"/>
          <w:sz w:val="24"/>
          <w:szCs w:val="24"/>
        </w:rPr>
        <w:t>, w</w:t>
      </w:r>
      <w:r w:rsidR="001B770F" w:rsidRPr="00B022E0">
        <w:rPr>
          <w:rFonts w:ascii="Arial" w:hAnsi="Arial" w:cs="Arial"/>
          <w:color w:val="FF0000"/>
          <w:sz w:val="24"/>
          <w:szCs w:val="24"/>
        </w:rPr>
        <w:t>e</w:t>
      </w:r>
      <w:r w:rsidRPr="00B022E0">
        <w:rPr>
          <w:rFonts w:ascii="Arial" w:hAnsi="Arial" w:cs="Arial"/>
          <w:color w:val="FF0000"/>
          <w:sz w:val="24"/>
          <w:szCs w:val="24"/>
        </w:rPr>
        <w:t xml:space="preserve"> </w:t>
      </w:r>
      <w:r w:rsidR="00B81D97">
        <w:rPr>
          <w:rFonts w:ascii="Arial" w:hAnsi="Arial" w:cs="Arial"/>
          <w:color w:val="FF0000"/>
          <w:sz w:val="24"/>
          <w:szCs w:val="24"/>
        </w:rPr>
        <w:t>are</w:t>
      </w:r>
      <w:r w:rsidR="001B770F" w:rsidRPr="00B022E0">
        <w:rPr>
          <w:rFonts w:ascii="Arial" w:hAnsi="Arial" w:cs="Arial"/>
          <w:color w:val="FF0000"/>
          <w:sz w:val="24"/>
          <w:szCs w:val="24"/>
        </w:rPr>
        <w:t xml:space="preserve"> </w:t>
      </w:r>
      <w:r w:rsidR="00B81D97">
        <w:rPr>
          <w:rFonts w:ascii="Arial" w:hAnsi="Arial" w:cs="Arial"/>
          <w:color w:val="FF0000"/>
          <w:sz w:val="24"/>
          <w:szCs w:val="24"/>
        </w:rPr>
        <w:t>including</w:t>
      </w:r>
      <w:r w:rsidR="001B770F" w:rsidRPr="00B022E0">
        <w:rPr>
          <w:rFonts w:ascii="Arial" w:hAnsi="Arial" w:cs="Arial"/>
          <w:color w:val="FF0000"/>
          <w:sz w:val="24"/>
          <w:szCs w:val="24"/>
        </w:rPr>
        <w:t xml:space="preserve"> </w:t>
      </w:r>
      <w:r w:rsidR="001B770F" w:rsidRPr="00B022E0">
        <w:rPr>
          <w:rFonts w:ascii="Arial" w:hAnsi="Arial" w:cs="Arial"/>
          <w:color w:val="FF0000"/>
          <w:sz w:val="24"/>
          <w:szCs w:val="24"/>
          <w:highlight w:val="green"/>
        </w:rPr>
        <w:t>Juyoung Shim</w:t>
      </w:r>
      <w:r w:rsidR="001B770F" w:rsidRPr="00B022E0">
        <w:rPr>
          <w:rFonts w:ascii="Arial" w:hAnsi="Arial" w:cs="Arial"/>
          <w:color w:val="FF0000"/>
          <w:sz w:val="24"/>
          <w:szCs w:val="24"/>
        </w:rPr>
        <w:t xml:space="preserve"> as a</w:t>
      </w:r>
      <w:r w:rsidR="008E4A79">
        <w:rPr>
          <w:rFonts w:ascii="Arial" w:hAnsi="Arial" w:cs="Arial"/>
          <w:color w:val="FF0000"/>
          <w:sz w:val="24"/>
          <w:szCs w:val="24"/>
        </w:rPr>
        <w:t>n additional</w:t>
      </w:r>
      <w:r w:rsidR="001B770F" w:rsidRPr="00B022E0">
        <w:rPr>
          <w:rFonts w:ascii="Arial" w:hAnsi="Arial" w:cs="Arial"/>
          <w:color w:val="FF0000"/>
          <w:sz w:val="24"/>
          <w:szCs w:val="24"/>
        </w:rPr>
        <w:t xml:space="preserve"> author</w:t>
      </w:r>
      <w:r>
        <w:rPr>
          <w:rFonts w:ascii="Arial" w:hAnsi="Arial" w:cs="Arial"/>
          <w:color w:val="FF0000"/>
          <w:sz w:val="24"/>
          <w:szCs w:val="24"/>
        </w:rPr>
        <w:t xml:space="preserve"> </w:t>
      </w:r>
      <w:r w:rsidR="008E4A79">
        <w:rPr>
          <w:rFonts w:ascii="Arial" w:hAnsi="Arial" w:cs="Arial"/>
          <w:color w:val="FF0000"/>
          <w:sz w:val="24"/>
          <w:szCs w:val="24"/>
        </w:rPr>
        <w:t>of</w:t>
      </w:r>
      <w:r w:rsidR="00B81D97">
        <w:rPr>
          <w:rFonts w:ascii="Arial" w:hAnsi="Arial" w:cs="Arial"/>
          <w:color w:val="FF0000"/>
          <w:sz w:val="24"/>
          <w:szCs w:val="24"/>
        </w:rPr>
        <w:t xml:space="preserve"> the manuscript. </w:t>
      </w:r>
    </w:p>
    <w:p w:rsidR="001B770F" w:rsidRPr="00B022E0" w:rsidRDefault="008E4A79" w:rsidP="003F5EB2">
      <w:pPr>
        <w:spacing w:after="0"/>
        <w:rPr>
          <w:rFonts w:ascii="Arial" w:hAnsi="Arial" w:cs="Arial"/>
          <w:color w:val="FF0000"/>
          <w:sz w:val="24"/>
          <w:szCs w:val="24"/>
        </w:rPr>
      </w:pPr>
      <w:r>
        <w:rPr>
          <w:rFonts w:ascii="Arial" w:hAnsi="Arial" w:cs="Arial"/>
          <w:color w:val="FF0000"/>
          <w:sz w:val="24"/>
          <w:szCs w:val="24"/>
        </w:rPr>
        <w:t>-</w:t>
      </w:r>
      <w:r w:rsidR="00B81D97">
        <w:rPr>
          <w:rFonts w:ascii="Arial" w:hAnsi="Arial" w:cs="Arial"/>
          <w:color w:val="FF0000"/>
          <w:sz w:val="24"/>
          <w:szCs w:val="24"/>
        </w:rPr>
        <w:t xml:space="preserve">At </w:t>
      </w:r>
      <w:r w:rsidR="00B81D97" w:rsidRPr="00B30A42">
        <w:rPr>
          <w:rFonts w:ascii="Arial" w:hAnsi="Arial" w:cs="Arial"/>
          <w:color w:val="FF0000"/>
          <w:sz w:val="24"/>
          <w:szCs w:val="24"/>
        </w:rPr>
        <w:t xml:space="preserve">this time, we also have </w:t>
      </w:r>
      <w:r w:rsidR="00B022E0" w:rsidRPr="00B30A42">
        <w:rPr>
          <w:rFonts w:ascii="Arial" w:hAnsi="Arial" w:cs="Arial"/>
          <w:color w:val="FF0000"/>
          <w:sz w:val="24"/>
          <w:szCs w:val="24"/>
        </w:rPr>
        <w:t xml:space="preserve">a </w:t>
      </w:r>
      <w:r w:rsidRPr="00B30A42">
        <w:rPr>
          <w:rFonts w:ascii="Arial" w:hAnsi="Arial" w:cs="Arial"/>
          <w:color w:val="FF0000"/>
          <w:sz w:val="24"/>
          <w:szCs w:val="24"/>
        </w:rPr>
        <w:t xml:space="preserve">publication </w:t>
      </w:r>
      <w:r w:rsidR="00B022E0" w:rsidRPr="00B30A42">
        <w:rPr>
          <w:rFonts w:ascii="Arial" w:hAnsi="Arial" w:cs="Arial"/>
          <w:color w:val="FF0000"/>
          <w:sz w:val="24"/>
          <w:szCs w:val="24"/>
        </w:rPr>
        <w:t xml:space="preserve">number </w:t>
      </w:r>
      <w:r w:rsidRPr="00B30A42">
        <w:rPr>
          <w:rFonts w:ascii="Arial" w:hAnsi="Arial" w:cs="Arial"/>
          <w:color w:val="FF0000"/>
          <w:sz w:val="24"/>
          <w:szCs w:val="24"/>
        </w:rPr>
        <w:t>assigned</w:t>
      </w:r>
      <w:r w:rsidR="00B30A42" w:rsidRPr="00B30A42">
        <w:rPr>
          <w:rFonts w:ascii="Arial" w:hAnsi="Arial" w:cs="Arial"/>
          <w:color w:val="FF0000"/>
          <w:sz w:val="24"/>
          <w:szCs w:val="24"/>
        </w:rPr>
        <w:t>, and this</w:t>
      </w:r>
      <w:r w:rsidR="00B81D97" w:rsidRPr="00B30A42">
        <w:rPr>
          <w:rFonts w:ascii="Arial" w:hAnsi="Arial" w:cs="Arial"/>
          <w:color w:val="FF0000"/>
          <w:sz w:val="24"/>
          <w:szCs w:val="24"/>
        </w:rPr>
        <w:t xml:space="preserve"> </w:t>
      </w:r>
      <w:r w:rsidR="00B30A42" w:rsidRPr="00B30A42">
        <w:rPr>
          <w:rFonts w:ascii="Arial" w:hAnsi="Arial" w:cs="Arial"/>
          <w:color w:val="FF0000"/>
          <w:sz w:val="24"/>
          <w:szCs w:val="24"/>
        </w:rPr>
        <w:t>number now appears</w:t>
      </w:r>
      <w:r w:rsidR="00B022E0" w:rsidRPr="00B30A42">
        <w:rPr>
          <w:rFonts w:ascii="Arial" w:hAnsi="Arial" w:cs="Arial"/>
          <w:color w:val="FF0000"/>
          <w:sz w:val="24"/>
          <w:szCs w:val="24"/>
        </w:rPr>
        <w:t xml:space="preserve"> </w:t>
      </w:r>
      <w:r w:rsidR="00B81D97" w:rsidRPr="00B30A42">
        <w:rPr>
          <w:rFonts w:ascii="Arial" w:hAnsi="Arial" w:cs="Arial"/>
          <w:color w:val="FF0000"/>
          <w:sz w:val="24"/>
          <w:szCs w:val="24"/>
        </w:rPr>
        <w:t xml:space="preserve">in the </w:t>
      </w:r>
      <w:r w:rsidR="00B30A42" w:rsidRPr="00B30A42">
        <w:rPr>
          <w:rFonts w:ascii="Arial" w:hAnsi="Arial" w:cs="Arial"/>
          <w:color w:val="FF0000"/>
          <w:sz w:val="24"/>
          <w:szCs w:val="24"/>
        </w:rPr>
        <w:t>“</w:t>
      </w:r>
      <w:r w:rsidR="00B81D97" w:rsidRPr="00B30A42">
        <w:rPr>
          <w:rFonts w:ascii="Arial" w:hAnsi="Arial" w:cs="Arial"/>
          <w:color w:val="FF0000"/>
          <w:sz w:val="24"/>
          <w:szCs w:val="24"/>
        </w:rPr>
        <w:t>Acknowledgements</w:t>
      </w:r>
      <w:r w:rsidR="00B30A42" w:rsidRPr="00B30A42">
        <w:rPr>
          <w:rFonts w:ascii="Arial" w:hAnsi="Arial" w:cs="Arial"/>
          <w:color w:val="FF0000"/>
          <w:sz w:val="24"/>
          <w:szCs w:val="24"/>
        </w:rPr>
        <w:t>”</w:t>
      </w:r>
      <w:r w:rsidR="00B81D97" w:rsidRPr="00B30A42">
        <w:rPr>
          <w:rFonts w:ascii="Arial" w:hAnsi="Arial" w:cs="Arial"/>
          <w:color w:val="FF0000"/>
          <w:sz w:val="24"/>
          <w:szCs w:val="24"/>
        </w:rPr>
        <w:t xml:space="preserve"> section: </w:t>
      </w:r>
      <w:r w:rsidR="00C310EB">
        <w:rPr>
          <w:rFonts w:ascii="Arial" w:hAnsi="Arial" w:cs="Arial"/>
          <w:color w:val="FF0000"/>
          <w:sz w:val="24"/>
          <w:szCs w:val="24"/>
        </w:rPr>
        <w:t xml:space="preserve"> “</w:t>
      </w:r>
      <w:r w:rsidR="00B81D97" w:rsidRPr="00B30A42">
        <w:rPr>
          <w:rFonts w:ascii="Arial" w:hAnsi="Arial" w:cs="Arial"/>
          <w:color w:val="FF0000"/>
          <w:sz w:val="24"/>
          <w:szCs w:val="24"/>
        </w:rPr>
        <w:t xml:space="preserve">This is Maine Agricultural &amp; Forest Experiment Station publication number </w:t>
      </w:r>
      <w:r w:rsidR="00B81D97" w:rsidRPr="00B30A42">
        <w:rPr>
          <w:rFonts w:ascii="Arial" w:hAnsi="Arial" w:cs="Arial"/>
          <w:color w:val="FF0000"/>
          <w:sz w:val="24"/>
          <w:szCs w:val="24"/>
          <w:highlight w:val="green"/>
        </w:rPr>
        <w:t>3311</w:t>
      </w:r>
      <w:r w:rsidR="00B81D97" w:rsidRPr="00B30A42">
        <w:rPr>
          <w:rFonts w:ascii="Arial" w:hAnsi="Arial" w:cs="Arial"/>
          <w:color w:val="FF0000"/>
          <w:sz w:val="24"/>
          <w:szCs w:val="24"/>
        </w:rPr>
        <w:t>.</w:t>
      </w:r>
      <w:r w:rsidR="00C310EB">
        <w:rPr>
          <w:rFonts w:ascii="Arial" w:hAnsi="Arial" w:cs="Arial"/>
          <w:color w:val="FF0000"/>
          <w:sz w:val="24"/>
          <w:szCs w:val="24"/>
        </w:rPr>
        <w:t>”</w:t>
      </w:r>
    </w:p>
    <w:p w:rsidR="003A5D16" w:rsidRDefault="003A5D16" w:rsidP="00651BD0">
      <w:pPr>
        <w:spacing w:after="0" w:line="240" w:lineRule="auto"/>
        <w:ind w:left="720" w:hanging="720"/>
        <w:rPr>
          <w:sz w:val="24"/>
          <w:szCs w:val="24"/>
        </w:rPr>
      </w:pPr>
    </w:p>
    <w:p w:rsidR="003A5D16" w:rsidRDefault="003A5D16" w:rsidP="00651BD0">
      <w:pPr>
        <w:spacing w:after="0" w:line="240" w:lineRule="auto"/>
        <w:ind w:left="720" w:hanging="720"/>
        <w:rPr>
          <w:sz w:val="24"/>
          <w:szCs w:val="24"/>
        </w:rPr>
      </w:pPr>
    </w:p>
    <w:p w:rsidR="00DE372D" w:rsidRPr="00DE372D" w:rsidRDefault="00076679" w:rsidP="00DE372D">
      <w:pPr>
        <w:spacing w:after="0" w:line="240" w:lineRule="auto"/>
        <w:ind w:left="720" w:hanging="720"/>
        <w:rPr>
          <w:rFonts w:ascii="Calibri" w:hAnsi="Calibri"/>
          <w:noProof/>
          <w:szCs w:val="24"/>
        </w:rPr>
      </w:pPr>
      <w:r>
        <w:rPr>
          <w:sz w:val="24"/>
          <w:szCs w:val="24"/>
        </w:rPr>
        <w:fldChar w:fldCharType="begin"/>
      </w:r>
      <w:r w:rsidR="003A5D16">
        <w:rPr>
          <w:sz w:val="24"/>
          <w:szCs w:val="24"/>
        </w:rPr>
        <w:instrText xml:space="preserve"> ADDIN EN.REFLIST </w:instrText>
      </w:r>
      <w:r>
        <w:rPr>
          <w:sz w:val="24"/>
          <w:szCs w:val="24"/>
        </w:rPr>
        <w:fldChar w:fldCharType="separate"/>
      </w:r>
      <w:bookmarkStart w:id="1" w:name="_ENREF_1"/>
      <w:r w:rsidR="00DE372D" w:rsidRPr="00DE372D">
        <w:rPr>
          <w:rFonts w:ascii="Calibri" w:hAnsi="Calibri"/>
          <w:noProof/>
          <w:szCs w:val="24"/>
        </w:rPr>
        <w:t>1</w:t>
      </w:r>
      <w:r w:rsidR="00DE372D" w:rsidRPr="00DE372D">
        <w:rPr>
          <w:rFonts w:ascii="Calibri" w:hAnsi="Calibri"/>
          <w:noProof/>
          <w:szCs w:val="24"/>
        </w:rPr>
        <w:tab/>
        <w:t xml:space="preserve">Naal, R., Tabb, J., Holowka, D. &amp; Baird, B. In situ measurement of degranulation as a biosensor based on RBL-2H3 mast cells. </w:t>
      </w:r>
      <w:r w:rsidR="00DE372D" w:rsidRPr="00DE372D">
        <w:rPr>
          <w:rFonts w:ascii="Calibri" w:hAnsi="Calibri"/>
          <w:i/>
          <w:noProof/>
          <w:szCs w:val="24"/>
        </w:rPr>
        <w:t>Biosensors &amp; Bioelectronics</w:t>
      </w:r>
      <w:r w:rsidR="00DE372D" w:rsidRPr="00DE372D">
        <w:rPr>
          <w:rFonts w:ascii="Calibri" w:hAnsi="Calibri"/>
          <w:noProof/>
          <w:szCs w:val="24"/>
        </w:rPr>
        <w:t xml:space="preserve"> </w:t>
      </w:r>
      <w:r w:rsidR="00DE372D" w:rsidRPr="00DE372D">
        <w:rPr>
          <w:rFonts w:ascii="Calibri" w:hAnsi="Calibri"/>
          <w:b/>
          <w:noProof/>
          <w:szCs w:val="24"/>
        </w:rPr>
        <w:t>20</w:t>
      </w:r>
      <w:r w:rsidR="00DE372D" w:rsidRPr="00DE372D">
        <w:rPr>
          <w:rFonts w:ascii="Calibri" w:hAnsi="Calibri"/>
          <w:noProof/>
          <w:szCs w:val="24"/>
        </w:rPr>
        <w:t>, 791-796, doi:10.1016/j.bios.2004.03.017 (2004).</w:t>
      </w:r>
      <w:bookmarkEnd w:id="1"/>
    </w:p>
    <w:p w:rsidR="00DE372D" w:rsidRPr="00DE372D" w:rsidRDefault="00DE372D" w:rsidP="00DE372D">
      <w:pPr>
        <w:spacing w:after="0" w:line="240" w:lineRule="auto"/>
        <w:ind w:left="720" w:hanging="720"/>
        <w:rPr>
          <w:rFonts w:ascii="Calibri" w:hAnsi="Calibri"/>
          <w:noProof/>
          <w:szCs w:val="24"/>
        </w:rPr>
      </w:pPr>
      <w:bookmarkStart w:id="2" w:name="_ENREF_2"/>
      <w:r w:rsidRPr="00DE372D">
        <w:rPr>
          <w:rFonts w:ascii="Calibri" w:hAnsi="Calibri"/>
          <w:noProof/>
          <w:szCs w:val="24"/>
        </w:rPr>
        <w:t>2</w:t>
      </w:r>
      <w:r w:rsidRPr="00DE372D">
        <w:rPr>
          <w:rFonts w:ascii="Calibri" w:hAnsi="Calibri"/>
          <w:noProof/>
          <w:szCs w:val="24"/>
        </w:rPr>
        <w:tab/>
        <w:t xml:space="preserve">Soto, E. O. &amp; Pecht, I. A monoclonal-antibody that inhibits secretion from rat basophilic leukemia-cells and binds to a novel membrane component. </w:t>
      </w:r>
      <w:r w:rsidRPr="00DE372D">
        <w:rPr>
          <w:rFonts w:ascii="Calibri" w:hAnsi="Calibri"/>
          <w:i/>
          <w:noProof/>
          <w:szCs w:val="24"/>
        </w:rPr>
        <w:t>Journal of Immunology</w:t>
      </w:r>
      <w:r w:rsidRPr="00DE372D">
        <w:rPr>
          <w:rFonts w:ascii="Calibri" w:hAnsi="Calibri"/>
          <w:noProof/>
          <w:szCs w:val="24"/>
        </w:rPr>
        <w:t xml:space="preserve"> </w:t>
      </w:r>
      <w:r w:rsidRPr="00DE372D">
        <w:rPr>
          <w:rFonts w:ascii="Calibri" w:hAnsi="Calibri"/>
          <w:b/>
          <w:noProof/>
          <w:szCs w:val="24"/>
        </w:rPr>
        <w:t>141</w:t>
      </w:r>
      <w:r w:rsidRPr="00DE372D">
        <w:rPr>
          <w:rFonts w:ascii="Calibri" w:hAnsi="Calibri"/>
          <w:noProof/>
          <w:szCs w:val="24"/>
        </w:rPr>
        <w:t>, 4324-4332 (1988).</w:t>
      </w:r>
      <w:bookmarkEnd w:id="2"/>
    </w:p>
    <w:p w:rsidR="00DE372D" w:rsidRPr="00DE372D" w:rsidRDefault="00DE372D" w:rsidP="00DE372D">
      <w:pPr>
        <w:spacing w:after="0" w:line="240" w:lineRule="auto"/>
        <w:ind w:left="720" w:hanging="720"/>
        <w:rPr>
          <w:rFonts w:ascii="Calibri" w:hAnsi="Calibri"/>
          <w:noProof/>
          <w:szCs w:val="24"/>
        </w:rPr>
      </w:pPr>
      <w:bookmarkStart w:id="3" w:name="_ENREF_3"/>
      <w:r w:rsidRPr="00DE372D">
        <w:rPr>
          <w:rFonts w:ascii="Calibri" w:hAnsi="Calibri"/>
          <w:noProof/>
          <w:szCs w:val="24"/>
        </w:rPr>
        <w:t>3</w:t>
      </w:r>
      <w:r w:rsidRPr="00DE372D">
        <w:rPr>
          <w:rFonts w:ascii="Calibri" w:hAnsi="Calibri"/>
          <w:noProof/>
          <w:szCs w:val="24"/>
        </w:rPr>
        <w:tab/>
        <w:t xml:space="preserve">Pierini, L., Harris, N. T., Holowka, D. &amp; Baird, B. Evidence supporting a role for microfilaments in regulating the coupling between poorly dissociable IgE-Fc epsilon RI aggregates and downstream signaling pathways. </w:t>
      </w:r>
      <w:r w:rsidRPr="00DE372D">
        <w:rPr>
          <w:rFonts w:ascii="Calibri" w:hAnsi="Calibri"/>
          <w:i/>
          <w:noProof/>
          <w:szCs w:val="24"/>
        </w:rPr>
        <w:t>Biochemistry</w:t>
      </w:r>
      <w:r w:rsidRPr="00DE372D">
        <w:rPr>
          <w:rFonts w:ascii="Calibri" w:hAnsi="Calibri"/>
          <w:noProof/>
          <w:szCs w:val="24"/>
        </w:rPr>
        <w:t xml:space="preserve"> </w:t>
      </w:r>
      <w:r w:rsidRPr="00DE372D">
        <w:rPr>
          <w:rFonts w:ascii="Calibri" w:hAnsi="Calibri"/>
          <w:b/>
          <w:noProof/>
          <w:szCs w:val="24"/>
        </w:rPr>
        <w:t>36</w:t>
      </w:r>
      <w:r w:rsidRPr="00DE372D">
        <w:rPr>
          <w:rFonts w:ascii="Calibri" w:hAnsi="Calibri"/>
          <w:noProof/>
          <w:szCs w:val="24"/>
        </w:rPr>
        <w:t>, 7447-7456, doi:10.1021/bi9629642 (1997).</w:t>
      </w:r>
      <w:bookmarkEnd w:id="3"/>
    </w:p>
    <w:p w:rsidR="00DE372D" w:rsidRPr="00DE372D" w:rsidRDefault="00DE372D" w:rsidP="00DE372D">
      <w:pPr>
        <w:spacing w:after="0" w:line="240" w:lineRule="auto"/>
        <w:ind w:left="720" w:hanging="720"/>
        <w:rPr>
          <w:rFonts w:ascii="Calibri" w:hAnsi="Calibri"/>
          <w:noProof/>
          <w:szCs w:val="24"/>
        </w:rPr>
      </w:pPr>
      <w:bookmarkStart w:id="4" w:name="_ENREF_4"/>
      <w:r w:rsidRPr="00DE372D">
        <w:rPr>
          <w:rFonts w:ascii="Calibri" w:hAnsi="Calibri"/>
          <w:noProof/>
          <w:szCs w:val="24"/>
        </w:rPr>
        <w:t>4</w:t>
      </w:r>
      <w:r w:rsidRPr="00DE372D">
        <w:rPr>
          <w:rFonts w:ascii="Calibri" w:hAnsi="Calibri"/>
          <w:noProof/>
          <w:szCs w:val="24"/>
        </w:rPr>
        <w:tab/>
        <w:t xml:space="preserve">Aketani, S., Teshima, R., Umezawa, Y. &amp; Sawada, J. Correlation between cytosolic calcium concentration and degranulation in RBL-2H3 cells in the presence of various concentrations of antigen-specific IgEs. </w:t>
      </w:r>
      <w:r w:rsidRPr="00DE372D">
        <w:rPr>
          <w:rFonts w:ascii="Calibri" w:hAnsi="Calibri"/>
          <w:i/>
          <w:noProof/>
          <w:szCs w:val="24"/>
        </w:rPr>
        <w:t>Immunology Letters</w:t>
      </w:r>
      <w:r w:rsidRPr="00DE372D">
        <w:rPr>
          <w:rFonts w:ascii="Calibri" w:hAnsi="Calibri"/>
          <w:noProof/>
          <w:szCs w:val="24"/>
        </w:rPr>
        <w:t xml:space="preserve"> </w:t>
      </w:r>
      <w:r w:rsidRPr="00DE372D">
        <w:rPr>
          <w:rFonts w:ascii="Calibri" w:hAnsi="Calibri"/>
          <w:b/>
          <w:noProof/>
          <w:szCs w:val="24"/>
        </w:rPr>
        <w:t>75</w:t>
      </w:r>
      <w:r w:rsidRPr="00DE372D">
        <w:rPr>
          <w:rFonts w:ascii="Calibri" w:hAnsi="Calibri"/>
          <w:noProof/>
          <w:szCs w:val="24"/>
        </w:rPr>
        <w:t>, 185-189, doi:10.1016/s0165-2478(00)00311-4 (2001).</w:t>
      </w:r>
      <w:bookmarkEnd w:id="4"/>
    </w:p>
    <w:p w:rsidR="00DE372D" w:rsidRPr="00DE372D" w:rsidRDefault="00DE372D" w:rsidP="00DE372D">
      <w:pPr>
        <w:spacing w:after="0" w:line="240" w:lineRule="auto"/>
        <w:ind w:left="720" w:hanging="720"/>
        <w:rPr>
          <w:rFonts w:ascii="Calibri" w:hAnsi="Calibri"/>
          <w:noProof/>
          <w:szCs w:val="24"/>
        </w:rPr>
      </w:pPr>
      <w:bookmarkStart w:id="5" w:name="_ENREF_5"/>
      <w:r w:rsidRPr="00DE372D">
        <w:rPr>
          <w:rFonts w:ascii="Calibri" w:hAnsi="Calibri"/>
          <w:noProof/>
          <w:szCs w:val="24"/>
        </w:rPr>
        <w:t>5</w:t>
      </w:r>
      <w:r w:rsidRPr="00DE372D">
        <w:rPr>
          <w:rFonts w:ascii="Calibri" w:hAnsi="Calibri"/>
          <w:noProof/>
          <w:szCs w:val="24"/>
        </w:rPr>
        <w:tab/>
        <w:t xml:space="preserve">Senyshyn, J., Baumgartner, R. A. &amp; Beaven, M. A. Quercetin sensitizes RBL-2H3 cells to polybasic mast cell secretagogues through increased expression of Gi GTP-binding proteins linked to a phospholipase C signaling pathway. </w:t>
      </w:r>
      <w:r w:rsidRPr="00DE372D">
        <w:rPr>
          <w:rFonts w:ascii="Calibri" w:hAnsi="Calibri"/>
          <w:i/>
          <w:noProof/>
          <w:szCs w:val="24"/>
        </w:rPr>
        <w:t>Journal of Immunology</w:t>
      </w:r>
      <w:r w:rsidRPr="00DE372D">
        <w:rPr>
          <w:rFonts w:ascii="Calibri" w:hAnsi="Calibri"/>
          <w:noProof/>
          <w:szCs w:val="24"/>
        </w:rPr>
        <w:t xml:space="preserve"> </w:t>
      </w:r>
      <w:r w:rsidRPr="00DE372D">
        <w:rPr>
          <w:rFonts w:ascii="Calibri" w:hAnsi="Calibri"/>
          <w:b/>
          <w:noProof/>
          <w:szCs w:val="24"/>
        </w:rPr>
        <w:t>160</w:t>
      </w:r>
      <w:r w:rsidRPr="00DE372D">
        <w:rPr>
          <w:rFonts w:ascii="Calibri" w:hAnsi="Calibri"/>
          <w:noProof/>
          <w:szCs w:val="24"/>
        </w:rPr>
        <w:t>, 5136-5144 (1998).</w:t>
      </w:r>
      <w:bookmarkEnd w:id="5"/>
    </w:p>
    <w:p w:rsidR="00651BD0" w:rsidRPr="0009732B" w:rsidRDefault="00DE372D" w:rsidP="00DE372D">
      <w:pPr>
        <w:spacing w:line="240" w:lineRule="auto"/>
        <w:ind w:left="720" w:hanging="720"/>
        <w:rPr>
          <w:sz w:val="24"/>
          <w:szCs w:val="24"/>
        </w:rPr>
      </w:pPr>
      <w:bookmarkStart w:id="6" w:name="_ENREF_6"/>
      <w:r w:rsidRPr="00DE372D">
        <w:rPr>
          <w:rFonts w:ascii="Calibri" w:hAnsi="Calibri"/>
          <w:noProof/>
          <w:szCs w:val="24"/>
        </w:rPr>
        <w:lastRenderedPageBreak/>
        <w:t>6</w:t>
      </w:r>
      <w:r w:rsidRPr="00DE372D">
        <w:rPr>
          <w:rFonts w:ascii="Calibri" w:hAnsi="Calibri"/>
          <w:noProof/>
          <w:szCs w:val="24"/>
        </w:rPr>
        <w:tab/>
        <w:t>Palmer, R. K.</w:t>
      </w:r>
      <w:r w:rsidRPr="00DE372D">
        <w:rPr>
          <w:rFonts w:ascii="Calibri" w:hAnsi="Calibri"/>
          <w:i/>
          <w:noProof/>
          <w:szCs w:val="24"/>
        </w:rPr>
        <w:t xml:space="preserve"> et al.</w:t>
      </w:r>
      <w:r w:rsidRPr="00DE372D">
        <w:rPr>
          <w:rFonts w:ascii="Calibri" w:hAnsi="Calibri"/>
          <w:noProof/>
          <w:szCs w:val="24"/>
        </w:rPr>
        <w:t xml:space="preserve"> Antibacterial agent triclosan suppresses RBL-2H3 mast cell function. </w:t>
      </w:r>
      <w:r w:rsidRPr="00DE372D">
        <w:rPr>
          <w:rFonts w:ascii="Calibri" w:hAnsi="Calibri"/>
          <w:i/>
          <w:noProof/>
          <w:szCs w:val="24"/>
        </w:rPr>
        <w:t>Toxicology and Applied Pharmacology</w:t>
      </w:r>
      <w:r w:rsidRPr="00DE372D">
        <w:rPr>
          <w:rFonts w:ascii="Calibri" w:hAnsi="Calibri"/>
          <w:noProof/>
          <w:szCs w:val="24"/>
        </w:rPr>
        <w:t xml:space="preserve"> </w:t>
      </w:r>
      <w:r w:rsidRPr="00DE372D">
        <w:rPr>
          <w:rFonts w:ascii="Calibri" w:hAnsi="Calibri"/>
          <w:b/>
          <w:noProof/>
          <w:szCs w:val="24"/>
        </w:rPr>
        <w:t>258</w:t>
      </w:r>
      <w:r w:rsidRPr="00DE372D">
        <w:rPr>
          <w:rFonts w:ascii="Calibri" w:hAnsi="Calibri"/>
          <w:noProof/>
          <w:szCs w:val="24"/>
        </w:rPr>
        <w:t>, 99-108, doi:10.1016/j.taap.2011.10.012 (2012)</w:t>
      </w:r>
      <w:bookmarkEnd w:id="6"/>
      <w:r>
        <w:rPr>
          <w:rFonts w:ascii="Calibri" w:hAnsi="Calibri"/>
          <w:noProof/>
          <w:szCs w:val="24"/>
        </w:rPr>
        <w:t>.</w:t>
      </w:r>
      <w:r w:rsidR="00076679">
        <w:rPr>
          <w:sz w:val="24"/>
          <w:szCs w:val="24"/>
        </w:rPr>
        <w:fldChar w:fldCharType="end"/>
      </w:r>
    </w:p>
    <w:sectPr w:rsidR="00651BD0" w:rsidRPr="0009732B" w:rsidSect="001B3C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dfdt0r2tzv2wewvpbvzdxx9wfv2z2xra2v&quot;&gt;Rachel PhD library&lt;record-ids&gt;&lt;item&gt;708&lt;/item&gt;&lt;item&gt;1327&lt;/item&gt;&lt;item&gt;1670&lt;/item&gt;&lt;item&gt;1671&lt;/item&gt;&lt;item&gt;1672&lt;/item&gt;&lt;item&gt;1843&lt;/item&gt;&lt;/record-ids&gt;&lt;/item&gt;&lt;/Libraries&gt;"/>
  </w:docVars>
  <w:rsids>
    <w:rsidRoot w:val="003F5EB2"/>
    <w:rsid w:val="00076679"/>
    <w:rsid w:val="00083760"/>
    <w:rsid w:val="0009732B"/>
    <w:rsid w:val="000D671D"/>
    <w:rsid w:val="000F7889"/>
    <w:rsid w:val="001270D3"/>
    <w:rsid w:val="00146E03"/>
    <w:rsid w:val="0015692B"/>
    <w:rsid w:val="0017310B"/>
    <w:rsid w:val="001B2050"/>
    <w:rsid w:val="001B3CF6"/>
    <w:rsid w:val="001B770F"/>
    <w:rsid w:val="0027629B"/>
    <w:rsid w:val="002866A0"/>
    <w:rsid w:val="002A153A"/>
    <w:rsid w:val="002B359A"/>
    <w:rsid w:val="002F0362"/>
    <w:rsid w:val="002F4E85"/>
    <w:rsid w:val="00320310"/>
    <w:rsid w:val="003703AF"/>
    <w:rsid w:val="00381638"/>
    <w:rsid w:val="003A2896"/>
    <w:rsid w:val="003A5D16"/>
    <w:rsid w:val="003F5EB2"/>
    <w:rsid w:val="0040595A"/>
    <w:rsid w:val="00407FE7"/>
    <w:rsid w:val="004B0D3F"/>
    <w:rsid w:val="004E5795"/>
    <w:rsid w:val="00506E1A"/>
    <w:rsid w:val="005B08A9"/>
    <w:rsid w:val="005D1C20"/>
    <w:rsid w:val="00651BD0"/>
    <w:rsid w:val="00671F7F"/>
    <w:rsid w:val="0073051C"/>
    <w:rsid w:val="00733BC3"/>
    <w:rsid w:val="007B354B"/>
    <w:rsid w:val="007B4F77"/>
    <w:rsid w:val="008524B4"/>
    <w:rsid w:val="00884691"/>
    <w:rsid w:val="008B11B4"/>
    <w:rsid w:val="008B2A00"/>
    <w:rsid w:val="008C7EBA"/>
    <w:rsid w:val="008E179E"/>
    <w:rsid w:val="008E4A79"/>
    <w:rsid w:val="008E7745"/>
    <w:rsid w:val="009425BA"/>
    <w:rsid w:val="00977CE2"/>
    <w:rsid w:val="00977D5D"/>
    <w:rsid w:val="009A21E1"/>
    <w:rsid w:val="009B6A33"/>
    <w:rsid w:val="00A866D0"/>
    <w:rsid w:val="00AD7100"/>
    <w:rsid w:val="00B022E0"/>
    <w:rsid w:val="00B30A42"/>
    <w:rsid w:val="00B37DCF"/>
    <w:rsid w:val="00B77F09"/>
    <w:rsid w:val="00B81D97"/>
    <w:rsid w:val="00BA7421"/>
    <w:rsid w:val="00BE7A3F"/>
    <w:rsid w:val="00BF307B"/>
    <w:rsid w:val="00C310EB"/>
    <w:rsid w:val="00C54057"/>
    <w:rsid w:val="00C75696"/>
    <w:rsid w:val="00C8628F"/>
    <w:rsid w:val="00D1074F"/>
    <w:rsid w:val="00D1356B"/>
    <w:rsid w:val="00D40E60"/>
    <w:rsid w:val="00D84093"/>
    <w:rsid w:val="00DE372D"/>
    <w:rsid w:val="00E026C4"/>
    <w:rsid w:val="00E5355A"/>
    <w:rsid w:val="00E63B18"/>
    <w:rsid w:val="00ED572D"/>
    <w:rsid w:val="00EE40E6"/>
    <w:rsid w:val="00EE6F8F"/>
    <w:rsid w:val="00F404FB"/>
    <w:rsid w:val="00F46EC4"/>
    <w:rsid w:val="00F54BC8"/>
    <w:rsid w:val="00FB6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5EB2"/>
  </w:style>
  <w:style w:type="table" w:styleId="TableGrid">
    <w:name w:val="Table Grid"/>
    <w:basedOn w:val="TableNormal"/>
    <w:uiPriority w:val="59"/>
    <w:rsid w:val="00B37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5D1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5EB2"/>
  </w:style>
  <w:style w:type="table" w:styleId="TableGrid">
    <w:name w:val="Table Grid"/>
    <w:basedOn w:val="TableNormal"/>
    <w:uiPriority w:val="59"/>
    <w:rsid w:val="00B37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5D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B43DC-DCBB-4B0A-9A1A-26B3D932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24301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Gosse Lab</dc:creator>
  <cp:lastModifiedBy>OWNER</cp:lastModifiedBy>
  <cp:revision>5</cp:revision>
  <dcterms:created xsi:type="dcterms:W3CDTF">2013-03-14T17:35:00Z</dcterms:created>
  <dcterms:modified xsi:type="dcterms:W3CDTF">2013-03-14T17:44:00Z</dcterms:modified>
</cp:coreProperties>
</file>