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37" w:type="dxa"/>
        <w:tblCellMar>
          <w:left w:w="0" w:type="dxa"/>
          <w:right w:w="0" w:type="dxa"/>
        </w:tblCellMar>
        <w:tblLook w:val="04A0"/>
      </w:tblPr>
      <w:tblGrid>
        <w:gridCol w:w="9508"/>
      </w:tblGrid>
      <w:tr w:rsidR="005848B6" w:rsidTr="005848B6">
        <w:trPr>
          <w:tblCellSpacing w:w="37" w:type="dxa"/>
        </w:trPr>
        <w:tc>
          <w:tcPr>
            <w:tcW w:w="0" w:type="auto"/>
            <w:hideMark/>
          </w:tcPr>
          <w:p w:rsidR="005848B6" w:rsidRDefault="005848B6" w:rsidP="00BB018D">
            <w:pPr>
              <w:rPr>
                <w:sz w:val="24"/>
                <w:szCs w:val="24"/>
              </w:rPr>
            </w:pPr>
          </w:p>
        </w:tc>
      </w:tr>
      <w:tr w:rsidR="005848B6" w:rsidTr="005848B6">
        <w:trPr>
          <w:tblCellSpacing w:w="37" w:type="dxa"/>
        </w:trPr>
        <w:tc>
          <w:tcPr>
            <w:tcW w:w="0" w:type="auto"/>
            <w:hideMark/>
          </w:tcPr>
          <w:p w:rsidR="005848B6" w:rsidRDefault="005848B6">
            <w:pPr>
              <w:rPr>
                <w:sz w:val="24"/>
                <w:szCs w:val="24"/>
              </w:rPr>
            </w:pPr>
          </w:p>
        </w:tc>
      </w:tr>
      <w:tr w:rsidR="005848B6" w:rsidTr="005848B6">
        <w:trPr>
          <w:tblCellSpacing w:w="37" w:type="dxa"/>
        </w:trPr>
        <w:tc>
          <w:tcPr>
            <w:tcW w:w="0" w:type="auto"/>
            <w:hideMark/>
          </w:tcPr>
          <w:p w:rsidR="005848B6" w:rsidRDefault="005848B6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horzAnchor="margin" w:tblpY="1"/>
        <w:tblOverlap w:val="never"/>
        <w:tblW w:w="4418" w:type="pct"/>
        <w:tblCellSpacing w:w="37" w:type="dxa"/>
        <w:tblCellMar>
          <w:left w:w="0" w:type="dxa"/>
          <w:right w:w="0" w:type="dxa"/>
        </w:tblCellMar>
        <w:tblLook w:val="04A0"/>
      </w:tblPr>
      <w:tblGrid>
        <w:gridCol w:w="261"/>
        <w:gridCol w:w="8140"/>
      </w:tblGrid>
      <w:tr w:rsidR="00A537F9" w:rsidTr="00A537F9">
        <w:trPr>
          <w:tblCellSpacing w:w="37" w:type="dxa"/>
        </w:trPr>
        <w:tc>
          <w:tcPr>
            <w:tcW w:w="150" w:type="dxa"/>
            <w:hideMark/>
          </w:tcPr>
          <w:p w:rsidR="00A537F9" w:rsidRDefault="00A537F9" w:rsidP="00A537F9">
            <w:pPr>
              <w:rPr>
                <w:rFonts w:eastAsiaTheme="minorHAnsi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3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29"/>
            </w:tblGrid>
            <w:tr w:rsidR="00A537F9" w:rsidTr="00A537F9">
              <w:trPr>
                <w:tblCellSpacing w:w="37" w:type="dxa"/>
              </w:trPr>
              <w:tc>
                <w:tcPr>
                  <w:tcW w:w="0" w:type="auto"/>
                  <w:hideMark/>
                </w:tcPr>
                <w:p w:rsidR="00A537F9" w:rsidRDefault="00A537F9" w:rsidP="008B3B67">
                  <w:pPr>
                    <w:framePr w:hSpace="180" w:wrap="around" w:hAnchor="margin" w:y="1"/>
                    <w:suppressOverlap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537F9" w:rsidRPr="00A537F9" w:rsidRDefault="00A537F9" w:rsidP="00A537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37F9" w:rsidTr="00A537F9">
        <w:trPr>
          <w:tblCellSpacing w:w="37" w:type="dxa"/>
        </w:trPr>
        <w:tc>
          <w:tcPr>
            <w:tcW w:w="150" w:type="dxa"/>
            <w:hideMark/>
          </w:tcPr>
          <w:p w:rsidR="00A537F9" w:rsidRDefault="00A537F9" w:rsidP="00A537F9">
            <w:pPr>
              <w:rPr>
                <w:rFonts w:eastAsiaTheme="minorHAnsi"/>
              </w:rPr>
            </w:pPr>
          </w:p>
        </w:tc>
        <w:tc>
          <w:tcPr>
            <w:tcW w:w="0" w:type="auto"/>
            <w:hideMark/>
          </w:tcPr>
          <w:p w:rsidR="00A537F9" w:rsidRDefault="00A537F9" w:rsidP="00A537F9">
            <w:pPr>
              <w:rPr>
                <w:sz w:val="24"/>
                <w:szCs w:val="24"/>
              </w:rPr>
            </w:pPr>
          </w:p>
        </w:tc>
      </w:tr>
    </w:tbl>
    <w:p w:rsidR="008C1DFA" w:rsidRPr="008C1DFA" w:rsidRDefault="008C1DFA" w:rsidP="008C1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8C1DFA" w:rsidRDefault="008C1DFA" w:rsidP="00A1784F">
      <w:pPr>
        <w:spacing w:after="140" w:line="240" w:lineRule="auto"/>
        <w:rPr>
          <w:rFonts w:ascii="Arial" w:hAnsi="Arial" w:cs="Arial"/>
          <w:i/>
          <w:sz w:val="24"/>
          <w:szCs w:val="24"/>
        </w:rPr>
      </w:pPr>
    </w:p>
    <w:p w:rsidR="00560DC9" w:rsidRDefault="00560DC9" w:rsidP="00BB018D"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58691" cy="22541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44" cy="22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rPr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CC29E3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CC29E3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1</w:t>
      </w:r>
      <w:r w:rsidR="00CC29E3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>. Biotinylated PCR product is used as a template to incorporate dNTPs by DNA polymerase, leading to the generation of pyrophosphate (PPi).</w:t>
      </w:r>
    </w:p>
    <w:p w:rsidR="00560DC9" w:rsidRDefault="00560DC9" w:rsidP="00560DC9"/>
    <w:p w:rsidR="00560DC9" w:rsidRDefault="00560DC9" w:rsidP="00560DC9"/>
    <w:p w:rsidR="00560DC9" w:rsidRDefault="00560DC9" w:rsidP="00560DC9"/>
    <w:p w:rsidR="00560DC9" w:rsidRPr="00DD38F2" w:rsidRDefault="00560DC9" w:rsidP="00560DC9"/>
    <w:p w:rsidR="00560DC9" w:rsidRDefault="00560DC9" w:rsidP="00560DC9">
      <w:pPr>
        <w:keepNext/>
        <w:spacing w:after="140" w:line="24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391786" cy="30884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86" cy="30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rPr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CC29E3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CC29E3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2</w:t>
      </w:r>
      <w:r w:rsidR="00CC29E3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r w:rsidRPr="00DF1CB9">
        <w:rPr>
          <w:rFonts w:cs="Arial"/>
          <w:sz w:val="40"/>
          <w:szCs w:val="40"/>
        </w:rPr>
        <w:t xml:space="preserve">ATP sulfurylase proportionately converts pyrophosphate to ATP. ATP acts as a catalyst for the luciferase-mediated conversion of luciferin to oxyluciferin, which generates light that is proportional to the amount of ATP. </w:t>
      </w:r>
      <w:r w:rsidR="00980D17">
        <w:rPr>
          <w:rFonts w:cs="Arial"/>
          <w:sz w:val="40"/>
          <w:szCs w:val="40"/>
        </w:rPr>
        <w:t xml:space="preserve">The light is recorded as peak on the </w:t>
      </w:r>
      <w:proofErr w:type="spellStart"/>
      <w:r w:rsidR="00980D17">
        <w:rPr>
          <w:rFonts w:cs="Arial"/>
          <w:sz w:val="40"/>
          <w:szCs w:val="40"/>
        </w:rPr>
        <w:t>pyrogram</w:t>
      </w:r>
      <w:proofErr w:type="spellEnd"/>
      <w:r w:rsidR="00980D17">
        <w:rPr>
          <w:rFonts w:cs="Arial"/>
          <w:sz w:val="40"/>
          <w:szCs w:val="40"/>
        </w:rPr>
        <w:t xml:space="preserve"> trace and indicates nucleotide incorporation. </w:t>
      </w:r>
      <w:r w:rsidRPr="00DF1CB9">
        <w:rPr>
          <w:rFonts w:cs="Arial"/>
          <w:sz w:val="40"/>
          <w:szCs w:val="40"/>
        </w:rPr>
        <w:t xml:space="preserve">The unincorporated </w:t>
      </w:r>
      <w:proofErr w:type="spellStart"/>
      <w:r w:rsidRPr="00DF1CB9">
        <w:rPr>
          <w:rFonts w:cs="Arial"/>
          <w:sz w:val="40"/>
          <w:szCs w:val="40"/>
        </w:rPr>
        <w:t>dNTP</w:t>
      </w:r>
      <w:r w:rsidR="00980D17">
        <w:rPr>
          <w:rFonts w:cs="Arial"/>
          <w:sz w:val="40"/>
          <w:szCs w:val="40"/>
        </w:rPr>
        <w:t>s</w:t>
      </w:r>
      <w:proofErr w:type="spellEnd"/>
      <w:r w:rsidR="00980D17">
        <w:rPr>
          <w:rFonts w:cs="Arial"/>
          <w:sz w:val="40"/>
          <w:szCs w:val="40"/>
        </w:rPr>
        <w:t xml:space="preserve"> are</w:t>
      </w:r>
      <w:r w:rsidRPr="00DF1CB9">
        <w:rPr>
          <w:rFonts w:cs="Arial"/>
          <w:sz w:val="40"/>
          <w:szCs w:val="40"/>
        </w:rPr>
        <w:t xml:space="preserve"> degraded by </w:t>
      </w:r>
      <w:proofErr w:type="spellStart"/>
      <w:r w:rsidRPr="00DF1CB9">
        <w:rPr>
          <w:rFonts w:cs="Arial"/>
          <w:sz w:val="40"/>
          <w:szCs w:val="40"/>
        </w:rPr>
        <w:t>apyrase</w:t>
      </w:r>
      <w:proofErr w:type="spellEnd"/>
      <w:r w:rsidRPr="00DF1CB9">
        <w:rPr>
          <w:rFonts w:cs="Arial"/>
          <w:sz w:val="40"/>
          <w:szCs w:val="40"/>
        </w:rPr>
        <w:t xml:space="preserve"> before the next dNTP is added for continuation of the synthesis.</w:t>
      </w:r>
    </w:p>
    <w:p w:rsidR="00560DC9" w:rsidRDefault="00560DC9" w:rsidP="00560DC9">
      <w:r>
        <w:br w:type="page"/>
      </w:r>
    </w:p>
    <w:p w:rsidR="00560DC9" w:rsidRDefault="00560DC9" w:rsidP="00560DC9">
      <w:pPr>
        <w:keepNext/>
        <w:spacing w:before="100" w:beforeAutospacing="1" w:after="140" w:line="240" w:lineRule="auto"/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3253563" cy="16994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3" cy="169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rPr>
          <w:rFonts w:eastAsia="Times New Roman" w:cs="Arial"/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CC29E3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CC29E3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3</w:t>
      </w:r>
      <w:r w:rsidR="00CC29E3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r w:rsidRPr="00DF1CB9">
        <w:rPr>
          <w:rFonts w:cs="Arial"/>
          <w:sz w:val="40"/>
          <w:szCs w:val="40"/>
        </w:rPr>
        <w:t xml:space="preserve">The intensity of light </w:t>
      </w:r>
      <w:r w:rsidR="00B478BB">
        <w:rPr>
          <w:rFonts w:cs="Arial"/>
          <w:sz w:val="40"/>
          <w:szCs w:val="40"/>
        </w:rPr>
        <w:t xml:space="preserve">generated indicates </w:t>
      </w:r>
      <w:r w:rsidRPr="00DF1CB9">
        <w:rPr>
          <w:rFonts w:cs="Arial"/>
          <w:sz w:val="40"/>
          <w:szCs w:val="40"/>
        </w:rPr>
        <w:t>if one or more specific dNTP’s (dATP, dTTP, dGTP, or dCTP) was incorporated onto the template strand sequentially.</w:t>
      </w:r>
    </w:p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Pr="00DF1CB9" w:rsidRDefault="00560DC9" w:rsidP="00560DC9">
      <w:pPr>
        <w:rPr>
          <w:sz w:val="40"/>
          <w:szCs w:val="40"/>
        </w:rPr>
      </w:pPr>
      <w:r w:rsidRPr="00DF1CB9">
        <w:rPr>
          <w:sz w:val="40"/>
          <w:szCs w:val="40"/>
        </w:rPr>
        <w:lastRenderedPageBreak/>
        <w:t xml:space="preserve">Table 1 </w:t>
      </w:r>
      <w:r w:rsidR="00B478BB">
        <w:rPr>
          <w:sz w:val="40"/>
          <w:szCs w:val="40"/>
        </w:rPr>
        <w:t xml:space="preserve">PCR </w:t>
      </w:r>
      <w:r>
        <w:rPr>
          <w:sz w:val="40"/>
          <w:szCs w:val="40"/>
        </w:rPr>
        <w:t>Reaction Mixture</w:t>
      </w:r>
    </w:p>
    <w:p w:rsidR="00560DC9" w:rsidRDefault="00560DC9" w:rsidP="00560DC9">
      <w:r w:rsidRPr="00DD38F2">
        <w:rPr>
          <w:noProof/>
        </w:rPr>
        <w:drawing>
          <wp:inline distT="0" distB="0" distL="0" distR="0">
            <wp:extent cx="3420533" cy="1511476"/>
            <wp:effectExtent l="19050" t="0" r="8467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90" cy="15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560DC9"/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Pr="00DF1CB9" w:rsidRDefault="00560DC9" w:rsidP="00560DC9">
      <w:pPr>
        <w:rPr>
          <w:sz w:val="40"/>
          <w:szCs w:val="40"/>
        </w:rPr>
      </w:pPr>
      <w:r w:rsidRPr="00DF1CB9">
        <w:rPr>
          <w:sz w:val="40"/>
          <w:szCs w:val="40"/>
        </w:rPr>
        <w:t>Table 2</w:t>
      </w:r>
      <w:r>
        <w:rPr>
          <w:sz w:val="40"/>
          <w:szCs w:val="40"/>
        </w:rPr>
        <w:t xml:space="preserve"> </w:t>
      </w:r>
      <w:r w:rsidR="00B478BB">
        <w:rPr>
          <w:sz w:val="40"/>
          <w:szCs w:val="40"/>
        </w:rPr>
        <w:t xml:space="preserve">PCR </w:t>
      </w:r>
      <w:r>
        <w:rPr>
          <w:sz w:val="40"/>
          <w:szCs w:val="40"/>
        </w:rPr>
        <w:t>Cycle Specifications</w:t>
      </w:r>
    </w:p>
    <w:p w:rsidR="00560DC9" w:rsidRDefault="00560DC9" w:rsidP="00560DC9">
      <w:r w:rsidRPr="00DD38F2">
        <w:rPr>
          <w:noProof/>
        </w:rPr>
        <w:drawing>
          <wp:inline distT="0" distB="0" distL="0" distR="0">
            <wp:extent cx="3423684" cy="151285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84" cy="15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Default="00560DC9" w:rsidP="00560DC9">
      <w:pPr>
        <w:pStyle w:val="Default"/>
        <w:keepNext/>
        <w:spacing w:after="140"/>
        <w:ind w:left="360"/>
      </w:pPr>
      <w:r>
        <w:rPr>
          <w:rFonts w:ascii="Arial" w:hAnsi="Arial" w:cs="Arial"/>
          <w:bCs/>
          <w:noProof/>
          <w:u w:val="single"/>
        </w:rPr>
        <w:drawing>
          <wp:inline distT="0" distB="0" distL="0" distR="0">
            <wp:extent cx="2475186" cy="2683170"/>
            <wp:effectExtent l="0" t="0" r="0" b="0"/>
            <wp:docPr id="30" name="Picture 30" descr="C:\Users\ahmedr\AppData\Local\Microsoft\Windows\Temporary Internet Files\Content.Outlook\H5AQ7QKQ\master-mix-p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dr\AppData\Local\Microsoft\Windows\Temporary Internet Files\Content.Outlook\H5AQ7QKQ\master-mix-pre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26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ind w:left="360"/>
        <w:rPr>
          <w:rFonts w:ascii="Arial" w:hAnsi="Arial" w:cs="Arial"/>
          <w:color w:val="auto"/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CC29E3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CC29E3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4</w:t>
      </w:r>
      <w:r w:rsidR="00CC29E3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proofErr w:type="gramStart"/>
      <w:r w:rsidRPr="00DF1CB9">
        <w:rPr>
          <w:sz w:val="40"/>
          <w:szCs w:val="40"/>
        </w:rPr>
        <w:t xml:space="preserve">Flow chart for preparation of </w:t>
      </w:r>
      <w:r w:rsidR="00B478BB">
        <w:rPr>
          <w:sz w:val="40"/>
          <w:szCs w:val="40"/>
        </w:rPr>
        <w:t xml:space="preserve">PCR </w:t>
      </w:r>
      <w:r w:rsidRPr="00DF1CB9">
        <w:rPr>
          <w:sz w:val="40"/>
          <w:szCs w:val="40"/>
        </w:rPr>
        <w:t xml:space="preserve">master mix to </w:t>
      </w:r>
      <w:r w:rsidR="00B478BB">
        <w:rPr>
          <w:sz w:val="40"/>
          <w:szCs w:val="40"/>
        </w:rPr>
        <w:t xml:space="preserve">amplify and </w:t>
      </w:r>
      <w:r w:rsidRPr="00DF1CB9">
        <w:rPr>
          <w:sz w:val="40"/>
          <w:szCs w:val="40"/>
        </w:rPr>
        <w:t xml:space="preserve">immobilize the </w:t>
      </w:r>
      <w:proofErr w:type="spellStart"/>
      <w:r w:rsidRPr="00DF1CB9">
        <w:rPr>
          <w:sz w:val="40"/>
          <w:szCs w:val="40"/>
        </w:rPr>
        <w:t>biotinylated</w:t>
      </w:r>
      <w:proofErr w:type="spellEnd"/>
      <w:r w:rsidRPr="00DF1CB9">
        <w:rPr>
          <w:sz w:val="40"/>
          <w:szCs w:val="40"/>
        </w:rPr>
        <w:t xml:space="preserve"> PCR product.</w:t>
      </w:r>
      <w:proofErr w:type="gramEnd"/>
    </w:p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Default="00560DC9" w:rsidP="00560DC9"/>
    <w:p w:rsidR="00560DC9" w:rsidRDefault="00560DC9" w:rsidP="00560DC9">
      <w:pPr>
        <w:pStyle w:val="Default"/>
        <w:keepNext/>
        <w:spacing w:after="140"/>
        <w:ind w:left="360"/>
      </w:pPr>
      <w:r>
        <w:rPr>
          <w:rFonts w:ascii="Arial" w:hAnsi="Arial" w:cs="Arial"/>
          <w:noProof/>
          <w:color w:val="auto"/>
        </w:rPr>
        <w:drawing>
          <wp:inline distT="0" distB="0" distL="0" distR="0">
            <wp:extent cx="2229002" cy="2413591"/>
            <wp:effectExtent l="0" t="0" r="0" b="0"/>
            <wp:docPr id="31" name="Picture 31" descr="C:\Users\ahmedr\AppData\Local\Microsoft\Windows\Temporary Internet Files\Content.Outlook\H5AQ7QKQ\workstation-trou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dr\AppData\Local\Microsoft\Windows\Temporary Internet Files\Content.Outlook\H5AQ7QKQ\workstation-trough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55" cy="24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7737D4">
      <w:pPr>
        <w:pStyle w:val="Caption"/>
        <w:spacing w:after="140"/>
        <w:ind w:left="360"/>
        <w:rPr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CC29E3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CC29E3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5</w:t>
      </w:r>
      <w:r w:rsidR="00CC29E3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proofErr w:type="spellStart"/>
      <w:proofErr w:type="gramStart"/>
      <w:r w:rsidRPr="00DF1CB9">
        <w:rPr>
          <w:sz w:val="40"/>
          <w:szCs w:val="40"/>
        </w:rPr>
        <w:t>PyroMark</w:t>
      </w:r>
      <w:proofErr w:type="spellEnd"/>
      <w:r w:rsidRPr="00DF1CB9">
        <w:rPr>
          <w:sz w:val="40"/>
          <w:szCs w:val="40"/>
        </w:rPr>
        <w:t xml:space="preserve"> workstation, </w:t>
      </w:r>
      <w:r w:rsidR="00B478BB">
        <w:rPr>
          <w:sz w:val="40"/>
          <w:szCs w:val="40"/>
        </w:rPr>
        <w:t xml:space="preserve">with PCR plate, </w:t>
      </w:r>
      <w:proofErr w:type="spellStart"/>
      <w:r w:rsidR="00B478BB">
        <w:rPr>
          <w:sz w:val="40"/>
          <w:szCs w:val="40"/>
        </w:rPr>
        <w:t>PyroMark</w:t>
      </w:r>
      <w:proofErr w:type="spellEnd"/>
      <w:r w:rsidR="00B478BB">
        <w:rPr>
          <w:sz w:val="40"/>
          <w:szCs w:val="40"/>
        </w:rPr>
        <w:t xml:space="preserve"> plate, and </w:t>
      </w:r>
      <w:r w:rsidRPr="00DF1CB9">
        <w:rPr>
          <w:sz w:val="40"/>
          <w:szCs w:val="40"/>
        </w:rPr>
        <w:t>trough locations.</w:t>
      </w:r>
      <w:proofErr w:type="gramEnd"/>
    </w:p>
    <w:p w:rsidR="00B478BB" w:rsidRDefault="00B478BB" w:rsidP="00B478BB"/>
    <w:p w:rsidR="00B478BB" w:rsidRDefault="00B478BB" w:rsidP="00B478BB"/>
    <w:p w:rsidR="00B478BB" w:rsidRDefault="00B478BB" w:rsidP="00B478BB"/>
    <w:p w:rsidR="00B478BB" w:rsidRPr="00B478BB" w:rsidRDefault="00B478BB" w:rsidP="00B478BB"/>
    <w:p w:rsidR="00560DC9" w:rsidRDefault="00560DC9" w:rsidP="00560DC9"/>
    <w:p w:rsidR="00560DC9" w:rsidRDefault="00560DC9" w:rsidP="00560DC9"/>
    <w:p w:rsidR="00560DC9" w:rsidRDefault="00560DC9" w:rsidP="00560DC9">
      <w:pPr>
        <w:pStyle w:val="Default"/>
        <w:keepNext/>
        <w:spacing w:after="140"/>
        <w:rPr>
          <w:rFonts w:ascii="Arial" w:hAnsi="Arial" w:cs="Arial"/>
          <w:color w:val="auto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560DC9" w:rsidRDefault="00560DC9" w:rsidP="00560DC9"/>
    <w:p w:rsidR="00560DC9" w:rsidRDefault="00560DC9" w:rsidP="00560DC9"/>
    <w:p w:rsidR="00560DC9" w:rsidRDefault="00560DC9" w:rsidP="00560DC9">
      <w:pPr>
        <w:pStyle w:val="Default"/>
        <w:keepNext/>
        <w:spacing w:after="140"/>
        <w:ind w:left="360"/>
      </w:pPr>
      <w:r>
        <w:rPr>
          <w:rFonts w:ascii="Arial" w:hAnsi="Arial" w:cs="Arial"/>
          <w:noProof/>
          <w:color w:val="auto"/>
        </w:rPr>
        <w:lastRenderedPageBreak/>
        <w:drawing>
          <wp:inline distT="0" distB="0" distL="0" distR="0">
            <wp:extent cx="1244009" cy="1690577"/>
            <wp:effectExtent l="0" t="0" r="0" b="0"/>
            <wp:docPr id="28" name="Picture 28" descr="C:\Users\ahmedr\AppData\Local\Microsoft\Windows\Temporary Internet Files\Content.Outlook\H5AQ7QKQ\Vacuum-switch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r\AppData\Local\Microsoft\Windows\Temporary Internet Files\Content.Outlook\H5AQ7QKQ\Vacuum-switch-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0" t="6151" r="15151" b="4947"/>
                    <a:stretch/>
                  </pic:blipFill>
                  <pic:spPr bwMode="auto">
                    <a:xfrm>
                      <a:off x="0" y="0"/>
                      <a:ext cx="1247181" cy="16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</w:rPr>
        <w:drawing>
          <wp:inline distT="0" distB="0" distL="0" distR="0">
            <wp:extent cx="1193800" cy="1689100"/>
            <wp:effectExtent l="0" t="0" r="0" b="0"/>
            <wp:docPr id="29" name="Picture 29" descr="C:\Users\ahmedr\AppData\Local\Microsoft\Windows\Temporary Internet Files\Content.Outlook\H5AQ7QKQ\Vacuum-switch-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r\AppData\Local\Microsoft\Windows\Temporary Internet Files\Content.Outlook\H5AQ7QKQ\Vacuum-switch-O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42" t="5455" r="14857" b="5909"/>
                    <a:stretch/>
                  </pic:blipFill>
                  <pic:spPr bwMode="auto">
                    <a:xfrm>
                      <a:off x="0" y="0"/>
                      <a:ext cx="1197885" cy="16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DC9" w:rsidRPr="00DF1CB9" w:rsidRDefault="00560DC9" w:rsidP="007737D4">
      <w:pPr>
        <w:pStyle w:val="Caption"/>
        <w:spacing w:after="140"/>
        <w:ind w:left="360"/>
        <w:rPr>
          <w:sz w:val="40"/>
          <w:szCs w:val="40"/>
        </w:rPr>
      </w:pPr>
      <w:proofErr w:type="gramStart"/>
      <w:r w:rsidRPr="00DF1CB9">
        <w:rPr>
          <w:sz w:val="40"/>
          <w:szCs w:val="40"/>
        </w:rPr>
        <w:t xml:space="preserve">Figure </w:t>
      </w:r>
      <w:r w:rsidR="007D536D">
        <w:rPr>
          <w:sz w:val="40"/>
          <w:szCs w:val="40"/>
        </w:rPr>
        <w:t>6</w:t>
      </w:r>
      <w:r w:rsidRPr="00DF1CB9">
        <w:rPr>
          <w:sz w:val="40"/>
          <w:szCs w:val="40"/>
        </w:rPr>
        <w:t>.</w:t>
      </w:r>
      <w:proofErr w:type="gramEnd"/>
      <w:r w:rsidRPr="00DF1CB9">
        <w:rPr>
          <w:sz w:val="40"/>
          <w:szCs w:val="40"/>
        </w:rPr>
        <w:t xml:space="preserve"> </w:t>
      </w:r>
      <w:r w:rsidR="008838E9">
        <w:rPr>
          <w:sz w:val="40"/>
          <w:szCs w:val="40"/>
        </w:rPr>
        <w:t xml:space="preserve">Locations of the </w:t>
      </w:r>
      <w:r w:rsidRPr="00DF1CB9">
        <w:rPr>
          <w:sz w:val="40"/>
          <w:szCs w:val="40"/>
        </w:rPr>
        <w:t>Vacuum switch ON and OFF</w:t>
      </w:r>
      <w:r w:rsidR="008838E9">
        <w:rPr>
          <w:sz w:val="40"/>
          <w:szCs w:val="40"/>
        </w:rPr>
        <w:t xml:space="preserve"> positions.</w:t>
      </w:r>
    </w:p>
    <w:p w:rsidR="00560DC9" w:rsidRDefault="00560DC9" w:rsidP="00560DC9"/>
    <w:p w:rsidR="008838E9" w:rsidRDefault="008838E9" w:rsidP="00560DC9"/>
    <w:p w:rsidR="008838E9" w:rsidRDefault="008838E9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8838E9" w:rsidRDefault="007D536D" w:rsidP="00560DC9">
      <w:r w:rsidRPr="007D536D">
        <w:rPr>
          <w:noProof/>
        </w:rPr>
        <w:lastRenderedPageBreak/>
        <w:drawing>
          <wp:inline distT="0" distB="0" distL="0" distR="0">
            <wp:extent cx="1679944" cy="2520207"/>
            <wp:effectExtent l="438150" t="0" r="415556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1980_GEF_RNA_2987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6742" cy="25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6D" w:rsidRDefault="007D536D" w:rsidP="007D536D">
      <w:pPr>
        <w:pStyle w:val="Default"/>
        <w:keepNext/>
        <w:spacing w:after="140"/>
        <w:ind w:left="720"/>
        <w:rPr>
          <w:rFonts w:ascii="Calibri" w:hAnsi="Calibri"/>
          <w:b/>
          <w:color w:val="4F81BD" w:themeColor="accent1"/>
          <w:sz w:val="40"/>
          <w:szCs w:val="40"/>
        </w:rPr>
      </w:pPr>
      <w:proofErr w:type="gramStart"/>
      <w:r w:rsidRPr="00DF1CB9">
        <w:rPr>
          <w:rFonts w:ascii="Calibri" w:hAnsi="Calibri"/>
          <w:b/>
          <w:color w:val="4F81BD" w:themeColor="accent1"/>
          <w:sz w:val="40"/>
          <w:szCs w:val="40"/>
        </w:rPr>
        <w:t xml:space="preserve">Figure </w:t>
      </w:r>
      <w:r>
        <w:rPr>
          <w:rFonts w:ascii="Calibri" w:hAnsi="Calibri"/>
          <w:b/>
          <w:color w:val="4F81BD" w:themeColor="accent1"/>
          <w:sz w:val="40"/>
          <w:szCs w:val="40"/>
        </w:rPr>
        <w:t>7</w:t>
      </w:r>
      <w:r w:rsidRPr="00DF1CB9">
        <w:rPr>
          <w:rFonts w:ascii="Calibri" w:hAnsi="Calibri"/>
          <w:b/>
          <w:color w:val="4F81BD" w:themeColor="accent1"/>
          <w:sz w:val="40"/>
          <w:szCs w:val="40"/>
        </w:rPr>
        <w:t>.</w:t>
      </w:r>
      <w:proofErr w:type="gramEnd"/>
      <w:r w:rsidRPr="00DF1CB9">
        <w:rPr>
          <w:rFonts w:ascii="Calibri" w:hAnsi="Calibri"/>
          <w:b/>
          <w:color w:val="4F81BD" w:themeColor="accent1"/>
          <w:sz w:val="40"/>
          <w:szCs w:val="40"/>
        </w:rPr>
        <w:t xml:space="preserve"> </w:t>
      </w:r>
      <w:proofErr w:type="gramStart"/>
      <w:r w:rsidRPr="00DF1CB9">
        <w:rPr>
          <w:rFonts w:ascii="Calibri" w:hAnsi="Calibri"/>
          <w:b/>
          <w:color w:val="4F81BD" w:themeColor="accent1"/>
          <w:sz w:val="40"/>
          <w:szCs w:val="40"/>
        </w:rPr>
        <w:t>Vacuum tool</w:t>
      </w:r>
      <w:r>
        <w:rPr>
          <w:rFonts w:ascii="Calibri" w:hAnsi="Calibri"/>
          <w:b/>
          <w:color w:val="4F81BD" w:themeColor="accent1"/>
          <w:sz w:val="40"/>
          <w:szCs w:val="40"/>
        </w:rPr>
        <w:t>.</w:t>
      </w:r>
      <w:proofErr w:type="gramEnd"/>
      <w:r>
        <w:rPr>
          <w:rFonts w:ascii="Calibri" w:hAnsi="Calibri"/>
          <w:b/>
          <w:color w:val="4F81BD" w:themeColor="accent1"/>
          <w:sz w:val="40"/>
          <w:szCs w:val="40"/>
        </w:rPr>
        <w:t xml:space="preserve"> Proper handling of </w:t>
      </w:r>
      <w:proofErr w:type="gramStart"/>
      <w:r>
        <w:rPr>
          <w:rFonts w:ascii="Calibri" w:hAnsi="Calibri"/>
          <w:b/>
          <w:color w:val="4F81BD" w:themeColor="accent1"/>
          <w:sz w:val="40"/>
          <w:szCs w:val="40"/>
        </w:rPr>
        <w:t>the  vacuum</w:t>
      </w:r>
      <w:proofErr w:type="gramEnd"/>
      <w:r>
        <w:rPr>
          <w:rFonts w:ascii="Calibri" w:hAnsi="Calibri"/>
          <w:b/>
          <w:color w:val="4F81BD" w:themeColor="accent1"/>
          <w:sz w:val="40"/>
          <w:szCs w:val="40"/>
        </w:rPr>
        <w:t xml:space="preserve"> tool.</w:t>
      </w:r>
    </w:p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560DC9" w:rsidRDefault="00560DC9" w:rsidP="00560DC9"/>
    <w:p w:rsidR="00560DC9" w:rsidRDefault="00560DC9" w:rsidP="00560DC9">
      <w:pPr>
        <w:pStyle w:val="ListParagraph"/>
        <w:keepNext/>
        <w:autoSpaceDE w:val="0"/>
        <w:autoSpaceDN w:val="0"/>
        <w:adjustRightInd w:val="0"/>
        <w:spacing w:after="140" w:line="24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126512" cy="21406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67" cy="21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7737D4">
      <w:pPr>
        <w:pStyle w:val="Caption"/>
        <w:spacing w:after="140"/>
        <w:ind w:left="720"/>
        <w:rPr>
          <w:rFonts w:ascii="Arial" w:hAnsi="Arial" w:cs="Arial"/>
          <w:sz w:val="40"/>
          <w:szCs w:val="40"/>
        </w:rPr>
      </w:pPr>
      <w:r w:rsidRPr="00DF1CB9">
        <w:rPr>
          <w:sz w:val="40"/>
          <w:szCs w:val="40"/>
        </w:rPr>
        <w:t xml:space="preserve">Figure 8. Cartridge gate </w:t>
      </w:r>
      <w:r w:rsidR="008838E9">
        <w:rPr>
          <w:sz w:val="40"/>
          <w:szCs w:val="40"/>
        </w:rPr>
        <w:t xml:space="preserve">opened </w:t>
      </w:r>
      <w:r w:rsidRPr="00DF1CB9">
        <w:rPr>
          <w:sz w:val="40"/>
          <w:szCs w:val="40"/>
        </w:rPr>
        <w:t>with cartridge in place.</w:t>
      </w:r>
    </w:p>
    <w:p w:rsidR="00560DC9" w:rsidRDefault="00560DC9" w:rsidP="00560DC9"/>
    <w:p w:rsidR="00560DC9" w:rsidRDefault="00560DC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560DC9" w:rsidRDefault="00560DC9" w:rsidP="00560DC9">
      <w:pPr>
        <w:pStyle w:val="ListParagraph"/>
        <w:keepNext/>
        <w:autoSpaceDE w:val="0"/>
        <w:autoSpaceDN w:val="0"/>
        <w:adjustRightInd w:val="0"/>
        <w:spacing w:after="140" w:line="24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424223" cy="1738914"/>
            <wp:effectExtent l="0" t="0" r="0" b="0"/>
            <wp:docPr id="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3" cy="17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7737D4">
      <w:pPr>
        <w:pStyle w:val="Caption"/>
        <w:spacing w:after="140"/>
        <w:ind w:left="720"/>
        <w:rPr>
          <w:sz w:val="40"/>
          <w:szCs w:val="40"/>
        </w:rPr>
      </w:pPr>
      <w:r w:rsidRPr="00DF1CB9">
        <w:rPr>
          <w:sz w:val="40"/>
          <w:szCs w:val="40"/>
        </w:rPr>
        <w:t>Figure 9. Cartridge properly inserted with gate closed</w:t>
      </w:r>
    </w:p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Pr="008838E9" w:rsidRDefault="008838E9" w:rsidP="008838E9"/>
    <w:p w:rsidR="00560DC9" w:rsidRDefault="00560DC9" w:rsidP="00560DC9"/>
    <w:p w:rsidR="00560DC9" w:rsidRDefault="00560DC9" w:rsidP="00560DC9">
      <w:pPr>
        <w:spacing w:after="140" w:line="240" w:lineRule="auto"/>
        <w:rPr>
          <w:rFonts w:ascii="Arial" w:eastAsia="Times New Roman" w:hAnsi="Arial" w:cs="Arial"/>
          <w:sz w:val="24"/>
          <w:szCs w:val="24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980D17" w:rsidRDefault="00980D17" w:rsidP="00560DC9">
      <w:pPr>
        <w:spacing w:after="140" w:line="240" w:lineRule="auto"/>
        <w:rPr>
          <w:rFonts w:ascii="Arial" w:hAnsi="Arial" w:cs="Arial"/>
          <w:noProof/>
        </w:rPr>
      </w:pPr>
      <w:r w:rsidRPr="00980D17">
        <w:rPr>
          <w:rFonts w:ascii="Arial" w:hAnsi="Arial" w:cs="Arial"/>
          <w:noProof/>
        </w:rPr>
        <w:t xml:space="preserve"> </w:t>
      </w:r>
    </w:p>
    <w:p w:rsidR="00980D17" w:rsidRDefault="00980D17" w:rsidP="00560DC9">
      <w:pPr>
        <w:spacing w:after="140" w:line="240" w:lineRule="auto"/>
        <w:rPr>
          <w:rFonts w:ascii="Arial" w:hAnsi="Arial" w:cs="Arial"/>
          <w:noProof/>
        </w:rPr>
      </w:pPr>
    </w:p>
    <w:p w:rsidR="00980D17" w:rsidRDefault="00980D17" w:rsidP="00560DC9">
      <w:pPr>
        <w:spacing w:after="140" w:line="240" w:lineRule="auto"/>
        <w:rPr>
          <w:rFonts w:ascii="Arial" w:hAnsi="Arial" w:cs="Arial"/>
          <w:noProof/>
        </w:rPr>
      </w:pPr>
    </w:p>
    <w:p w:rsidR="00560DC9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980D17">
        <w:rPr>
          <w:rFonts w:eastAsia="Times New Roman" w:cstheme="minorHAnsi"/>
          <w:b/>
          <w:noProof/>
          <w:color w:val="4F81BD" w:themeColor="accent1"/>
          <w:sz w:val="40"/>
          <w:szCs w:val="40"/>
        </w:rPr>
        <w:drawing>
          <wp:inline distT="0" distB="0" distL="0" distR="0">
            <wp:extent cx="5943600" cy="205820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_0174_theraCcer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778" w:rsidRPr="006D0778" w:rsidRDefault="006D0778" w:rsidP="006D0778">
      <w:pPr>
        <w:pStyle w:val="NormalWeb"/>
        <w:rPr>
          <w:i/>
          <w:sz w:val="40"/>
          <w:szCs w:val="40"/>
        </w:rPr>
      </w:pPr>
      <w:r w:rsidRPr="006D0778">
        <w:rPr>
          <w:rStyle w:val="Strong"/>
          <w:b w:val="0"/>
          <w:iCs/>
          <w:sz w:val="40"/>
          <w:szCs w:val="40"/>
        </w:rPr>
        <w:t>Figure 1</w:t>
      </w:r>
      <w:r w:rsidR="007D536D">
        <w:rPr>
          <w:rStyle w:val="Strong"/>
          <w:b w:val="0"/>
          <w:iCs/>
          <w:sz w:val="40"/>
          <w:szCs w:val="40"/>
        </w:rPr>
        <w:t>0</w:t>
      </w:r>
      <w:r w:rsidRPr="006D0778">
        <w:rPr>
          <w:rStyle w:val="Strong"/>
          <w:b w:val="0"/>
          <w:iCs/>
          <w:sz w:val="40"/>
          <w:szCs w:val="40"/>
        </w:rPr>
        <w:t xml:space="preserve">: </w:t>
      </w:r>
      <w:proofErr w:type="spellStart"/>
      <w:r w:rsidRPr="006D0778">
        <w:rPr>
          <w:rStyle w:val="Strong"/>
          <w:b w:val="0"/>
          <w:iCs/>
          <w:sz w:val="40"/>
          <w:szCs w:val="40"/>
        </w:rPr>
        <w:t>Pyrosequencing</w:t>
      </w:r>
      <w:proofErr w:type="spellEnd"/>
      <w:r w:rsidRPr="006D0778">
        <w:rPr>
          <w:rStyle w:val="Strong"/>
          <w:b w:val="0"/>
          <w:iCs/>
          <w:sz w:val="40"/>
          <w:szCs w:val="40"/>
        </w:rPr>
        <w:t xml:space="preserve"> based bacterial identification</w:t>
      </w:r>
      <w:r w:rsidR="007C1730">
        <w:rPr>
          <w:rStyle w:val="Strong"/>
          <w:b w:val="0"/>
          <w:iCs/>
          <w:sz w:val="40"/>
          <w:szCs w:val="40"/>
        </w:rPr>
        <w:t xml:space="preserve"> results</w:t>
      </w:r>
      <w:r w:rsidRPr="006D0778">
        <w:rPr>
          <w:rStyle w:val="Strong"/>
          <w:b w:val="0"/>
          <w:iCs/>
          <w:sz w:val="40"/>
          <w:szCs w:val="40"/>
        </w:rPr>
        <w:t>.</w:t>
      </w:r>
      <w:r w:rsidRPr="006D0778">
        <w:rPr>
          <w:rStyle w:val="Strong"/>
          <w:i/>
          <w:iCs/>
          <w:sz w:val="40"/>
          <w:szCs w:val="40"/>
        </w:rPr>
        <w:t xml:space="preserve"> </w:t>
      </w:r>
      <w:r w:rsidRPr="006D0778">
        <w:rPr>
          <w:rStyle w:val="Emphasis"/>
          <w:i w:val="0"/>
          <w:sz w:val="40"/>
          <w:szCs w:val="40"/>
        </w:rPr>
        <w:t xml:space="preserve">PCR primers are designed for conserved regions </w:t>
      </w:r>
      <w:r>
        <w:rPr>
          <w:rStyle w:val="Emphasis"/>
          <w:i w:val="0"/>
          <w:sz w:val="40"/>
          <w:szCs w:val="40"/>
        </w:rPr>
        <w:t xml:space="preserve">of the </w:t>
      </w:r>
      <w:r w:rsidR="00D10077">
        <w:rPr>
          <w:rStyle w:val="Emphasis"/>
          <w:i w:val="0"/>
          <w:sz w:val="40"/>
          <w:szCs w:val="40"/>
        </w:rPr>
        <w:t xml:space="preserve">DNA </w:t>
      </w:r>
      <w:r w:rsidR="007737D4">
        <w:rPr>
          <w:rStyle w:val="Emphasis"/>
          <w:i w:val="0"/>
          <w:sz w:val="40"/>
          <w:szCs w:val="40"/>
        </w:rPr>
        <w:t>template</w:t>
      </w:r>
      <w:r w:rsidR="00634A26">
        <w:rPr>
          <w:rStyle w:val="Emphasis"/>
          <w:i w:val="0"/>
          <w:sz w:val="40"/>
          <w:szCs w:val="40"/>
        </w:rPr>
        <w:t>,</w:t>
      </w:r>
      <w:r>
        <w:rPr>
          <w:rStyle w:val="Emphasis"/>
          <w:i w:val="0"/>
          <w:sz w:val="40"/>
          <w:szCs w:val="40"/>
        </w:rPr>
        <w:t xml:space="preserve"> </w:t>
      </w:r>
      <w:r w:rsidRPr="006D0778">
        <w:rPr>
          <w:rStyle w:val="Emphasis"/>
          <w:i w:val="0"/>
          <w:sz w:val="40"/>
          <w:szCs w:val="40"/>
        </w:rPr>
        <w:t xml:space="preserve">and the sequencing primer is </w:t>
      </w:r>
      <w:r w:rsidR="00634A26">
        <w:rPr>
          <w:rStyle w:val="Emphasis"/>
          <w:i w:val="0"/>
          <w:sz w:val="40"/>
          <w:szCs w:val="40"/>
        </w:rPr>
        <w:t xml:space="preserve">positioned </w:t>
      </w:r>
      <w:r w:rsidRPr="006D0778">
        <w:rPr>
          <w:rStyle w:val="Emphasis"/>
          <w:i w:val="0"/>
          <w:sz w:val="40"/>
          <w:szCs w:val="40"/>
        </w:rPr>
        <w:t xml:space="preserve">immediately upstream of a well-characterized identifying </w:t>
      </w:r>
      <w:proofErr w:type="spellStart"/>
      <w:r w:rsidRPr="006D0778">
        <w:rPr>
          <w:rStyle w:val="Emphasis"/>
          <w:i w:val="0"/>
          <w:sz w:val="40"/>
          <w:szCs w:val="40"/>
        </w:rPr>
        <w:t>hypervariable</w:t>
      </w:r>
      <w:proofErr w:type="spellEnd"/>
      <w:r w:rsidRPr="006D0778">
        <w:rPr>
          <w:rStyle w:val="Emphasis"/>
          <w:i w:val="0"/>
          <w:sz w:val="40"/>
          <w:szCs w:val="40"/>
        </w:rPr>
        <w:t xml:space="preserve"> </w:t>
      </w:r>
      <w:r w:rsidR="00124902">
        <w:rPr>
          <w:rStyle w:val="Emphasis"/>
          <w:i w:val="0"/>
          <w:sz w:val="40"/>
          <w:szCs w:val="40"/>
        </w:rPr>
        <w:t>DNA sequence</w:t>
      </w:r>
      <w:r w:rsidRPr="006D0778">
        <w:rPr>
          <w:rStyle w:val="Emphasis"/>
          <w:i w:val="0"/>
          <w:sz w:val="40"/>
          <w:szCs w:val="40"/>
        </w:rPr>
        <w:t xml:space="preserve"> </w:t>
      </w:r>
      <w:r w:rsidR="00634A26">
        <w:rPr>
          <w:rStyle w:val="Emphasis"/>
          <w:i w:val="0"/>
          <w:sz w:val="40"/>
          <w:szCs w:val="40"/>
        </w:rPr>
        <w:t xml:space="preserve">within the </w:t>
      </w:r>
      <w:proofErr w:type="spellStart"/>
      <w:r w:rsidR="00634A26">
        <w:rPr>
          <w:rStyle w:val="Emphasis"/>
          <w:i w:val="0"/>
          <w:sz w:val="40"/>
          <w:szCs w:val="40"/>
        </w:rPr>
        <w:t>amplicon</w:t>
      </w:r>
      <w:proofErr w:type="spellEnd"/>
      <w:r w:rsidR="00634A26">
        <w:rPr>
          <w:rStyle w:val="Emphasis"/>
          <w:i w:val="0"/>
          <w:sz w:val="40"/>
          <w:szCs w:val="40"/>
        </w:rPr>
        <w:t xml:space="preserve"> </w:t>
      </w:r>
      <w:r w:rsidRPr="006D0778">
        <w:rPr>
          <w:rStyle w:val="Emphasis"/>
          <w:i w:val="0"/>
          <w:sz w:val="40"/>
          <w:szCs w:val="40"/>
        </w:rPr>
        <w:t>(</w:t>
      </w:r>
      <w:r w:rsidR="00124902">
        <w:rPr>
          <w:rStyle w:val="Emphasis"/>
          <w:i w:val="0"/>
          <w:sz w:val="40"/>
          <w:szCs w:val="40"/>
        </w:rPr>
        <w:t xml:space="preserve">shown in </w:t>
      </w:r>
      <w:r w:rsidRPr="006D0778">
        <w:rPr>
          <w:rStyle w:val="Emphasis"/>
          <w:i w:val="0"/>
          <w:sz w:val="40"/>
          <w:szCs w:val="40"/>
        </w:rPr>
        <w:t xml:space="preserve">blue). </w:t>
      </w:r>
      <w:r w:rsidRPr="006D0778">
        <w:rPr>
          <w:i/>
          <w:sz w:val="40"/>
          <w:szCs w:val="40"/>
        </w:rPr>
        <w:t xml:space="preserve"> </w:t>
      </w:r>
    </w:p>
    <w:p w:rsidR="00980D17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0F0528" w:rsidRDefault="000F0528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0F0528" w:rsidRDefault="000F0528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0F0528" w:rsidRDefault="000F0528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980D17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980D17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980D17">
        <w:rPr>
          <w:rFonts w:eastAsia="Times New Roman" w:cstheme="minorHAnsi"/>
          <w:b/>
          <w:noProof/>
          <w:color w:val="4F81BD" w:themeColor="accent1"/>
          <w:sz w:val="40"/>
          <w:szCs w:val="40"/>
        </w:rPr>
        <w:drawing>
          <wp:inline distT="0" distB="0" distL="0" distR="0">
            <wp:extent cx="5361432" cy="23774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0307_Pyrosequenc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7" w:rsidRPr="007737D4" w:rsidRDefault="00980D17" w:rsidP="00D1007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7737D4">
        <w:rPr>
          <w:rFonts w:asciiTheme="majorHAnsi" w:eastAsia="Times New Roman" w:hAnsiTheme="majorHAnsi" w:cstheme="minorHAnsi"/>
          <w:color w:val="4F81BD" w:themeColor="accent1"/>
          <w:sz w:val="40"/>
          <w:szCs w:val="40"/>
        </w:rPr>
        <w:t>Figure 1</w:t>
      </w:r>
      <w:r w:rsidR="007D536D">
        <w:rPr>
          <w:rFonts w:asciiTheme="majorHAnsi" w:eastAsia="Times New Roman" w:hAnsiTheme="majorHAnsi" w:cstheme="minorHAnsi"/>
          <w:color w:val="4F81BD" w:themeColor="accent1"/>
          <w:sz w:val="40"/>
          <w:szCs w:val="40"/>
        </w:rPr>
        <w:t>1</w:t>
      </w:r>
      <w:r w:rsidR="00D10077" w:rsidRPr="007737D4">
        <w:rPr>
          <w:rFonts w:asciiTheme="majorHAnsi" w:eastAsia="Times New Roman" w:hAnsiTheme="majorHAnsi" w:cstheme="minorHAnsi"/>
          <w:color w:val="4F81BD" w:themeColor="accent1"/>
          <w:sz w:val="40"/>
          <w:szCs w:val="40"/>
        </w:rPr>
        <w:t>.</w:t>
      </w:r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</w:t>
      </w:r>
      <w:proofErr w:type="gramStart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Detection of antibiotic drug resistance in </w:t>
      </w:r>
      <w:r w:rsidR="007737D4" w:rsidRPr="007737D4">
        <w:rPr>
          <w:rFonts w:asciiTheme="majorHAnsi" w:eastAsia="Times New Roman" w:hAnsiTheme="majorHAnsi" w:cs="Times New Roman"/>
          <w:bCs/>
          <w:i/>
          <w:iCs/>
          <w:sz w:val="40"/>
          <w:szCs w:val="40"/>
        </w:rPr>
        <w:t>Helicobacter pylori</w:t>
      </w:r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using </w:t>
      </w:r>
      <w:proofErr w:type="spellStart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>pyrosequencing</w:t>
      </w:r>
      <w:proofErr w:type="spellEnd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>.</w:t>
      </w:r>
      <w:proofErr w:type="gramEnd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</w:t>
      </w:r>
      <w:proofErr w:type="gramStart"/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Analysis of mutations in the 23S genes that confer antibacterial resistance in </w:t>
      </w:r>
      <w:r w:rsidR="00D10077" w:rsidRPr="007737D4">
        <w:rPr>
          <w:rFonts w:asciiTheme="majorHAnsi" w:eastAsia="Times New Roman" w:hAnsiTheme="majorHAnsi" w:cs="Times New Roman"/>
          <w:bCs/>
          <w:i/>
          <w:iCs/>
          <w:sz w:val="40"/>
          <w:szCs w:val="40"/>
        </w:rPr>
        <w:t>Helicobacter pylori</w:t>
      </w:r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contain</w:t>
      </w:r>
      <w:r w:rsidR="009B2CA9">
        <w:rPr>
          <w:rFonts w:asciiTheme="majorHAnsi" w:eastAsia="Times New Roman" w:hAnsiTheme="majorHAnsi" w:cs="Times New Roman"/>
          <w:bCs/>
          <w:iCs/>
          <w:sz w:val="40"/>
          <w:szCs w:val="40"/>
        </w:rPr>
        <w:t>ing</w:t>
      </w:r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GAA or AGA</w:t>
      </w:r>
      <w:r w:rsidR="009B2CA9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sequences</w:t>
      </w:r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>.</w:t>
      </w:r>
      <w:proofErr w:type="gramEnd"/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</w:t>
      </w:r>
    </w:p>
    <w:p w:rsidR="00980D17" w:rsidRPr="00DF1CB9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560DC9" w:rsidRDefault="00560DC9" w:rsidP="00560DC9"/>
    <w:p w:rsidR="00186158" w:rsidRDefault="00186158"/>
    <w:sectPr w:rsidR="00186158" w:rsidSect="00705D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FNHGK+FuturaHvBT">
    <w:altName w:val="Futura Heav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 Medium">
    <w:altName w:val="Futura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14634A"/>
    <w:multiLevelType w:val="hybridMultilevel"/>
    <w:tmpl w:val="B48E420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B3A61D8"/>
    <w:multiLevelType w:val="hybridMultilevel"/>
    <w:tmpl w:val="6BAADB06"/>
    <w:lvl w:ilvl="0" w:tplc="0D8623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28193E"/>
    <w:multiLevelType w:val="hybridMultilevel"/>
    <w:tmpl w:val="F28C946C"/>
    <w:lvl w:ilvl="0" w:tplc="97FAC736">
      <w:start w:val="1"/>
      <w:numFmt w:val="upperLetter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56DAD"/>
    <w:multiLevelType w:val="hybridMultilevel"/>
    <w:tmpl w:val="D81A18EA"/>
    <w:lvl w:ilvl="0" w:tplc="3852F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4B95BD7"/>
    <w:multiLevelType w:val="hybridMultilevel"/>
    <w:tmpl w:val="94842B22"/>
    <w:lvl w:ilvl="0" w:tplc="775C9126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7020C6"/>
    <w:multiLevelType w:val="hybridMultilevel"/>
    <w:tmpl w:val="242AD5B8"/>
    <w:lvl w:ilvl="0" w:tplc="CAFCB67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874FC"/>
    <w:multiLevelType w:val="hybridMultilevel"/>
    <w:tmpl w:val="727C6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E37221"/>
    <w:multiLevelType w:val="multilevel"/>
    <w:tmpl w:val="5AE45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1784F"/>
    <w:rsid w:val="00085192"/>
    <w:rsid w:val="000F0528"/>
    <w:rsid w:val="00124902"/>
    <w:rsid w:val="00147A88"/>
    <w:rsid w:val="00186158"/>
    <w:rsid w:val="004F765F"/>
    <w:rsid w:val="00560DC9"/>
    <w:rsid w:val="00581E7B"/>
    <w:rsid w:val="005848B6"/>
    <w:rsid w:val="00603380"/>
    <w:rsid w:val="00634A26"/>
    <w:rsid w:val="00687EC8"/>
    <w:rsid w:val="006D0778"/>
    <w:rsid w:val="006E2640"/>
    <w:rsid w:val="007737D4"/>
    <w:rsid w:val="007A3DF6"/>
    <w:rsid w:val="007C1730"/>
    <w:rsid w:val="007D536D"/>
    <w:rsid w:val="008838E9"/>
    <w:rsid w:val="008A44B7"/>
    <w:rsid w:val="008B3B67"/>
    <w:rsid w:val="008C1DFA"/>
    <w:rsid w:val="00931B60"/>
    <w:rsid w:val="00967083"/>
    <w:rsid w:val="00980D17"/>
    <w:rsid w:val="009B2CA9"/>
    <w:rsid w:val="00A1784F"/>
    <w:rsid w:val="00A537F9"/>
    <w:rsid w:val="00A725BD"/>
    <w:rsid w:val="00AB4105"/>
    <w:rsid w:val="00B043E5"/>
    <w:rsid w:val="00B26AA4"/>
    <w:rsid w:val="00B478BB"/>
    <w:rsid w:val="00BB018D"/>
    <w:rsid w:val="00C013CD"/>
    <w:rsid w:val="00CC29E3"/>
    <w:rsid w:val="00D10077"/>
    <w:rsid w:val="00DB7619"/>
    <w:rsid w:val="00E25084"/>
    <w:rsid w:val="00E74CCB"/>
    <w:rsid w:val="00E77E1A"/>
    <w:rsid w:val="00F5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1784F"/>
    <w:rPr>
      <w:i/>
      <w:iCs/>
    </w:rPr>
  </w:style>
  <w:style w:type="character" w:styleId="Strong">
    <w:name w:val="Strong"/>
    <w:basedOn w:val="DefaultParagraphFont"/>
    <w:uiPriority w:val="22"/>
    <w:qFormat/>
    <w:rsid w:val="00A1784F"/>
    <w:rPr>
      <w:b/>
      <w:bCs/>
    </w:rPr>
  </w:style>
  <w:style w:type="paragraph" w:styleId="ListParagraph">
    <w:name w:val="List Paragraph"/>
    <w:basedOn w:val="Normal"/>
    <w:uiPriority w:val="34"/>
    <w:qFormat/>
    <w:rsid w:val="00A1784F"/>
    <w:pPr>
      <w:ind w:left="720"/>
      <w:contextualSpacing/>
    </w:pPr>
  </w:style>
  <w:style w:type="paragraph" w:customStyle="1" w:styleId="Default">
    <w:name w:val="Default"/>
    <w:rsid w:val="00A1784F"/>
    <w:pPr>
      <w:widowControl w:val="0"/>
      <w:autoSpaceDE w:val="0"/>
      <w:autoSpaceDN w:val="0"/>
      <w:adjustRightInd w:val="0"/>
      <w:spacing w:after="0" w:line="240" w:lineRule="auto"/>
    </w:pPr>
    <w:rPr>
      <w:rFonts w:ascii="EFNHGK+FuturaHvBT" w:hAnsi="EFNHGK+FuturaHvBT" w:cs="EFNHGK+FuturaHvBT"/>
      <w:color w:val="000000"/>
      <w:sz w:val="24"/>
      <w:szCs w:val="24"/>
    </w:rPr>
  </w:style>
  <w:style w:type="paragraph" w:customStyle="1" w:styleId="CM11">
    <w:name w:val="CM11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A178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4F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784F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8C1DFA"/>
    <w:rPr>
      <w:i/>
      <w:iCs/>
    </w:rPr>
  </w:style>
  <w:style w:type="character" w:customStyle="1" w:styleId="cit-auth2">
    <w:name w:val="cit-auth2"/>
    <w:basedOn w:val="DefaultParagraphFont"/>
    <w:rsid w:val="008C1DFA"/>
  </w:style>
  <w:style w:type="character" w:customStyle="1" w:styleId="cit-name-surname">
    <w:name w:val="cit-name-surname"/>
    <w:basedOn w:val="DefaultParagraphFont"/>
    <w:rsid w:val="008C1DFA"/>
  </w:style>
  <w:style w:type="character" w:customStyle="1" w:styleId="cit-name-given-names">
    <w:name w:val="cit-name-given-names"/>
    <w:basedOn w:val="DefaultParagraphFont"/>
    <w:rsid w:val="008C1DFA"/>
  </w:style>
  <w:style w:type="character" w:customStyle="1" w:styleId="cit-pub-date">
    <w:name w:val="cit-pub-date"/>
    <w:basedOn w:val="DefaultParagraphFont"/>
    <w:rsid w:val="008C1DFA"/>
  </w:style>
  <w:style w:type="character" w:customStyle="1" w:styleId="cit-article-title">
    <w:name w:val="cit-article-title"/>
    <w:basedOn w:val="DefaultParagraphFont"/>
    <w:rsid w:val="008C1DFA"/>
  </w:style>
  <w:style w:type="character" w:customStyle="1" w:styleId="cit-vol4">
    <w:name w:val="cit-vol4"/>
    <w:basedOn w:val="DefaultParagraphFont"/>
    <w:rsid w:val="008C1DFA"/>
  </w:style>
  <w:style w:type="character" w:customStyle="1" w:styleId="cit-fpage">
    <w:name w:val="cit-fpage"/>
    <w:basedOn w:val="DefaultParagraphFont"/>
    <w:rsid w:val="008C1DFA"/>
  </w:style>
  <w:style w:type="character" w:customStyle="1" w:styleId="cit-lpage">
    <w:name w:val="cit-lpage"/>
    <w:basedOn w:val="DefaultParagraphFont"/>
    <w:rsid w:val="008C1DF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1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1DFA"/>
    <w:rPr>
      <w:rFonts w:ascii="Courier New" w:eastAsia="Times New Roman" w:hAnsi="Courier New" w:cs="Courier New"/>
      <w:sz w:val="20"/>
      <w:szCs w:val="20"/>
    </w:rPr>
  </w:style>
  <w:style w:type="character" w:customStyle="1" w:styleId="jrnl">
    <w:name w:val="jrnl"/>
    <w:basedOn w:val="DefaultParagraphFont"/>
    <w:rsid w:val="005848B6"/>
  </w:style>
  <w:style w:type="character" w:styleId="FollowedHyperlink">
    <w:name w:val="FollowedHyperlink"/>
    <w:basedOn w:val="DefaultParagraphFont"/>
    <w:uiPriority w:val="99"/>
    <w:semiHidden/>
    <w:unhideWhenUsed/>
    <w:rsid w:val="00147A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1784F"/>
    <w:rPr>
      <w:i/>
      <w:iCs/>
    </w:rPr>
  </w:style>
  <w:style w:type="character" w:styleId="Strong">
    <w:name w:val="Strong"/>
    <w:basedOn w:val="DefaultParagraphFont"/>
    <w:uiPriority w:val="22"/>
    <w:qFormat/>
    <w:rsid w:val="00A1784F"/>
    <w:rPr>
      <w:b/>
      <w:bCs/>
    </w:rPr>
  </w:style>
  <w:style w:type="paragraph" w:styleId="ListParagraph">
    <w:name w:val="List Paragraph"/>
    <w:basedOn w:val="Normal"/>
    <w:uiPriority w:val="34"/>
    <w:qFormat/>
    <w:rsid w:val="00A1784F"/>
    <w:pPr>
      <w:ind w:left="720"/>
      <w:contextualSpacing/>
    </w:pPr>
  </w:style>
  <w:style w:type="paragraph" w:customStyle="1" w:styleId="Default">
    <w:name w:val="Default"/>
    <w:rsid w:val="00A1784F"/>
    <w:pPr>
      <w:widowControl w:val="0"/>
      <w:autoSpaceDE w:val="0"/>
      <w:autoSpaceDN w:val="0"/>
      <w:adjustRightInd w:val="0"/>
      <w:spacing w:after="0" w:line="240" w:lineRule="auto"/>
    </w:pPr>
    <w:rPr>
      <w:rFonts w:ascii="EFNHGK+FuturaHvBT" w:hAnsi="EFNHGK+FuturaHvBT" w:cs="EFNHGK+FuturaHvBT"/>
      <w:color w:val="000000"/>
      <w:sz w:val="24"/>
      <w:szCs w:val="24"/>
    </w:rPr>
  </w:style>
  <w:style w:type="paragraph" w:customStyle="1" w:styleId="CM11">
    <w:name w:val="CM11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A178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4F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784F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8C1DFA"/>
    <w:rPr>
      <w:i/>
      <w:iCs/>
    </w:rPr>
  </w:style>
  <w:style w:type="character" w:customStyle="1" w:styleId="cit-auth2">
    <w:name w:val="cit-auth2"/>
    <w:basedOn w:val="DefaultParagraphFont"/>
    <w:rsid w:val="008C1DFA"/>
  </w:style>
  <w:style w:type="character" w:customStyle="1" w:styleId="cit-name-surname">
    <w:name w:val="cit-name-surname"/>
    <w:basedOn w:val="DefaultParagraphFont"/>
    <w:rsid w:val="008C1DFA"/>
  </w:style>
  <w:style w:type="character" w:customStyle="1" w:styleId="cit-name-given-names">
    <w:name w:val="cit-name-given-names"/>
    <w:basedOn w:val="DefaultParagraphFont"/>
    <w:rsid w:val="008C1DFA"/>
  </w:style>
  <w:style w:type="character" w:customStyle="1" w:styleId="cit-pub-date">
    <w:name w:val="cit-pub-date"/>
    <w:basedOn w:val="DefaultParagraphFont"/>
    <w:rsid w:val="008C1DFA"/>
  </w:style>
  <w:style w:type="character" w:customStyle="1" w:styleId="cit-article-title">
    <w:name w:val="cit-article-title"/>
    <w:basedOn w:val="DefaultParagraphFont"/>
    <w:rsid w:val="008C1DFA"/>
  </w:style>
  <w:style w:type="character" w:customStyle="1" w:styleId="cit-vol4">
    <w:name w:val="cit-vol4"/>
    <w:basedOn w:val="DefaultParagraphFont"/>
    <w:rsid w:val="008C1DFA"/>
  </w:style>
  <w:style w:type="character" w:customStyle="1" w:styleId="cit-fpage">
    <w:name w:val="cit-fpage"/>
    <w:basedOn w:val="DefaultParagraphFont"/>
    <w:rsid w:val="008C1DFA"/>
  </w:style>
  <w:style w:type="character" w:customStyle="1" w:styleId="cit-lpage">
    <w:name w:val="cit-lpage"/>
    <w:basedOn w:val="DefaultParagraphFont"/>
    <w:rsid w:val="008C1DF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1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1DFA"/>
    <w:rPr>
      <w:rFonts w:ascii="Courier New" w:eastAsia="Times New Roman" w:hAnsi="Courier New" w:cs="Courier New"/>
      <w:sz w:val="20"/>
      <w:szCs w:val="20"/>
    </w:rPr>
  </w:style>
  <w:style w:type="character" w:customStyle="1" w:styleId="jrnl">
    <w:name w:val="jrnl"/>
    <w:basedOn w:val="DefaultParagraphFont"/>
    <w:rsid w:val="005848B6"/>
  </w:style>
  <w:style w:type="character" w:styleId="FollowedHyperlink">
    <w:name w:val="FollowedHyperlink"/>
    <w:basedOn w:val="DefaultParagraphFont"/>
    <w:uiPriority w:val="99"/>
    <w:semiHidden/>
    <w:unhideWhenUsed/>
    <w:rsid w:val="00147A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67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3974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4AA62-6F5C-4B1B-BEF1-B6FBE4C58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 Obom</dc:creator>
  <cp:lastModifiedBy>pcummings</cp:lastModifiedBy>
  <cp:revision>4</cp:revision>
  <dcterms:created xsi:type="dcterms:W3CDTF">2012-10-15T20:33:00Z</dcterms:created>
  <dcterms:modified xsi:type="dcterms:W3CDTF">2012-10-18T17:00:00Z</dcterms:modified>
</cp:coreProperties>
</file>