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8D" w:rsidRDefault="00765F8D">
      <w:bookmarkStart w:id="0" w:name="_GoBack"/>
      <w:bookmarkEnd w:id="0"/>
    </w:p>
    <w:p w:rsidR="00765F8D" w:rsidRPr="00360178" w:rsidRDefault="00765F8D" w:rsidP="00765F8D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Scoring system for rating microbial growth on test samples of plastic films.</w:t>
      </w:r>
      <w:proofErr w:type="gramEnd"/>
    </w:p>
    <w:p w:rsidR="00765F8D" w:rsidRDefault="00765F8D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328"/>
        <w:gridCol w:w="10245"/>
      </w:tblGrid>
      <w:tr w:rsidR="00765F8D" w:rsidRPr="00765F8D" w:rsidTr="00765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color w:val="auto"/>
                <w:sz w:val="40"/>
                <w:szCs w:val="40"/>
              </w:rPr>
            </w:pPr>
            <w:r w:rsidRPr="00765F8D">
              <w:rPr>
                <w:rFonts w:ascii="Arial" w:hAnsi="Arial" w:cs="Arial"/>
                <w:color w:val="auto"/>
                <w:sz w:val="40"/>
                <w:szCs w:val="40"/>
              </w:rPr>
              <w:t>Score</w:t>
            </w:r>
          </w:p>
        </w:tc>
        <w:tc>
          <w:tcPr>
            <w:tcW w:w="1024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5F8D" w:rsidRPr="00765F8D" w:rsidRDefault="00765F8D" w:rsidP="00E01E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40"/>
                <w:szCs w:val="40"/>
              </w:rPr>
            </w:pPr>
            <w:r w:rsidRPr="00765F8D">
              <w:rPr>
                <w:rFonts w:ascii="Arial" w:hAnsi="Arial" w:cs="Arial"/>
                <w:color w:val="auto"/>
                <w:sz w:val="40"/>
                <w:szCs w:val="40"/>
              </w:rPr>
              <w:t>Appearance of microbial growth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b w:val="0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0245" w:type="dxa"/>
            <w:tcBorders>
              <w:left w:val="single" w:sz="4" w:space="0" w:color="auto"/>
            </w:tcBorders>
          </w:tcPr>
          <w:p w:rsidR="00765F8D" w:rsidRPr="00765F8D" w:rsidRDefault="00765F8D" w:rsidP="00E01E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No growth apparent by eye or by microscopy</w:t>
            </w:r>
          </w:p>
        </w:tc>
      </w:tr>
      <w:tr w:rsidR="00765F8D" w:rsidRPr="00765F8D" w:rsidTr="00765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b w:val="0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10245" w:type="dxa"/>
            <w:tcBorders>
              <w:left w:val="single" w:sz="4" w:space="0" w:color="auto"/>
            </w:tcBorders>
          </w:tcPr>
          <w:p w:rsidR="00765F8D" w:rsidRPr="00765F8D" w:rsidRDefault="00765F8D" w:rsidP="00E01E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Germinated spores but no apparent subsequent growth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b w:val="0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10245" w:type="dxa"/>
            <w:tcBorders>
              <w:left w:val="single" w:sz="4" w:space="0" w:color="auto"/>
            </w:tcBorders>
          </w:tcPr>
          <w:p w:rsidR="00765F8D" w:rsidRPr="00765F8D" w:rsidRDefault="00765F8D" w:rsidP="00E01E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Growth covering </w:t>
            </w:r>
            <w:r w:rsidRPr="00765F8D">
              <w:rPr>
                <w:rFonts w:ascii="Arial" w:hAnsi="Arial" w:cs="Arial"/>
                <w:sz w:val="40"/>
                <w:szCs w:val="40"/>
              </w:rPr>
              <w:softHyphen/>
            </w:r>
            <w:r w:rsidRPr="00765F8D">
              <w:rPr>
                <w:rFonts w:ascii="Arial" w:hAnsi="Arial" w:cs="Arial"/>
                <w:sz w:val="40"/>
                <w:szCs w:val="40"/>
                <w:u w:val="single"/>
              </w:rPr>
              <w:t xml:space="preserve">&lt; </w:t>
            </w:r>
            <w:r w:rsidRPr="00765F8D">
              <w:rPr>
                <w:rFonts w:ascii="Arial" w:hAnsi="Arial" w:cs="Arial"/>
                <w:sz w:val="40"/>
                <w:szCs w:val="40"/>
              </w:rPr>
              <w:t>25% of test surface or medium</w:t>
            </w:r>
          </w:p>
        </w:tc>
      </w:tr>
      <w:tr w:rsidR="00765F8D" w:rsidRPr="00765F8D" w:rsidTr="00765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b w:val="0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10245" w:type="dxa"/>
            <w:tcBorders>
              <w:left w:val="single" w:sz="4" w:space="0" w:color="auto"/>
            </w:tcBorders>
          </w:tcPr>
          <w:p w:rsidR="00765F8D" w:rsidRPr="00765F8D" w:rsidRDefault="00765F8D" w:rsidP="00E01E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Growth covering </w:t>
            </w:r>
            <w:r w:rsidRPr="00765F8D">
              <w:rPr>
                <w:rFonts w:ascii="Arial" w:hAnsi="Arial" w:cs="Arial"/>
                <w:sz w:val="40"/>
                <w:szCs w:val="40"/>
                <w:u w:val="single"/>
              </w:rPr>
              <w:t>&lt;</w:t>
            </w:r>
            <w:r w:rsidRPr="00765F8D">
              <w:rPr>
                <w:rFonts w:ascii="Arial" w:hAnsi="Arial" w:cs="Arial"/>
                <w:sz w:val="40"/>
                <w:szCs w:val="40"/>
              </w:rPr>
              <w:t xml:space="preserve"> 50% of test surface or medium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b w:val="0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10245" w:type="dxa"/>
            <w:tcBorders>
              <w:lef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Growth covering </w:t>
            </w:r>
            <w:r w:rsidRPr="00765F8D">
              <w:rPr>
                <w:rFonts w:ascii="Arial" w:hAnsi="Arial" w:cs="Arial"/>
                <w:sz w:val="40"/>
                <w:szCs w:val="40"/>
              </w:rPr>
              <w:softHyphen/>
            </w:r>
            <w:r w:rsidRPr="00765F8D">
              <w:rPr>
                <w:rFonts w:ascii="Arial" w:hAnsi="Arial" w:cs="Arial"/>
                <w:sz w:val="40"/>
                <w:szCs w:val="40"/>
                <w:u w:val="single"/>
              </w:rPr>
              <w:t xml:space="preserve">&lt; </w:t>
            </w:r>
            <w:r w:rsidRPr="00765F8D">
              <w:rPr>
                <w:rFonts w:ascii="Arial" w:hAnsi="Arial" w:cs="Arial"/>
                <w:sz w:val="40"/>
                <w:szCs w:val="40"/>
              </w:rPr>
              <w:t>75% of test surface or medium</w:t>
            </w:r>
          </w:p>
        </w:tc>
      </w:tr>
      <w:tr w:rsidR="00765F8D" w:rsidRPr="00765F8D" w:rsidTr="00765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b w:val="0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10245" w:type="dxa"/>
            <w:tcBorders>
              <w:left w:val="single" w:sz="4" w:space="0" w:color="auto"/>
            </w:tcBorders>
          </w:tcPr>
          <w:p w:rsidR="00765F8D" w:rsidRPr="00765F8D" w:rsidRDefault="00765F8D" w:rsidP="00E01E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Growth covering &gt;75% of test surface or medium</w:t>
            </w:r>
          </w:p>
        </w:tc>
      </w:tr>
    </w:tbl>
    <w:p w:rsidR="00765F8D" w:rsidRDefault="00765F8D"/>
    <w:p w:rsidR="00765F8D" w:rsidRDefault="00765F8D">
      <w:pPr>
        <w:spacing w:line="276" w:lineRule="auto"/>
      </w:pPr>
      <w:r>
        <w:br w:type="page"/>
      </w:r>
    </w:p>
    <w:p w:rsidR="00765F8D" w:rsidRDefault="00765F8D" w:rsidP="00765F8D">
      <w:pPr>
        <w:spacing w:after="12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CC0D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0DD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Observations and growth ratings for fungal isolates obtained from weathered BDM films</w:t>
      </w:r>
      <w:r w:rsidRPr="00E72B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buried in field plots from fall 2010 until spring 2011 (7 months) at Mount Vernon, later inoculated onto </w:t>
      </w:r>
      <w:proofErr w:type="spellStart"/>
      <w:r>
        <w:rPr>
          <w:rFonts w:ascii="Times New Roman" w:hAnsi="Times New Roman"/>
          <w:sz w:val="24"/>
          <w:szCs w:val="24"/>
        </w:rPr>
        <w:t>unweathered</w:t>
      </w:r>
      <w:proofErr w:type="spellEnd"/>
      <w:r>
        <w:rPr>
          <w:rFonts w:ascii="Times New Roman" w:hAnsi="Times New Roman"/>
          <w:sz w:val="24"/>
          <w:szCs w:val="24"/>
        </w:rPr>
        <w:t xml:space="preserve"> BDM material and incubated for 68 days at 20</w:t>
      </w:r>
      <w:r w:rsidRPr="00CC0DDF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C in darkness.  WG = </w:t>
      </w:r>
      <w:proofErr w:type="spellStart"/>
      <w:r>
        <w:rPr>
          <w:rFonts w:ascii="Times New Roman" w:hAnsi="Times New Roman"/>
          <w:sz w:val="24"/>
          <w:szCs w:val="24"/>
        </w:rPr>
        <w:t>WeedGuard</w:t>
      </w:r>
      <w:proofErr w:type="spellEnd"/>
      <w:r>
        <w:rPr>
          <w:rFonts w:ascii="Times New Roman" w:hAnsi="Times New Roman"/>
          <w:sz w:val="24"/>
          <w:szCs w:val="24"/>
        </w:rPr>
        <w:t xml:space="preserve"> Plus; BA = </w:t>
      </w:r>
      <w:proofErr w:type="spellStart"/>
      <w:r>
        <w:rPr>
          <w:rFonts w:ascii="Times New Roman" w:hAnsi="Times New Roman"/>
          <w:sz w:val="24"/>
          <w:szCs w:val="24"/>
        </w:rPr>
        <w:t>BioAgri</w:t>
      </w:r>
      <w:proofErr w:type="spellEnd"/>
      <w:r>
        <w:rPr>
          <w:rFonts w:ascii="Times New Roman" w:hAnsi="Times New Roman"/>
          <w:sz w:val="24"/>
          <w:szCs w:val="24"/>
        </w:rPr>
        <w:t>.  See Table 1 for growth rating scheme.</w:t>
      </w:r>
    </w:p>
    <w:p w:rsidR="00765F8D" w:rsidRDefault="00765F8D">
      <w:pPr>
        <w:spacing w:line="276" w:lineRule="auto"/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84"/>
        <w:gridCol w:w="1127"/>
        <w:gridCol w:w="1572"/>
        <w:gridCol w:w="3334"/>
        <w:gridCol w:w="2952"/>
        <w:gridCol w:w="2707"/>
      </w:tblGrid>
      <w:tr w:rsidR="00765F8D" w:rsidRPr="00765F8D" w:rsidTr="00765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765F8D" w:rsidRPr="00765F8D" w:rsidRDefault="00765F8D" w:rsidP="00E01E58">
            <w:pPr>
              <w:spacing w:after="120"/>
              <w:contextualSpacing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Isolate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BDM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FMM</w:t>
            </w:r>
          </w:p>
          <w:p w:rsidR="00765F8D" w:rsidRPr="00765F8D" w:rsidRDefault="00765F8D" w:rsidP="00E01E58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only</w:t>
            </w:r>
          </w:p>
          <w:p w:rsidR="00765F8D" w:rsidRPr="00765F8D" w:rsidRDefault="00765F8D" w:rsidP="00E01E58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control (score) </w:t>
            </w:r>
          </w:p>
        </w:tc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D" w:rsidRPr="00765F8D" w:rsidRDefault="00765F8D" w:rsidP="00E01E58">
            <w:pPr>
              <w:pBdr>
                <w:left w:val="single" w:sz="4" w:space="4" w:color="auto"/>
                <w:right w:val="single" w:sz="4" w:space="4" w:color="auto"/>
              </w:pBd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FMM containing 0.0175 g BDM</w:t>
            </w:r>
          </w:p>
          <w:p w:rsidR="00765F8D" w:rsidRPr="00765F8D" w:rsidRDefault="00765F8D" w:rsidP="00E01E58">
            <w:pPr>
              <w:pBdr>
                <w:left w:val="single" w:sz="4" w:space="4" w:color="auto"/>
                <w:right w:val="single" w:sz="4" w:space="4" w:color="auto"/>
              </w:pBd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(score and/or comments)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4" w:space="0" w:color="auto"/>
              <w:bottom w:val="nil"/>
            </w:tcBorders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b/>
                <w:sz w:val="40"/>
                <w:szCs w:val="40"/>
              </w:rPr>
              <w:t>Visual assessment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b/>
                <w:sz w:val="40"/>
                <w:szCs w:val="40"/>
              </w:rPr>
              <w:t>Light microscopy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40"/>
              </w:rPr>
            </w:pPr>
            <w:r w:rsidRPr="00765F8D">
              <w:rPr>
                <w:rFonts w:ascii="Arial" w:hAnsi="Arial" w:cs="Arial"/>
                <w:b/>
                <w:sz w:val="40"/>
                <w:szCs w:val="40"/>
              </w:rPr>
              <w:t>SEM</w:t>
            </w:r>
          </w:p>
        </w:tc>
      </w:tr>
      <w:tr w:rsidR="00765F8D" w:rsidRPr="00765F8D" w:rsidTr="00765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WG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Hyphae and BDM fibers </w:t>
            </w:r>
            <w:proofErr w:type="spellStart"/>
            <w:r w:rsidRPr="00765F8D">
              <w:rPr>
                <w:rFonts w:ascii="Arial" w:hAnsi="Arial" w:cs="Arial"/>
                <w:sz w:val="40"/>
                <w:szCs w:val="40"/>
              </w:rPr>
              <w:t>indistiguishable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Hyphae and BDM fibers </w:t>
            </w:r>
            <w:proofErr w:type="spellStart"/>
            <w:r w:rsidRPr="00765F8D">
              <w:rPr>
                <w:rFonts w:ascii="Arial" w:hAnsi="Arial" w:cs="Arial"/>
                <w:sz w:val="40"/>
                <w:szCs w:val="40"/>
              </w:rPr>
              <w:t>indistiguishable</w:t>
            </w:r>
            <w:proofErr w:type="spellEnd"/>
          </w:p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2; Fungal hyphae visible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TT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WG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Hyphae and BDM fibers </w:t>
            </w:r>
            <w:proofErr w:type="spellStart"/>
            <w:r w:rsidRPr="00765F8D">
              <w:rPr>
                <w:rFonts w:ascii="Arial" w:hAnsi="Arial" w:cs="Arial"/>
                <w:sz w:val="40"/>
                <w:szCs w:val="40"/>
              </w:rPr>
              <w:t>indistiguishable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Hyphae and BDM fibers </w:t>
            </w:r>
            <w:proofErr w:type="spellStart"/>
            <w:r w:rsidRPr="00765F8D">
              <w:rPr>
                <w:rFonts w:ascii="Arial" w:hAnsi="Arial" w:cs="Arial"/>
                <w:sz w:val="40"/>
                <w:szCs w:val="40"/>
              </w:rPr>
              <w:t>indistiguishable</w:t>
            </w:r>
            <w:proofErr w:type="spellEnd"/>
          </w:p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2; Fungal hyphae visible</w:t>
            </w:r>
          </w:p>
        </w:tc>
      </w:tr>
      <w:tr w:rsidR="00765F8D" w:rsidRPr="00765F8D" w:rsidTr="00765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XX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WG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Broth cloudy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Few cells observed</w:t>
            </w:r>
            <w:r>
              <w:rPr>
                <w:rFonts w:ascii="Arial" w:hAnsi="Arial" w:cs="Arial"/>
                <w:sz w:val="40"/>
                <w:szCs w:val="40"/>
              </w:rPr>
              <w:t xml:space="preserve"> in broth</w:t>
            </w:r>
          </w:p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lastRenderedPageBreak/>
              <w:t>2; Rod-shaped cells on surface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lastRenderedPageBreak/>
              <w:t>VV</w:t>
            </w:r>
          </w:p>
        </w:tc>
        <w:tc>
          <w:tcPr>
            <w:tcW w:w="0" w:type="auto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BA</w:t>
            </w:r>
          </w:p>
        </w:tc>
        <w:tc>
          <w:tcPr>
            <w:tcW w:w="1068" w:type="dxa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3898" w:type="dxa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Fine mycelia visible at edge </w:t>
            </w:r>
          </w:p>
        </w:tc>
        <w:tc>
          <w:tcPr>
            <w:tcW w:w="0" w:type="auto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Mycelia and spore chains observed at edge</w:t>
            </w:r>
          </w:p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4; Prolific hyphae and conidiophores</w:t>
            </w:r>
          </w:p>
        </w:tc>
      </w:tr>
      <w:tr w:rsidR="00765F8D" w:rsidRPr="00765F8D" w:rsidTr="00765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YY</w:t>
            </w:r>
          </w:p>
        </w:tc>
        <w:tc>
          <w:tcPr>
            <w:tcW w:w="0" w:type="auto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BA</w:t>
            </w:r>
          </w:p>
        </w:tc>
        <w:tc>
          <w:tcPr>
            <w:tcW w:w="1068" w:type="dxa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3898" w:type="dxa"/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Broth cloudy</w:t>
            </w:r>
          </w:p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Few cells observed</w:t>
            </w:r>
            <w:r>
              <w:rPr>
                <w:rFonts w:ascii="Arial" w:hAnsi="Arial" w:cs="Arial"/>
                <w:sz w:val="40"/>
                <w:szCs w:val="40"/>
              </w:rPr>
              <w:t xml:space="preserve"> in broth</w:t>
            </w:r>
          </w:p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2; Rod-shaped cells on surface</w:t>
            </w:r>
          </w:p>
        </w:tc>
      </w:tr>
      <w:tr w:rsidR="00765F8D" w:rsidRPr="00765F8D" w:rsidTr="0076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ZZ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BA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1 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Luxurious </w:t>
            </w:r>
            <w:proofErr w:type="spellStart"/>
            <w:r w:rsidRPr="00765F8D">
              <w:rPr>
                <w:rFonts w:ascii="Arial" w:hAnsi="Arial" w:cs="Arial"/>
                <w:sz w:val="40"/>
                <w:szCs w:val="40"/>
              </w:rPr>
              <w:t>mycelial</w:t>
            </w:r>
            <w:proofErr w:type="spellEnd"/>
            <w:r w:rsidRPr="00765F8D">
              <w:rPr>
                <w:rFonts w:ascii="Arial" w:hAnsi="Arial" w:cs="Arial"/>
                <w:sz w:val="40"/>
                <w:szCs w:val="40"/>
              </w:rPr>
              <w:t xml:space="preserve"> growth on entire surface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>Hyphae visible at edge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F8D" w:rsidRPr="00765F8D" w:rsidRDefault="00765F8D" w:rsidP="00E01E58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 w:rsidRPr="00765F8D">
              <w:rPr>
                <w:rFonts w:ascii="Arial" w:hAnsi="Arial" w:cs="Arial"/>
                <w:sz w:val="40"/>
                <w:szCs w:val="40"/>
              </w:rPr>
              <w:t xml:space="preserve">5; Prolific hyphae </w:t>
            </w:r>
          </w:p>
        </w:tc>
      </w:tr>
    </w:tbl>
    <w:p w:rsidR="008A39FC" w:rsidRDefault="008A39FC"/>
    <w:sectPr w:rsidR="008A39FC" w:rsidSect="00765F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D"/>
    <w:rsid w:val="00765F8D"/>
    <w:rsid w:val="00843014"/>
    <w:rsid w:val="008A39FC"/>
    <w:rsid w:val="00E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8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65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765F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8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65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765F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brodhagm</dc:creator>
  <cp:lastModifiedBy>Marion Brodhagen</cp:lastModifiedBy>
  <cp:revision>2</cp:revision>
  <dcterms:created xsi:type="dcterms:W3CDTF">2012-09-12T23:50:00Z</dcterms:created>
  <dcterms:modified xsi:type="dcterms:W3CDTF">2012-09-12T23:50:00Z</dcterms:modified>
</cp:coreProperties>
</file>