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585" w:rsidRDefault="00C95585" w:rsidP="00C95585">
      <w:pPr>
        <w:rPr>
          <w:b/>
        </w:rPr>
      </w:pPr>
      <w:r>
        <w:rPr>
          <w:b/>
        </w:rPr>
        <w:t>JoVE manuscript 4383</w:t>
      </w:r>
      <w:r w:rsidR="002E6D19">
        <w:rPr>
          <w:b/>
        </w:rPr>
        <w:t>: Response to reviewers</w:t>
      </w:r>
    </w:p>
    <w:p w:rsidR="00C95585" w:rsidRDefault="00C95585" w:rsidP="00C95585">
      <w:pPr>
        <w:rPr>
          <w:b/>
        </w:rPr>
      </w:pPr>
    </w:p>
    <w:p w:rsidR="00C95585" w:rsidRPr="009775C6" w:rsidRDefault="00C95585" w:rsidP="00C95585">
      <w:pPr>
        <w:rPr>
          <w:b/>
        </w:rPr>
      </w:pPr>
      <w:r w:rsidRPr="009775C6">
        <w:rPr>
          <w:b/>
        </w:rPr>
        <w:t>Reviewer 1:</w:t>
      </w:r>
    </w:p>
    <w:p w:rsidR="00C95585" w:rsidRPr="009775C6" w:rsidRDefault="00C95585" w:rsidP="00C95585">
      <w:pPr>
        <w:rPr>
          <w:u w:val="single"/>
        </w:rPr>
      </w:pPr>
      <w:r>
        <w:rPr>
          <w:u w:val="single"/>
        </w:rPr>
        <w:t>Major Concerns</w:t>
      </w:r>
    </w:p>
    <w:p w:rsidR="00C95585" w:rsidRPr="00C95585" w:rsidRDefault="00C95585" w:rsidP="00C95585">
      <w:pPr>
        <w:rPr>
          <w:i/>
        </w:rPr>
      </w:pPr>
      <w:r w:rsidRPr="00C95585">
        <w:rPr>
          <w:i/>
        </w:rPr>
        <w:t xml:space="preserve">The main concern here is that the ‘Discussion’ section could be expanded: the result figures show not the same concentrations of glucose and glutamine as mentioned in the discussion; </w:t>
      </w:r>
      <w:r w:rsidR="00E177C5" w:rsidRPr="00C95585">
        <w:rPr>
          <w:i/>
        </w:rPr>
        <w:t>the changes in concentrations can be predicted, but the deviations from the prediction could be discussed;</w:t>
      </w:r>
    </w:p>
    <w:p w:rsidR="00951976" w:rsidRDefault="00951976" w:rsidP="00C95585"/>
    <w:p w:rsidR="00C95585" w:rsidRDefault="00C95585" w:rsidP="00C95585">
      <w:r>
        <w:t xml:space="preserve">The concentration range in the discussion is from the calibration experiment, the results of which are presented in Table 2. Figure 4 corresponds to the fed-batch experiment, which was used to validate the sensor’s ability to quantitatively monitor intracellular </w:t>
      </w:r>
      <w:r w:rsidR="00DC0286">
        <w:t>g</w:t>
      </w:r>
      <w:r>
        <w:t>lucose and glutamine concentrations.</w:t>
      </w:r>
      <w:r w:rsidR="00780A53">
        <w:t xml:space="preserve"> Deviations are discussed in more detail in the second paragraph of the ‘Discussion’ section.</w:t>
      </w:r>
    </w:p>
    <w:p w:rsidR="00C95585" w:rsidRDefault="00C95585" w:rsidP="00C95585"/>
    <w:p w:rsidR="00C95585" w:rsidRPr="00C95585" w:rsidRDefault="00C95585" w:rsidP="00C95585">
      <w:pPr>
        <w:rPr>
          <w:i/>
        </w:rPr>
      </w:pPr>
      <w:r w:rsidRPr="00C95585">
        <w:rPr>
          <w:i/>
        </w:rPr>
        <w:t>what are potential further opportunities for other metabolites?</w:t>
      </w:r>
    </w:p>
    <w:p w:rsidR="00C95585" w:rsidRDefault="00E177C5" w:rsidP="00C95585">
      <w:r>
        <w:t>The Discussion section has been expanded to include information on the potential uses of FIBS for monitoring other small molecules and metabolites.</w:t>
      </w:r>
    </w:p>
    <w:p w:rsidR="00C95585" w:rsidRDefault="00C95585" w:rsidP="00C95585"/>
    <w:p w:rsidR="00C95585" w:rsidRPr="009775C6" w:rsidRDefault="00C95585" w:rsidP="00C95585">
      <w:pPr>
        <w:rPr>
          <w:u w:val="single"/>
        </w:rPr>
      </w:pPr>
      <w:r w:rsidRPr="009775C6">
        <w:rPr>
          <w:u w:val="single"/>
        </w:rPr>
        <w:t>Minor Concerns</w:t>
      </w:r>
    </w:p>
    <w:p w:rsidR="00C95585" w:rsidRPr="002E6D19" w:rsidRDefault="00C95585" w:rsidP="00C95585">
      <w:pPr>
        <w:rPr>
          <w:i/>
        </w:rPr>
      </w:pPr>
      <w:r w:rsidRPr="002E6D19">
        <w:rPr>
          <w:i/>
        </w:rPr>
        <w:t>- can the authors give an indication of how fast (order of magnitudes) the ‘fast response’ of FIBS can be?</w:t>
      </w:r>
    </w:p>
    <w:p w:rsidR="00DC0286" w:rsidRDefault="00DC0286" w:rsidP="00C95585">
      <w:r>
        <w:t>We have included a reference to Hu et al (</w:t>
      </w:r>
      <w:r w:rsidRPr="00DC0286">
        <w:t>Nat Protoc.</w:t>
      </w:r>
      <w:r>
        <w:t xml:space="preserve"> 2011 Oct 27;6(11):1818-33. doi: 10.1038/nprot.2011.392), which demonstrate that the response is immediate (within minutes).</w:t>
      </w:r>
    </w:p>
    <w:p w:rsidR="00C95585" w:rsidRDefault="00DC0286" w:rsidP="00C95585">
      <w:r>
        <w:t xml:space="preserve">   </w:t>
      </w:r>
    </w:p>
    <w:p w:rsidR="00C95585" w:rsidRPr="00C95585" w:rsidRDefault="00C95585" w:rsidP="00C95585">
      <w:pPr>
        <w:rPr>
          <w:i/>
        </w:rPr>
      </w:pPr>
      <w:r w:rsidRPr="00C95585">
        <w:rPr>
          <w:i/>
        </w:rPr>
        <w:t>- the reference to figure 1 in the long abstract does not seem to match with the context of the figure</w:t>
      </w:r>
    </w:p>
    <w:p w:rsidR="00C95585" w:rsidRDefault="00DC0286" w:rsidP="00C95585">
      <w:r>
        <w:t>The f</w:t>
      </w:r>
      <w:r w:rsidR="00C95585">
        <w:t xml:space="preserve">igures </w:t>
      </w:r>
      <w:r>
        <w:t xml:space="preserve">have been </w:t>
      </w:r>
      <w:r w:rsidR="00C95585">
        <w:t>swapped around</w:t>
      </w:r>
    </w:p>
    <w:p w:rsidR="00C95585" w:rsidRDefault="00C95585" w:rsidP="00C95585"/>
    <w:p w:rsidR="00C95585" w:rsidRPr="00F765F1" w:rsidRDefault="00C95585" w:rsidP="00C95585">
      <w:pPr>
        <w:rPr>
          <w:i/>
        </w:rPr>
      </w:pPr>
      <w:r w:rsidRPr="00F765F1">
        <w:rPr>
          <w:i/>
        </w:rPr>
        <w:t>- for miniaturization improving the fluorescence read-out S/N ratio Dittrich and Manz Anal Bioanal Chem (2005) 382: 1771–1782 is a good citation to consider</w:t>
      </w:r>
    </w:p>
    <w:p w:rsidR="00C95585" w:rsidRDefault="00F765F1" w:rsidP="00C95585">
      <w:r>
        <w:t>This citation has been included.</w:t>
      </w:r>
    </w:p>
    <w:p w:rsidR="00F765F1" w:rsidRDefault="00F765F1" w:rsidP="00C95585"/>
    <w:p w:rsidR="00C95585" w:rsidRPr="00C95585" w:rsidRDefault="00C95585" w:rsidP="00C95585">
      <w:pPr>
        <w:rPr>
          <w:i/>
        </w:rPr>
      </w:pPr>
      <w:r w:rsidRPr="00C95585">
        <w:rPr>
          <w:i/>
        </w:rPr>
        <w:t>- long abstract, second paragraph, space between ‘interesting option’</w:t>
      </w:r>
    </w:p>
    <w:p w:rsidR="00C95585" w:rsidRDefault="00C95585" w:rsidP="00C95585">
      <w:r>
        <w:t>Corrected</w:t>
      </w:r>
    </w:p>
    <w:p w:rsidR="00C95585" w:rsidRDefault="00C95585" w:rsidP="00C95585"/>
    <w:p w:rsidR="00C95585" w:rsidRPr="00C95585" w:rsidRDefault="00C95585" w:rsidP="00C95585">
      <w:pPr>
        <w:rPr>
          <w:i/>
        </w:rPr>
      </w:pPr>
      <w:r w:rsidRPr="00C95585">
        <w:rPr>
          <w:i/>
        </w:rPr>
        <w:t xml:space="preserve">- hemocytometer/haemocytometer misspelled; </w:t>
      </w:r>
    </w:p>
    <w:p w:rsidR="00C95585" w:rsidRDefault="00C95585" w:rsidP="00C95585">
      <w:r>
        <w:t>Corrected</w:t>
      </w:r>
    </w:p>
    <w:p w:rsidR="00C95585" w:rsidRDefault="00C95585" w:rsidP="00C95585"/>
    <w:p w:rsidR="00C95585" w:rsidRPr="00D01CEC" w:rsidRDefault="00C95585" w:rsidP="00C95585">
      <w:pPr>
        <w:rPr>
          <w:i/>
        </w:rPr>
      </w:pPr>
      <w:r w:rsidRPr="00D01CEC">
        <w:rPr>
          <w:i/>
        </w:rPr>
        <w:t>- one reference to Figure 4 in the ‘Representative Results’ section is wrong; in the penultimate line of the 2</w:t>
      </w:r>
      <w:r w:rsidRPr="00D01CEC">
        <w:rPr>
          <w:i/>
          <w:vertAlign w:val="superscript"/>
        </w:rPr>
        <w:t>nd</w:t>
      </w:r>
      <w:r w:rsidRPr="00D01CEC">
        <w:rPr>
          <w:i/>
        </w:rPr>
        <w:t xml:space="preserve"> paragraph, it should likely be ‘4c’.</w:t>
      </w:r>
    </w:p>
    <w:p w:rsidR="00C95585" w:rsidRDefault="00D01CEC" w:rsidP="00C95585">
      <w:r>
        <w:t>Corrected</w:t>
      </w:r>
    </w:p>
    <w:p w:rsidR="00D01CEC" w:rsidRDefault="00D01CEC" w:rsidP="00C95585"/>
    <w:p w:rsidR="00C95585" w:rsidRPr="009775C6" w:rsidRDefault="00C95585" w:rsidP="00C95585">
      <w:pPr>
        <w:rPr>
          <w:b/>
        </w:rPr>
      </w:pPr>
      <w:r>
        <w:rPr>
          <w:b/>
        </w:rPr>
        <w:t>Reviewer 2</w:t>
      </w:r>
      <w:r w:rsidRPr="009775C6">
        <w:rPr>
          <w:b/>
        </w:rPr>
        <w:t>:</w:t>
      </w:r>
    </w:p>
    <w:p w:rsidR="00C95585" w:rsidRPr="003C1256" w:rsidRDefault="00C95585" w:rsidP="00C95585">
      <w:pPr>
        <w:rPr>
          <w:u w:val="single"/>
        </w:rPr>
      </w:pPr>
      <w:r w:rsidRPr="003C1256">
        <w:rPr>
          <w:u w:val="single"/>
        </w:rPr>
        <w:t>Major Concerns</w:t>
      </w:r>
    </w:p>
    <w:p w:rsidR="00C95585" w:rsidRPr="0095547C" w:rsidRDefault="00C95585" w:rsidP="00C95585">
      <w:pPr>
        <w:rPr>
          <w:rFonts w:eastAsia="MS Mincho"/>
          <w:i/>
          <w:lang w:eastAsia="ja-JP"/>
        </w:rPr>
      </w:pPr>
      <w:r w:rsidRPr="0095547C">
        <w:rPr>
          <w:rFonts w:eastAsia="MS Mincho" w:hint="eastAsia"/>
          <w:i/>
          <w:lang w:eastAsia="ja-JP"/>
        </w:rPr>
        <w:lastRenderedPageBreak/>
        <w:t xml:space="preserve">1) It is not clear what kind of FRET biosensor they used. It is well known that it is difficult to obtain the cells both expressing CFP and YFP, probably due to </w:t>
      </w:r>
      <w:r w:rsidRPr="0095547C">
        <w:rPr>
          <w:rFonts w:eastAsia="MS Mincho"/>
          <w:i/>
          <w:lang w:eastAsia="ja-JP"/>
        </w:rPr>
        <w:t>their</w:t>
      </w:r>
      <w:r w:rsidRPr="0095547C">
        <w:rPr>
          <w:rFonts w:eastAsia="MS Mincho" w:hint="eastAsia"/>
          <w:i/>
          <w:lang w:eastAsia="ja-JP"/>
        </w:rPr>
        <w:t xml:space="preserve"> similar DNA sequences. Therefore, </w:t>
      </w:r>
      <w:r w:rsidRPr="0095547C">
        <w:rPr>
          <w:rFonts w:eastAsia="MS Mincho"/>
          <w:i/>
          <w:lang w:eastAsia="ja-JP"/>
        </w:rPr>
        <w:t>transpose</w:t>
      </w:r>
      <w:r w:rsidRPr="0095547C">
        <w:rPr>
          <w:rFonts w:eastAsia="MS Mincho" w:hint="eastAsia"/>
          <w:i/>
          <w:lang w:eastAsia="ja-JP"/>
        </w:rPr>
        <w:t xml:space="preserve"> systems such as PiggyBac or Tol2 are now utilized to establish mammalian cells expressing CFP-YFP pair biosensors.  </w:t>
      </w:r>
    </w:p>
    <w:p w:rsidR="0095547C" w:rsidRPr="0095547C" w:rsidRDefault="0095547C" w:rsidP="00C95585">
      <w:pPr>
        <w:rPr>
          <w:rFonts w:eastAsia="MS Mincho"/>
          <w:i/>
          <w:lang w:eastAsia="ja-JP"/>
        </w:rPr>
      </w:pPr>
    </w:p>
    <w:p w:rsidR="00C95585" w:rsidRPr="0095547C" w:rsidRDefault="00C95585" w:rsidP="00C95585">
      <w:pPr>
        <w:rPr>
          <w:rFonts w:eastAsia="MS Mincho"/>
          <w:i/>
          <w:lang w:eastAsia="ja-JP"/>
        </w:rPr>
      </w:pPr>
    </w:p>
    <w:p w:rsidR="00C95585" w:rsidRPr="0095547C" w:rsidRDefault="00C95585" w:rsidP="00C95585">
      <w:pPr>
        <w:rPr>
          <w:rFonts w:eastAsia="MS Mincho"/>
          <w:i/>
          <w:lang w:eastAsia="ja-JP"/>
        </w:rPr>
      </w:pPr>
      <w:r w:rsidRPr="0095547C">
        <w:rPr>
          <w:rFonts w:eastAsia="MS Mincho" w:hint="eastAsia"/>
          <w:i/>
          <w:lang w:eastAsia="ja-JP"/>
        </w:rPr>
        <w:t xml:space="preserve">It is true </w:t>
      </w:r>
      <w:r w:rsidRPr="0095547C">
        <w:rPr>
          <w:rFonts w:eastAsia="MS Mincho"/>
          <w:i/>
          <w:lang w:eastAsia="ja-JP"/>
        </w:rPr>
        <w:t>another</w:t>
      </w:r>
      <w:r w:rsidRPr="0095547C">
        <w:rPr>
          <w:rFonts w:eastAsia="MS Mincho" w:hint="eastAsia"/>
          <w:i/>
          <w:lang w:eastAsia="ja-JP"/>
        </w:rPr>
        <w:t xml:space="preserve"> blue fluorescent protein TFP with low homology to GFP</w:t>
      </w:r>
      <w:r w:rsidRPr="0095547C">
        <w:rPr>
          <w:i/>
        </w:rPr>
        <w:t xml:space="preserve"> </w:t>
      </w:r>
      <w:r w:rsidRPr="0095547C">
        <w:rPr>
          <w:rFonts w:eastAsia="MS Mincho" w:hint="eastAsia"/>
          <w:i/>
          <w:lang w:eastAsia="ja-JP"/>
        </w:rPr>
        <w:t>(a</w:t>
      </w:r>
      <w:r w:rsidRPr="0095547C">
        <w:rPr>
          <w:rFonts w:eastAsia="MS Mincho"/>
          <w:i/>
          <w:lang w:eastAsia="ja-JP"/>
        </w:rPr>
        <w:t>s they cite</w:t>
      </w:r>
      <w:r w:rsidRPr="0095547C">
        <w:rPr>
          <w:rFonts w:eastAsia="MS Mincho" w:hint="eastAsia"/>
          <w:i/>
          <w:lang w:eastAsia="ja-JP"/>
        </w:rPr>
        <w:t>d</w:t>
      </w:r>
      <w:r w:rsidRPr="0095547C">
        <w:rPr>
          <w:rFonts w:eastAsia="MS Mincho"/>
          <w:i/>
          <w:lang w:eastAsia="ja-JP"/>
        </w:rPr>
        <w:t xml:space="preserve"> as reference 8</w:t>
      </w:r>
      <w:r w:rsidRPr="0095547C">
        <w:rPr>
          <w:rFonts w:eastAsia="MS Mincho" w:hint="eastAsia"/>
          <w:i/>
          <w:lang w:eastAsia="ja-JP"/>
        </w:rPr>
        <w:t xml:space="preserve">) is now available. In that case, retroviral system is </w:t>
      </w:r>
      <w:r w:rsidRPr="0095547C">
        <w:rPr>
          <w:rFonts w:eastAsia="MS Mincho"/>
          <w:i/>
          <w:lang w:eastAsia="ja-JP"/>
        </w:rPr>
        <w:t>applied</w:t>
      </w:r>
      <w:r w:rsidRPr="0095547C">
        <w:rPr>
          <w:rFonts w:eastAsia="MS Mincho" w:hint="eastAsia"/>
          <w:i/>
          <w:lang w:eastAsia="ja-JP"/>
        </w:rPr>
        <w:t xml:space="preserve"> to establish TFP-YFP paired FRET biosensors efficiently.</w:t>
      </w:r>
    </w:p>
    <w:p w:rsidR="00C95585" w:rsidRDefault="00C95585" w:rsidP="00C95585">
      <w:pPr>
        <w:ind w:firstLine="720"/>
        <w:rPr>
          <w:rFonts w:eastAsia="MS Mincho"/>
          <w:lang w:eastAsia="ja-JP"/>
        </w:rPr>
      </w:pPr>
    </w:p>
    <w:p w:rsidR="0095547C" w:rsidRDefault="0095547C" w:rsidP="0095547C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Detailed information on the sensors</w:t>
      </w:r>
      <w:r w:rsidR="00951976">
        <w:rPr>
          <w:rFonts w:eastAsia="MS Mincho"/>
          <w:lang w:eastAsia="ja-JP"/>
        </w:rPr>
        <w:t>’ plasmids</w:t>
      </w:r>
      <w:r>
        <w:rPr>
          <w:rFonts w:eastAsia="MS Mincho"/>
          <w:lang w:eastAsia="ja-JP"/>
        </w:rPr>
        <w:t xml:space="preserve"> has been included in the first </w:t>
      </w:r>
      <w:r w:rsidR="00951976">
        <w:rPr>
          <w:rFonts w:eastAsia="MS Mincho"/>
          <w:lang w:eastAsia="ja-JP"/>
        </w:rPr>
        <w:t xml:space="preserve">and second </w:t>
      </w:r>
      <w:r>
        <w:rPr>
          <w:rFonts w:eastAsia="MS Mincho"/>
          <w:lang w:eastAsia="ja-JP"/>
        </w:rPr>
        <w:t>paragraph</w:t>
      </w:r>
      <w:r w:rsidR="00951976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of the </w:t>
      </w:r>
      <w:r w:rsidR="00F6445C">
        <w:rPr>
          <w:rFonts w:eastAsia="MS Mincho"/>
          <w:lang w:eastAsia="ja-JP"/>
        </w:rPr>
        <w:t>‘</w:t>
      </w:r>
      <w:r>
        <w:rPr>
          <w:rFonts w:eastAsia="MS Mincho"/>
          <w:lang w:eastAsia="ja-JP"/>
        </w:rPr>
        <w:t>Representative results</w:t>
      </w:r>
      <w:r w:rsidR="00F6445C">
        <w:rPr>
          <w:rFonts w:eastAsia="MS Mincho"/>
          <w:lang w:eastAsia="ja-JP"/>
        </w:rPr>
        <w:t>’</w:t>
      </w:r>
      <w:r>
        <w:rPr>
          <w:rFonts w:eastAsia="MS Mincho"/>
          <w:lang w:eastAsia="ja-JP"/>
        </w:rPr>
        <w:t xml:space="preserve"> section on page 7. The plasmid</w:t>
      </w:r>
      <w:r w:rsidR="00951976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have been modified as now described in the text to optimise FRET efficiency.</w:t>
      </w:r>
    </w:p>
    <w:p w:rsidR="0095547C" w:rsidRPr="004C0D8E" w:rsidRDefault="0095547C" w:rsidP="00C95585">
      <w:pPr>
        <w:ind w:firstLine="720"/>
        <w:rPr>
          <w:rFonts w:eastAsia="MS Mincho"/>
          <w:lang w:eastAsia="ja-JP"/>
        </w:rPr>
      </w:pPr>
    </w:p>
    <w:p w:rsidR="00C95585" w:rsidRPr="0095547C" w:rsidRDefault="00C95585" w:rsidP="00C95585">
      <w:pPr>
        <w:rPr>
          <w:rFonts w:eastAsia="MS Mincho"/>
          <w:i/>
          <w:lang w:eastAsia="ja-JP"/>
        </w:rPr>
      </w:pPr>
      <w:r w:rsidRPr="0095547C">
        <w:rPr>
          <w:rFonts w:eastAsia="MS Mincho" w:hint="eastAsia"/>
          <w:i/>
          <w:lang w:eastAsia="ja-JP"/>
        </w:rPr>
        <w:t xml:space="preserve">2) It is also important to estimate the </w:t>
      </w:r>
      <w:r w:rsidRPr="0095547C">
        <w:rPr>
          <w:rFonts w:eastAsia="MS Mincho"/>
          <w:i/>
          <w:lang w:eastAsia="ja-JP"/>
        </w:rPr>
        <w:t>concentration</w:t>
      </w:r>
      <w:r w:rsidRPr="0095547C">
        <w:rPr>
          <w:rFonts w:eastAsia="MS Mincho" w:hint="eastAsia"/>
          <w:i/>
          <w:lang w:eastAsia="ja-JP"/>
        </w:rPr>
        <w:t xml:space="preserve"> of biosensor for the analysis, since it affects FRET efficiency in the cell. For this, the vector </w:t>
      </w:r>
      <w:r w:rsidRPr="0095547C">
        <w:rPr>
          <w:rFonts w:eastAsia="MS Mincho"/>
          <w:i/>
          <w:lang w:eastAsia="ja-JP"/>
        </w:rPr>
        <w:t>information</w:t>
      </w:r>
      <w:r w:rsidRPr="0095547C">
        <w:rPr>
          <w:rFonts w:eastAsia="MS Mincho" w:hint="eastAsia"/>
          <w:i/>
          <w:lang w:eastAsia="ja-JP"/>
        </w:rPr>
        <w:t xml:space="preserve">, such as enhancer, </w:t>
      </w:r>
      <w:r w:rsidRPr="0095547C">
        <w:rPr>
          <w:rFonts w:eastAsia="MS Mincho"/>
          <w:i/>
          <w:lang w:eastAsia="ja-JP"/>
        </w:rPr>
        <w:t>promote</w:t>
      </w:r>
      <w:r w:rsidRPr="0095547C">
        <w:rPr>
          <w:rFonts w:eastAsia="MS Mincho" w:hint="eastAsia"/>
          <w:i/>
          <w:lang w:eastAsia="ja-JP"/>
        </w:rPr>
        <w:t xml:space="preserve">r, and antibiotics for selection, is required to obtain </w:t>
      </w:r>
      <w:r w:rsidRPr="0095547C">
        <w:rPr>
          <w:rFonts w:eastAsia="MS Mincho"/>
          <w:i/>
          <w:lang w:eastAsia="ja-JP"/>
        </w:rPr>
        <w:t>reproducible</w:t>
      </w:r>
      <w:r w:rsidRPr="0095547C">
        <w:rPr>
          <w:rFonts w:eastAsia="MS Mincho" w:hint="eastAsia"/>
          <w:i/>
          <w:lang w:eastAsia="ja-JP"/>
        </w:rPr>
        <w:t xml:space="preserve"> results.</w:t>
      </w:r>
    </w:p>
    <w:p w:rsidR="00C95585" w:rsidRDefault="00C95585" w:rsidP="00C95585">
      <w:pPr>
        <w:rPr>
          <w:rFonts w:eastAsia="MS Mincho"/>
          <w:lang w:eastAsia="ja-JP"/>
        </w:rPr>
      </w:pPr>
    </w:p>
    <w:p w:rsidR="0095547C" w:rsidRDefault="00B00D25" w:rsidP="00C95585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 xml:space="preserve">Vector information and antibiotic concentration for selection are now described in the first </w:t>
      </w:r>
      <w:r w:rsidR="00951976">
        <w:rPr>
          <w:rFonts w:eastAsia="MS Mincho"/>
          <w:lang w:eastAsia="ja-JP"/>
        </w:rPr>
        <w:t xml:space="preserve">and second </w:t>
      </w:r>
      <w:r>
        <w:rPr>
          <w:rFonts w:eastAsia="MS Mincho"/>
          <w:lang w:eastAsia="ja-JP"/>
        </w:rPr>
        <w:t>paragraph</w:t>
      </w:r>
      <w:r w:rsidR="00951976">
        <w:rPr>
          <w:rFonts w:eastAsia="MS Mincho"/>
          <w:lang w:eastAsia="ja-JP"/>
        </w:rPr>
        <w:t>s</w:t>
      </w:r>
      <w:r>
        <w:rPr>
          <w:rFonts w:eastAsia="MS Mincho"/>
          <w:lang w:eastAsia="ja-JP"/>
        </w:rPr>
        <w:t xml:space="preserve"> of the ‘Represent</w:t>
      </w:r>
      <w:r w:rsidR="00951976">
        <w:rPr>
          <w:rFonts w:eastAsia="MS Mincho"/>
          <w:lang w:eastAsia="ja-JP"/>
        </w:rPr>
        <w:t>ative results’ section</w:t>
      </w:r>
      <w:r>
        <w:rPr>
          <w:rFonts w:eastAsia="MS Mincho"/>
          <w:lang w:eastAsia="ja-JP"/>
        </w:rPr>
        <w:t>.</w:t>
      </w:r>
      <w:r w:rsidR="00951976">
        <w:rPr>
          <w:rFonts w:eastAsia="MS Mincho"/>
          <w:lang w:eastAsia="ja-JP"/>
        </w:rPr>
        <w:t xml:space="preserve"> We have conducted a qRT-PCR analysis on cell extracts to quantify the mRNA levels of the biosensors, as now described in paragraph 3 of the same section. </w:t>
      </w:r>
    </w:p>
    <w:p w:rsidR="00B00D25" w:rsidRPr="004C0D8E" w:rsidRDefault="00B00D25" w:rsidP="00C95585">
      <w:pPr>
        <w:rPr>
          <w:rFonts w:eastAsia="MS Mincho"/>
          <w:lang w:eastAsia="ja-JP"/>
        </w:rPr>
      </w:pPr>
    </w:p>
    <w:p w:rsidR="00C95585" w:rsidRPr="0095547C" w:rsidRDefault="00C95585" w:rsidP="00C95585">
      <w:pPr>
        <w:rPr>
          <w:rFonts w:eastAsia="MS Mincho"/>
          <w:i/>
          <w:lang w:eastAsia="ja-JP"/>
        </w:rPr>
      </w:pPr>
      <w:r w:rsidRPr="0095547C">
        <w:rPr>
          <w:rFonts w:eastAsia="MS Mincho" w:hint="eastAsia"/>
          <w:i/>
          <w:lang w:eastAsia="ja-JP"/>
        </w:rPr>
        <w:t xml:space="preserve">3) </w:t>
      </w:r>
      <w:r w:rsidRPr="0095547C">
        <w:rPr>
          <w:rFonts w:eastAsia="MS Mincho"/>
          <w:i/>
          <w:lang w:eastAsia="ja-JP"/>
        </w:rPr>
        <w:t>Since cells have auto</w:t>
      </w:r>
      <w:r w:rsidRPr="0095547C">
        <w:rPr>
          <w:rFonts w:eastAsia="MS Mincho" w:hint="eastAsia"/>
          <w:i/>
          <w:lang w:eastAsia="ja-JP"/>
        </w:rPr>
        <w:t>-</w:t>
      </w:r>
      <w:r w:rsidRPr="0095547C">
        <w:rPr>
          <w:rFonts w:eastAsia="MS Mincho"/>
          <w:i/>
          <w:lang w:eastAsia="ja-JP"/>
        </w:rPr>
        <w:t>fluorescence, the proper control for background subtraction is “cells without biosensor</w:t>
      </w:r>
      <w:r w:rsidRPr="0095547C">
        <w:rPr>
          <w:rFonts w:eastAsia="MS Mincho" w:hint="eastAsia"/>
          <w:i/>
          <w:lang w:eastAsia="ja-JP"/>
        </w:rPr>
        <w:t xml:space="preserve"> expression</w:t>
      </w:r>
      <w:r w:rsidRPr="0095547C">
        <w:rPr>
          <w:rFonts w:eastAsia="MS Mincho"/>
          <w:i/>
          <w:lang w:eastAsia="ja-JP"/>
        </w:rPr>
        <w:t>”, not “no cells”.</w:t>
      </w:r>
    </w:p>
    <w:p w:rsidR="00C95585" w:rsidRDefault="00E177C5" w:rsidP="00C95585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This has now been corrected. No background subtraction is necessary.</w:t>
      </w:r>
    </w:p>
    <w:p w:rsidR="0095547C" w:rsidRDefault="0095547C" w:rsidP="00C95585">
      <w:pPr>
        <w:rPr>
          <w:rFonts w:eastAsia="MS Mincho"/>
          <w:lang w:eastAsia="ja-JP"/>
        </w:rPr>
      </w:pPr>
    </w:p>
    <w:p w:rsidR="0095547C" w:rsidRPr="004C0D8E" w:rsidRDefault="0095547C" w:rsidP="00C95585">
      <w:pPr>
        <w:rPr>
          <w:rFonts w:eastAsia="MS Mincho"/>
          <w:lang w:eastAsia="ja-JP"/>
        </w:rPr>
      </w:pPr>
    </w:p>
    <w:p w:rsidR="00C95585" w:rsidRPr="004C0D8E" w:rsidRDefault="00C95585" w:rsidP="00C95585">
      <w:pPr>
        <w:rPr>
          <w:rFonts w:eastAsia="MS Mincho"/>
          <w:u w:val="single"/>
          <w:lang w:eastAsia="ja-JP"/>
        </w:rPr>
      </w:pPr>
      <w:r w:rsidRPr="003C1256">
        <w:rPr>
          <w:u w:val="single"/>
        </w:rPr>
        <w:t>Minor Concerns</w:t>
      </w:r>
    </w:p>
    <w:p w:rsidR="00C95585" w:rsidRPr="00E3754D" w:rsidRDefault="00C95585" w:rsidP="00C95585">
      <w:pPr>
        <w:rPr>
          <w:rFonts w:eastAsia="MS Mincho"/>
          <w:i/>
          <w:lang w:eastAsia="ja-JP"/>
        </w:rPr>
      </w:pPr>
      <w:r w:rsidRPr="00E3754D">
        <w:rPr>
          <w:rFonts w:eastAsia="MS Mincho" w:hint="eastAsia"/>
          <w:i/>
          <w:lang w:eastAsia="ja-JP"/>
        </w:rPr>
        <w:t xml:space="preserve">Name and company of the plate reader and filters should be </w:t>
      </w:r>
      <w:r w:rsidRPr="00E3754D">
        <w:rPr>
          <w:rFonts w:eastAsia="MS Mincho"/>
          <w:i/>
          <w:lang w:eastAsia="ja-JP"/>
        </w:rPr>
        <w:t>addressed</w:t>
      </w:r>
      <w:r w:rsidRPr="00E3754D">
        <w:rPr>
          <w:rFonts w:eastAsia="MS Mincho" w:hint="eastAsia"/>
          <w:i/>
          <w:lang w:eastAsia="ja-JP"/>
        </w:rPr>
        <w:t>.</w:t>
      </w:r>
    </w:p>
    <w:p w:rsidR="00E3754D" w:rsidRDefault="00E3754D" w:rsidP="00C95585">
      <w:pPr>
        <w:rPr>
          <w:rFonts w:eastAsia="MS Mincho"/>
          <w:lang w:eastAsia="ja-JP"/>
        </w:rPr>
      </w:pPr>
      <w:r>
        <w:rPr>
          <w:rFonts w:eastAsia="MS Mincho"/>
          <w:lang w:eastAsia="ja-JP"/>
        </w:rPr>
        <w:t>The plate reader is in Table 1 (</w:t>
      </w:r>
      <w:r>
        <w:t>InfinitePRO 200). The filters have also been included.</w:t>
      </w:r>
      <w:r w:rsidR="00855720">
        <w:t xml:space="preserve"> Information on excitation and emission wavelengths has also been included in the </w:t>
      </w:r>
      <w:r w:rsidR="00F6445C">
        <w:t>second</w:t>
      </w:r>
      <w:r w:rsidR="00855720">
        <w:t xml:space="preserve"> paragraph of t</w:t>
      </w:r>
      <w:r w:rsidR="00F6445C">
        <w:t>he ‘R</w:t>
      </w:r>
      <w:r w:rsidR="00855720">
        <w:t>epresentative results</w:t>
      </w:r>
      <w:r w:rsidR="00F6445C">
        <w:t>’</w:t>
      </w:r>
      <w:r w:rsidR="00855720">
        <w:t xml:space="preserve"> section on</w:t>
      </w:r>
      <w:r w:rsidR="001C50B6">
        <w:t xml:space="preserve"> page 8</w:t>
      </w:r>
      <w:r w:rsidR="00855720">
        <w:t>.</w:t>
      </w:r>
    </w:p>
    <w:p w:rsidR="00E3754D" w:rsidRPr="004C0D8E" w:rsidRDefault="00E3754D" w:rsidP="00C95585">
      <w:pPr>
        <w:rPr>
          <w:rFonts w:eastAsia="MS Mincho"/>
          <w:lang w:eastAsia="ja-JP"/>
        </w:rPr>
      </w:pPr>
    </w:p>
    <w:p w:rsidR="00C95585" w:rsidRPr="008773E6" w:rsidRDefault="00C95585" w:rsidP="00C95585">
      <w:pPr>
        <w:rPr>
          <w:rFonts w:eastAsia="MS Mincho"/>
          <w:i/>
          <w:lang w:eastAsia="ja-JP"/>
        </w:rPr>
      </w:pPr>
      <w:r w:rsidRPr="008773E6">
        <w:rPr>
          <w:rFonts w:eastAsia="MS Mincho" w:hint="eastAsia"/>
          <w:i/>
          <w:lang w:eastAsia="ja-JP"/>
        </w:rPr>
        <w:t>Qiagen MAXI prep column has no fluorescence (F</w:t>
      </w:r>
      <w:r w:rsidRPr="008773E6">
        <w:rPr>
          <w:rFonts w:eastAsia="MS Mincho"/>
          <w:i/>
          <w:lang w:eastAsia="ja-JP"/>
        </w:rPr>
        <w:t>i</w:t>
      </w:r>
      <w:r w:rsidRPr="008773E6">
        <w:rPr>
          <w:rFonts w:eastAsia="MS Mincho" w:hint="eastAsia"/>
          <w:i/>
          <w:lang w:eastAsia="ja-JP"/>
        </w:rPr>
        <w:t>g1 left top).</w:t>
      </w:r>
    </w:p>
    <w:p w:rsidR="00C95585" w:rsidRPr="00BA1D3E" w:rsidRDefault="00BA1D3E" w:rsidP="00C95585">
      <w:r w:rsidRPr="00BA1D3E">
        <w:t xml:space="preserve">This was a photo of our glucose FIBS </w:t>
      </w:r>
      <w:r>
        <w:t>in the presence of glucose that has now been removed so as not to confused readers.</w:t>
      </w:r>
    </w:p>
    <w:p w:rsidR="00C95585" w:rsidRDefault="00C95585" w:rsidP="00C95585">
      <w:bookmarkStart w:id="0" w:name="_GoBack"/>
      <w:bookmarkEnd w:id="0"/>
    </w:p>
    <w:p w:rsidR="00DC0286" w:rsidRDefault="00DC0286"/>
    <w:sectPr w:rsidR="00DC0286" w:rsidSect="00DC02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95585"/>
    <w:rsid w:val="001C50B6"/>
    <w:rsid w:val="002E6D19"/>
    <w:rsid w:val="00462661"/>
    <w:rsid w:val="00475D92"/>
    <w:rsid w:val="00780A53"/>
    <w:rsid w:val="00855720"/>
    <w:rsid w:val="008773E6"/>
    <w:rsid w:val="008B6EBE"/>
    <w:rsid w:val="00951976"/>
    <w:rsid w:val="0095547C"/>
    <w:rsid w:val="009C261B"/>
    <w:rsid w:val="009F00F5"/>
    <w:rsid w:val="00A5169C"/>
    <w:rsid w:val="00B00D25"/>
    <w:rsid w:val="00BA1D3E"/>
    <w:rsid w:val="00C95585"/>
    <w:rsid w:val="00D01CEC"/>
    <w:rsid w:val="00DC0286"/>
    <w:rsid w:val="00E177C5"/>
    <w:rsid w:val="00E3754D"/>
    <w:rsid w:val="00F6445C"/>
    <w:rsid w:val="00F76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585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547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C02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ck98</dc:creator>
  <cp:lastModifiedBy>ck98</cp:lastModifiedBy>
  <cp:revision>24</cp:revision>
  <dcterms:created xsi:type="dcterms:W3CDTF">2012-06-07T14:42:00Z</dcterms:created>
  <dcterms:modified xsi:type="dcterms:W3CDTF">2012-06-13T11:10:00Z</dcterms:modified>
</cp:coreProperties>
</file>