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EB5" w:rsidRDefault="00644EB5"/>
    <w:p w:rsidR="002F3A6A" w:rsidRDefault="002F3A6A"/>
    <w:p w:rsidR="002F3A6A" w:rsidRDefault="002F3A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0A0" w:firstRow="1" w:lastRow="0" w:firstColumn="1" w:lastColumn="0" w:noHBand="0" w:noVBand="0"/>
      </w:tblPr>
      <w:tblGrid>
        <w:gridCol w:w="5143"/>
        <w:gridCol w:w="5143"/>
      </w:tblGrid>
      <w:tr w:rsidR="00F06375" w:rsidTr="004E2C34">
        <w:trPr>
          <w:trHeight w:val="2160"/>
        </w:trPr>
        <w:tc>
          <w:tcPr>
            <w:tcW w:w="5143" w:type="dxa"/>
          </w:tcPr>
          <w:p w:rsidR="00F06375" w:rsidRDefault="006E7576">
            <w:r>
              <w:rPr>
                <w:noProof/>
              </w:rPr>
              <w:drawing>
                <wp:inline distT="0" distB="0" distL="0" distR="0">
                  <wp:extent cx="3114675" cy="990600"/>
                  <wp:effectExtent l="0" t="0" r="9525" b="0"/>
                  <wp:docPr id="1" name="Picture 1" descr="CLAS_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_m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p>
        </w:tc>
        <w:tc>
          <w:tcPr>
            <w:tcW w:w="5143" w:type="dxa"/>
          </w:tcPr>
          <w:p w:rsidR="00714586" w:rsidRPr="00B673C1" w:rsidRDefault="00714586" w:rsidP="00F06375">
            <w:pPr>
              <w:pStyle w:val="Header"/>
              <w:tabs>
                <w:tab w:val="clear" w:pos="4320"/>
                <w:tab w:val="clear" w:pos="8640"/>
                <w:tab w:val="right" w:pos="10080"/>
              </w:tabs>
              <w:jc w:val="right"/>
              <w:rPr>
                <w:rFonts w:ascii="Garamond" w:hAnsi="Garamond"/>
                <w:b/>
                <w:color w:val="8A041A"/>
                <w:sz w:val="20"/>
                <w:szCs w:val="20"/>
              </w:rPr>
            </w:pPr>
            <w:r w:rsidRPr="00B673C1">
              <w:rPr>
                <w:rFonts w:ascii="Garamond" w:hAnsi="Garamond"/>
                <w:b/>
                <w:color w:val="8A041A"/>
                <w:sz w:val="20"/>
                <w:szCs w:val="20"/>
              </w:rPr>
              <w:t>M. Foster Olive, Ph.D.</w:t>
            </w:r>
          </w:p>
          <w:p w:rsidR="00F06375" w:rsidRPr="00B673C1" w:rsidRDefault="00D87079" w:rsidP="00F06375">
            <w:pPr>
              <w:pStyle w:val="Header"/>
              <w:tabs>
                <w:tab w:val="clear" w:pos="4320"/>
                <w:tab w:val="clear" w:pos="8640"/>
                <w:tab w:val="right" w:pos="10080"/>
              </w:tabs>
              <w:jc w:val="right"/>
              <w:rPr>
                <w:rFonts w:ascii="Garamond" w:hAnsi="Garamond"/>
                <w:color w:val="8A041A"/>
                <w:sz w:val="20"/>
                <w:szCs w:val="20"/>
              </w:rPr>
            </w:pPr>
            <w:r w:rsidRPr="00B673C1">
              <w:rPr>
                <w:rFonts w:ascii="Garamond" w:hAnsi="Garamond"/>
                <w:color w:val="8A041A"/>
                <w:sz w:val="20"/>
                <w:szCs w:val="20"/>
              </w:rPr>
              <w:t>Department</w:t>
            </w:r>
            <w:r w:rsidR="0053119A">
              <w:rPr>
                <w:rFonts w:ascii="Garamond" w:hAnsi="Garamond"/>
                <w:color w:val="8A041A"/>
                <w:sz w:val="20"/>
                <w:szCs w:val="20"/>
              </w:rPr>
              <w:t xml:space="preserve"> of Psychology</w:t>
            </w:r>
          </w:p>
          <w:p w:rsidR="00F06375" w:rsidRPr="00B673C1" w:rsidRDefault="00935600" w:rsidP="00F06375">
            <w:pPr>
              <w:pStyle w:val="Header"/>
              <w:tabs>
                <w:tab w:val="clear" w:pos="4320"/>
                <w:tab w:val="clear" w:pos="8640"/>
                <w:tab w:val="right" w:pos="10080"/>
              </w:tabs>
              <w:jc w:val="right"/>
              <w:rPr>
                <w:rFonts w:ascii="Garamond" w:hAnsi="Garamond"/>
                <w:color w:val="8A041A"/>
                <w:sz w:val="20"/>
                <w:szCs w:val="20"/>
              </w:rPr>
            </w:pPr>
            <w:r w:rsidRPr="00B673C1">
              <w:rPr>
                <w:rFonts w:ascii="Garamond" w:hAnsi="Garamond"/>
                <w:color w:val="8A041A"/>
                <w:sz w:val="20"/>
                <w:szCs w:val="20"/>
              </w:rPr>
              <w:t>Arizona State University</w:t>
            </w:r>
          </w:p>
          <w:p w:rsidR="00935600" w:rsidRPr="00B673C1" w:rsidRDefault="00935600" w:rsidP="00F06375">
            <w:pPr>
              <w:pStyle w:val="Header"/>
              <w:tabs>
                <w:tab w:val="clear" w:pos="4320"/>
                <w:tab w:val="clear" w:pos="8640"/>
                <w:tab w:val="right" w:pos="10080"/>
              </w:tabs>
              <w:jc w:val="right"/>
              <w:rPr>
                <w:rFonts w:ascii="Garamond" w:hAnsi="Garamond"/>
                <w:color w:val="8A041A"/>
                <w:sz w:val="20"/>
                <w:szCs w:val="20"/>
              </w:rPr>
            </w:pPr>
            <w:r w:rsidRPr="00B673C1">
              <w:rPr>
                <w:rFonts w:ascii="Garamond" w:hAnsi="Garamond"/>
                <w:color w:val="8A041A"/>
                <w:sz w:val="20"/>
                <w:szCs w:val="20"/>
              </w:rPr>
              <w:t xml:space="preserve">950 S. McAllister </w:t>
            </w:r>
            <w:r w:rsidR="006F1825">
              <w:rPr>
                <w:rFonts w:ascii="Garamond" w:hAnsi="Garamond"/>
                <w:color w:val="8A041A"/>
                <w:sz w:val="20"/>
                <w:szCs w:val="20"/>
              </w:rPr>
              <w:t>Ave</w:t>
            </w:r>
            <w:r w:rsidR="004E2C34">
              <w:rPr>
                <w:rFonts w:ascii="Garamond" w:hAnsi="Garamond"/>
                <w:color w:val="8A041A"/>
                <w:sz w:val="20"/>
                <w:szCs w:val="20"/>
              </w:rPr>
              <w:t xml:space="preserve">, </w:t>
            </w:r>
            <w:r w:rsidRPr="00B673C1">
              <w:rPr>
                <w:rFonts w:ascii="Garamond" w:hAnsi="Garamond"/>
                <w:color w:val="8A041A"/>
                <w:sz w:val="20"/>
                <w:szCs w:val="20"/>
              </w:rPr>
              <w:t>PO Box 871104</w:t>
            </w:r>
          </w:p>
          <w:p w:rsidR="00F06375" w:rsidRDefault="00935600" w:rsidP="00F06375">
            <w:pPr>
              <w:pStyle w:val="Header"/>
              <w:tabs>
                <w:tab w:val="clear" w:pos="4320"/>
                <w:tab w:val="clear" w:pos="8640"/>
                <w:tab w:val="right" w:pos="10080"/>
              </w:tabs>
              <w:jc w:val="right"/>
              <w:rPr>
                <w:rFonts w:ascii="Garamond" w:hAnsi="Garamond"/>
                <w:color w:val="8A041A"/>
                <w:sz w:val="20"/>
                <w:szCs w:val="20"/>
              </w:rPr>
            </w:pPr>
            <w:r w:rsidRPr="00B673C1">
              <w:rPr>
                <w:rFonts w:ascii="Garamond" w:hAnsi="Garamond"/>
                <w:color w:val="8A041A"/>
                <w:sz w:val="20"/>
                <w:szCs w:val="20"/>
              </w:rPr>
              <w:t>Tempe, AZ</w:t>
            </w:r>
            <w:r w:rsidR="00F06375" w:rsidRPr="00B673C1">
              <w:rPr>
                <w:rFonts w:ascii="Garamond" w:hAnsi="Garamond"/>
                <w:color w:val="8A041A"/>
                <w:sz w:val="20"/>
                <w:szCs w:val="20"/>
              </w:rPr>
              <w:t xml:space="preserve"> </w:t>
            </w:r>
            <w:r w:rsidRPr="00B673C1">
              <w:rPr>
                <w:rFonts w:ascii="Garamond" w:hAnsi="Garamond"/>
                <w:color w:val="8A041A"/>
                <w:sz w:val="20"/>
                <w:szCs w:val="20"/>
              </w:rPr>
              <w:t>85</w:t>
            </w:r>
            <w:r w:rsidR="00A4483B" w:rsidRPr="00B673C1">
              <w:rPr>
                <w:rFonts w:ascii="Garamond" w:hAnsi="Garamond"/>
                <w:color w:val="8A041A"/>
                <w:sz w:val="20"/>
                <w:szCs w:val="20"/>
              </w:rPr>
              <w:t>287-1104</w:t>
            </w:r>
          </w:p>
          <w:p w:rsidR="004E2C34" w:rsidRDefault="005126BE" w:rsidP="00F06375">
            <w:pPr>
              <w:pStyle w:val="Header"/>
              <w:tabs>
                <w:tab w:val="clear" w:pos="4320"/>
                <w:tab w:val="clear" w:pos="8640"/>
                <w:tab w:val="right" w:pos="10080"/>
              </w:tabs>
              <w:jc w:val="right"/>
              <w:rPr>
                <w:rFonts w:ascii="Garamond" w:hAnsi="Garamond"/>
                <w:color w:val="8A041A"/>
                <w:sz w:val="20"/>
                <w:szCs w:val="20"/>
              </w:rPr>
            </w:pPr>
            <w:r>
              <w:rPr>
                <w:rFonts w:ascii="Garamond" w:hAnsi="Garamond"/>
                <w:color w:val="8A041A"/>
                <w:sz w:val="20"/>
                <w:szCs w:val="20"/>
              </w:rPr>
              <w:t>Phone (480) 727-9557</w:t>
            </w:r>
          </w:p>
          <w:p w:rsidR="004E2C34" w:rsidRPr="00B673C1" w:rsidRDefault="004E2C34" w:rsidP="00F06375">
            <w:pPr>
              <w:pStyle w:val="Header"/>
              <w:tabs>
                <w:tab w:val="clear" w:pos="4320"/>
                <w:tab w:val="clear" w:pos="8640"/>
                <w:tab w:val="right" w:pos="10080"/>
              </w:tabs>
              <w:jc w:val="right"/>
              <w:rPr>
                <w:rFonts w:ascii="Garamond" w:hAnsi="Garamond"/>
                <w:color w:val="8A041A"/>
                <w:sz w:val="20"/>
                <w:szCs w:val="20"/>
              </w:rPr>
            </w:pPr>
            <w:r>
              <w:rPr>
                <w:rFonts w:ascii="Garamond" w:hAnsi="Garamond"/>
                <w:color w:val="8A041A"/>
                <w:sz w:val="20"/>
                <w:szCs w:val="20"/>
              </w:rPr>
              <w:t>Fax (480) 965-8544</w:t>
            </w:r>
          </w:p>
          <w:p w:rsidR="00B673C1" w:rsidRPr="00B673C1" w:rsidRDefault="00B673C1" w:rsidP="00F06375">
            <w:pPr>
              <w:pStyle w:val="Header"/>
              <w:tabs>
                <w:tab w:val="clear" w:pos="4320"/>
                <w:tab w:val="clear" w:pos="8640"/>
                <w:tab w:val="right" w:pos="10080"/>
              </w:tabs>
              <w:jc w:val="right"/>
              <w:rPr>
                <w:rFonts w:ascii="Garamond" w:hAnsi="Garamond"/>
                <w:color w:val="8A041A"/>
                <w:sz w:val="20"/>
                <w:szCs w:val="20"/>
              </w:rPr>
            </w:pPr>
            <w:r w:rsidRPr="00B673C1">
              <w:rPr>
                <w:rFonts w:ascii="Garamond" w:hAnsi="Garamond"/>
                <w:color w:val="8A041A"/>
                <w:sz w:val="20"/>
                <w:szCs w:val="20"/>
              </w:rPr>
              <w:t>foster.olive@asu.edu</w:t>
            </w:r>
          </w:p>
          <w:p w:rsidR="00F06375" w:rsidRDefault="00F06375" w:rsidP="00B673C1">
            <w:pPr>
              <w:jc w:val="center"/>
            </w:pPr>
          </w:p>
        </w:tc>
      </w:tr>
    </w:tbl>
    <w:p w:rsidR="003858FC" w:rsidRDefault="003858FC">
      <w:pPr>
        <w:rPr>
          <w:rFonts w:cs="Arial"/>
          <w:b/>
          <w:szCs w:val="24"/>
        </w:rPr>
      </w:pPr>
    </w:p>
    <w:p w:rsidR="00631341" w:rsidRDefault="00631341">
      <w:pPr>
        <w:rPr>
          <w:rFonts w:cs="Arial"/>
          <w:b/>
          <w:szCs w:val="24"/>
        </w:rPr>
      </w:pPr>
    </w:p>
    <w:p w:rsidR="00631341" w:rsidRDefault="00631341">
      <w:pPr>
        <w:rPr>
          <w:rFonts w:cs="Arial"/>
          <w:b/>
          <w:szCs w:val="24"/>
        </w:rPr>
      </w:pPr>
    </w:p>
    <w:p w:rsidR="00631341" w:rsidRDefault="00631341">
      <w:pPr>
        <w:rPr>
          <w:rFonts w:cs="Arial"/>
          <w:b/>
          <w:szCs w:val="24"/>
        </w:rPr>
      </w:pPr>
    </w:p>
    <w:p w:rsidR="00631341" w:rsidRPr="00631341" w:rsidRDefault="00631341">
      <w:pPr>
        <w:rPr>
          <w:rFonts w:cs="Arial"/>
          <w:b/>
          <w:sz w:val="24"/>
          <w:szCs w:val="24"/>
        </w:rPr>
      </w:pPr>
    </w:p>
    <w:p w:rsidR="00AF5303" w:rsidRPr="00631341" w:rsidRDefault="00AF5303">
      <w:r w:rsidRPr="00631341">
        <w:t xml:space="preserve">February </w:t>
      </w:r>
      <w:r w:rsidR="00935ADC">
        <w:t>3</w:t>
      </w:r>
      <w:r w:rsidRPr="00631341">
        <w:t>, 2012</w:t>
      </w:r>
    </w:p>
    <w:p w:rsidR="00AF5303" w:rsidRPr="00631341" w:rsidRDefault="00AF5303"/>
    <w:p w:rsidR="00935ADC" w:rsidRDefault="00935ADC" w:rsidP="00F67B7E">
      <w:r>
        <w:t>Editorial Office</w:t>
      </w:r>
    </w:p>
    <w:p w:rsidR="008D1D88" w:rsidRDefault="00935ADC" w:rsidP="00F67B7E">
      <w:r>
        <w:t>Journal of Visualized Experiments</w:t>
      </w:r>
    </w:p>
    <w:p w:rsidR="00935ADC" w:rsidRDefault="00935ADC" w:rsidP="00F67B7E"/>
    <w:p w:rsidR="00935ADC" w:rsidRPr="00631341" w:rsidRDefault="00935ADC" w:rsidP="00F67B7E">
      <w:r>
        <w:t xml:space="preserve">Re: Manuscript </w:t>
      </w:r>
      <w:r w:rsidRPr="00935ADC">
        <w:t>4101</w:t>
      </w:r>
    </w:p>
    <w:p w:rsidR="00631341" w:rsidRPr="00631341" w:rsidRDefault="00631341" w:rsidP="00F67B7E"/>
    <w:p w:rsidR="00AB3593" w:rsidRPr="00631341" w:rsidRDefault="00935ADC" w:rsidP="00AB3593">
      <w:r>
        <w:t>Dear Editorial Office</w:t>
      </w:r>
      <w:r w:rsidR="00AB3593" w:rsidRPr="00631341">
        <w:t>:</w:t>
      </w:r>
    </w:p>
    <w:p w:rsidR="008B69D4" w:rsidRPr="00631341" w:rsidRDefault="008B69D4" w:rsidP="00AB3593"/>
    <w:p w:rsidR="00935ADC" w:rsidRDefault="00935ADC" w:rsidP="00CE7B59">
      <w:pPr>
        <w:pStyle w:val="BodyTextIndent2"/>
        <w:spacing w:after="0" w:line="240" w:lineRule="auto"/>
        <w:ind w:left="0"/>
        <w:jc w:val="both"/>
        <w:rPr>
          <w:szCs w:val="22"/>
        </w:rPr>
      </w:pPr>
      <w:r>
        <w:rPr>
          <w:szCs w:val="22"/>
        </w:rPr>
        <w:t>I am pleased to submit our revised manuscript entitled “</w:t>
      </w:r>
      <w:r w:rsidRPr="00935ADC">
        <w:rPr>
          <w:szCs w:val="22"/>
        </w:rPr>
        <w:t>Enhanced extinction of drug-seeking behavior in rodents by positive allosteric modulation of type 5 m</w:t>
      </w:r>
      <w:r>
        <w:rPr>
          <w:szCs w:val="22"/>
        </w:rPr>
        <w:t>etabotropic glutamate receptors”. We are grateful to the reviewers for their helpful comments, and the manuscript has been revised accordingly.</w:t>
      </w:r>
      <w:r w:rsidR="00A2159D">
        <w:rPr>
          <w:szCs w:val="22"/>
        </w:rPr>
        <w:t xml:space="preserve"> All changes are marked with the tracking function of Microsoft Word.</w:t>
      </w:r>
    </w:p>
    <w:p w:rsidR="00935ADC" w:rsidRDefault="00935ADC" w:rsidP="00CE7B59">
      <w:pPr>
        <w:pStyle w:val="BodyTextIndent2"/>
        <w:spacing w:after="0" w:line="240" w:lineRule="auto"/>
        <w:ind w:left="0"/>
        <w:jc w:val="both"/>
        <w:rPr>
          <w:szCs w:val="22"/>
        </w:rPr>
      </w:pPr>
    </w:p>
    <w:p w:rsidR="00AB3593" w:rsidRPr="00935ADC" w:rsidRDefault="00935ADC" w:rsidP="00AB3593">
      <w:r w:rsidRPr="00935ADC">
        <w:t>In addition to the revisions requested by the reviewers</w:t>
      </w:r>
      <w:r w:rsidR="00A2159D">
        <w:t xml:space="preserve"> that are detailed below</w:t>
      </w:r>
      <w:r w:rsidRPr="00935ADC">
        <w:t>, please note that we have made two other changes to the manuscript. First, we have improved the wording of the</w:t>
      </w:r>
      <w:r>
        <w:t xml:space="preserve"> title of</w:t>
      </w:r>
      <w:r w:rsidRPr="00935ADC">
        <w:t xml:space="preserve"> manuscript. Second</w:t>
      </w:r>
      <w:r>
        <w:t xml:space="preserve">, the original first author of the manuscript, Richard </w:t>
      </w:r>
      <w:proofErr w:type="spellStart"/>
      <w:r>
        <w:t>Cleva</w:t>
      </w:r>
      <w:proofErr w:type="spellEnd"/>
      <w:r>
        <w:t>, has resigned from his graduate program here at ASU and was thus unable to contribute to this manuscript</w:t>
      </w:r>
      <w:r w:rsidR="00ED69F2">
        <w:t xml:space="preserve"> other than assistance in writing of the first draft</w:t>
      </w:r>
      <w:r>
        <w:t>.</w:t>
      </w:r>
      <w:r w:rsidR="00A2159D">
        <w:t xml:space="preserve"> Attempts to contact him have been unsuccessful, and therefore h</w:t>
      </w:r>
      <w:r w:rsidR="00A8623B">
        <w:t>is name has</w:t>
      </w:r>
      <w:r>
        <w:t xml:space="preserve"> therefore</w:t>
      </w:r>
      <w:r w:rsidR="00A8623B">
        <w:t xml:space="preserve"> been</w:t>
      </w:r>
      <w:r>
        <w:t xml:space="preserve"> </w:t>
      </w:r>
      <w:r w:rsidR="00A8623B">
        <w:t>removed from the list of authors</w:t>
      </w:r>
      <w:r w:rsidR="00A2159D">
        <w:t>. A</w:t>
      </w:r>
      <w:r>
        <w:t xml:space="preserve">nother graduate student in my lab, Candace Lewis, </w:t>
      </w:r>
      <w:r w:rsidR="00A8623B">
        <w:t>has completed the manuscript and will participate in the filmed portion of this submission. Richard’s contributions to the first draft of the manuscript have been placed in the Acknowledgements section.</w:t>
      </w:r>
    </w:p>
    <w:p w:rsidR="00935ADC" w:rsidRPr="00935ADC" w:rsidRDefault="00935ADC" w:rsidP="00AB3593"/>
    <w:p w:rsidR="00935ADC" w:rsidRPr="00935ADC" w:rsidRDefault="00935ADC" w:rsidP="00AB3593">
      <w:r w:rsidRPr="00935ADC">
        <w:t>Please do not hesitate to contact me if you have any questions about the revised manuscript.</w:t>
      </w:r>
    </w:p>
    <w:p w:rsidR="00935ADC" w:rsidRPr="00631341" w:rsidRDefault="00935ADC" w:rsidP="00AB3593">
      <w:pPr>
        <w:rPr>
          <w:sz w:val="24"/>
        </w:rPr>
      </w:pPr>
    </w:p>
    <w:p w:rsidR="000E5356" w:rsidRPr="00631341" w:rsidRDefault="000E5356" w:rsidP="000E5356">
      <w:pPr>
        <w:rPr>
          <w:szCs w:val="22"/>
        </w:rPr>
      </w:pPr>
      <w:r w:rsidRPr="00631341">
        <w:rPr>
          <w:szCs w:val="22"/>
        </w:rPr>
        <w:t>Sincerely,</w:t>
      </w:r>
    </w:p>
    <w:p w:rsidR="00631341" w:rsidRDefault="00631341" w:rsidP="000E5356">
      <w:pPr>
        <w:rPr>
          <w:noProof/>
          <w:sz w:val="24"/>
          <w:szCs w:val="22"/>
        </w:rPr>
      </w:pPr>
    </w:p>
    <w:p w:rsidR="00A8623B" w:rsidRPr="00631341" w:rsidRDefault="00A8623B" w:rsidP="000E5356">
      <w:pPr>
        <w:rPr>
          <w:noProof/>
          <w:sz w:val="24"/>
          <w:szCs w:val="22"/>
        </w:rPr>
      </w:pPr>
      <w:r>
        <w:rPr>
          <w:noProof/>
          <w:sz w:val="24"/>
          <w:szCs w:val="22"/>
        </w:rPr>
        <w:drawing>
          <wp:inline distT="0" distB="0" distL="0" distR="0">
            <wp:extent cx="1171575" cy="5568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7688" cy="559789"/>
                    </a:xfrm>
                    <a:prstGeom prst="rect">
                      <a:avLst/>
                    </a:prstGeom>
                  </pic:spPr>
                </pic:pic>
              </a:graphicData>
            </a:graphic>
          </wp:inline>
        </w:drawing>
      </w:r>
    </w:p>
    <w:p w:rsidR="00631341" w:rsidRPr="00631341" w:rsidRDefault="00631341" w:rsidP="000E5356">
      <w:pPr>
        <w:rPr>
          <w:sz w:val="24"/>
          <w:szCs w:val="22"/>
        </w:rPr>
      </w:pPr>
    </w:p>
    <w:p w:rsidR="000E5356" w:rsidRPr="00631341" w:rsidRDefault="000E5356" w:rsidP="000E5356">
      <w:pPr>
        <w:rPr>
          <w:szCs w:val="22"/>
        </w:rPr>
      </w:pPr>
      <w:r w:rsidRPr="00631341">
        <w:rPr>
          <w:szCs w:val="22"/>
        </w:rPr>
        <w:t xml:space="preserve">M. Foster Olive, Ph.D. </w:t>
      </w:r>
    </w:p>
    <w:p w:rsidR="00935ADC" w:rsidRDefault="00935ADC" w:rsidP="00A4483B">
      <w:pPr>
        <w:rPr>
          <w:szCs w:val="22"/>
        </w:rPr>
      </w:pPr>
    </w:p>
    <w:p w:rsidR="00935ADC" w:rsidRDefault="00935ADC" w:rsidP="00A4483B">
      <w:pPr>
        <w:rPr>
          <w:szCs w:val="22"/>
        </w:rPr>
      </w:pPr>
    </w:p>
    <w:p w:rsidR="00A8623B" w:rsidRDefault="00A8623B" w:rsidP="00A4483B">
      <w:pPr>
        <w:rPr>
          <w:szCs w:val="22"/>
        </w:rPr>
      </w:pPr>
    </w:p>
    <w:p w:rsidR="00A8623B" w:rsidRDefault="00A8623B" w:rsidP="00A4483B">
      <w:pPr>
        <w:rPr>
          <w:szCs w:val="22"/>
        </w:rPr>
      </w:pPr>
    </w:p>
    <w:p w:rsidR="00935ADC" w:rsidRDefault="00935ADC" w:rsidP="00A4483B">
      <w:pPr>
        <w:rPr>
          <w:szCs w:val="22"/>
        </w:rPr>
      </w:pPr>
    </w:p>
    <w:p w:rsidR="00A8623B" w:rsidRPr="00A8623B" w:rsidRDefault="00A8623B" w:rsidP="00935ADC">
      <w:pPr>
        <w:rPr>
          <w:b/>
          <w:szCs w:val="22"/>
          <w:u w:val="single"/>
        </w:rPr>
      </w:pPr>
      <w:r w:rsidRPr="00A8623B">
        <w:rPr>
          <w:b/>
          <w:szCs w:val="22"/>
          <w:u w:val="single"/>
        </w:rPr>
        <w:t>Responses to reviewer comments</w:t>
      </w:r>
    </w:p>
    <w:p w:rsidR="00A8623B" w:rsidRDefault="00A8623B" w:rsidP="00935ADC">
      <w:pPr>
        <w:rPr>
          <w:szCs w:val="22"/>
        </w:rPr>
      </w:pPr>
    </w:p>
    <w:p w:rsidR="00935ADC" w:rsidRPr="00A8623B" w:rsidRDefault="00A8623B" w:rsidP="00935ADC">
      <w:pPr>
        <w:rPr>
          <w:b/>
          <w:szCs w:val="22"/>
        </w:rPr>
      </w:pPr>
      <w:r w:rsidRPr="00A8623B">
        <w:rPr>
          <w:b/>
          <w:szCs w:val="22"/>
        </w:rPr>
        <w:t>Reviewer #1</w:t>
      </w:r>
    </w:p>
    <w:p w:rsidR="00A8623B" w:rsidRDefault="00A8623B" w:rsidP="00935ADC">
      <w:pPr>
        <w:rPr>
          <w:szCs w:val="22"/>
        </w:rPr>
      </w:pPr>
    </w:p>
    <w:p w:rsidR="00A8623B" w:rsidRPr="00EE7732" w:rsidRDefault="00A8623B" w:rsidP="00935ADC">
      <w:pPr>
        <w:rPr>
          <w:szCs w:val="22"/>
          <w:u w:val="single"/>
        </w:rPr>
      </w:pPr>
      <w:r w:rsidRPr="00EE7732">
        <w:rPr>
          <w:szCs w:val="22"/>
          <w:u w:val="single"/>
        </w:rPr>
        <w:t>Major Concerns</w:t>
      </w:r>
    </w:p>
    <w:p w:rsidR="00935ADC" w:rsidRDefault="00935ADC" w:rsidP="00935ADC">
      <w:pPr>
        <w:rPr>
          <w:szCs w:val="22"/>
        </w:rPr>
      </w:pPr>
      <w:r w:rsidRPr="00935ADC">
        <w:rPr>
          <w:szCs w:val="22"/>
        </w:rPr>
        <w:t>1)</w:t>
      </w:r>
      <w:r w:rsidR="00A8623B">
        <w:rPr>
          <w:szCs w:val="22"/>
        </w:rPr>
        <w:t xml:space="preserve"> </w:t>
      </w:r>
      <w:r w:rsidRPr="00935ADC">
        <w:rPr>
          <w:szCs w:val="22"/>
        </w:rPr>
        <w:t>At what dose was CDPPB tested, and what was the rationale for using that dose? Additionally, what was the pretreatment period for CDPPB administration in the extinction tests?</w:t>
      </w:r>
    </w:p>
    <w:p w:rsidR="00A8623B" w:rsidRDefault="00A8623B" w:rsidP="00935ADC">
      <w:pPr>
        <w:rPr>
          <w:szCs w:val="22"/>
        </w:rPr>
      </w:pPr>
    </w:p>
    <w:p w:rsidR="00A8623B" w:rsidRPr="00A8623B" w:rsidRDefault="00A8623B" w:rsidP="00935ADC">
      <w:pPr>
        <w:rPr>
          <w:i/>
          <w:szCs w:val="22"/>
        </w:rPr>
      </w:pPr>
      <w:r w:rsidRPr="00A8623B">
        <w:rPr>
          <w:i/>
          <w:szCs w:val="22"/>
        </w:rPr>
        <w:t>Response: The dose</w:t>
      </w:r>
      <w:r w:rsidR="00BB419B">
        <w:rPr>
          <w:i/>
          <w:szCs w:val="22"/>
        </w:rPr>
        <w:t>, pretreatment time,</w:t>
      </w:r>
      <w:r w:rsidRPr="00A8623B">
        <w:rPr>
          <w:i/>
          <w:szCs w:val="22"/>
        </w:rPr>
        <w:t xml:space="preserve"> and corresponding rationale have been </w:t>
      </w:r>
      <w:r w:rsidR="00BB419B">
        <w:rPr>
          <w:i/>
          <w:szCs w:val="22"/>
        </w:rPr>
        <w:t>added to section 4.2.</w:t>
      </w:r>
    </w:p>
    <w:p w:rsidR="00935ADC" w:rsidRPr="00935ADC" w:rsidRDefault="00935ADC" w:rsidP="00935ADC">
      <w:pPr>
        <w:rPr>
          <w:szCs w:val="22"/>
        </w:rPr>
      </w:pPr>
    </w:p>
    <w:p w:rsidR="00935ADC" w:rsidRPr="00935ADC" w:rsidRDefault="00A8623B" w:rsidP="00935ADC">
      <w:pPr>
        <w:rPr>
          <w:szCs w:val="22"/>
        </w:rPr>
      </w:pPr>
      <w:r>
        <w:rPr>
          <w:szCs w:val="22"/>
        </w:rPr>
        <w:t xml:space="preserve">2) </w:t>
      </w:r>
      <w:r w:rsidR="00935ADC" w:rsidRPr="00935ADC">
        <w:rPr>
          <w:szCs w:val="22"/>
        </w:rPr>
        <w:t>The Discussion could be significantly bolstered by including the following:</w:t>
      </w:r>
    </w:p>
    <w:p w:rsidR="00935ADC" w:rsidRPr="00935ADC" w:rsidRDefault="00935ADC" w:rsidP="00935ADC">
      <w:pPr>
        <w:rPr>
          <w:szCs w:val="22"/>
        </w:rPr>
      </w:pPr>
    </w:p>
    <w:p w:rsidR="00935ADC" w:rsidRDefault="00935ADC" w:rsidP="00935ADC">
      <w:pPr>
        <w:rPr>
          <w:szCs w:val="22"/>
        </w:rPr>
      </w:pPr>
      <w:r w:rsidRPr="00935ADC">
        <w:rPr>
          <w:szCs w:val="22"/>
        </w:rPr>
        <w:t>a.</w:t>
      </w:r>
      <w:r w:rsidR="00A8623B">
        <w:rPr>
          <w:szCs w:val="22"/>
        </w:rPr>
        <w:t xml:space="preserve"> </w:t>
      </w:r>
      <w:r w:rsidRPr="00935ADC">
        <w:rPr>
          <w:szCs w:val="22"/>
        </w:rPr>
        <w:t xml:space="preserve">Alternative methods to intravenous self-administration (i.e., conditioned place-preference) to test the effects of CDPPB on extinction learning, and under what context would the alternative method(s) </w:t>
      </w:r>
      <w:proofErr w:type="gramStart"/>
      <w:r w:rsidRPr="00935ADC">
        <w:rPr>
          <w:szCs w:val="22"/>
        </w:rPr>
        <w:t>be</w:t>
      </w:r>
      <w:proofErr w:type="gramEnd"/>
      <w:r w:rsidRPr="00935ADC">
        <w:rPr>
          <w:szCs w:val="22"/>
        </w:rPr>
        <w:t xml:space="preserve"> adequately employed.</w:t>
      </w:r>
    </w:p>
    <w:p w:rsidR="00BB419B" w:rsidRDefault="00BB419B" w:rsidP="00935ADC">
      <w:pPr>
        <w:rPr>
          <w:szCs w:val="22"/>
        </w:rPr>
      </w:pPr>
    </w:p>
    <w:p w:rsidR="00BB419B" w:rsidRPr="00935ADC" w:rsidRDefault="00BB419B" w:rsidP="00935ADC">
      <w:pPr>
        <w:rPr>
          <w:szCs w:val="22"/>
        </w:rPr>
      </w:pPr>
      <w:r w:rsidRPr="00BB419B">
        <w:rPr>
          <w:i/>
          <w:szCs w:val="22"/>
        </w:rPr>
        <w:t xml:space="preserve">Response: </w:t>
      </w:r>
      <w:r>
        <w:rPr>
          <w:i/>
          <w:szCs w:val="22"/>
        </w:rPr>
        <w:t>A brief discussion of potential uses of CDPPB for assessing effects on other forms of addiction-related learning, such as conditioned place preference, has been added to the Discussion section.</w:t>
      </w:r>
    </w:p>
    <w:p w:rsidR="00935ADC" w:rsidRPr="00935ADC" w:rsidRDefault="00935ADC" w:rsidP="00935ADC">
      <w:pPr>
        <w:rPr>
          <w:szCs w:val="22"/>
        </w:rPr>
      </w:pPr>
    </w:p>
    <w:p w:rsidR="00935ADC" w:rsidRDefault="00935ADC" w:rsidP="00935ADC">
      <w:pPr>
        <w:rPr>
          <w:szCs w:val="22"/>
        </w:rPr>
      </w:pPr>
      <w:r w:rsidRPr="00935ADC">
        <w:rPr>
          <w:szCs w:val="22"/>
        </w:rPr>
        <w:t>b.</w:t>
      </w:r>
      <w:r w:rsidR="00A8623B">
        <w:rPr>
          <w:szCs w:val="22"/>
        </w:rPr>
        <w:t xml:space="preserve"> </w:t>
      </w:r>
      <w:r w:rsidRPr="00935ADC">
        <w:rPr>
          <w:szCs w:val="22"/>
        </w:rPr>
        <w:t>If mGluR5 agonists can potentiate extinction learning, could the authors speculate as to the treatment target potential of mGluR5 antagonist as a means to disrupt acquisition of cocaine self-administration?</w:t>
      </w:r>
    </w:p>
    <w:p w:rsidR="00BB419B" w:rsidRDefault="00BB419B" w:rsidP="00935ADC">
      <w:pPr>
        <w:rPr>
          <w:szCs w:val="22"/>
        </w:rPr>
      </w:pPr>
    </w:p>
    <w:p w:rsidR="00BB419B" w:rsidRPr="00BB419B" w:rsidRDefault="00BB419B" w:rsidP="00BB419B">
      <w:pPr>
        <w:rPr>
          <w:szCs w:val="22"/>
        </w:rPr>
      </w:pPr>
      <w:r w:rsidRPr="00BB419B">
        <w:rPr>
          <w:i/>
          <w:szCs w:val="22"/>
        </w:rPr>
        <w:t xml:space="preserve">Response: </w:t>
      </w:r>
      <w:r>
        <w:rPr>
          <w:i/>
          <w:szCs w:val="22"/>
        </w:rPr>
        <w:t>The reviewer brings up an excellent point</w:t>
      </w:r>
      <w:r w:rsidR="00A2159D">
        <w:rPr>
          <w:i/>
          <w:szCs w:val="22"/>
        </w:rPr>
        <w:t>. Indeed t</w:t>
      </w:r>
      <w:r>
        <w:rPr>
          <w:i/>
          <w:szCs w:val="22"/>
        </w:rPr>
        <w:t xml:space="preserve">here appear to be </w:t>
      </w:r>
      <w:r w:rsidR="00A2159D">
        <w:rPr>
          <w:i/>
          <w:szCs w:val="22"/>
        </w:rPr>
        <w:t>dichotomous</w:t>
      </w:r>
      <w:r>
        <w:rPr>
          <w:i/>
          <w:szCs w:val="22"/>
        </w:rPr>
        <w:t xml:space="preserve"> effects of mGluR5 </w:t>
      </w:r>
      <w:r w:rsidR="00A2159D">
        <w:rPr>
          <w:i/>
          <w:szCs w:val="22"/>
        </w:rPr>
        <w:t xml:space="preserve">ligands on addiction-related behaviors – that is, mGluR5 </w:t>
      </w:r>
      <w:r>
        <w:rPr>
          <w:i/>
          <w:szCs w:val="22"/>
        </w:rPr>
        <w:t xml:space="preserve">antagonists (negative allosteric modulators) </w:t>
      </w:r>
      <w:r w:rsidR="00A2159D">
        <w:rPr>
          <w:i/>
          <w:szCs w:val="22"/>
        </w:rPr>
        <w:t>attenuate</w:t>
      </w:r>
      <w:r>
        <w:rPr>
          <w:i/>
          <w:szCs w:val="22"/>
        </w:rPr>
        <w:t xml:space="preserve"> drug self-administration and reinstatement, </w:t>
      </w:r>
      <w:r w:rsidR="00A2159D">
        <w:rPr>
          <w:i/>
          <w:szCs w:val="22"/>
        </w:rPr>
        <w:t>whereas</w:t>
      </w:r>
      <w:r>
        <w:rPr>
          <w:i/>
          <w:szCs w:val="22"/>
        </w:rPr>
        <w:t xml:space="preserve"> mGluR5 positive allosteric modulators</w:t>
      </w:r>
      <w:r w:rsidR="00A2159D">
        <w:rPr>
          <w:i/>
          <w:szCs w:val="22"/>
        </w:rPr>
        <w:t xml:space="preserve"> facilitate</w:t>
      </w:r>
      <w:r>
        <w:rPr>
          <w:i/>
          <w:szCs w:val="22"/>
        </w:rPr>
        <w:t xml:space="preserve"> extinction learning. We have added several statements </w:t>
      </w:r>
      <w:r w:rsidR="00A2159D">
        <w:rPr>
          <w:i/>
          <w:szCs w:val="22"/>
        </w:rPr>
        <w:t>to the Discussion section</w:t>
      </w:r>
      <w:r w:rsidR="00A2159D">
        <w:rPr>
          <w:i/>
          <w:szCs w:val="22"/>
        </w:rPr>
        <w:t xml:space="preserve"> </w:t>
      </w:r>
      <w:r>
        <w:rPr>
          <w:i/>
          <w:szCs w:val="22"/>
        </w:rPr>
        <w:t>regarding implications of the</w:t>
      </w:r>
      <w:r w:rsidR="00A2159D">
        <w:rPr>
          <w:i/>
          <w:szCs w:val="22"/>
        </w:rPr>
        <w:t xml:space="preserve"> differential effects of mGluR5 PAMs and NAMs </w:t>
      </w:r>
      <w:r>
        <w:rPr>
          <w:i/>
          <w:szCs w:val="22"/>
        </w:rPr>
        <w:t>for</w:t>
      </w:r>
      <w:r w:rsidR="00A2159D">
        <w:rPr>
          <w:i/>
          <w:szCs w:val="22"/>
        </w:rPr>
        <w:t xml:space="preserve"> the</w:t>
      </w:r>
      <w:r>
        <w:rPr>
          <w:i/>
          <w:szCs w:val="22"/>
        </w:rPr>
        <w:t xml:space="preserve"> treatment</w:t>
      </w:r>
      <w:r w:rsidR="00A2159D">
        <w:rPr>
          <w:i/>
          <w:szCs w:val="22"/>
        </w:rPr>
        <w:t xml:space="preserve"> of addiction</w:t>
      </w:r>
      <w:r>
        <w:rPr>
          <w:i/>
          <w:szCs w:val="22"/>
        </w:rPr>
        <w:t xml:space="preserve">. </w:t>
      </w:r>
    </w:p>
    <w:p w:rsidR="00BB419B" w:rsidRPr="00935ADC" w:rsidRDefault="00BB419B" w:rsidP="00935ADC">
      <w:pPr>
        <w:rPr>
          <w:szCs w:val="22"/>
        </w:rPr>
      </w:pPr>
    </w:p>
    <w:p w:rsidR="00935ADC" w:rsidRDefault="00935ADC" w:rsidP="00935ADC">
      <w:pPr>
        <w:rPr>
          <w:szCs w:val="22"/>
        </w:rPr>
      </w:pPr>
      <w:r w:rsidRPr="00935ADC">
        <w:rPr>
          <w:szCs w:val="22"/>
        </w:rPr>
        <w:t>c.</w:t>
      </w:r>
      <w:r w:rsidR="00A8623B">
        <w:rPr>
          <w:szCs w:val="22"/>
        </w:rPr>
        <w:t xml:space="preserve"> </w:t>
      </w:r>
      <w:r w:rsidRPr="00935ADC">
        <w:rPr>
          <w:szCs w:val="22"/>
        </w:rPr>
        <w:t>How would extinction responding be affected over time following termination of CDPPB treatment?</w:t>
      </w:r>
    </w:p>
    <w:p w:rsidR="00BB419B" w:rsidRDefault="00BB419B" w:rsidP="00935ADC">
      <w:pPr>
        <w:rPr>
          <w:szCs w:val="22"/>
        </w:rPr>
      </w:pPr>
    </w:p>
    <w:p w:rsidR="00BB419B" w:rsidRPr="00BB419B" w:rsidRDefault="00BB419B" w:rsidP="00BB419B">
      <w:pPr>
        <w:rPr>
          <w:szCs w:val="22"/>
        </w:rPr>
      </w:pPr>
      <w:r w:rsidRPr="00BB419B">
        <w:rPr>
          <w:i/>
          <w:szCs w:val="22"/>
        </w:rPr>
        <w:t>Response: The review</w:t>
      </w:r>
      <w:r>
        <w:rPr>
          <w:i/>
          <w:szCs w:val="22"/>
        </w:rPr>
        <w:t>er brings up an excellent point. It is currently unknown whether or not spontaneous recovery</w:t>
      </w:r>
      <w:r w:rsidR="00A2159D">
        <w:rPr>
          <w:i/>
          <w:szCs w:val="22"/>
        </w:rPr>
        <w:t xml:space="preserve"> of lever pressing</w:t>
      </w:r>
      <w:r>
        <w:rPr>
          <w:i/>
          <w:szCs w:val="22"/>
        </w:rPr>
        <w:t xml:space="preserve"> occurs following cessation of CDPPB treatment. This is a topic for future studies, and a statement to this effect has been added to the Discussion.</w:t>
      </w:r>
      <w:r w:rsidRPr="00BB419B">
        <w:rPr>
          <w:i/>
          <w:szCs w:val="22"/>
        </w:rPr>
        <w:t xml:space="preserve"> </w:t>
      </w:r>
    </w:p>
    <w:p w:rsidR="00935ADC" w:rsidRPr="00935ADC" w:rsidRDefault="00935ADC" w:rsidP="00935ADC">
      <w:pPr>
        <w:rPr>
          <w:szCs w:val="22"/>
        </w:rPr>
      </w:pPr>
    </w:p>
    <w:p w:rsidR="00935ADC" w:rsidRDefault="00935ADC" w:rsidP="00935ADC">
      <w:pPr>
        <w:rPr>
          <w:szCs w:val="22"/>
        </w:rPr>
      </w:pPr>
      <w:r w:rsidRPr="00935ADC">
        <w:rPr>
          <w:szCs w:val="22"/>
        </w:rPr>
        <w:t>d.</w:t>
      </w:r>
      <w:r w:rsidR="00A8623B">
        <w:rPr>
          <w:szCs w:val="22"/>
        </w:rPr>
        <w:t xml:space="preserve"> </w:t>
      </w:r>
      <w:r w:rsidRPr="00935ADC">
        <w:rPr>
          <w:szCs w:val="22"/>
        </w:rPr>
        <w:t>How would CDPPB affect extinction responding in animals that have previously had a longer history of cocaine self-administration (e.g., cocaine escalated vs. non-escalated rats)?</w:t>
      </w:r>
    </w:p>
    <w:p w:rsidR="00BB419B" w:rsidRDefault="00BB419B" w:rsidP="00935ADC">
      <w:pPr>
        <w:rPr>
          <w:szCs w:val="22"/>
        </w:rPr>
      </w:pPr>
    </w:p>
    <w:p w:rsidR="00BB419B" w:rsidRPr="00935ADC" w:rsidRDefault="00BB419B" w:rsidP="00935ADC">
      <w:pPr>
        <w:rPr>
          <w:szCs w:val="22"/>
        </w:rPr>
      </w:pPr>
      <w:r w:rsidRPr="00BB419B">
        <w:rPr>
          <w:i/>
          <w:szCs w:val="22"/>
        </w:rPr>
        <w:t xml:space="preserve">Response: </w:t>
      </w:r>
      <w:r>
        <w:rPr>
          <w:i/>
          <w:szCs w:val="22"/>
        </w:rPr>
        <w:t xml:space="preserve">This is an excellent </w:t>
      </w:r>
      <w:r w:rsidRPr="00BB419B">
        <w:rPr>
          <w:i/>
          <w:szCs w:val="22"/>
        </w:rPr>
        <w:t>point</w:t>
      </w:r>
      <w:r>
        <w:rPr>
          <w:i/>
          <w:szCs w:val="22"/>
        </w:rPr>
        <w:t xml:space="preserve"> which addresses a concept that has not yet been explored and is a topic </w:t>
      </w:r>
      <w:r w:rsidR="00A2159D">
        <w:rPr>
          <w:i/>
          <w:szCs w:val="22"/>
        </w:rPr>
        <w:t>for</w:t>
      </w:r>
      <w:r>
        <w:rPr>
          <w:i/>
          <w:szCs w:val="22"/>
        </w:rPr>
        <w:t xml:space="preserve"> future studies.</w:t>
      </w:r>
      <w:r w:rsidRPr="00BB419B">
        <w:rPr>
          <w:i/>
          <w:szCs w:val="22"/>
        </w:rPr>
        <w:t xml:space="preserve"> </w:t>
      </w:r>
      <w:r>
        <w:rPr>
          <w:i/>
          <w:szCs w:val="22"/>
        </w:rPr>
        <w:t>A</w:t>
      </w:r>
      <w:r w:rsidRPr="00BB419B">
        <w:rPr>
          <w:i/>
          <w:szCs w:val="22"/>
        </w:rPr>
        <w:t xml:space="preserve"> statement </w:t>
      </w:r>
      <w:r w:rsidR="00A2159D">
        <w:rPr>
          <w:i/>
          <w:szCs w:val="22"/>
        </w:rPr>
        <w:t>regarding</w:t>
      </w:r>
      <w:r w:rsidRPr="00BB419B">
        <w:rPr>
          <w:i/>
          <w:szCs w:val="22"/>
        </w:rPr>
        <w:t xml:space="preserve"> this has been added to the Discussion</w:t>
      </w:r>
      <w:r>
        <w:rPr>
          <w:i/>
          <w:szCs w:val="22"/>
        </w:rPr>
        <w:t>.</w:t>
      </w:r>
    </w:p>
    <w:p w:rsidR="00935ADC" w:rsidRPr="00935ADC" w:rsidRDefault="00935ADC" w:rsidP="00935ADC">
      <w:pPr>
        <w:rPr>
          <w:szCs w:val="22"/>
        </w:rPr>
      </w:pPr>
    </w:p>
    <w:p w:rsidR="00935ADC" w:rsidRDefault="00935ADC" w:rsidP="00935ADC">
      <w:pPr>
        <w:rPr>
          <w:szCs w:val="22"/>
          <w:u w:val="single"/>
        </w:rPr>
      </w:pPr>
      <w:r w:rsidRPr="00EE7732">
        <w:rPr>
          <w:szCs w:val="22"/>
          <w:u w:val="single"/>
        </w:rPr>
        <w:t>Minor Concerns</w:t>
      </w:r>
    </w:p>
    <w:p w:rsidR="00EE7732" w:rsidRPr="00EE7732" w:rsidRDefault="00EE7732" w:rsidP="00935ADC">
      <w:pPr>
        <w:rPr>
          <w:szCs w:val="22"/>
          <w:u w:val="single"/>
        </w:rPr>
      </w:pPr>
    </w:p>
    <w:p w:rsidR="00935ADC" w:rsidRDefault="00935ADC" w:rsidP="00935ADC">
      <w:pPr>
        <w:rPr>
          <w:szCs w:val="22"/>
        </w:rPr>
      </w:pPr>
      <w:r w:rsidRPr="00935ADC">
        <w:rPr>
          <w:szCs w:val="22"/>
        </w:rPr>
        <w:t>1.</w:t>
      </w:r>
      <w:r w:rsidR="00EE7732">
        <w:rPr>
          <w:szCs w:val="22"/>
        </w:rPr>
        <w:t xml:space="preserve"> </w:t>
      </w:r>
      <w:r w:rsidRPr="00935ADC">
        <w:rPr>
          <w:szCs w:val="22"/>
        </w:rPr>
        <w:t xml:space="preserve">In 2.10, please suggest what should be done with rats that have lost their catheter patency. In addition, please indicate possible signs of suspicion to the possible loss of catheter patency (e.g., in consistent self-administration patterns seen in individual </w:t>
      </w:r>
      <w:proofErr w:type="spellStart"/>
      <w:r w:rsidRPr="00935ADC">
        <w:rPr>
          <w:szCs w:val="22"/>
        </w:rPr>
        <w:t>esterlines</w:t>
      </w:r>
      <w:proofErr w:type="spellEnd"/>
      <w:r w:rsidRPr="00935ADC">
        <w:rPr>
          <w:szCs w:val="22"/>
        </w:rPr>
        <w:t xml:space="preserve"> etc…).</w:t>
      </w:r>
    </w:p>
    <w:p w:rsidR="00BB419B" w:rsidRDefault="00BB419B" w:rsidP="00935ADC">
      <w:pPr>
        <w:rPr>
          <w:szCs w:val="22"/>
        </w:rPr>
      </w:pPr>
    </w:p>
    <w:p w:rsidR="00BB419B" w:rsidRPr="00935ADC" w:rsidRDefault="00BB419B" w:rsidP="00935ADC">
      <w:pPr>
        <w:rPr>
          <w:szCs w:val="22"/>
        </w:rPr>
      </w:pPr>
      <w:r w:rsidRPr="00BB419B">
        <w:rPr>
          <w:i/>
          <w:szCs w:val="22"/>
        </w:rPr>
        <w:t xml:space="preserve">Response: </w:t>
      </w:r>
      <w:r>
        <w:rPr>
          <w:i/>
          <w:szCs w:val="22"/>
        </w:rPr>
        <w:t xml:space="preserve">Signs of loss of catheter patency and </w:t>
      </w:r>
      <w:r w:rsidR="00EE7732">
        <w:rPr>
          <w:i/>
          <w:szCs w:val="22"/>
        </w:rPr>
        <w:t>potential remedies have been added to this section.</w:t>
      </w:r>
    </w:p>
    <w:p w:rsidR="00935ADC" w:rsidRPr="00935ADC" w:rsidRDefault="00935ADC" w:rsidP="00935ADC">
      <w:pPr>
        <w:rPr>
          <w:szCs w:val="22"/>
        </w:rPr>
      </w:pPr>
    </w:p>
    <w:p w:rsidR="00935ADC" w:rsidRDefault="00EE7732" w:rsidP="00935ADC">
      <w:pPr>
        <w:rPr>
          <w:szCs w:val="22"/>
        </w:rPr>
      </w:pPr>
      <w:r>
        <w:rPr>
          <w:szCs w:val="22"/>
        </w:rPr>
        <w:t xml:space="preserve">2. </w:t>
      </w:r>
      <w:proofErr w:type="gramStart"/>
      <w:r w:rsidR="00935ADC" w:rsidRPr="00935ADC">
        <w:rPr>
          <w:szCs w:val="22"/>
        </w:rPr>
        <w:t>In</w:t>
      </w:r>
      <w:proofErr w:type="gramEnd"/>
      <w:r w:rsidR="00935ADC" w:rsidRPr="00935ADC">
        <w:rPr>
          <w:szCs w:val="22"/>
        </w:rPr>
        <w:t xml:space="preserve"> 3.1, is the 20 s time-out signaled by anything (i.e., a cue light, tone etc…)?</w:t>
      </w:r>
    </w:p>
    <w:p w:rsidR="00EE7732" w:rsidRDefault="00EE7732" w:rsidP="00935ADC">
      <w:pPr>
        <w:rPr>
          <w:szCs w:val="22"/>
        </w:rPr>
      </w:pPr>
    </w:p>
    <w:p w:rsidR="00EE7732" w:rsidRPr="00EE7732" w:rsidRDefault="00EE7732" w:rsidP="00EE7732">
      <w:pPr>
        <w:rPr>
          <w:szCs w:val="22"/>
        </w:rPr>
      </w:pPr>
      <w:r w:rsidRPr="00EE7732">
        <w:rPr>
          <w:i/>
          <w:szCs w:val="22"/>
        </w:rPr>
        <w:t xml:space="preserve">Response: </w:t>
      </w:r>
      <w:r>
        <w:rPr>
          <w:i/>
          <w:szCs w:val="22"/>
        </w:rPr>
        <w:t xml:space="preserve">In our studies, the time out period is not associated with a discrete </w:t>
      </w:r>
      <w:proofErr w:type="gramStart"/>
      <w:r>
        <w:rPr>
          <w:i/>
          <w:szCs w:val="22"/>
        </w:rPr>
        <w:t>cue,</w:t>
      </w:r>
      <w:proofErr w:type="gramEnd"/>
      <w:r>
        <w:rPr>
          <w:i/>
          <w:szCs w:val="22"/>
        </w:rPr>
        <w:t xml:space="preserve"> although other investigators </w:t>
      </w:r>
      <w:r w:rsidR="00A2159D">
        <w:rPr>
          <w:i/>
          <w:szCs w:val="22"/>
        </w:rPr>
        <w:t>may wish</w:t>
      </w:r>
      <w:r>
        <w:rPr>
          <w:i/>
          <w:szCs w:val="22"/>
        </w:rPr>
        <w:t xml:space="preserve"> employ a drug non-availability cue. A statement on this topic has been added</w:t>
      </w:r>
      <w:r w:rsidRPr="00EE7732">
        <w:rPr>
          <w:i/>
          <w:szCs w:val="22"/>
        </w:rPr>
        <w:t>.</w:t>
      </w:r>
    </w:p>
    <w:p w:rsidR="00935ADC" w:rsidRPr="00935ADC" w:rsidRDefault="00935ADC" w:rsidP="00935ADC">
      <w:pPr>
        <w:rPr>
          <w:szCs w:val="22"/>
        </w:rPr>
      </w:pPr>
    </w:p>
    <w:p w:rsidR="00935ADC" w:rsidRDefault="00935ADC" w:rsidP="00935ADC">
      <w:pPr>
        <w:rPr>
          <w:szCs w:val="22"/>
        </w:rPr>
      </w:pPr>
      <w:r w:rsidRPr="00935ADC">
        <w:rPr>
          <w:szCs w:val="22"/>
        </w:rPr>
        <w:t>3</w:t>
      </w:r>
      <w:r w:rsidR="00EE7732">
        <w:rPr>
          <w:szCs w:val="22"/>
        </w:rPr>
        <w:t xml:space="preserve">. </w:t>
      </w:r>
      <w:r w:rsidRPr="00935ADC">
        <w:rPr>
          <w:szCs w:val="22"/>
        </w:rPr>
        <w:t>Indicate what light/dark schedule the animals are housed at and when in that schedule they undergo testing.</w:t>
      </w:r>
    </w:p>
    <w:p w:rsidR="00EE7732" w:rsidRDefault="00EE7732" w:rsidP="00935ADC">
      <w:pPr>
        <w:rPr>
          <w:szCs w:val="22"/>
        </w:rPr>
      </w:pPr>
    </w:p>
    <w:p w:rsidR="00EE7732" w:rsidRPr="00935ADC" w:rsidRDefault="00EE7732" w:rsidP="00935ADC">
      <w:pPr>
        <w:rPr>
          <w:szCs w:val="22"/>
        </w:rPr>
      </w:pPr>
      <w:r w:rsidRPr="00EE7732">
        <w:rPr>
          <w:i/>
          <w:szCs w:val="22"/>
        </w:rPr>
        <w:t xml:space="preserve">Response: </w:t>
      </w:r>
      <w:r>
        <w:rPr>
          <w:i/>
          <w:szCs w:val="22"/>
        </w:rPr>
        <w:t>The light-dark cycle and time of testing has been added.</w:t>
      </w:r>
    </w:p>
    <w:p w:rsidR="00935ADC" w:rsidRPr="00935ADC" w:rsidRDefault="00935ADC" w:rsidP="00935ADC">
      <w:pPr>
        <w:rPr>
          <w:szCs w:val="22"/>
        </w:rPr>
      </w:pPr>
    </w:p>
    <w:p w:rsidR="00935ADC" w:rsidRDefault="00935ADC" w:rsidP="00935ADC">
      <w:pPr>
        <w:rPr>
          <w:szCs w:val="22"/>
        </w:rPr>
      </w:pPr>
      <w:r w:rsidRPr="00935ADC">
        <w:rPr>
          <w:szCs w:val="22"/>
        </w:rPr>
        <w:t>4.</w:t>
      </w:r>
      <w:r w:rsidR="00EE7732">
        <w:rPr>
          <w:szCs w:val="22"/>
        </w:rPr>
        <w:t xml:space="preserve"> </w:t>
      </w:r>
      <w:r w:rsidRPr="00935ADC">
        <w:rPr>
          <w:szCs w:val="22"/>
        </w:rPr>
        <w:t>Provide details on the housing conditions of the animals (e.g., temperature, humidity, access to food and water, number of animals per cage, etc…).</w:t>
      </w:r>
    </w:p>
    <w:p w:rsidR="00EE7732" w:rsidRDefault="00EE7732" w:rsidP="00935ADC">
      <w:pPr>
        <w:rPr>
          <w:szCs w:val="22"/>
        </w:rPr>
      </w:pPr>
    </w:p>
    <w:p w:rsidR="00EE7732" w:rsidRPr="00935ADC" w:rsidRDefault="00EE7732" w:rsidP="00935ADC">
      <w:pPr>
        <w:rPr>
          <w:szCs w:val="22"/>
        </w:rPr>
      </w:pPr>
      <w:r w:rsidRPr="00EE7732">
        <w:rPr>
          <w:i/>
          <w:szCs w:val="22"/>
        </w:rPr>
        <w:t>Response:</w:t>
      </w:r>
      <w:r>
        <w:rPr>
          <w:i/>
          <w:szCs w:val="22"/>
        </w:rPr>
        <w:t xml:space="preserve"> A description of the housing conditions has been added.</w:t>
      </w:r>
    </w:p>
    <w:p w:rsidR="00935ADC" w:rsidRPr="00935ADC" w:rsidRDefault="00935ADC" w:rsidP="00935ADC">
      <w:pPr>
        <w:rPr>
          <w:szCs w:val="22"/>
        </w:rPr>
      </w:pPr>
    </w:p>
    <w:p w:rsidR="00935ADC" w:rsidRDefault="00935ADC" w:rsidP="00935ADC">
      <w:pPr>
        <w:rPr>
          <w:szCs w:val="22"/>
        </w:rPr>
      </w:pPr>
      <w:r w:rsidRPr="00935ADC">
        <w:rPr>
          <w:szCs w:val="22"/>
        </w:rPr>
        <w:t xml:space="preserve">5. </w:t>
      </w:r>
      <w:r w:rsidRPr="00935ADC">
        <w:rPr>
          <w:szCs w:val="22"/>
        </w:rPr>
        <w:tab/>
        <w:t>In 4.1, mention exactly when after maintenance criteria is reached does extinction procedures and CDPPB treatment begin (e.g., the following day).</w:t>
      </w:r>
    </w:p>
    <w:p w:rsidR="00EE7732" w:rsidRDefault="00EE7732" w:rsidP="00935ADC">
      <w:pPr>
        <w:rPr>
          <w:szCs w:val="22"/>
        </w:rPr>
      </w:pPr>
    </w:p>
    <w:p w:rsidR="00EE7732" w:rsidRPr="00EE7732" w:rsidRDefault="00EE7732" w:rsidP="00EE7732">
      <w:pPr>
        <w:rPr>
          <w:szCs w:val="22"/>
        </w:rPr>
      </w:pPr>
      <w:r w:rsidRPr="00EE7732">
        <w:rPr>
          <w:i/>
          <w:szCs w:val="22"/>
        </w:rPr>
        <w:t xml:space="preserve">Response: </w:t>
      </w:r>
      <w:r>
        <w:rPr>
          <w:i/>
          <w:szCs w:val="22"/>
        </w:rPr>
        <w:t xml:space="preserve">The requested information has been added. </w:t>
      </w:r>
    </w:p>
    <w:p w:rsidR="00935ADC" w:rsidRPr="00935ADC" w:rsidRDefault="00935ADC" w:rsidP="00935ADC">
      <w:pPr>
        <w:rPr>
          <w:szCs w:val="22"/>
        </w:rPr>
      </w:pPr>
    </w:p>
    <w:p w:rsidR="00935ADC" w:rsidRDefault="00935ADC" w:rsidP="00935ADC">
      <w:pPr>
        <w:rPr>
          <w:szCs w:val="22"/>
        </w:rPr>
      </w:pPr>
      <w:r w:rsidRPr="00935ADC">
        <w:rPr>
          <w:szCs w:val="22"/>
        </w:rPr>
        <w:t>6.</w:t>
      </w:r>
      <w:r w:rsidRPr="00935ADC">
        <w:rPr>
          <w:szCs w:val="22"/>
        </w:rPr>
        <w:tab/>
        <w:t>Figure 2B is missing bar labels.</w:t>
      </w:r>
    </w:p>
    <w:p w:rsidR="00EE7732" w:rsidRDefault="00EE7732" w:rsidP="00935ADC">
      <w:pPr>
        <w:rPr>
          <w:szCs w:val="22"/>
        </w:rPr>
      </w:pPr>
    </w:p>
    <w:p w:rsidR="00EE7732" w:rsidRPr="00935ADC" w:rsidRDefault="00EE7732" w:rsidP="00935ADC">
      <w:pPr>
        <w:rPr>
          <w:szCs w:val="22"/>
        </w:rPr>
      </w:pPr>
      <w:r w:rsidRPr="00EE7732">
        <w:rPr>
          <w:i/>
          <w:szCs w:val="22"/>
        </w:rPr>
        <w:t xml:space="preserve">Response: </w:t>
      </w:r>
      <w:r w:rsidR="00A2159D">
        <w:rPr>
          <w:i/>
          <w:szCs w:val="22"/>
        </w:rPr>
        <w:t xml:space="preserve">We apologize for this omission. </w:t>
      </w:r>
      <w:r>
        <w:rPr>
          <w:i/>
          <w:szCs w:val="22"/>
        </w:rPr>
        <w:t>Figure 2B has been corrected accordingly</w:t>
      </w:r>
      <w:r w:rsidRPr="00EE7732">
        <w:rPr>
          <w:i/>
          <w:szCs w:val="22"/>
        </w:rPr>
        <w:t>.</w:t>
      </w:r>
    </w:p>
    <w:p w:rsidR="00935ADC" w:rsidRPr="00935ADC" w:rsidRDefault="00935ADC" w:rsidP="00935ADC">
      <w:pPr>
        <w:rPr>
          <w:szCs w:val="22"/>
        </w:rPr>
      </w:pPr>
    </w:p>
    <w:p w:rsidR="00935ADC" w:rsidRPr="00935ADC" w:rsidRDefault="00935ADC" w:rsidP="00935ADC">
      <w:pPr>
        <w:rPr>
          <w:szCs w:val="22"/>
        </w:rPr>
      </w:pPr>
    </w:p>
    <w:p w:rsidR="00935ADC" w:rsidRPr="00EE7732" w:rsidRDefault="00EE7732" w:rsidP="00935ADC">
      <w:pPr>
        <w:rPr>
          <w:b/>
          <w:szCs w:val="22"/>
        </w:rPr>
      </w:pPr>
      <w:r w:rsidRPr="00EE7732">
        <w:rPr>
          <w:b/>
          <w:szCs w:val="22"/>
        </w:rPr>
        <w:t>Reviewer #2</w:t>
      </w:r>
    </w:p>
    <w:p w:rsidR="00935ADC" w:rsidRPr="00935ADC" w:rsidRDefault="00935ADC" w:rsidP="00935ADC">
      <w:pPr>
        <w:rPr>
          <w:szCs w:val="22"/>
        </w:rPr>
      </w:pPr>
    </w:p>
    <w:p w:rsidR="00935ADC" w:rsidRPr="00EE7732" w:rsidRDefault="00935ADC" w:rsidP="00935ADC">
      <w:pPr>
        <w:rPr>
          <w:szCs w:val="22"/>
          <w:u w:val="single"/>
        </w:rPr>
      </w:pPr>
      <w:r w:rsidRPr="00EE7732">
        <w:rPr>
          <w:szCs w:val="22"/>
          <w:u w:val="single"/>
        </w:rPr>
        <w:t>Major Concerns</w:t>
      </w:r>
    </w:p>
    <w:p w:rsidR="00EE7732" w:rsidRDefault="00935ADC" w:rsidP="00935ADC">
      <w:pPr>
        <w:rPr>
          <w:szCs w:val="22"/>
        </w:rPr>
      </w:pPr>
      <w:r w:rsidRPr="00935ADC">
        <w:rPr>
          <w:szCs w:val="22"/>
        </w:rPr>
        <w:t>While these researchers purchase animals with “</w:t>
      </w:r>
      <w:proofErr w:type="spellStart"/>
      <w:r w:rsidRPr="00935ADC">
        <w:rPr>
          <w:szCs w:val="22"/>
        </w:rPr>
        <w:t>preimplanted</w:t>
      </w:r>
      <w:proofErr w:type="spellEnd"/>
      <w:r w:rsidRPr="00935ADC">
        <w:rPr>
          <w:szCs w:val="22"/>
        </w:rPr>
        <w:t xml:space="preserve"> jugular vein catheters,” the majority of researchers using the technique of intravenous drug self-administration surgically implant the catheters themselves, and this alternative approach should be mentioned. </w:t>
      </w:r>
    </w:p>
    <w:p w:rsidR="00EE7732" w:rsidRDefault="00EE7732" w:rsidP="00935ADC">
      <w:pPr>
        <w:rPr>
          <w:szCs w:val="22"/>
        </w:rPr>
      </w:pPr>
    </w:p>
    <w:p w:rsidR="00EE7732" w:rsidRDefault="00EE7732" w:rsidP="00935ADC">
      <w:pPr>
        <w:rPr>
          <w:szCs w:val="22"/>
        </w:rPr>
      </w:pPr>
      <w:r w:rsidRPr="00EE7732">
        <w:rPr>
          <w:i/>
          <w:szCs w:val="22"/>
        </w:rPr>
        <w:t>Response:</w:t>
      </w:r>
      <w:r>
        <w:rPr>
          <w:i/>
          <w:szCs w:val="22"/>
        </w:rPr>
        <w:t xml:space="preserve"> We agree with the reviewer that many investigators do implant jugular vein catheters themselves in their laboratories. While such implantations were not done in this study, we have added a reference to published catheter implantation procedures for the reader to consult if necessary.</w:t>
      </w:r>
    </w:p>
    <w:p w:rsidR="00EE7732" w:rsidRDefault="00EE7732" w:rsidP="00935ADC">
      <w:pPr>
        <w:rPr>
          <w:szCs w:val="22"/>
        </w:rPr>
      </w:pPr>
    </w:p>
    <w:p w:rsidR="00935ADC" w:rsidRDefault="00935ADC" w:rsidP="00935ADC">
      <w:pPr>
        <w:rPr>
          <w:szCs w:val="22"/>
        </w:rPr>
      </w:pPr>
      <w:r w:rsidRPr="00935ADC">
        <w:rPr>
          <w:szCs w:val="22"/>
        </w:rPr>
        <w:t xml:space="preserve">Similarly, many researchers choose not to use “food-training” to induce drug self-administration and this should be discussed in the present manuscript. </w:t>
      </w:r>
    </w:p>
    <w:p w:rsidR="00EE7732" w:rsidRDefault="00EE7732" w:rsidP="00935ADC">
      <w:pPr>
        <w:rPr>
          <w:szCs w:val="22"/>
        </w:rPr>
      </w:pPr>
    </w:p>
    <w:p w:rsidR="00EE7732" w:rsidRPr="00EE7732" w:rsidRDefault="00EE7732" w:rsidP="00EE7732">
      <w:pPr>
        <w:rPr>
          <w:szCs w:val="22"/>
        </w:rPr>
      </w:pPr>
      <w:r w:rsidRPr="00EE7732">
        <w:rPr>
          <w:i/>
          <w:szCs w:val="22"/>
        </w:rPr>
        <w:t xml:space="preserve">Response: We agree with the reviewer that </w:t>
      </w:r>
      <w:r>
        <w:rPr>
          <w:i/>
          <w:szCs w:val="22"/>
        </w:rPr>
        <w:t>food training</w:t>
      </w:r>
      <w:r w:rsidRPr="00EE7732">
        <w:rPr>
          <w:i/>
          <w:szCs w:val="22"/>
        </w:rPr>
        <w:t xml:space="preserve"> </w:t>
      </w:r>
      <w:r>
        <w:rPr>
          <w:i/>
          <w:szCs w:val="22"/>
        </w:rPr>
        <w:t xml:space="preserve">is not employed by </w:t>
      </w:r>
      <w:r w:rsidR="00A2159D">
        <w:rPr>
          <w:i/>
          <w:szCs w:val="22"/>
        </w:rPr>
        <w:t>all</w:t>
      </w:r>
      <w:r>
        <w:rPr>
          <w:i/>
          <w:szCs w:val="22"/>
        </w:rPr>
        <w:t xml:space="preserve"> investigators. We have added a statement regarding spontaneous acquisition of drug self-administration to the manuscript.</w:t>
      </w:r>
    </w:p>
    <w:p w:rsidR="00935ADC" w:rsidRPr="00935ADC" w:rsidRDefault="00935ADC" w:rsidP="00935ADC">
      <w:pPr>
        <w:rPr>
          <w:szCs w:val="22"/>
        </w:rPr>
      </w:pPr>
    </w:p>
    <w:p w:rsidR="00935ADC" w:rsidRDefault="00935ADC" w:rsidP="00935ADC">
      <w:pPr>
        <w:rPr>
          <w:szCs w:val="22"/>
          <w:u w:val="single"/>
        </w:rPr>
      </w:pPr>
      <w:r w:rsidRPr="00EE7732">
        <w:rPr>
          <w:szCs w:val="22"/>
          <w:u w:val="single"/>
        </w:rPr>
        <w:t>Minor Concerns</w:t>
      </w:r>
    </w:p>
    <w:p w:rsidR="00EE7732" w:rsidRPr="00EE7732" w:rsidRDefault="00EE7732" w:rsidP="00935ADC">
      <w:pPr>
        <w:rPr>
          <w:szCs w:val="22"/>
          <w:u w:val="single"/>
        </w:rPr>
      </w:pPr>
    </w:p>
    <w:p w:rsidR="00EE7732" w:rsidRDefault="00935ADC" w:rsidP="00935ADC">
      <w:pPr>
        <w:rPr>
          <w:szCs w:val="22"/>
        </w:rPr>
      </w:pPr>
      <w:r w:rsidRPr="00935ADC">
        <w:rPr>
          <w:szCs w:val="22"/>
        </w:rPr>
        <w:t>The dose of CDPPB should be listed in section 4.2.</w:t>
      </w:r>
    </w:p>
    <w:p w:rsidR="00EE7732" w:rsidRDefault="00EE7732" w:rsidP="00935ADC">
      <w:pPr>
        <w:rPr>
          <w:szCs w:val="22"/>
        </w:rPr>
      </w:pPr>
    </w:p>
    <w:p w:rsidR="00EE7732" w:rsidRDefault="00EE7732" w:rsidP="00935ADC">
      <w:pPr>
        <w:rPr>
          <w:szCs w:val="22"/>
        </w:rPr>
      </w:pPr>
      <w:r w:rsidRPr="00EE7732">
        <w:rPr>
          <w:i/>
          <w:szCs w:val="22"/>
        </w:rPr>
        <w:t>Response:</w:t>
      </w:r>
      <w:r>
        <w:rPr>
          <w:i/>
          <w:szCs w:val="22"/>
        </w:rPr>
        <w:t xml:space="preserve"> This was also pointed out by Reviewer #1 and has been corrected.</w:t>
      </w:r>
    </w:p>
    <w:p w:rsidR="00EE7732" w:rsidRDefault="00EE7732" w:rsidP="00935ADC">
      <w:pPr>
        <w:rPr>
          <w:szCs w:val="22"/>
        </w:rPr>
      </w:pPr>
    </w:p>
    <w:p w:rsidR="00EE7732" w:rsidRDefault="00935ADC" w:rsidP="00935ADC">
      <w:pPr>
        <w:rPr>
          <w:szCs w:val="22"/>
        </w:rPr>
      </w:pPr>
      <w:r w:rsidRPr="00935ADC">
        <w:rPr>
          <w:szCs w:val="22"/>
        </w:rPr>
        <w:t>The capt</w:t>
      </w:r>
      <w:r w:rsidR="00A2159D">
        <w:rPr>
          <w:szCs w:val="22"/>
        </w:rPr>
        <w:t xml:space="preserve">ion for the horizontal axis of </w:t>
      </w:r>
      <w:r w:rsidRPr="00935ADC">
        <w:rPr>
          <w:szCs w:val="22"/>
        </w:rPr>
        <w:t>Fig. 2B was omitted.</w:t>
      </w:r>
    </w:p>
    <w:p w:rsidR="00EE7732" w:rsidRDefault="00EE7732" w:rsidP="00935ADC">
      <w:pPr>
        <w:rPr>
          <w:szCs w:val="22"/>
        </w:rPr>
      </w:pPr>
    </w:p>
    <w:p w:rsidR="00EE7732" w:rsidRDefault="00EE7732" w:rsidP="00935ADC">
      <w:pPr>
        <w:rPr>
          <w:szCs w:val="22"/>
        </w:rPr>
      </w:pPr>
      <w:r w:rsidRPr="00EE7732">
        <w:rPr>
          <w:i/>
          <w:szCs w:val="22"/>
        </w:rPr>
        <w:t>Response: This was also pointed out by Reviewer #1 and has been corrected.</w:t>
      </w:r>
    </w:p>
    <w:p w:rsidR="00EE7732" w:rsidRDefault="00EE7732" w:rsidP="00935ADC">
      <w:pPr>
        <w:rPr>
          <w:szCs w:val="22"/>
        </w:rPr>
      </w:pPr>
    </w:p>
    <w:p w:rsidR="00935ADC" w:rsidRDefault="00935ADC" w:rsidP="00935ADC">
      <w:pPr>
        <w:rPr>
          <w:szCs w:val="22"/>
        </w:rPr>
      </w:pPr>
      <w:r w:rsidRPr="00935ADC">
        <w:rPr>
          <w:szCs w:val="22"/>
        </w:rPr>
        <w:t xml:space="preserve">It would be more accurate to test the effects of CDPPB on </w:t>
      </w:r>
      <w:proofErr w:type="spellStart"/>
      <w:r w:rsidRPr="00935ADC">
        <w:rPr>
          <w:szCs w:val="22"/>
        </w:rPr>
        <w:t>locomotor</w:t>
      </w:r>
      <w:proofErr w:type="spellEnd"/>
      <w:r w:rsidRPr="00935ADC">
        <w:rPr>
          <w:szCs w:val="22"/>
        </w:rPr>
        <w:t xml:space="preserve"> activity in animals with a history of cocaine self-administration and this should be acknowledged. However, since CDPPB administered </w:t>
      </w:r>
      <w:r w:rsidRPr="00935ADC">
        <w:rPr>
          <w:szCs w:val="22"/>
        </w:rPr>
        <w:lastRenderedPageBreak/>
        <w:t xml:space="preserve">AFTER extinction sessions continues to influence extinction responding, </w:t>
      </w:r>
      <w:proofErr w:type="spellStart"/>
      <w:r w:rsidRPr="00935ADC">
        <w:rPr>
          <w:szCs w:val="22"/>
        </w:rPr>
        <w:t>locomotor</w:t>
      </w:r>
      <w:proofErr w:type="spellEnd"/>
      <w:r w:rsidRPr="00935ADC">
        <w:rPr>
          <w:szCs w:val="22"/>
        </w:rPr>
        <w:t xml:space="preserve"> suppression is probably not a factor in this effect. </w:t>
      </w:r>
    </w:p>
    <w:p w:rsidR="00127F25" w:rsidRDefault="00127F25" w:rsidP="00935ADC">
      <w:pPr>
        <w:rPr>
          <w:szCs w:val="22"/>
        </w:rPr>
      </w:pPr>
    </w:p>
    <w:p w:rsidR="00EE7732" w:rsidRPr="00EE7732" w:rsidRDefault="00EE7732" w:rsidP="00935ADC">
      <w:pPr>
        <w:rPr>
          <w:i/>
          <w:szCs w:val="22"/>
        </w:rPr>
      </w:pPr>
      <w:r w:rsidRPr="00EE7732">
        <w:rPr>
          <w:i/>
          <w:szCs w:val="22"/>
        </w:rPr>
        <w:t xml:space="preserve">Response: </w:t>
      </w:r>
      <w:r>
        <w:rPr>
          <w:i/>
          <w:szCs w:val="22"/>
        </w:rPr>
        <w:t>W</w:t>
      </w:r>
      <w:r w:rsidRPr="00EE7732">
        <w:rPr>
          <w:i/>
          <w:szCs w:val="22"/>
        </w:rPr>
        <w:t xml:space="preserve">e agree with the reviewer that testing of </w:t>
      </w:r>
      <w:proofErr w:type="spellStart"/>
      <w:r w:rsidRPr="00EE7732">
        <w:rPr>
          <w:i/>
          <w:szCs w:val="22"/>
        </w:rPr>
        <w:t>locomotor</w:t>
      </w:r>
      <w:proofErr w:type="spellEnd"/>
      <w:r w:rsidRPr="00EE7732">
        <w:rPr>
          <w:i/>
          <w:szCs w:val="22"/>
        </w:rPr>
        <w:t xml:space="preserve"> effects of CDPPB </w:t>
      </w:r>
      <w:r>
        <w:rPr>
          <w:i/>
          <w:szCs w:val="22"/>
        </w:rPr>
        <w:t>would be more accurate</w:t>
      </w:r>
      <w:r w:rsidR="00ED69F2">
        <w:rPr>
          <w:i/>
          <w:szCs w:val="22"/>
        </w:rPr>
        <w:t xml:space="preserve"> if performed in </w:t>
      </w:r>
      <w:r w:rsidRPr="00EE7732">
        <w:rPr>
          <w:i/>
          <w:szCs w:val="22"/>
        </w:rPr>
        <w:t>animals with a history of co</w:t>
      </w:r>
      <w:r>
        <w:rPr>
          <w:i/>
          <w:szCs w:val="22"/>
        </w:rPr>
        <w:t>caine self-administration. A statement</w:t>
      </w:r>
      <w:r w:rsidR="00ED69F2">
        <w:rPr>
          <w:i/>
          <w:szCs w:val="22"/>
        </w:rPr>
        <w:t xml:space="preserve"> regarding this issue has been added.</w:t>
      </w:r>
    </w:p>
    <w:p w:rsidR="00EE7732" w:rsidRDefault="00EE7732" w:rsidP="00935ADC">
      <w:pPr>
        <w:rPr>
          <w:szCs w:val="22"/>
        </w:rPr>
      </w:pPr>
    </w:p>
    <w:p w:rsidR="00935ADC" w:rsidRPr="00ED69F2" w:rsidRDefault="00ED69F2" w:rsidP="00935ADC">
      <w:pPr>
        <w:rPr>
          <w:b/>
          <w:szCs w:val="22"/>
        </w:rPr>
      </w:pPr>
      <w:r w:rsidRPr="00ED69F2">
        <w:rPr>
          <w:b/>
          <w:szCs w:val="22"/>
        </w:rPr>
        <w:t>Reviewer #3</w:t>
      </w:r>
    </w:p>
    <w:p w:rsidR="00935ADC" w:rsidRDefault="00935ADC" w:rsidP="00935ADC">
      <w:pPr>
        <w:rPr>
          <w:szCs w:val="22"/>
        </w:rPr>
      </w:pPr>
    </w:p>
    <w:p w:rsidR="00ED69F2" w:rsidRDefault="00ED69F2" w:rsidP="00ED69F2">
      <w:pPr>
        <w:rPr>
          <w:szCs w:val="22"/>
          <w:u w:val="single"/>
        </w:rPr>
      </w:pPr>
      <w:r w:rsidRPr="00ED69F2">
        <w:rPr>
          <w:szCs w:val="22"/>
          <w:u w:val="single"/>
        </w:rPr>
        <w:t>Major Concerns</w:t>
      </w:r>
    </w:p>
    <w:p w:rsidR="00ED69F2" w:rsidRPr="00ED69F2" w:rsidRDefault="00ED69F2" w:rsidP="00ED69F2">
      <w:pPr>
        <w:rPr>
          <w:szCs w:val="22"/>
          <w:u w:val="single"/>
        </w:rPr>
      </w:pPr>
    </w:p>
    <w:p w:rsidR="00ED69F2" w:rsidRDefault="00ED69F2" w:rsidP="00935ADC">
      <w:pPr>
        <w:rPr>
          <w:szCs w:val="22"/>
        </w:rPr>
      </w:pPr>
      <w:r>
        <w:rPr>
          <w:szCs w:val="22"/>
        </w:rPr>
        <w:t>None</w:t>
      </w:r>
    </w:p>
    <w:p w:rsidR="00ED69F2" w:rsidRPr="00935ADC" w:rsidRDefault="00ED69F2" w:rsidP="00935ADC">
      <w:pPr>
        <w:rPr>
          <w:szCs w:val="22"/>
        </w:rPr>
      </w:pPr>
    </w:p>
    <w:p w:rsidR="00935ADC" w:rsidRPr="00ED69F2" w:rsidRDefault="00935ADC" w:rsidP="00935ADC">
      <w:pPr>
        <w:rPr>
          <w:szCs w:val="22"/>
          <w:u w:val="single"/>
        </w:rPr>
      </w:pPr>
      <w:r w:rsidRPr="00ED69F2">
        <w:rPr>
          <w:szCs w:val="22"/>
          <w:u w:val="single"/>
        </w:rPr>
        <w:t>Minor Concerns</w:t>
      </w:r>
    </w:p>
    <w:p w:rsidR="00ED69F2" w:rsidRPr="00935ADC" w:rsidRDefault="00ED69F2" w:rsidP="00935ADC">
      <w:pPr>
        <w:rPr>
          <w:szCs w:val="22"/>
        </w:rPr>
      </w:pPr>
    </w:p>
    <w:p w:rsidR="00935ADC" w:rsidRDefault="00935ADC" w:rsidP="00935ADC">
      <w:pPr>
        <w:rPr>
          <w:szCs w:val="22"/>
        </w:rPr>
      </w:pPr>
      <w:r w:rsidRPr="00935ADC">
        <w:rPr>
          <w:szCs w:val="22"/>
        </w:rPr>
        <w:t>1. The authors do not mention the dose of CDPPB used in these studies. The dose and route of administration should be clearly mentioned in section 4.1 or 4.2.</w:t>
      </w:r>
    </w:p>
    <w:p w:rsidR="00ED69F2" w:rsidRDefault="00ED69F2" w:rsidP="00935ADC">
      <w:pPr>
        <w:rPr>
          <w:szCs w:val="22"/>
        </w:rPr>
      </w:pPr>
    </w:p>
    <w:p w:rsidR="00ED69F2" w:rsidRPr="00ED69F2" w:rsidRDefault="00ED69F2" w:rsidP="00ED69F2">
      <w:pPr>
        <w:rPr>
          <w:szCs w:val="22"/>
        </w:rPr>
      </w:pPr>
      <w:r w:rsidRPr="00ED69F2">
        <w:rPr>
          <w:i/>
          <w:szCs w:val="22"/>
        </w:rPr>
        <w:t>Response: This was also pointed out by Reviewer</w:t>
      </w:r>
      <w:r>
        <w:rPr>
          <w:i/>
          <w:szCs w:val="22"/>
        </w:rPr>
        <w:t>s</w:t>
      </w:r>
      <w:r w:rsidRPr="00ED69F2">
        <w:rPr>
          <w:i/>
          <w:szCs w:val="22"/>
        </w:rPr>
        <w:t xml:space="preserve"> 1</w:t>
      </w:r>
      <w:r>
        <w:rPr>
          <w:i/>
          <w:szCs w:val="22"/>
        </w:rPr>
        <w:t xml:space="preserve"> and 2</w:t>
      </w:r>
      <w:r w:rsidRPr="00ED69F2">
        <w:rPr>
          <w:i/>
          <w:szCs w:val="22"/>
        </w:rPr>
        <w:t xml:space="preserve"> and has been corrected.</w:t>
      </w:r>
    </w:p>
    <w:p w:rsidR="00ED69F2" w:rsidRPr="00935ADC" w:rsidRDefault="00ED69F2" w:rsidP="00935ADC">
      <w:pPr>
        <w:rPr>
          <w:szCs w:val="22"/>
        </w:rPr>
      </w:pPr>
    </w:p>
    <w:p w:rsidR="00935ADC" w:rsidRDefault="00935ADC" w:rsidP="00935ADC">
      <w:pPr>
        <w:rPr>
          <w:szCs w:val="22"/>
        </w:rPr>
      </w:pPr>
      <w:r w:rsidRPr="00935ADC">
        <w:rPr>
          <w:szCs w:val="22"/>
        </w:rPr>
        <w:t>2. Section 4.4 should be changed as follows: 4.4) During extinction sessions cocaine is replaced with saline and, therefore, no drug is infused following active level press during extinction sessions,.....</w:t>
      </w:r>
    </w:p>
    <w:p w:rsidR="00ED69F2" w:rsidRDefault="00ED69F2" w:rsidP="00935ADC">
      <w:pPr>
        <w:rPr>
          <w:szCs w:val="22"/>
        </w:rPr>
      </w:pPr>
    </w:p>
    <w:p w:rsidR="00ED69F2" w:rsidRPr="00ED69F2" w:rsidRDefault="00ED69F2" w:rsidP="00935ADC">
      <w:pPr>
        <w:rPr>
          <w:i/>
          <w:szCs w:val="22"/>
        </w:rPr>
      </w:pPr>
      <w:r w:rsidRPr="00ED69F2">
        <w:rPr>
          <w:i/>
          <w:szCs w:val="22"/>
        </w:rPr>
        <w:t xml:space="preserve">Response: </w:t>
      </w:r>
      <w:r w:rsidR="00590BD0">
        <w:rPr>
          <w:i/>
          <w:szCs w:val="22"/>
        </w:rPr>
        <w:t>While some investigators utilize saline substitution as a method to induce extinction, in our study the active lever was deactivated so that it produced no programmed consequences</w:t>
      </w:r>
      <w:r w:rsidRPr="00ED69F2">
        <w:rPr>
          <w:i/>
          <w:szCs w:val="22"/>
        </w:rPr>
        <w:t>.</w:t>
      </w:r>
    </w:p>
    <w:p w:rsidR="00935ADC" w:rsidRPr="00935ADC" w:rsidRDefault="00935ADC" w:rsidP="00935ADC">
      <w:pPr>
        <w:rPr>
          <w:szCs w:val="22"/>
        </w:rPr>
      </w:pPr>
    </w:p>
    <w:p w:rsidR="00935ADC" w:rsidRDefault="00935ADC" w:rsidP="00935ADC">
      <w:pPr>
        <w:rPr>
          <w:szCs w:val="22"/>
        </w:rPr>
      </w:pPr>
      <w:r w:rsidRPr="00935ADC">
        <w:rPr>
          <w:szCs w:val="22"/>
        </w:rPr>
        <w:t>3. Representative Results section, first paragraph: in two places (lines 2 and 10), authors talk about CDPPB effects on the last two days of SA in Figures 1A and 1C. However, CDPPB treatment started after the last session of self-administration. Therefore, these two statements need to be removed.</w:t>
      </w:r>
    </w:p>
    <w:p w:rsidR="00ED69F2" w:rsidRDefault="00ED69F2" w:rsidP="00935ADC">
      <w:pPr>
        <w:rPr>
          <w:szCs w:val="22"/>
        </w:rPr>
      </w:pPr>
    </w:p>
    <w:p w:rsidR="00ED69F2" w:rsidRPr="00631341" w:rsidRDefault="00ED69F2" w:rsidP="00935ADC">
      <w:pPr>
        <w:rPr>
          <w:szCs w:val="22"/>
        </w:rPr>
      </w:pPr>
      <w:r w:rsidRPr="00ED69F2">
        <w:rPr>
          <w:i/>
          <w:szCs w:val="22"/>
        </w:rPr>
        <w:t xml:space="preserve">Response: This </w:t>
      </w:r>
      <w:r>
        <w:rPr>
          <w:i/>
          <w:szCs w:val="22"/>
        </w:rPr>
        <w:t>error h</w:t>
      </w:r>
      <w:r w:rsidRPr="00ED69F2">
        <w:rPr>
          <w:i/>
          <w:szCs w:val="22"/>
        </w:rPr>
        <w:t>a</w:t>
      </w:r>
      <w:bookmarkStart w:id="0" w:name="_GoBack"/>
      <w:bookmarkEnd w:id="0"/>
      <w:r w:rsidRPr="00ED69F2">
        <w:rPr>
          <w:i/>
          <w:szCs w:val="22"/>
        </w:rPr>
        <w:t xml:space="preserve">s been </w:t>
      </w:r>
      <w:r>
        <w:rPr>
          <w:i/>
          <w:szCs w:val="22"/>
        </w:rPr>
        <w:t>corrected</w:t>
      </w:r>
      <w:r w:rsidRPr="00ED69F2">
        <w:rPr>
          <w:i/>
          <w:szCs w:val="22"/>
        </w:rPr>
        <w:t>.</w:t>
      </w:r>
    </w:p>
    <w:sectPr w:rsidR="00ED69F2" w:rsidRPr="00631341" w:rsidSect="00F06375">
      <w:footerReference w:type="default" r:id="rId9"/>
      <w:pgSz w:w="12240" w:h="15840"/>
      <w:pgMar w:top="72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584" w:rsidRDefault="008A4584">
      <w:r>
        <w:separator/>
      </w:r>
    </w:p>
  </w:endnote>
  <w:endnote w:type="continuationSeparator" w:id="0">
    <w:p w:rsidR="008A4584" w:rsidRDefault="008A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045247"/>
      <w:docPartObj>
        <w:docPartGallery w:val="Page Numbers (Bottom of Page)"/>
        <w:docPartUnique/>
      </w:docPartObj>
    </w:sdtPr>
    <w:sdtEndPr>
      <w:rPr>
        <w:noProof/>
      </w:rPr>
    </w:sdtEndPr>
    <w:sdtContent>
      <w:p w:rsidR="00ED69F2" w:rsidRDefault="00ED69F2">
        <w:pPr>
          <w:pStyle w:val="Footer"/>
          <w:jc w:val="right"/>
        </w:pPr>
        <w:r>
          <w:fldChar w:fldCharType="begin"/>
        </w:r>
        <w:r>
          <w:instrText xml:space="preserve"> PAGE   \* MERGEFORMAT </w:instrText>
        </w:r>
        <w:r>
          <w:fldChar w:fldCharType="separate"/>
        </w:r>
        <w:r w:rsidR="00A2159D">
          <w:rPr>
            <w:noProof/>
          </w:rPr>
          <w:t>4</w:t>
        </w:r>
        <w:r>
          <w:rPr>
            <w:noProof/>
          </w:rPr>
          <w:fldChar w:fldCharType="end"/>
        </w:r>
      </w:p>
    </w:sdtContent>
  </w:sdt>
  <w:p w:rsidR="00ED69F2" w:rsidRDefault="00ED6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584" w:rsidRDefault="008A4584">
      <w:r>
        <w:separator/>
      </w:r>
    </w:p>
  </w:footnote>
  <w:footnote w:type="continuationSeparator" w:id="0">
    <w:p w:rsidR="008A4584" w:rsidRDefault="008A4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a6bed1,#f4f4f4,#7eabc6,#c0d4e2,#719ebc,#b9cfd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1F"/>
    <w:rsid w:val="00006BB8"/>
    <w:rsid w:val="00042B6C"/>
    <w:rsid w:val="00045173"/>
    <w:rsid w:val="00082258"/>
    <w:rsid w:val="00084EC6"/>
    <w:rsid w:val="000B2D7A"/>
    <w:rsid w:val="000B5EFA"/>
    <w:rsid w:val="000E5356"/>
    <w:rsid w:val="000E6CC5"/>
    <w:rsid w:val="00102308"/>
    <w:rsid w:val="00121960"/>
    <w:rsid w:val="00127F25"/>
    <w:rsid w:val="001314AD"/>
    <w:rsid w:val="00157308"/>
    <w:rsid w:val="00173482"/>
    <w:rsid w:val="001748B4"/>
    <w:rsid w:val="0018573A"/>
    <w:rsid w:val="001973AD"/>
    <w:rsid w:val="001D026F"/>
    <w:rsid w:val="001D370A"/>
    <w:rsid w:val="001D7C80"/>
    <w:rsid w:val="00201724"/>
    <w:rsid w:val="00203728"/>
    <w:rsid w:val="002100FB"/>
    <w:rsid w:val="00231BAB"/>
    <w:rsid w:val="0027275D"/>
    <w:rsid w:val="0027695C"/>
    <w:rsid w:val="002C2130"/>
    <w:rsid w:val="002D45D6"/>
    <w:rsid w:val="002F27B0"/>
    <w:rsid w:val="002F3A6A"/>
    <w:rsid w:val="00303785"/>
    <w:rsid w:val="00307E6B"/>
    <w:rsid w:val="00322F82"/>
    <w:rsid w:val="00333797"/>
    <w:rsid w:val="003858FC"/>
    <w:rsid w:val="00393458"/>
    <w:rsid w:val="003B62B4"/>
    <w:rsid w:val="003D2FFA"/>
    <w:rsid w:val="003D7B9E"/>
    <w:rsid w:val="003E7C48"/>
    <w:rsid w:val="0041003D"/>
    <w:rsid w:val="0042051F"/>
    <w:rsid w:val="00441F4B"/>
    <w:rsid w:val="0048601C"/>
    <w:rsid w:val="00491E01"/>
    <w:rsid w:val="004B3DEF"/>
    <w:rsid w:val="004B4199"/>
    <w:rsid w:val="004C3A9A"/>
    <w:rsid w:val="004E2C34"/>
    <w:rsid w:val="004E2CD3"/>
    <w:rsid w:val="00500F6D"/>
    <w:rsid w:val="0051233E"/>
    <w:rsid w:val="005126BE"/>
    <w:rsid w:val="00515AC3"/>
    <w:rsid w:val="00520AA5"/>
    <w:rsid w:val="0053119A"/>
    <w:rsid w:val="00542C4D"/>
    <w:rsid w:val="00590BD0"/>
    <w:rsid w:val="005B38E2"/>
    <w:rsid w:val="005C0421"/>
    <w:rsid w:val="00614937"/>
    <w:rsid w:val="00631341"/>
    <w:rsid w:val="00644699"/>
    <w:rsid w:val="00644EB5"/>
    <w:rsid w:val="00647713"/>
    <w:rsid w:val="00654E59"/>
    <w:rsid w:val="00685DAF"/>
    <w:rsid w:val="00694166"/>
    <w:rsid w:val="006D0884"/>
    <w:rsid w:val="006D5D4E"/>
    <w:rsid w:val="006E7576"/>
    <w:rsid w:val="006F1825"/>
    <w:rsid w:val="007011AD"/>
    <w:rsid w:val="00702161"/>
    <w:rsid w:val="00712E2A"/>
    <w:rsid w:val="00714586"/>
    <w:rsid w:val="00716749"/>
    <w:rsid w:val="00723D4F"/>
    <w:rsid w:val="007357EC"/>
    <w:rsid w:val="007716C9"/>
    <w:rsid w:val="00793BD5"/>
    <w:rsid w:val="007C1CDF"/>
    <w:rsid w:val="007C1E97"/>
    <w:rsid w:val="007F511F"/>
    <w:rsid w:val="00813F7F"/>
    <w:rsid w:val="008162C6"/>
    <w:rsid w:val="0085045B"/>
    <w:rsid w:val="00853790"/>
    <w:rsid w:val="00854C31"/>
    <w:rsid w:val="0087084B"/>
    <w:rsid w:val="008745E3"/>
    <w:rsid w:val="00884D96"/>
    <w:rsid w:val="008950C6"/>
    <w:rsid w:val="00895536"/>
    <w:rsid w:val="008965FE"/>
    <w:rsid w:val="008A4584"/>
    <w:rsid w:val="008B69D4"/>
    <w:rsid w:val="008D1D88"/>
    <w:rsid w:val="008E2A8A"/>
    <w:rsid w:val="008E6FF0"/>
    <w:rsid w:val="00905BD8"/>
    <w:rsid w:val="00935600"/>
    <w:rsid w:val="00935ADC"/>
    <w:rsid w:val="009B2AD7"/>
    <w:rsid w:val="009E0F1F"/>
    <w:rsid w:val="00A01688"/>
    <w:rsid w:val="00A1163A"/>
    <w:rsid w:val="00A2159D"/>
    <w:rsid w:val="00A43036"/>
    <w:rsid w:val="00A4483B"/>
    <w:rsid w:val="00A44B2A"/>
    <w:rsid w:val="00A51085"/>
    <w:rsid w:val="00A553D6"/>
    <w:rsid w:val="00A8623B"/>
    <w:rsid w:val="00A878CC"/>
    <w:rsid w:val="00AA1DA6"/>
    <w:rsid w:val="00AB3593"/>
    <w:rsid w:val="00AC12DD"/>
    <w:rsid w:val="00AE1AF7"/>
    <w:rsid w:val="00AE7789"/>
    <w:rsid w:val="00AF5303"/>
    <w:rsid w:val="00B00507"/>
    <w:rsid w:val="00B032CD"/>
    <w:rsid w:val="00B22B27"/>
    <w:rsid w:val="00B31C19"/>
    <w:rsid w:val="00B44F6A"/>
    <w:rsid w:val="00B673C1"/>
    <w:rsid w:val="00B7470A"/>
    <w:rsid w:val="00B84EFD"/>
    <w:rsid w:val="00B95BF3"/>
    <w:rsid w:val="00BA0DF4"/>
    <w:rsid w:val="00BB419B"/>
    <w:rsid w:val="00BF2C43"/>
    <w:rsid w:val="00C12487"/>
    <w:rsid w:val="00C212AC"/>
    <w:rsid w:val="00C717F8"/>
    <w:rsid w:val="00C85A6C"/>
    <w:rsid w:val="00CC7B67"/>
    <w:rsid w:val="00CE18BE"/>
    <w:rsid w:val="00CE7B59"/>
    <w:rsid w:val="00D2101E"/>
    <w:rsid w:val="00D42354"/>
    <w:rsid w:val="00D557D5"/>
    <w:rsid w:val="00D607B9"/>
    <w:rsid w:val="00D86652"/>
    <w:rsid w:val="00D87079"/>
    <w:rsid w:val="00DA4FEB"/>
    <w:rsid w:val="00DA64CB"/>
    <w:rsid w:val="00DD32DB"/>
    <w:rsid w:val="00E0030E"/>
    <w:rsid w:val="00E1481E"/>
    <w:rsid w:val="00E15276"/>
    <w:rsid w:val="00E20B11"/>
    <w:rsid w:val="00E26EEC"/>
    <w:rsid w:val="00E376D8"/>
    <w:rsid w:val="00E57DE5"/>
    <w:rsid w:val="00ED69F2"/>
    <w:rsid w:val="00EE7732"/>
    <w:rsid w:val="00F0553C"/>
    <w:rsid w:val="00F06375"/>
    <w:rsid w:val="00F20699"/>
    <w:rsid w:val="00F2466B"/>
    <w:rsid w:val="00F46F81"/>
    <w:rsid w:val="00F55DE1"/>
    <w:rsid w:val="00F63BC1"/>
    <w:rsid w:val="00F67B7E"/>
    <w:rsid w:val="00F857E1"/>
    <w:rsid w:val="00F86106"/>
    <w:rsid w:val="00F87F0B"/>
    <w:rsid w:val="00F9756D"/>
    <w:rsid w:val="00FA227C"/>
    <w:rsid w:val="00FB5B09"/>
    <w:rsid w:val="00FC227C"/>
    <w:rsid w:val="00FF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6bed1,#f4f4f4,#7eabc6,#c0d4e2,#719ebc,#b9cfd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2">
    <w:name w:val="heading 2"/>
    <w:basedOn w:val="Normal"/>
    <w:next w:val="Normal"/>
    <w:qFormat/>
    <w:rsid w:val="005126BE"/>
    <w:pPr>
      <w:keepNext/>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0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E0F1F"/>
    <w:pPr>
      <w:tabs>
        <w:tab w:val="center" w:pos="4320"/>
        <w:tab w:val="right" w:pos="8640"/>
      </w:tabs>
    </w:pPr>
    <w:rPr>
      <w:rFonts w:ascii="Times New Roman" w:hAnsi="Times New Roman"/>
      <w:sz w:val="24"/>
      <w:szCs w:val="24"/>
    </w:rPr>
  </w:style>
  <w:style w:type="paragraph" w:styleId="Footer">
    <w:name w:val="footer"/>
    <w:basedOn w:val="Normal"/>
    <w:link w:val="FooterChar"/>
    <w:uiPriority w:val="99"/>
    <w:rsid w:val="009E0F1F"/>
    <w:pPr>
      <w:tabs>
        <w:tab w:val="center" w:pos="4320"/>
        <w:tab w:val="right" w:pos="8640"/>
      </w:tabs>
    </w:pPr>
  </w:style>
  <w:style w:type="paragraph" w:styleId="BodyText">
    <w:name w:val="Body Text"/>
    <w:basedOn w:val="Normal"/>
    <w:rsid w:val="005126BE"/>
    <w:rPr>
      <w:rFonts w:cs="Arial"/>
    </w:rPr>
  </w:style>
  <w:style w:type="paragraph" w:styleId="BodyTextIndent2">
    <w:name w:val="Body Text Indent 2"/>
    <w:basedOn w:val="Normal"/>
    <w:rsid w:val="00AB3593"/>
    <w:pPr>
      <w:spacing w:after="120" w:line="480" w:lineRule="auto"/>
      <w:ind w:left="360"/>
    </w:pPr>
  </w:style>
  <w:style w:type="character" w:styleId="Hyperlink">
    <w:name w:val="Hyperlink"/>
    <w:basedOn w:val="DefaultParagraphFont"/>
    <w:rsid w:val="00AB3593"/>
    <w:rPr>
      <w:color w:val="0000FF"/>
      <w:u w:val="single"/>
    </w:rPr>
  </w:style>
  <w:style w:type="paragraph" w:styleId="HTMLPreformatted">
    <w:name w:val="HTML Preformatted"/>
    <w:basedOn w:val="Normal"/>
    <w:rsid w:val="00AB3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BalloonText">
    <w:name w:val="Balloon Text"/>
    <w:basedOn w:val="Normal"/>
    <w:link w:val="BalloonTextChar"/>
    <w:rsid w:val="001D370A"/>
    <w:rPr>
      <w:rFonts w:ascii="Tahoma" w:hAnsi="Tahoma" w:cs="Tahoma"/>
      <w:sz w:val="16"/>
      <w:szCs w:val="16"/>
    </w:rPr>
  </w:style>
  <w:style w:type="character" w:customStyle="1" w:styleId="BalloonTextChar">
    <w:name w:val="Balloon Text Char"/>
    <w:basedOn w:val="DefaultParagraphFont"/>
    <w:link w:val="BalloonText"/>
    <w:rsid w:val="001D370A"/>
    <w:rPr>
      <w:rFonts w:ascii="Tahoma" w:hAnsi="Tahoma" w:cs="Tahoma"/>
      <w:sz w:val="16"/>
      <w:szCs w:val="16"/>
    </w:rPr>
  </w:style>
  <w:style w:type="character" w:customStyle="1" w:styleId="FooterChar">
    <w:name w:val="Footer Char"/>
    <w:basedOn w:val="DefaultParagraphFont"/>
    <w:link w:val="Footer"/>
    <w:uiPriority w:val="99"/>
    <w:rsid w:val="00ED69F2"/>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2">
    <w:name w:val="heading 2"/>
    <w:basedOn w:val="Normal"/>
    <w:next w:val="Normal"/>
    <w:qFormat/>
    <w:rsid w:val="005126BE"/>
    <w:pPr>
      <w:keepNext/>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0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E0F1F"/>
    <w:pPr>
      <w:tabs>
        <w:tab w:val="center" w:pos="4320"/>
        <w:tab w:val="right" w:pos="8640"/>
      </w:tabs>
    </w:pPr>
    <w:rPr>
      <w:rFonts w:ascii="Times New Roman" w:hAnsi="Times New Roman"/>
      <w:sz w:val="24"/>
      <w:szCs w:val="24"/>
    </w:rPr>
  </w:style>
  <w:style w:type="paragraph" w:styleId="Footer">
    <w:name w:val="footer"/>
    <w:basedOn w:val="Normal"/>
    <w:link w:val="FooterChar"/>
    <w:uiPriority w:val="99"/>
    <w:rsid w:val="009E0F1F"/>
    <w:pPr>
      <w:tabs>
        <w:tab w:val="center" w:pos="4320"/>
        <w:tab w:val="right" w:pos="8640"/>
      </w:tabs>
    </w:pPr>
  </w:style>
  <w:style w:type="paragraph" w:styleId="BodyText">
    <w:name w:val="Body Text"/>
    <w:basedOn w:val="Normal"/>
    <w:rsid w:val="005126BE"/>
    <w:rPr>
      <w:rFonts w:cs="Arial"/>
    </w:rPr>
  </w:style>
  <w:style w:type="paragraph" w:styleId="BodyTextIndent2">
    <w:name w:val="Body Text Indent 2"/>
    <w:basedOn w:val="Normal"/>
    <w:rsid w:val="00AB3593"/>
    <w:pPr>
      <w:spacing w:after="120" w:line="480" w:lineRule="auto"/>
      <w:ind w:left="360"/>
    </w:pPr>
  </w:style>
  <w:style w:type="character" w:styleId="Hyperlink">
    <w:name w:val="Hyperlink"/>
    <w:basedOn w:val="DefaultParagraphFont"/>
    <w:rsid w:val="00AB3593"/>
    <w:rPr>
      <w:color w:val="0000FF"/>
      <w:u w:val="single"/>
    </w:rPr>
  </w:style>
  <w:style w:type="paragraph" w:styleId="HTMLPreformatted">
    <w:name w:val="HTML Preformatted"/>
    <w:basedOn w:val="Normal"/>
    <w:rsid w:val="00AB3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BalloonText">
    <w:name w:val="Balloon Text"/>
    <w:basedOn w:val="Normal"/>
    <w:link w:val="BalloonTextChar"/>
    <w:rsid w:val="001D370A"/>
    <w:rPr>
      <w:rFonts w:ascii="Tahoma" w:hAnsi="Tahoma" w:cs="Tahoma"/>
      <w:sz w:val="16"/>
      <w:szCs w:val="16"/>
    </w:rPr>
  </w:style>
  <w:style w:type="character" w:customStyle="1" w:styleId="BalloonTextChar">
    <w:name w:val="Balloon Text Char"/>
    <w:basedOn w:val="DefaultParagraphFont"/>
    <w:link w:val="BalloonText"/>
    <w:rsid w:val="001D370A"/>
    <w:rPr>
      <w:rFonts w:ascii="Tahoma" w:hAnsi="Tahoma" w:cs="Tahoma"/>
      <w:sz w:val="16"/>
      <w:szCs w:val="16"/>
    </w:rPr>
  </w:style>
  <w:style w:type="character" w:customStyle="1" w:styleId="FooterChar">
    <w:name w:val="Footer Char"/>
    <w:basedOn w:val="DefaultParagraphFont"/>
    <w:link w:val="Footer"/>
    <w:uiPriority w:val="99"/>
    <w:rsid w:val="00ED69F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41844">
      <w:bodyDiv w:val="1"/>
      <w:marLeft w:val="0"/>
      <w:marRight w:val="0"/>
      <w:marTop w:val="0"/>
      <w:marBottom w:val="0"/>
      <w:divBdr>
        <w:top w:val="none" w:sz="0" w:space="0" w:color="auto"/>
        <w:left w:val="none" w:sz="0" w:space="0" w:color="auto"/>
        <w:bottom w:val="none" w:sz="0" w:space="0" w:color="auto"/>
        <w:right w:val="none" w:sz="0" w:space="0" w:color="auto"/>
      </w:divBdr>
      <w:divsChild>
        <w:div w:id="544028415">
          <w:marLeft w:val="0"/>
          <w:marRight w:val="0"/>
          <w:marTop w:val="0"/>
          <w:marBottom w:val="0"/>
          <w:divBdr>
            <w:top w:val="none" w:sz="0" w:space="0" w:color="auto"/>
            <w:left w:val="none" w:sz="0" w:space="0" w:color="auto"/>
            <w:bottom w:val="single" w:sz="6" w:space="5"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MUSC</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CDAP</dc:creator>
  <cp:lastModifiedBy>Foster Olive</cp:lastModifiedBy>
  <cp:revision>6</cp:revision>
  <cp:lastPrinted>2011-03-10T21:57:00Z</cp:lastPrinted>
  <dcterms:created xsi:type="dcterms:W3CDTF">2012-02-03T23:44:00Z</dcterms:created>
  <dcterms:modified xsi:type="dcterms:W3CDTF">2012-02-04T23:43:00Z</dcterms:modified>
</cp:coreProperties>
</file>